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tabs>
          <w:tab w:val="left" w:pos="71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8" w:lineRule="exact"/>
        <w:ind w:right="-23" w:rightChars="0" w:firstLine="2628" w:firstLineChars="600"/>
        <w:jc w:val="both"/>
        <w:textAlignment w:val="baseline"/>
        <w:outlineLvl w:val="0"/>
        <w:rPr>
          <w:rFonts w:hint="default" w:ascii="微软雅黑" w:hAnsi="微软雅黑" w:eastAsia="微软雅黑" w:cs="微软雅黑"/>
          <w:snapToGrid w:val="0"/>
          <w:color w:val="000000"/>
          <w:spacing w:val="-11"/>
          <w:w w:val="92"/>
          <w:kern w:val="0"/>
          <w:sz w:val="50"/>
          <w:szCs w:val="50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11"/>
          <w:w w:val="92"/>
          <w:kern w:val="0"/>
          <w:sz w:val="50"/>
          <w:szCs w:val="50"/>
          <w:lang w:val="en-US" w:eastAsia="zh-CN" w:bidi="ar-SA"/>
        </w:rPr>
        <w:t>重庆市城市管理执法</w:t>
      </w:r>
    </w:p>
    <w:p>
      <w:pPr>
        <w:pStyle w:val="2"/>
        <w:keepNext w:val="0"/>
        <w:keepLines w:val="0"/>
        <w:pageBreakBefore w:val="0"/>
        <w:widowControl/>
        <w:tabs>
          <w:tab w:val="left" w:pos="71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8" w:lineRule="exact"/>
        <w:ind w:right="-23" w:rightChars="0" w:firstLine="3066" w:firstLineChars="700"/>
        <w:jc w:val="both"/>
        <w:textAlignment w:val="baseline"/>
        <w:outlineLvl w:val="0"/>
        <w:rPr>
          <w:rFonts w:hint="eastAsia" w:ascii="微软雅黑" w:hAnsi="微软雅黑" w:eastAsia="微软雅黑" w:cs="微软雅黑"/>
          <w:snapToGrid w:val="0"/>
          <w:color w:val="000000"/>
          <w:spacing w:val="-11"/>
          <w:w w:val="92"/>
          <w:kern w:val="0"/>
          <w:sz w:val="50"/>
          <w:szCs w:val="50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-11"/>
          <w:w w:val="92"/>
          <w:kern w:val="0"/>
          <w:sz w:val="50"/>
          <w:szCs w:val="50"/>
          <w:lang w:val="en-US" w:eastAsia="zh-CN" w:bidi="ar-SA"/>
        </w:rPr>
        <w:t>行政处罚决定书</w:t>
      </w: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3900" w:firstLineChars="13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渝（渡）城罚决字〔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2025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〕第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000003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3900" w:firstLineChars="13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当事人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重庆赐运顺物流有限公司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统一社会信用代码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91500113MA5U640E1R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法定代表人：李</w:t>
      </w: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val="en-US" w:eastAsia="zh-CN"/>
        </w:rPr>
        <w:t>*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住所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重庆市巴南区界石镇东城大道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407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号附</w:t>
      </w:r>
      <w:r>
        <w:rPr>
          <w:rFonts w:hint="eastAsia" w:ascii="Times New Roman" w:hAnsi="Times New Roman" w:eastAsia="方正仿宋_GBK" w:cs="Times New Roman"/>
          <w:spacing w:val="10"/>
          <w:sz w:val="28"/>
          <w:szCs w:val="28"/>
          <w:lang w:val="en-US" w:eastAsia="zh-CN"/>
        </w:rPr>
        <w:t>**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号</w:t>
      </w:r>
      <w:r>
        <w:rPr>
          <w:rFonts w:hint="eastAsia" w:ascii="Times New Roman" w:hAnsi="Times New Roman" w:eastAsia="方正仿宋_GBK" w:cs="Times New Roman"/>
          <w:spacing w:val="10"/>
          <w:sz w:val="28"/>
          <w:szCs w:val="28"/>
          <w:lang w:val="en-US" w:eastAsia="zh-CN"/>
        </w:rPr>
        <w:t>**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（自主承诺）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2025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8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19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日，本机关执法人员经巡查中发现当事人在重庆市大渡口区建胜镇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5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号路单位随意倾倒建筑垃圾的行为，其行为涉嫌违反城市建筑垃圾管理规定第一十五条的规定，于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2025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8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19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日立案调查。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eastAsia="zh-CN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经查明，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2025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8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4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日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3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时，当事人重庆赐运顺物流有限公司名下的渝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DS</w:t>
      </w:r>
      <w:r>
        <w:rPr>
          <w:rFonts w:hint="eastAsia" w:ascii="Times New Roman" w:hAnsi="Times New Roman" w:eastAsia="方正仿宋_GBK" w:cs="Times New Roman"/>
          <w:spacing w:val="10"/>
          <w:sz w:val="28"/>
          <w:szCs w:val="28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85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车辆在重庆市大渡口区建胜镇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5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号路尽头靠近白居寺公园处附近实施了随意倾倒建筑垃圾行为</w:t>
      </w: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上述事实，由以下证据证实：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证据一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营业执照复印件，证明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重庆赐运顺物流有限公司是本案适格当事人；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58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</w:rPr>
        <w:t>证据二：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陈</w:t>
      </w: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val="en-US" w:eastAsia="zh-CN"/>
        </w:rPr>
        <w:t>*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旭身份证复印件、委托书，证明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陈</w:t>
      </w: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val="en-US" w:eastAsia="zh-CN"/>
        </w:rPr>
        <w:t>*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旭受重庆赐运顺物流有限公司委托处理本案；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证据三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现场照片、现场检查记录、调查询问笔录，证明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重庆赐运顺物流有限公司随意倾倒建筑垃圾的行为属实；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证据四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责令改正情况复查记录、渣土接收证明，证明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现场已经进行整改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2025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8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21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日，本机关依法向当事人送达了渝（渡）城罚</w:t>
      </w: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val="en-US" w:eastAsia="zh-CN"/>
        </w:rPr>
        <w:t>先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告字〔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2025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〕第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000003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号《行政处罚事先告知书》，告知当事人拟作出行政处罚决定的事实、理由、依据及内容，并告知当事人依法享有的权利。当事人放弃陈述申辩权利。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本机关认为，当事人重庆赐运顺物流有限公司在重庆市大渡口区大渡口区建胜镇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5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号路的行为，违反了城市建筑垃圾管理规定第一十五条的规定，已构成单位随意倾倒建筑垃圾行为。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现根据城市建筑垃圾管理规定第二十六条的规定，决定责令当事人作出如下行政处罚：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处罚款人民币壹万元整( ¥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10000.00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)。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上述罚款，当事人应当自收到本处罚决定书之日起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15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日内，缴纳罚   款。逾期不缴纳罚款的，本机关将根据《中华人民共和国行政处罚法》第七十二条第一款第（一）项的规定，每日按罚款数额的百分之三加处罚款，加处罚款的数额不得超出罚款的数额。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如不服本处罚决定，可以在收到本决定书之日起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60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日内向重庆市大渡口区人民政府申请行政复议；也可以在收到本决定书之日起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6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个月内直接向重庆市大渡口区人民法院起诉，但本决定不停止执行，法律另有规定的除外。逾期不申请行政复议、不提起行政诉讼又不履行的，本机关将依法强制执行 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133985</wp:posOffset>
            </wp:positionV>
            <wp:extent cx="845820" cy="845820"/>
            <wp:effectExtent l="0" t="0" r="11430" b="11430"/>
            <wp:wrapSquare wrapText="bothSides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缴款二维码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缴款方式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当事人可通过渝快办、微信、支付宝、云闪付的“扫一扫”功能，扫描上方二维码进行缴款，支持“手机支付”和“银行柜台缴款”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2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种缴款方式。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1、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手机支付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扫码完成后，在缴款页面选择支付方式为“手机支付”可在线缴纳罚款。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2、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银行柜台缴款</w:t>
      </w:r>
      <w:r>
        <w:rPr>
          <w:rFonts w:ascii="方正仿宋_GBK" w:hAnsi="方正仿宋_GBK" w:eastAsia="方正仿宋_GBK" w:cs="方正仿宋_GBK"/>
          <w:spacing w:val="10"/>
        </w:rPr>
        <w:t>：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扫码完成后，在缴款页面选择支付方式为“银行柜台缴款”后，获取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20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位缴款码提交给银行柜台办理缴款。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00" w:firstLineChars="2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29845</wp:posOffset>
            </wp:positionV>
            <wp:extent cx="1448435" cy="14230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8429" cy="142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5100" w:firstLineChars="17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重庆市大渡口区城市管理局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139" w:rightChars="66" w:firstLine="6300" w:firstLineChars="2100"/>
        <w:jc w:val="both"/>
        <w:textAlignment w:val="baseline"/>
        <w:rPr>
          <w:rFonts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2025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8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pacing w:val="10"/>
          <w:sz w:val="28"/>
          <w:szCs w:val="28"/>
        </w:rPr>
        <w:t>21</w:t>
      </w:r>
      <w:r>
        <w:rPr>
          <w:rFonts w:ascii="方正仿宋_GBK" w:hAnsi="方正仿宋_GBK" w:eastAsia="方正仿宋_GBK" w:cs="方正仿宋_GBK"/>
          <w:spacing w:val="10"/>
          <w:sz w:val="28"/>
          <w:szCs w:val="28"/>
        </w:rPr>
        <w:t>日</w:t>
      </w:r>
    </w:p>
    <w:sectPr>
      <w:footerReference r:id="rId5" w:type="default"/>
      <w:pgSz w:w="11906" w:h="16838"/>
      <w:pgMar w:top="1431" w:right="1200" w:bottom="806" w:left="1527" w:header="0" w:footer="5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jc w:val="right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2ZTA1MGQ1ZDUwNDY2OTg1MDFiOGExNGRiOTQ0ZGQifQ=="/>
  </w:docVars>
  <w:rsids>
    <w:rsidRoot w:val="00000000"/>
    <w:rsid w:val="1B927CFD"/>
    <w:rsid w:val="459A4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1090</Words>
  <Characters>1163</Characters>
  <TotalTime>8</TotalTime>
  <ScaleCrop>false</ScaleCrop>
  <LinksUpToDate>false</LinksUpToDate>
  <CharactersWithSpaces>1170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2025-08-21T13:02:00Z</dcterms:created>
  <dc:creator>greatwall</dc:creator>
  <cp:lastModifiedBy>A舒克贝塔打小怪兽</cp:lastModifiedBy>
  <dcterms:modified xsi:type="dcterms:W3CDTF">2025-08-25T07:29:56Z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2025-08-25T11:12:01Z</vt:filetime>
  </property>
  <property fmtid="{D5CDD505-2E9C-101B-9397-08002B2CF9AE}" pid="4" name="KSOProductBuildVer">
    <vt:lpwstr>2052-12.1.0.16250</vt:lpwstr>
  </property>
  <property fmtid="{D5CDD505-2E9C-101B-9397-08002B2CF9AE}" pid="5" name="ICV">
    <vt:lpwstr>6876CEBF441E4B80997B9E339AD77120_12</vt:lpwstr>
  </property>
</Properties>
</file>