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0" w:lineRule="exact"/>
        <w:jc w:val="center"/>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重庆市大渡口区人民政府</w:t>
      </w:r>
    </w:p>
    <w:p>
      <w:pPr>
        <w:widowControl/>
        <w:adjustRightInd w:val="0"/>
        <w:snapToGrid w:val="0"/>
        <w:spacing w:line="590" w:lineRule="exact"/>
        <w:jc w:val="center"/>
        <w:rPr>
          <w:rFonts w:hint="eastAsia" w:ascii="Times New Roman" w:hAnsi="Times New Roman" w:eastAsia="方正小标宋_GBK" w:cs="方正小标宋_GBK"/>
          <w:color w:val="000000"/>
          <w:kern w:val="0"/>
          <w:sz w:val="44"/>
          <w:szCs w:val="44"/>
          <w:lang w:val="en-US" w:eastAsia="zh-CN" w:bidi="ar-SA"/>
        </w:rPr>
      </w:pPr>
      <w:r>
        <w:rPr>
          <w:rFonts w:hint="eastAsia" w:ascii="方正小标宋_GBK" w:hAnsi="方正小标宋_GBK" w:eastAsia="方正小标宋_GBK" w:cs="方正小标宋_GBK"/>
          <w:color w:val="000000"/>
          <w:kern w:val="0"/>
          <w:sz w:val="44"/>
          <w:szCs w:val="44"/>
          <w:lang w:eastAsia="zh-CN"/>
        </w:rPr>
        <w:t>关于</w:t>
      </w:r>
      <w:r>
        <w:rPr>
          <w:rFonts w:hint="eastAsia" w:ascii="方正小标宋_GBK" w:hAnsi="方正小标宋_GBK" w:eastAsia="方正小标宋_GBK" w:cs="方正小标宋_GBK"/>
          <w:color w:val="000000"/>
          <w:kern w:val="0"/>
          <w:sz w:val="44"/>
          <w:szCs w:val="44"/>
          <w:lang w:val="en-US" w:eastAsia="zh-CN"/>
        </w:rPr>
        <w:t>2022年</w:t>
      </w:r>
      <w:r>
        <w:rPr>
          <w:rFonts w:hint="eastAsia" w:ascii="Times New Roman" w:hAnsi="Times New Roman" w:eastAsia="方正小标宋_GBK" w:cs="方正小标宋_GBK"/>
          <w:color w:val="000000"/>
          <w:kern w:val="0"/>
          <w:sz w:val="44"/>
          <w:szCs w:val="44"/>
          <w:lang w:val="en-US" w:eastAsia="zh-CN" w:bidi="ar-SA"/>
        </w:rPr>
        <w:t>预算调整方案（草案）的报告</w:t>
      </w:r>
    </w:p>
    <w:p>
      <w:pPr>
        <w:autoSpaceDE/>
        <w:autoSpaceDN/>
        <w:snapToGrid w:val="0"/>
        <w:spacing w:line="594" w:lineRule="exact"/>
        <w:ind w:firstLine="632" w:firstLineChars="200"/>
        <w:jc w:val="both"/>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—2022年12月16日在区十四届人大常委会第五次会议上</w:t>
      </w:r>
    </w:p>
    <w:p>
      <w:pPr>
        <w:ind w:firstLine="471"/>
        <w:rPr>
          <w:rFonts w:hint="default"/>
          <w:lang w:val="en-US" w:eastAsia="zh-CN"/>
        </w:rPr>
      </w:pPr>
    </w:p>
    <w:p>
      <w:pPr>
        <w:keepNext w:val="0"/>
        <w:keepLines w:val="0"/>
        <w:pageBreakBefore w:val="0"/>
        <w:kinsoku/>
        <w:wordWrap/>
        <w:overflowPunct/>
        <w:topLinePunct w:val="0"/>
        <w:autoSpaceDE/>
        <w:autoSpaceDN/>
        <w:bidi w:val="0"/>
        <w:adjustRightInd w:val="0"/>
        <w:snapToGrid w:val="0"/>
        <w:spacing w:line="590" w:lineRule="exact"/>
        <w:ind w:firstLine="0" w:firstLineChars="0"/>
        <w:jc w:val="both"/>
        <w:textAlignment w:val="auto"/>
        <w:rPr>
          <w:rFonts w:hint="eastAsia" w:ascii="Times New Roman" w:hAnsi="Times New Roman" w:eastAsia="方正仿宋_GBK" w:cs="Times New Roman"/>
          <w:color w:val="auto"/>
          <w:sz w:val="32"/>
          <w:szCs w:val="32"/>
          <w:lang w:val="en-US" w:eastAsia="zh-CN" w:bidi="ar"/>
        </w:rPr>
      </w:pPr>
      <w:r>
        <w:rPr>
          <w:rFonts w:hint="eastAsia" w:ascii="方正仿宋_GBK" w:eastAsia="方正仿宋_GBK"/>
          <w:b w:val="0"/>
          <w:bCs w:val="0"/>
          <w:sz w:val="32"/>
          <w:szCs w:val="32"/>
        </w:rPr>
        <w:t>主任，各位副主任，各位委员：</w:t>
      </w:r>
    </w:p>
    <w:p>
      <w:pPr>
        <w:autoSpaceDE/>
        <w:autoSpaceDN/>
        <w:snapToGrid w:val="0"/>
        <w:spacing w:line="594" w:lineRule="exact"/>
        <w:ind w:firstLine="632" w:firstLineChars="200"/>
        <w:jc w:val="both"/>
        <w:rPr>
          <w:rFonts w:hint="eastAsia" w:eastAsia="方正仿宋_GBK"/>
          <w:lang w:val="en-US" w:eastAsia="zh-CN"/>
        </w:rPr>
      </w:pPr>
      <w:r>
        <w:rPr>
          <w:rFonts w:hint="eastAsia" w:ascii="Times New Roman" w:hAnsi="Times New Roman" w:eastAsia="方正仿宋_GBK" w:cs="Times New Roman"/>
          <w:color w:val="auto"/>
          <w:sz w:val="32"/>
          <w:szCs w:val="32"/>
          <w:lang w:val="en-US" w:eastAsia="zh-CN" w:bidi="ar"/>
        </w:rPr>
        <w:t>今年以来，中央实施新的组合式税费支持政策，叠加疫情反复、房地产市场低迷等因素影响，全年收入减收已成定势，加之政府债券资金、上级转移支付等变动事项，预算总收支发生变化。</w:t>
      </w:r>
      <w:r>
        <w:rPr>
          <w:rFonts w:hint="eastAsia" w:ascii="Times New Roman" w:hAnsi="Times New Roman" w:eastAsia="方正仿宋_GBK" w:cs="Times New Roman"/>
          <w:color w:val="auto"/>
          <w:sz w:val="32"/>
          <w:szCs w:val="32"/>
          <w:lang w:val="en-US" w:eastAsia="zh-CN"/>
        </w:rPr>
        <w:t>基于上述情况，拟调整2022年预算，具体事项</w:t>
      </w:r>
      <w:r>
        <w:rPr>
          <w:rFonts w:hint="eastAsia" w:ascii="Times New Roman" w:hAnsi="Times New Roman" w:eastAsia="方正仿宋_GBK" w:cs="Times New Roman"/>
          <w:color w:val="auto"/>
          <w:sz w:val="32"/>
          <w:szCs w:val="32"/>
          <w:lang w:bidi="ar"/>
        </w:rPr>
        <w:t>如下</w:t>
      </w:r>
      <w:r>
        <w:rPr>
          <w:rFonts w:hint="eastAsia" w:ascii="Times New Roman" w:hAnsi="Times New Roman" w:eastAsia="方正仿宋_GBK" w:cs="Times New Roman"/>
          <w:color w:val="auto"/>
          <w:sz w:val="32"/>
          <w:szCs w:val="32"/>
          <w:lang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0" w:afterAutospacing="0" w:line="594" w:lineRule="exact"/>
        <w:ind w:right="0" w:firstLine="632" w:firstLineChars="200"/>
        <w:jc w:val="both"/>
        <w:textAlignment w:val="auto"/>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预算调整事项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val="0"/>
          <w:sz w:val="32"/>
          <w:szCs w:val="32"/>
          <w:lang w:val="en-US" w:eastAsia="zh-CN"/>
        </w:rPr>
        <w:t>（一）收入调减。</w:t>
      </w:r>
      <w:r>
        <w:rPr>
          <w:rFonts w:hint="eastAsia" w:ascii="Times New Roman" w:hAnsi="Times New Roman" w:eastAsia="方正仿宋_GBK" w:cs="Times New Roman"/>
          <w:sz w:val="32"/>
          <w:szCs w:val="32"/>
          <w:lang w:val="en-US" w:eastAsia="zh-CN"/>
        </w:rPr>
        <w:t>2022年继续全面落实退税减税政策，兑现大规模增值税留抵退税，加之商品房以及土地交易契税减收等因素，今年税收收入形势严峻复杂，难以完成年初目标。为对冲税收收入减收压力，大力盘活存量资产资源，实施路内停车位特许经营权转让，缩小一般公共预算收入短收缺口。综上所述，2022年区级一般公共预算收入拟调整为180,000万元，调减29,765万元，其中税收收入调整为150,000万元，调减39,101万元；非税收入调整为30,000万元，调增9,336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val="0"/>
          <w:sz w:val="32"/>
          <w:szCs w:val="32"/>
          <w:lang w:val="en-US" w:eastAsia="zh-CN"/>
        </w:rPr>
        <w:t>（二）新增政府债券。</w:t>
      </w:r>
      <w:r>
        <w:rPr>
          <w:rFonts w:hint="eastAsia" w:ascii="Times New Roman" w:hAnsi="Times New Roman" w:eastAsia="方正仿宋_GBK" w:cs="Times New Roman"/>
          <w:sz w:val="32"/>
          <w:szCs w:val="32"/>
          <w:lang w:val="en-US" w:eastAsia="zh-CN"/>
        </w:rPr>
        <w:t>一是新增一般债券20,000万元。根据《重庆市财政局关于下达2022年第十一批政府债券资金的通知》（渝财债〔2022〕70号）、《重庆市财政局关于下达2022年第八批政府债券资金预算的通知》（渝财债〔2022〕47号）文件精神，我区获得新增一般债券资金共计20,000万元，主要用于学校建设。二是新增专项债券2,000万元。根据《重庆市财政局关于下达2022年第十二批政府债券资金预算的通知》（渝财债〔2022〕79号）文件精神，我区获得新增专项债券2,000万元，主要用于跳蹬镇生态小镇建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val="0"/>
          <w:sz w:val="32"/>
          <w:szCs w:val="32"/>
          <w:lang w:val="en-US" w:eastAsia="zh-CN"/>
        </w:rPr>
        <w:t>（三）转移性收支。</w:t>
      </w:r>
      <w:r>
        <w:rPr>
          <w:rFonts w:hint="eastAsia" w:ascii="Times New Roman" w:hAnsi="Times New Roman" w:eastAsia="方正仿宋_GBK" w:cs="Times New Roman"/>
          <w:sz w:val="32"/>
          <w:szCs w:val="32"/>
          <w:lang w:val="en-US" w:eastAsia="zh-CN"/>
        </w:rPr>
        <w:t>按照现行预算一体化管理要求，年初转移支付预算严格按照上级提前下达的额度进行编制。截至目前，上级新增下达各类补助资金54,304万元，上级补助收入调增54,304万元；新增上解市级的各类支出5,828万元，上解上级支出调增5,828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方正楷体_GBK"/>
          <w:b w:val="0"/>
          <w:bCs w:val="0"/>
          <w:sz w:val="32"/>
          <w:szCs w:val="32"/>
          <w:lang w:val="en-US" w:eastAsia="zh-CN"/>
        </w:rPr>
        <w:t>（四）政策性科目调整。</w:t>
      </w:r>
      <w:r>
        <w:rPr>
          <w:rFonts w:hint="eastAsia" w:ascii="Times New Roman" w:hAnsi="Times New Roman" w:eastAsia="方正仿宋_GBK" w:cs="Times New Roman"/>
          <w:sz w:val="32"/>
          <w:szCs w:val="32"/>
          <w:lang w:val="en-US" w:eastAsia="zh-CN"/>
        </w:rPr>
        <w:t>根据《关于2021年市与区县财政年终结算有关事项的通知》（渝财预〔2021〕49号）要求，调整自平衡债券利息列报科目，一般公共预算调出资金调减4,715万元，相应调减政府性基金预算的调入资金4,715万元；政府性基金预算上年结转调减1万元，相应本级支出调减1万元。按照《重庆市财政局关于2019年至2021年预下达中央在渝企业退休人员社会化管理补助资金清算事项的通知》（渝财产业〔2021〕185号）要求，涉及90万元资金的预算科目从国有资本经营预算调整至一般公共预算，国有资本经营预算调出资金增加90万元。</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594" w:lineRule="exact"/>
        <w:ind w:right="0" w:rightChars="0" w:firstLine="632" w:firstLineChars="200"/>
        <w:jc w:val="left"/>
        <w:textAlignment w:val="auto"/>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二、预算调整方案</w:t>
      </w:r>
    </w:p>
    <w:p>
      <w:pPr>
        <w:keepNext w:val="0"/>
        <w:keepLines w:val="0"/>
        <w:pageBreakBefore w:val="0"/>
        <w:kinsoku/>
        <w:wordWrap/>
        <w:overflowPunct/>
        <w:topLinePunct w:val="0"/>
        <w:autoSpaceDE/>
        <w:autoSpaceDN/>
        <w:bidi w:val="0"/>
        <w:adjustRightInd w:val="0"/>
        <w:snapToGrid w:val="0"/>
        <w:spacing w:line="594" w:lineRule="exact"/>
        <w:ind w:firstLine="632" w:firstLineChars="200"/>
        <w:textAlignment w:val="auto"/>
        <w:rPr>
          <w:rFonts w:hint="eastAsia" w:ascii="Times New Roman" w:hAnsi="Times New Roman" w:eastAsia="方正楷体_GBK" w:cs="方正楷体_GBK"/>
          <w:color w:val="auto"/>
          <w:sz w:val="32"/>
          <w:szCs w:val="32"/>
          <w:lang w:eastAsia="zh-CN" w:bidi="ar"/>
        </w:rPr>
      </w:pPr>
      <w:r>
        <w:rPr>
          <w:rFonts w:hint="eastAsia" w:ascii="Times New Roman" w:hAnsi="Times New Roman" w:eastAsia="方正楷体_GBK" w:cs="方正楷体_GBK"/>
          <w:color w:val="auto"/>
          <w:sz w:val="32"/>
          <w:szCs w:val="32"/>
          <w:lang w:eastAsia="zh-CN" w:bidi="ar"/>
        </w:rPr>
        <w:t>（一）一般公共预算</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firstLine="632" w:firstLineChars="200"/>
        <w:textAlignment w:val="auto"/>
        <w:outlineLvl w:val="9"/>
        <w:rPr>
          <w:rFonts w:hint="eastAsia"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eastAsia="zh-CN" w:bidi="ar"/>
        </w:rPr>
        <w:t>收入方面，一般公共预算收入总计调整为</w:t>
      </w:r>
      <w:r>
        <w:rPr>
          <w:rFonts w:hint="default" w:ascii="Times New Roman" w:hAnsi="Times New Roman" w:eastAsia="方正仿宋_GBK" w:cs="Times New Roman"/>
          <w:color w:val="auto"/>
          <w:sz w:val="32"/>
          <w:szCs w:val="32"/>
          <w:lang w:val="en-US" w:eastAsia="zh-CN" w:bidi="ar"/>
        </w:rPr>
        <w:t>557,370万元，</w:t>
      </w:r>
      <w:r>
        <w:rPr>
          <w:rFonts w:hint="eastAsia" w:ascii="Times New Roman" w:hAnsi="Times New Roman" w:eastAsia="方正仿宋_GBK" w:cs="Times New Roman"/>
          <w:color w:val="auto"/>
          <w:sz w:val="32"/>
          <w:szCs w:val="32"/>
          <w:lang w:val="en-US" w:eastAsia="zh-CN" w:bidi="ar"/>
        </w:rPr>
        <w:t>较年初预算调增61,936万元。区级一般公共预算</w:t>
      </w:r>
      <w:r>
        <w:rPr>
          <w:rFonts w:hint="default" w:ascii="Times New Roman" w:hAnsi="Times New Roman" w:eastAsia="方正仿宋_GBK" w:cs="Times New Roman"/>
          <w:color w:val="auto"/>
          <w:sz w:val="32"/>
          <w:szCs w:val="32"/>
          <w:lang w:val="en-US" w:eastAsia="zh-CN" w:bidi="ar"/>
        </w:rPr>
        <w:t>收入</w:t>
      </w:r>
      <w:r>
        <w:rPr>
          <w:rFonts w:hint="eastAsia" w:ascii="Times New Roman" w:hAnsi="Times New Roman" w:eastAsia="方正仿宋_GBK" w:cs="Times New Roman"/>
          <w:color w:val="auto"/>
          <w:sz w:val="32"/>
          <w:szCs w:val="32"/>
          <w:lang w:val="en-US" w:eastAsia="zh-CN" w:bidi="ar"/>
        </w:rPr>
        <w:t>调整为180,000</w:t>
      </w:r>
      <w:r>
        <w:rPr>
          <w:rFonts w:hint="default" w:ascii="Times New Roman" w:hAnsi="Times New Roman" w:eastAsia="方正仿宋_GBK" w:cs="Times New Roman"/>
          <w:color w:val="auto"/>
          <w:sz w:val="32"/>
          <w:szCs w:val="32"/>
          <w:lang w:val="en-US" w:eastAsia="zh-CN" w:bidi="ar"/>
        </w:rPr>
        <w:t>万元，调减</w:t>
      </w:r>
      <w:r>
        <w:rPr>
          <w:rFonts w:hint="eastAsia" w:ascii="Times New Roman" w:hAnsi="Times New Roman" w:eastAsia="方正仿宋_GBK" w:cs="Times New Roman"/>
          <w:color w:val="auto"/>
          <w:sz w:val="32"/>
          <w:szCs w:val="32"/>
          <w:lang w:val="en-US" w:eastAsia="zh-CN" w:bidi="ar"/>
        </w:rPr>
        <w:t>29</w:t>
      </w:r>
      <w:r>
        <w:rPr>
          <w:rFonts w:hint="default" w:ascii="Times New Roman" w:hAnsi="Times New Roman" w:eastAsia="方正仿宋_GBK" w:cs="Times New Roman"/>
          <w:color w:val="auto"/>
          <w:sz w:val="32"/>
          <w:szCs w:val="32"/>
          <w:lang w:val="en-US" w:eastAsia="zh-CN" w:bidi="ar"/>
        </w:rPr>
        <w:t>,</w:t>
      </w:r>
      <w:r>
        <w:rPr>
          <w:rFonts w:hint="eastAsia" w:ascii="Times New Roman" w:hAnsi="Times New Roman" w:eastAsia="方正仿宋_GBK" w:cs="Times New Roman"/>
          <w:color w:val="auto"/>
          <w:sz w:val="32"/>
          <w:szCs w:val="32"/>
          <w:lang w:val="en-US" w:eastAsia="zh-CN" w:bidi="ar"/>
        </w:rPr>
        <w:t>765</w:t>
      </w:r>
      <w:r>
        <w:rPr>
          <w:rFonts w:hint="default" w:ascii="Times New Roman" w:hAnsi="Times New Roman" w:eastAsia="方正仿宋_GBK" w:cs="Times New Roman"/>
          <w:color w:val="auto"/>
          <w:sz w:val="32"/>
          <w:szCs w:val="32"/>
          <w:lang w:val="en-US" w:eastAsia="zh-CN" w:bidi="ar"/>
        </w:rPr>
        <w:t>万元</w:t>
      </w:r>
      <w:r>
        <w:rPr>
          <w:rFonts w:hint="eastAsia" w:ascii="Times New Roman" w:hAnsi="Times New Roman" w:eastAsia="方正仿宋_GBK" w:cs="Times New Roman"/>
          <w:color w:val="auto"/>
          <w:sz w:val="32"/>
          <w:szCs w:val="32"/>
          <w:lang w:val="en-US" w:eastAsia="zh-CN" w:bidi="ar"/>
        </w:rPr>
        <w:t>，同比下降11.2%，其中：税收收入调整为150,000万元，调减39,101万元，同比下降15.1%；非税收入调整为30,000万元，调增9,336万元，同比增长15.6%。上级补助收入</w:t>
      </w:r>
      <w:r>
        <w:rPr>
          <w:rFonts w:hint="default" w:ascii="Times New Roman" w:hAnsi="Times New Roman" w:eastAsia="方正仿宋_GBK" w:cs="Times New Roman"/>
          <w:color w:val="auto"/>
          <w:sz w:val="32"/>
          <w:szCs w:val="32"/>
          <w:lang w:val="en-US" w:eastAsia="zh-CN" w:bidi="ar"/>
        </w:rPr>
        <w:t>调整为</w:t>
      </w:r>
      <w:r>
        <w:rPr>
          <w:rFonts w:hint="eastAsia" w:ascii="Times New Roman" w:hAnsi="Times New Roman" w:eastAsia="方正仿宋_GBK" w:cs="Times New Roman"/>
          <w:color w:val="auto"/>
          <w:sz w:val="32"/>
          <w:szCs w:val="32"/>
          <w:lang w:val="en-US" w:eastAsia="zh-CN" w:bidi="ar"/>
        </w:rPr>
        <w:t>113,305</w:t>
      </w:r>
      <w:r>
        <w:rPr>
          <w:rFonts w:hint="default" w:ascii="Times New Roman" w:hAnsi="Times New Roman" w:eastAsia="方正仿宋_GBK" w:cs="Times New Roman"/>
          <w:color w:val="auto"/>
          <w:sz w:val="32"/>
          <w:szCs w:val="32"/>
          <w:lang w:val="en-US" w:eastAsia="zh-CN" w:bidi="ar"/>
        </w:rPr>
        <w:t>万元，调增</w:t>
      </w:r>
      <w:r>
        <w:rPr>
          <w:rFonts w:hint="eastAsia" w:ascii="Times New Roman" w:hAnsi="Times New Roman" w:eastAsia="方正仿宋_GBK" w:cs="Times New Roman"/>
          <w:color w:val="auto"/>
          <w:sz w:val="32"/>
          <w:szCs w:val="32"/>
          <w:lang w:val="en-US" w:eastAsia="zh-CN" w:bidi="ar"/>
        </w:rPr>
        <w:t>54</w:t>
      </w:r>
      <w:r>
        <w:rPr>
          <w:rFonts w:hint="default" w:ascii="Times New Roman" w:hAnsi="Times New Roman" w:eastAsia="方正仿宋_GBK" w:cs="Times New Roman"/>
          <w:color w:val="auto"/>
          <w:sz w:val="32"/>
          <w:szCs w:val="32"/>
          <w:lang w:val="en-US" w:eastAsia="zh-CN" w:bidi="ar"/>
        </w:rPr>
        <w:t>,</w:t>
      </w:r>
      <w:r>
        <w:rPr>
          <w:rFonts w:hint="eastAsia" w:ascii="Times New Roman" w:hAnsi="Times New Roman" w:eastAsia="方正仿宋_GBK" w:cs="Times New Roman"/>
          <w:color w:val="auto"/>
          <w:sz w:val="32"/>
          <w:szCs w:val="32"/>
          <w:lang w:val="en-US" w:eastAsia="zh-CN" w:bidi="ar"/>
        </w:rPr>
        <w:t>304</w:t>
      </w:r>
      <w:r>
        <w:rPr>
          <w:rFonts w:hint="default" w:ascii="Times New Roman" w:hAnsi="Times New Roman" w:eastAsia="方正仿宋_GBK" w:cs="Times New Roman"/>
          <w:color w:val="auto"/>
          <w:sz w:val="32"/>
          <w:szCs w:val="32"/>
          <w:lang w:val="en-US" w:eastAsia="zh-CN" w:bidi="ar"/>
        </w:rPr>
        <w:t>万元</w:t>
      </w:r>
      <w:r>
        <w:rPr>
          <w:rFonts w:hint="eastAsia" w:ascii="Times New Roman" w:hAnsi="Times New Roman" w:eastAsia="方正仿宋_GBK" w:cs="Times New Roman"/>
          <w:color w:val="auto"/>
          <w:sz w:val="32"/>
          <w:szCs w:val="32"/>
          <w:lang w:val="en-US" w:eastAsia="zh-CN" w:bidi="ar"/>
        </w:rPr>
        <w:t>，为上级转移支付增量；调入资金调整为84,732万元，调增17,397万元；债务转贷收入调整为117,300万元，调增20,000万元；其他项保持不变。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textAlignment w:val="auto"/>
        <w:outlineLvl w:val="9"/>
        <w:rPr>
          <w:rFonts w:hint="eastAsia"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支出方面，</w:t>
      </w:r>
      <w:r>
        <w:rPr>
          <w:rFonts w:hint="eastAsia" w:ascii="Times New Roman" w:hAnsi="Times New Roman" w:eastAsia="方正仿宋_GBK" w:cs="Times New Roman"/>
          <w:color w:val="auto"/>
          <w:kern w:val="2"/>
          <w:sz w:val="32"/>
          <w:szCs w:val="32"/>
          <w:lang w:val="en-US" w:eastAsia="zh-CN" w:bidi="ar"/>
        </w:rPr>
        <w:t>一般公共预算支出总计调整为</w:t>
      </w:r>
      <w:r>
        <w:rPr>
          <w:rFonts w:hint="default" w:ascii="Times New Roman" w:hAnsi="Times New Roman" w:eastAsia="方正仿宋_GBK" w:cs="Times New Roman"/>
          <w:color w:val="auto"/>
          <w:sz w:val="32"/>
          <w:szCs w:val="32"/>
          <w:lang w:val="en-US" w:eastAsia="zh-CN" w:bidi="ar"/>
        </w:rPr>
        <w:t>557,370</w:t>
      </w:r>
      <w:r>
        <w:rPr>
          <w:rFonts w:hint="eastAsia" w:ascii="Times New Roman" w:hAnsi="Times New Roman" w:eastAsia="方正仿宋_GBK" w:cs="Times New Roman"/>
          <w:color w:val="auto"/>
          <w:kern w:val="2"/>
          <w:sz w:val="32"/>
          <w:szCs w:val="32"/>
          <w:lang w:val="en-US" w:eastAsia="zh-CN" w:bidi="ar"/>
        </w:rPr>
        <w:t>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调增</w:t>
      </w:r>
      <w:r>
        <w:rPr>
          <w:rFonts w:hint="eastAsia" w:ascii="Times New Roman" w:hAnsi="Times New Roman" w:eastAsia="方正仿宋_GBK" w:cs="Times New Roman"/>
          <w:color w:val="auto"/>
          <w:sz w:val="32"/>
          <w:szCs w:val="32"/>
          <w:lang w:val="en-US" w:eastAsia="zh-CN" w:bidi="ar"/>
        </w:rPr>
        <w:t>61,936</w:t>
      </w:r>
      <w:r>
        <w:rPr>
          <w:rFonts w:hint="eastAsia" w:ascii="Times New Roman" w:hAnsi="Times New Roman" w:eastAsia="方正仿宋_GBK" w:cs="Times New Roman"/>
          <w:color w:val="auto"/>
          <w:kern w:val="2"/>
          <w:sz w:val="32"/>
          <w:szCs w:val="32"/>
          <w:lang w:val="en-US" w:eastAsia="zh-CN" w:bidi="ar"/>
        </w:rPr>
        <w:t>万元，其中：本级支出调整为431,427万元，调增60,823万元，增加的主要因素：因转移支付及新增债券等增加支出68,304万元，压减区级项目支出7,481万元，品迭后调增60,823万元；上解上级支出调整为28,639万元，调增5,828万元；调出资金调减4,715万元</w:t>
      </w:r>
      <w:r>
        <w:rPr>
          <w:rFonts w:hint="eastAsia" w:ascii="Times New Roman" w:hAnsi="Times New Roman" w:eastAsia="方正仿宋_GBK" w:cs="Times New Roman"/>
          <w:color w:val="auto"/>
          <w:sz w:val="32"/>
          <w:szCs w:val="32"/>
          <w:lang w:val="en-US" w:eastAsia="zh-CN" w:bidi="ar"/>
        </w:rPr>
        <w:t>；其他项保持不变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20</w:t>
      </w:r>
      <w:r>
        <w:rPr>
          <w:rFonts w:hint="eastAsia" w:ascii="Times New Roman" w:hAnsi="Times New Roman" w:eastAsia="方正黑体_GBK" w:cs="Times New Roman"/>
          <w:color w:val="auto"/>
          <w:sz w:val="32"/>
          <w:szCs w:val="32"/>
          <w:lang w:val="en-US" w:eastAsia="zh-CN"/>
        </w:rPr>
        <w:t>22</w:t>
      </w:r>
      <w:r>
        <w:rPr>
          <w:rFonts w:hint="eastAsia" w:ascii="Times New Roman" w:hAnsi="Times New Roman" w:eastAsia="方正黑体_GBK" w:cs="Times New Roman"/>
          <w:color w:val="auto"/>
          <w:sz w:val="32"/>
          <w:szCs w:val="32"/>
        </w:rPr>
        <w:t>年全区一般公共预算收支调整预算表</w:t>
      </w:r>
    </w:p>
    <w:p>
      <w:pPr>
        <w:wordWrap w:val="0"/>
        <w:adjustRightInd w:val="0"/>
        <w:snapToGrid w:val="0"/>
        <w:spacing w:line="594" w:lineRule="exact"/>
        <w:ind w:firstLine="641"/>
        <w:jc w:val="right"/>
        <w:rPr>
          <w:rFonts w:hint="eastAsia" w:ascii="Times New Roman" w:hAnsi="Times New Roman" w:eastAsia="宋体" w:cs="宋体"/>
          <w:color w:val="auto"/>
          <w:sz w:val="24"/>
          <w:szCs w:val="24"/>
          <w:lang w:val="en-US" w:eastAsia="zh-CN"/>
        </w:rPr>
      </w:pPr>
      <w:r>
        <w:rPr>
          <w:rFonts w:hint="eastAsia" w:ascii="Times New Roman" w:hAnsi="Times New Roman" w:eastAsia="方正楷体_GBK" w:cs="方正楷体_GBK"/>
          <w:color w:val="auto"/>
          <w:sz w:val="28"/>
          <w:szCs w:val="28"/>
          <w:lang w:val="en-US" w:eastAsia="zh-CN"/>
        </w:rPr>
        <w:t xml:space="preserve"> </w:t>
      </w:r>
      <w:r>
        <w:rPr>
          <w:rFonts w:hint="eastAsia" w:ascii="Times New Roman" w:hAnsi="Times New Roman" w:eastAsia="宋体" w:cs="宋体"/>
          <w:color w:val="auto"/>
          <w:sz w:val="24"/>
          <w:szCs w:val="24"/>
        </w:rPr>
        <w:t>单位：万元</w:t>
      </w:r>
    </w:p>
    <w:tbl>
      <w:tblPr>
        <w:tblStyle w:val="10"/>
        <w:tblW w:w="9533"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144"/>
        <w:gridCol w:w="1302"/>
        <w:gridCol w:w="1337"/>
        <w:gridCol w:w="2037"/>
        <w:gridCol w:w="1412"/>
        <w:gridCol w:w="130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37" w:hRule="exact"/>
          <w:tblHeader/>
          <w:jc w:val="center"/>
        </w:trPr>
        <w:tc>
          <w:tcPr>
            <w:tcW w:w="2144"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收</w:t>
            </w:r>
            <w:r>
              <w:rPr>
                <w:rFonts w:hint="eastAsia" w:ascii="Times New Roman" w:hAnsi="Times New Roman" w:cstheme="minorEastAsia"/>
                <w:b/>
                <w:color w:val="auto"/>
                <w:kern w:val="0"/>
                <w:sz w:val="24"/>
                <w:szCs w:val="24"/>
                <w:u w:val="none"/>
                <w:lang w:val="en-US" w:eastAsia="zh-CN" w:bidi="ar"/>
              </w:rPr>
              <w:t xml:space="preserve">  </w:t>
            </w:r>
            <w:r>
              <w:rPr>
                <w:rFonts w:hint="eastAsia" w:ascii="Times New Roman" w:hAnsi="Times New Roman" w:eastAsiaTheme="minorEastAsia" w:cstheme="minorEastAsia"/>
                <w:b/>
                <w:color w:val="auto"/>
                <w:kern w:val="0"/>
                <w:sz w:val="24"/>
                <w:szCs w:val="24"/>
                <w:u w:val="none"/>
                <w:lang w:bidi="ar"/>
              </w:rPr>
              <w:t>入</w:t>
            </w:r>
          </w:p>
        </w:tc>
        <w:tc>
          <w:tcPr>
            <w:tcW w:w="1302"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预算数</w:t>
            </w:r>
          </w:p>
        </w:tc>
        <w:tc>
          <w:tcPr>
            <w:tcW w:w="1337"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c>
          <w:tcPr>
            <w:tcW w:w="2037"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支</w:t>
            </w:r>
            <w:r>
              <w:rPr>
                <w:rFonts w:hint="eastAsia" w:ascii="Times New Roman" w:hAnsi="Times New Roman" w:cstheme="minorEastAsia"/>
                <w:b/>
                <w:color w:val="auto"/>
                <w:kern w:val="0"/>
                <w:sz w:val="24"/>
                <w:szCs w:val="24"/>
                <w:u w:val="none"/>
                <w:lang w:val="en-US" w:eastAsia="zh-CN" w:bidi="ar"/>
              </w:rPr>
              <w:t xml:space="preserve">  </w:t>
            </w:r>
            <w:r>
              <w:rPr>
                <w:rFonts w:hint="eastAsia" w:ascii="Times New Roman" w:hAnsi="Times New Roman" w:eastAsiaTheme="minorEastAsia" w:cstheme="minorEastAsia"/>
                <w:b/>
                <w:color w:val="auto"/>
                <w:kern w:val="0"/>
                <w:sz w:val="24"/>
                <w:szCs w:val="24"/>
                <w:u w:val="none"/>
                <w:lang w:bidi="ar"/>
              </w:rPr>
              <w:t>出</w:t>
            </w:r>
          </w:p>
        </w:tc>
        <w:tc>
          <w:tcPr>
            <w:tcW w:w="1412"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预算数</w:t>
            </w:r>
          </w:p>
        </w:tc>
        <w:tc>
          <w:tcPr>
            <w:tcW w:w="1301"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sz w:val="21"/>
                <w:szCs w:val="21"/>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sz w:val="24"/>
                <w:szCs w:val="24"/>
              </w:rPr>
            </w:pPr>
            <w:r>
              <w:rPr>
                <w:rFonts w:hint="default" w:ascii="Times New Roman" w:hAnsi="Times New Roman" w:eastAsia="宋体" w:cs="Times New Roman"/>
                <w:b/>
                <w:bCs/>
                <w:i w:val="0"/>
                <w:iCs w:val="0"/>
                <w:color w:val="000000"/>
                <w:kern w:val="0"/>
                <w:sz w:val="24"/>
                <w:szCs w:val="24"/>
                <w:u w:val="none"/>
                <w:lang w:val="en-US" w:eastAsia="zh-CN" w:bidi="ar"/>
              </w:rPr>
              <w:t>495,434</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557,370</w:t>
            </w:r>
          </w:p>
        </w:tc>
        <w:tc>
          <w:tcPr>
            <w:tcW w:w="203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sz w:val="21"/>
                <w:szCs w:val="21"/>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4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sz w:val="24"/>
                <w:szCs w:val="24"/>
              </w:rPr>
            </w:pPr>
            <w:r>
              <w:rPr>
                <w:rFonts w:hint="default" w:ascii="Times New Roman" w:hAnsi="Times New Roman" w:eastAsia="宋体" w:cs="Times New Roman"/>
                <w:b/>
                <w:bCs/>
                <w:i w:val="0"/>
                <w:iCs w:val="0"/>
                <w:color w:val="000000"/>
                <w:kern w:val="0"/>
                <w:sz w:val="24"/>
                <w:szCs w:val="24"/>
                <w:u w:val="none"/>
                <w:lang w:val="en-US" w:eastAsia="zh-CN" w:bidi="ar"/>
              </w:rPr>
              <w:t>495,434</w:t>
            </w:r>
          </w:p>
        </w:tc>
        <w:tc>
          <w:tcPr>
            <w:tcW w:w="1301"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 xml:space="preserve">557,370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209,765</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180,000</w:t>
            </w:r>
          </w:p>
        </w:tc>
        <w:tc>
          <w:tcPr>
            <w:tcW w:w="203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一、本级支出</w:t>
            </w:r>
          </w:p>
        </w:tc>
        <w:tc>
          <w:tcPr>
            <w:tcW w:w="141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370,604</w:t>
            </w:r>
          </w:p>
        </w:tc>
        <w:tc>
          <w:tcPr>
            <w:tcW w:w="130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431,427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税收收入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189,101</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150,000</w:t>
            </w:r>
          </w:p>
        </w:tc>
        <w:tc>
          <w:tcPr>
            <w:tcW w:w="2037"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rPr>
            </w:pPr>
          </w:p>
        </w:tc>
        <w:tc>
          <w:tcPr>
            <w:tcW w:w="1412"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01"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非税收入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20,664</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宋体" w:cs="Times New Roman"/>
                <w:i w:val="0"/>
                <w:iCs w:val="0"/>
                <w:color w:val="000000"/>
                <w:kern w:val="0"/>
                <w:sz w:val="22"/>
                <w:szCs w:val="22"/>
                <w:u w:val="none"/>
                <w:lang w:val="en-US" w:eastAsia="zh-CN" w:bidi="ar"/>
              </w:rPr>
              <w:t>30,000</w:t>
            </w:r>
          </w:p>
        </w:tc>
        <w:tc>
          <w:tcPr>
            <w:tcW w:w="2037"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rPr>
            </w:pPr>
          </w:p>
        </w:tc>
        <w:tc>
          <w:tcPr>
            <w:tcW w:w="1412"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01"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285,669</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377,370</w:t>
            </w:r>
          </w:p>
        </w:tc>
        <w:tc>
          <w:tcPr>
            <w:tcW w:w="203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二、转移性支出</w:t>
            </w:r>
          </w:p>
        </w:tc>
        <w:tc>
          <w:tcPr>
            <w:tcW w:w="141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124,830</w:t>
            </w:r>
          </w:p>
        </w:tc>
        <w:tc>
          <w:tcPr>
            <w:tcW w:w="130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125,943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上级补助收入</w:t>
            </w:r>
          </w:p>
        </w:tc>
        <w:tc>
          <w:tcPr>
            <w:tcW w:w="130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59,001</w:t>
            </w:r>
          </w:p>
        </w:tc>
        <w:tc>
          <w:tcPr>
            <w:tcW w:w="13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113,305</w:t>
            </w:r>
          </w:p>
        </w:tc>
        <w:tc>
          <w:tcPr>
            <w:tcW w:w="203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上解上级支出</w:t>
            </w:r>
          </w:p>
        </w:tc>
        <w:tc>
          <w:tcPr>
            <w:tcW w:w="141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22,811</w:t>
            </w:r>
          </w:p>
        </w:tc>
        <w:tc>
          <w:tcPr>
            <w:tcW w:w="130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 xml:space="preserve">28,639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债务转贷收入</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97,300</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117,300</w:t>
            </w:r>
          </w:p>
        </w:tc>
        <w:tc>
          <w:tcPr>
            <w:tcW w:w="2037"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债务还本支出</w:t>
            </w:r>
          </w:p>
        </w:tc>
        <w:tc>
          <w:tcPr>
            <w:tcW w:w="14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97,304</w:t>
            </w:r>
          </w:p>
        </w:tc>
        <w:tc>
          <w:tcPr>
            <w:tcW w:w="1301"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97,304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21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color w:val="auto"/>
                <w:sz w:val="21"/>
                <w:szCs w:val="21"/>
                <w:lang w:val="en-US" w:eastAsia="zh-CN"/>
              </w:rPr>
            </w:pPr>
            <w:r>
              <w:rPr>
                <w:rFonts w:hint="eastAsia" w:ascii="Times New Roman" w:hAnsi="Times New Roman" w:eastAsia="宋体" w:cs="宋体"/>
                <w:i w:val="0"/>
                <w:iCs w:val="0"/>
                <w:color w:val="000000"/>
                <w:kern w:val="0"/>
                <w:sz w:val="21"/>
                <w:szCs w:val="21"/>
                <w:u w:val="none"/>
                <w:lang w:val="en-US" w:eastAsia="zh-CN" w:bidi="ar"/>
              </w:rPr>
              <w:t xml:space="preserve">  动用预算稳定调节基金</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17,593</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17,593</w:t>
            </w:r>
          </w:p>
        </w:tc>
        <w:tc>
          <w:tcPr>
            <w:tcW w:w="203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安排预算稳定调节基金</w:t>
            </w:r>
          </w:p>
        </w:tc>
        <w:tc>
          <w:tcPr>
            <w:tcW w:w="1412"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01"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调入资金</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67,335</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84,732</w:t>
            </w:r>
          </w:p>
        </w:tc>
        <w:tc>
          <w:tcPr>
            <w:tcW w:w="2037"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调出资金</w:t>
            </w:r>
          </w:p>
        </w:tc>
        <w:tc>
          <w:tcPr>
            <w:tcW w:w="14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4,715</w:t>
            </w:r>
          </w:p>
        </w:tc>
        <w:tc>
          <w:tcPr>
            <w:tcW w:w="1301"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lang w:val="en-US"/>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上年结转</w:t>
            </w:r>
          </w:p>
        </w:tc>
        <w:tc>
          <w:tcPr>
            <w:tcW w:w="130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44,440</w:t>
            </w:r>
          </w:p>
        </w:tc>
        <w:tc>
          <w:tcPr>
            <w:tcW w:w="133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44,440</w:t>
            </w:r>
          </w:p>
        </w:tc>
        <w:tc>
          <w:tcPr>
            <w:tcW w:w="2037" w:type="dxa"/>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结转下年</w:t>
            </w:r>
          </w:p>
        </w:tc>
        <w:tc>
          <w:tcPr>
            <w:tcW w:w="1412"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01" w:type="dxa"/>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楷体_GBK" w:cs="方正楷体_GBK"/>
          <w:color w:val="auto"/>
          <w:sz w:val="32"/>
          <w:szCs w:val="32"/>
          <w:lang w:val="en-US" w:eastAsia="zh-CN" w:bidi="ar"/>
        </w:rPr>
      </w:pPr>
      <w:r>
        <w:rPr>
          <w:rFonts w:hint="default" w:ascii="Times New Roman" w:hAnsi="Times New Roman" w:eastAsia="方正楷体_GBK" w:cs="方正楷体_GBK"/>
          <w:color w:val="auto"/>
          <w:sz w:val="32"/>
          <w:szCs w:val="32"/>
          <w:lang w:val="en-US" w:eastAsia="zh-CN" w:bidi="ar"/>
        </w:rPr>
        <w:t>（二）政府性基金预算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eastAsia" w:ascii="Times New Roman" w:hAnsi="Times New Roman" w:eastAsia="方正仿宋_GBK" w:cs="Times New Roman"/>
          <w:color w:val="auto"/>
          <w:kern w:val="2"/>
          <w:sz w:val="32"/>
          <w:szCs w:val="32"/>
          <w:lang w:val="en-US" w:eastAsia="zh-CN" w:bidi="ar"/>
        </w:rPr>
        <w:t>收入方面，政府性基金预算收入总计调整为629,228万元，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调减2,716万元，其中：债务转贷收入调整为86,000万元，调增2,000万元；调入资金调减4,715万元</w:t>
      </w:r>
      <w:r>
        <w:rPr>
          <w:rFonts w:hint="eastAsia" w:ascii="Times New Roman" w:hAnsi="Times New Roman" w:eastAsia="方正仿宋_GBK" w:cs="Times New Roman"/>
          <w:color w:val="auto"/>
          <w:sz w:val="32"/>
          <w:szCs w:val="32"/>
          <w:lang w:val="en-US" w:eastAsia="zh-CN" w:bidi="ar"/>
        </w:rPr>
        <w:t>；上年结转调整为240,878万元，调减1万元；其他项保持不变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Times New Roman"/>
          <w:color w:val="auto"/>
          <w:kern w:val="2"/>
          <w:sz w:val="32"/>
          <w:szCs w:val="32"/>
          <w:lang w:val="en-US" w:eastAsia="zh-CN" w:bidi="ar"/>
        </w:rPr>
      </w:pPr>
      <w:r>
        <w:rPr>
          <w:rFonts w:hint="eastAsia" w:ascii="Times New Roman" w:hAnsi="Times New Roman" w:eastAsia="方正仿宋_GBK" w:cs="Times New Roman"/>
          <w:color w:val="auto"/>
          <w:kern w:val="2"/>
          <w:sz w:val="32"/>
          <w:szCs w:val="32"/>
          <w:lang w:val="en-US" w:eastAsia="zh-CN" w:bidi="ar"/>
        </w:rPr>
        <w:t>支出方面，政府性基金预算支出总计调整为629,228万元，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调减2,716万元，其中：本级支出调整为458,491万元，调减20,023万元；调出资金调整为84,642万元，调增17,307万元</w:t>
      </w:r>
      <w:r>
        <w:rPr>
          <w:rFonts w:hint="eastAsia" w:ascii="Times New Roman" w:hAnsi="Times New Roman" w:eastAsia="方正仿宋_GBK" w:cs="Times New Roman"/>
          <w:color w:val="auto"/>
          <w:sz w:val="32"/>
          <w:szCs w:val="32"/>
          <w:lang w:val="en-US" w:eastAsia="zh-CN" w:bidi="ar"/>
        </w:rPr>
        <w:t>；其他项保持不变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20</w:t>
      </w:r>
      <w:r>
        <w:rPr>
          <w:rFonts w:hint="eastAsia" w:ascii="Times New Roman" w:hAnsi="Times New Roman" w:eastAsia="方正黑体_GBK" w:cs="Times New Roman"/>
          <w:color w:val="auto"/>
          <w:sz w:val="32"/>
          <w:szCs w:val="32"/>
          <w:lang w:val="en-US" w:eastAsia="zh-CN"/>
        </w:rPr>
        <w:t>22</w:t>
      </w:r>
      <w:r>
        <w:rPr>
          <w:rFonts w:hint="eastAsia" w:ascii="Times New Roman" w:hAnsi="Times New Roman" w:eastAsia="方正黑体_GBK" w:cs="Times New Roman"/>
          <w:color w:val="auto"/>
          <w:sz w:val="32"/>
          <w:szCs w:val="32"/>
        </w:rPr>
        <w:t>年全区政府性基金预算收支调整预算表</w:t>
      </w:r>
    </w:p>
    <w:p>
      <w:pPr>
        <w:keepNext w:val="0"/>
        <w:keepLines w:val="0"/>
        <w:pageBreakBefore w:val="0"/>
        <w:widowControl w:val="0"/>
        <w:kinsoku/>
        <w:wordWrap/>
        <w:overflowPunct/>
        <w:topLinePunct w:val="0"/>
        <w:autoSpaceDE/>
        <w:autoSpaceDN/>
        <w:bidi w:val="0"/>
        <w:spacing w:line="594" w:lineRule="exact"/>
        <w:jc w:val="right"/>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单位：万元</w:t>
      </w:r>
    </w:p>
    <w:tbl>
      <w:tblPr>
        <w:tblStyle w:val="10"/>
        <w:tblW w:w="9128"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1222"/>
        <w:gridCol w:w="1237"/>
        <w:gridCol w:w="1989"/>
        <w:gridCol w:w="1193"/>
        <w:gridCol w:w="126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4" w:hRule="exact"/>
          <w:tblHeader/>
          <w:jc w:val="center"/>
        </w:trPr>
        <w:tc>
          <w:tcPr>
            <w:tcW w:w="2223"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收</w:t>
            </w:r>
            <w:r>
              <w:rPr>
                <w:rFonts w:hint="eastAsia" w:ascii="Times New Roman" w:hAnsi="Times New Roman" w:cstheme="minorEastAsia"/>
                <w:b/>
                <w:i w:val="0"/>
                <w:color w:val="auto"/>
                <w:kern w:val="0"/>
                <w:sz w:val="24"/>
                <w:szCs w:val="24"/>
                <w:u w:val="none"/>
                <w:lang w:val="en-US" w:eastAsia="zh-CN" w:bidi="ar"/>
              </w:rPr>
              <w:t xml:space="preserve">  </w:t>
            </w:r>
            <w:r>
              <w:rPr>
                <w:rFonts w:hint="eastAsia" w:ascii="Times New Roman" w:hAnsi="Times New Roman" w:eastAsiaTheme="minorEastAsia" w:cstheme="minorEastAsia"/>
                <w:b/>
                <w:i w:val="0"/>
                <w:color w:val="auto"/>
                <w:kern w:val="0"/>
                <w:sz w:val="24"/>
                <w:szCs w:val="24"/>
                <w:u w:val="none"/>
                <w:lang w:val="en-US" w:eastAsia="zh-CN" w:bidi="ar"/>
              </w:rPr>
              <w:t>入</w:t>
            </w:r>
          </w:p>
        </w:tc>
        <w:tc>
          <w:tcPr>
            <w:tcW w:w="1222"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c>
          <w:tcPr>
            <w:tcW w:w="1237"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w:t>
            </w:r>
            <w:r>
              <w:rPr>
                <w:rFonts w:hint="eastAsia" w:ascii="Times New Roman" w:hAnsi="Times New Roman" w:cstheme="minorEastAsia"/>
                <w:b/>
                <w:i w:val="0"/>
                <w:color w:val="auto"/>
                <w:kern w:val="0"/>
                <w:sz w:val="24"/>
                <w:szCs w:val="24"/>
                <w:u w:val="none"/>
                <w:lang w:val="en-US" w:eastAsia="zh-CN" w:bidi="ar"/>
              </w:rPr>
              <w:t>数</w:t>
            </w:r>
          </w:p>
        </w:tc>
        <w:tc>
          <w:tcPr>
            <w:tcW w:w="1989"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支</w:t>
            </w:r>
            <w:r>
              <w:rPr>
                <w:rFonts w:hint="eastAsia" w:ascii="Times New Roman" w:hAnsi="Times New Roman" w:cstheme="minorEastAsia"/>
                <w:b/>
                <w:color w:val="auto"/>
                <w:kern w:val="0"/>
                <w:sz w:val="24"/>
                <w:szCs w:val="24"/>
                <w:u w:val="none"/>
                <w:lang w:val="en-US" w:eastAsia="zh-CN" w:bidi="ar"/>
              </w:rPr>
              <w:t xml:space="preserve">  </w:t>
            </w:r>
            <w:r>
              <w:rPr>
                <w:rFonts w:hint="eastAsia" w:ascii="Times New Roman" w:hAnsi="Times New Roman" w:eastAsiaTheme="minorEastAsia" w:cstheme="minorEastAsia"/>
                <w:b/>
                <w:color w:val="auto"/>
                <w:kern w:val="0"/>
                <w:sz w:val="24"/>
                <w:szCs w:val="24"/>
                <w:u w:val="none"/>
                <w:lang w:bidi="ar"/>
              </w:rPr>
              <w:t>出</w:t>
            </w:r>
          </w:p>
        </w:tc>
        <w:tc>
          <w:tcPr>
            <w:tcW w:w="1193"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预算数</w:t>
            </w:r>
          </w:p>
        </w:tc>
        <w:tc>
          <w:tcPr>
            <w:tcW w:w="1264"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w:t>
            </w:r>
            <w:r>
              <w:rPr>
                <w:rFonts w:hint="eastAsia" w:ascii="Times New Roman" w:hAnsi="Times New Roman" w:cstheme="minorEastAsia"/>
                <w:b/>
                <w:i w:val="0"/>
                <w:color w:val="auto"/>
                <w:kern w:val="0"/>
                <w:sz w:val="24"/>
                <w:szCs w:val="24"/>
                <w:u w:val="none"/>
                <w:lang w:val="en-US" w:eastAsia="zh-CN" w:bidi="ar"/>
              </w:rPr>
              <w:t>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kern w:val="0"/>
                <w:sz w:val="21"/>
                <w:szCs w:val="21"/>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rPr>
            </w:pPr>
            <w:r>
              <w:rPr>
                <w:rFonts w:hint="default" w:ascii="Times New Roman" w:hAnsi="Times New Roman" w:eastAsia="宋体" w:cs="Times New Roman"/>
                <w:b/>
                <w:bCs/>
                <w:i w:val="0"/>
                <w:iCs w:val="0"/>
                <w:color w:val="000000"/>
                <w:kern w:val="0"/>
                <w:sz w:val="24"/>
                <w:szCs w:val="24"/>
                <w:u w:val="none"/>
                <w:lang w:val="en-US" w:eastAsia="zh-CN" w:bidi="ar"/>
              </w:rPr>
              <w:t>631,944</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629,228</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kern w:val="0"/>
                <w:sz w:val="21"/>
                <w:szCs w:val="21"/>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rPr>
            </w:pPr>
            <w:r>
              <w:rPr>
                <w:rFonts w:hint="default" w:ascii="Times New Roman" w:hAnsi="Times New Roman" w:eastAsia="宋体" w:cs="Times New Roman"/>
                <w:b/>
                <w:bCs/>
                <w:i w:val="0"/>
                <w:iCs w:val="0"/>
                <w:color w:val="000000"/>
                <w:kern w:val="0"/>
                <w:sz w:val="24"/>
                <w:szCs w:val="24"/>
                <w:u w:val="none"/>
                <w:lang w:val="en-US" w:eastAsia="zh-CN" w:bidi="ar"/>
              </w:rPr>
              <w:t>631,944</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629,228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一、本级收入</w:t>
            </w:r>
          </w:p>
        </w:tc>
        <w:tc>
          <w:tcPr>
            <w:tcW w:w="1222"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c>
          <w:tcPr>
            <w:tcW w:w="1237"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一、本级支出</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478,514</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458,491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二、转移性收入</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631,944</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629,228</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二、转移性支出</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153,430</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170,737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上级补助收入</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302,350</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302,350</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上解上级支出</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债务转贷收入</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84,000</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86,000</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债务还本支出</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86,000</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86,000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调入资金</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4,715</w:t>
            </w:r>
          </w:p>
        </w:tc>
        <w:tc>
          <w:tcPr>
            <w:tcW w:w="1237"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  调出资金</w:t>
            </w:r>
          </w:p>
        </w:tc>
        <w:tc>
          <w:tcPr>
            <w:tcW w:w="1193"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67,335</w:t>
            </w:r>
          </w:p>
        </w:tc>
        <w:tc>
          <w:tcPr>
            <w:tcW w:w="1264"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2"/>
                <w:szCs w:val="22"/>
                <w:u w:val="none"/>
                <w:lang w:val="en-US" w:eastAsia="zh-CN" w:bidi="ar"/>
              </w:rPr>
              <w:t>84,642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宋体"/>
                <w:i w:val="0"/>
                <w:iCs w:val="0"/>
                <w:color w:val="000000"/>
                <w:kern w:val="0"/>
                <w:sz w:val="21"/>
                <w:szCs w:val="21"/>
                <w:u w:val="none"/>
                <w:lang w:val="en-US" w:eastAsia="zh-CN" w:bidi="ar"/>
              </w:rPr>
              <w:t xml:space="preserve">  上年结转</w:t>
            </w:r>
          </w:p>
        </w:tc>
        <w:tc>
          <w:tcPr>
            <w:tcW w:w="1222"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240,879</w:t>
            </w:r>
          </w:p>
        </w:tc>
        <w:tc>
          <w:tcPr>
            <w:tcW w:w="123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240,878</w:t>
            </w:r>
          </w:p>
        </w:tc>
        <w:tc>
          <w:tcPr>
            <w:tcW w:w="198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eastAsiaTheme="minorEastAsia"/>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结转下年</w:t>
            </w:r>
          </w:p>
        </w:tc>
        <w:tc>
          <w:tcPr>
            <w:tcW w:w="1193"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c>
          <w:tcPr>
            <w:tcW w:w="1264"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楷体_GBK" w:cs="方正楷体_GBK"/>
          <w:color w:val="auto"/>
          <w:sz w:val="32"/>
          <w:szCs w:val="32"/>
          <w:lang w:val="en-US" w:eastAsia="zh-CN" w:bidi="ar"/>
        </w:rPr>
      </w:pPr>
      <w:r>
        <w:rPr>
          <w:rFonts w:hint="eastAsia" w:ascii="Times New Roman" w:hAnsi="Times New Roman" w:eastAsia="方正楷体_GBK" w:cs="方正楷体_GBK"/>
          <w:color w:val="auto"/>
          <w:sz w:val="32"/>
          <w:szCs w:val="32"/>
          <w:lang w:val="en-US" w:eastAsia="zh-CN" w:bidi="ar"/>
        </w:rPr>
        <w:t>（三）国有资本经营预算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Times New Roman"/>
          <w:color w:val="auto"/>
          <w:kern w:val="2"/>
          <w:sz w:val="32"/>
          <w:szCs w:val="32"/>
          <w:lang w:val="en-US" w:eastAsia="zh-CN" w:bidi="ar"/>
        </w:rPr>
      </w:pPr>
      <w:r>
        <w:rPr>
          <w:rFonts w:hint="eastAsia" w:ascii="Times New Roman" w:hAnsi="Times New Roman" w:eastAsia="方正楷体_GBK" w:cs="方正楷体_GBK"/>
          <w:color w:val="auto"/>
          <w:sz w:val="32"/>
          <w:szCs w:val="32"/>
          <w:lang w:val="en-US" w:eastAsia="zh-CN" w:bidi="ar"/>
        </w:rPr>
        <w:t xml:space="preserve">   </w:t>
      </w:r>
      <w:r>
        <w:rPr>
          <w:rFonts w:hint="eastAsia" w:ascii="Times New Roman" w:hAnsi="Times New Roman" w:eastAsia="方正仿宋_GBK" w:cs="Times New Roman"/>
          <w:color w:val="auto"/>
          <w:kern w:val="2"/>
          <w:sz w:val="32"/>
          <w:szCs w:val="32"/>
          <w:lang w:val="en-US" w:eastAsia="zh-CN" w:bidi="ar"/>
        </w:rPr>
        <w:t xml:space="preserve"> 收入方面，国有资本经营预算收入总计调整为5,090万元，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调增90万元，其中：上年结转调整为90万元，调增90万元</w:t>
      </w:r>
      <w:r>
        <w:rPr>
          <w:rFonts w:hint="eastAsia" w:ascii="Times New Roman" w:hAnsi="Times New Roman" w:eastAsia="方正仿宋_GBK" w:cs="Times New Roman"/>
          <w:color w:val="auto"/>
          <w:sz w:val="32"/>
          <w:szCs w:val="32"/>
          <w:lang w:val="en-US" w:eastAsia="zh-CN" w:bidi="ar"/>
        </w:rPr>
        <w:t>；其他项保持不变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1"/>
        <w:textAlignment w:val="auto"/>
        <w:outlineLvl w:val="9"/>
        <w:rPr>
          <w:rFonts w:hint="eastAsia" w:ascii="Times New Roman" w:hAnsi="Times New Roman" w:eastAsia="方正仿宋_GBK" w:cs="Times New Roman"/>
          <w:color w:val="auto"/>
          <w:kern w:val="2"/>
          <w:sz w:val="32"/>
          <w:szCs w:val="32"/>
          <w:lang w:val="en-US" w:eastAsia="zh-CN" w:bidi="ar"/>
        </w:rPr>
      </w:pPr>
      <w:r>
        <w:rPr>
          <w:rFonts w:hint="eastAsia" w:ascii="Times New Roman" w:hAnsi="Times New Roman" w:eastAsia="方正仿宋_GBK" w:cs="Times New Roman"/>
          <w:color w:val="auto"/>
          <w:kern w:val="2"/>
          <w:sz w:val="32"/>
          <w:szCs w:val="32"/>
          <w:lang w:val="en-US" w:eastAsia="zh-CN" w:bidi="ar"/>
        </w:rPr>
        <w:t>支出方面，国有资本经营预算支出总计调整为5,090万元，</w:t>
      </w:r>
      <w:r>
        <w:rPr>
          <w:rFonts w:hint="eastAsia" w:ascii="Times New Roman" w:hAnsi="Times New Roman" w:eastAsia="方正仿宋_GBK" w:cs="Times New Roman"/>
          <w:color w:val="auto"/>
          <w:sz w:val="32"/>
          <w:szCs w:val="32"/>
          <w:lang w:val="en-US" w:eastAsia="zh-CN" w:bidi="ar"/>
        </w:rPr>
        <w:t>较年初预算</w:t>
      </w:r>
      <w:r>
        <w:rPr>
          <w:rFonts w:hint="eastAsia" w:ascii="Times New Roman" w:hAnsi="Times New Roman" w:eastAsia="方正仿宋_GBK" w:cs="Times New Roman"/>
          <w:color w:val="auto"/>
          <w:kern w:val="2"/>
          <w:sz w:val="32"/>
          <w:szCs w:val="32"/>
          <w:lang w:val="en-US" w:eastAsia="zh-CN" w:bidi="ar"/>
        </w:rPr>
        <w:t>调增90万元，其中：调出资金调整为90万元，调增90万元</w:t>
      </w:r>
      <w:r>
        <w:rPr>
          <w:rFonts w:hint="eastAsia" w:ascii="Times New Roman" w:hAnsi="Times New Roman" w:eastAsia="方正仿宋_GBK" w:cs="Times New Roman"/>
          <w:color w:val="auto"/>
          <w:sz w:val="32"/>
          <w:szCs w:val="32"/>
          <w:lang w:val="en-US" w:eastAsia="zh-CN" w:bidi="ar"/>
        </w:rPr>
        <w:t>；其他项保持不变</w:t>
      </w:r>
      <w:r>
        <w:rPr>
          <w:rFonts w:hint="eastAsia"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center"/>
        <w:textAlignment w:val="auto"/>
        <w:rPr>
          <w:rFonts w:hint="eastAsia"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2022年全区国有资本经营预算收支调整预算表</w:t>
      </w:r>
    </w:p>
    <w:p>
      <w:pPr>
        <w:spacing w:line="594" w:lineRule="exact"/>
        <w:jc w:val="righ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单位：万元</w:t>
      </w:r>
    </w:p>
    <w:tbl>
      <w:tblPr>
        <w:tblStyle w:val="10"/>
        <w:tblW w:w="9198"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1219"/>
        <w:gridCol w:w="1351"/>
        <w:gridCol w:w="1878"/>
        <w:gridCol w:w="1230"/>
        <w:gridCol w:w="129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4" w:hRule="exact"/>
          <w:tblHeader/>
          <w:jc w:val="center"/>
        </w:trPr>
        <w:tc>
          <w:tcPr>
            <w:tcW w:w="2223"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收</w:t>
            </w:r>
            <w:r>
              <w:rPr>
                <w:rFonts w:hint="eastAsia" w:ascii="Times New Roman" w:hAnsi="Times New Roman" w:cstheme="minorEastAsia"/>
                <w:b/>
                <w:i w:val="0"/>
                <w:color w:val="auto"/>
                <w:kern w:val="0"/>
                <w:sz w:val="24"/>
                <w:szCs w:val="24"/>
                <w:u w:val="none"/>
                <w:lang w:val="en-US" w:eastAsia="zh-CN" w:bidi="ar"/>
              </w:rPr>
              <w:t xml:space="preserve">  </w:t>
            </w:r>
            <w:r>
              <w:rPr>
                <w:rFonts w:hint="eastAsia" w:ascii="Times New Roman" w:hAnsi="Times New Roman" w:eastAsiaTheme="minorEastAsia" w:cstheme="minorEastAsia"/>
                <w:b/>
                <w:i w:val="0"/>
                <w:color w:val="auto"/>
                <w:kern w:val="0"/>
                <w:sz w:val="24"/>
                <w:szCs w:val="24"/>
                <w:u w:val="none"/>
                <w:lang w:val="en-US" w:eastAsia="zh-CN" w:bidi="ar"/>
              </w:rPr>
              <w:t>入</w:t>
            </w:r>
          </w:p>
        </w:tc>
        <w:tc>
          <w:tcPr>
            <w:tcW w:w="1219"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c>
          <w:tcPr>
            <w:tcW w:w="1351"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c>
          <w:tcPr>
            <w:tcW w:w="1878"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支</w:t>
            </w:r>
            <w:r>
              <w:rPr>
                <w:rFonts w:hint="eastAsia" w:ascii="Times New Roman" w:hAnsi="Times New Roman" w:cstheme="minorEastAsia"/>
                <w:b/>
                <w:color w:val="auto"/>
                <w:kern w:val="0"/>
                <w:sz w:val="24"/>
                <w:szCs w:val="24"/>
                <w:u w:val="none"/>
                <w:lang w:val="en-US" w:eastAsia="zh-CN" w:bidi="ar"/>
              </w:rPr>
              <w:t xml:space="preserve">  </w:t>
            </w:r>
            <w:r>
              <w:rPr>
                <w:rFonts w:hint="eastAsia" w:ascii="Times New Roman" w:hAnsi="Times New Roman" w:eastAsiaTheme="minorEastAsia" w:cstheme="minorEastAsia"/>
                <w:b/>
                <w:color w:val="auto"/>
                <w:kern w:val="0"/>
                <w:sz w:val="24"/>
                <w:szCs w:val="24"/>
                <w:u w:val="none"/>
                <w:lang w:bidi="ar"/>
              </w:rPr>
              <w:t>出</w:t>
            </w:r>
          </w:p>
        </w:tc>
        <w:tc>
          <w:tcPr>
            <w:tcW w:w="1230"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color w:val="auto"/>
                <w:kern w:val="0"/>
                <w:sz w:val="24"/>
                <w:szCs w:val="24"/>
                <w:u w:val="none"/>
                <w:lang w:bidi="ar"/>
              </w:rPr>
              <w:t>预算数</w:t>
            </w:r>
          </w:p>
        </w:tc>
        <w:tc>
          <w:tcPr>
            <w:tcW w:w="1297" w:type="dxa"/>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i w:val="0"/>
                <w:color w:val="auto"/>
                <w:kern w:val="0"/>
                <w:sz w:val="24"/>
                <w:szCs w:val="24"/>
                <w:u w:val="none"/>
                <w:lang w:val="en-US" w:eastAsia="zh-CN" w:bidi="ar"/>
              </w:rPr>
            </w:pPr>
            <w:r>
              <w:rPr>
                <w:rFonts w:hint="eastAsia" w:ascii="Times New Roman" w:hAnsi="Times New Roman" w:eastAsiaTheme="minorEastAsia" w:cstheme="minorEastAsia"/>
                <w:b/>
                <w:i w:val="0"/>
                <w:color w:val="auto"/>
                <w:kern w:val="0"/>
                <w:sz w:val="24"/>
                <w:szCs w:val="24"/>
                <w:u w:val="none"/>
                <w:lang w:val="en-US" w:eastAsia="zh-CN" w:bidi="ar"/>
              </w:rPr>
              <w:t>调整</w:t>
            </w:r>
          </w:p>
          <w:p>
            <w:pPr>
              <w:keepNext w:val="0"/>
              <w:keepLines w:val="0"/>
              <w:widowControl/>
              <w:suppressLineNumbers w:val="0"/>
              <w:spacing w:before="0" w:beforeAutospacing="0" w:after="0" w:afterAutospacing="0" w:line="320" w:lineRule="exact"/>
              <w:ind w:left="0" w:right="0"/>
              <w:jc w:val="center"/>
              <w:textAlignment w:val="center"/>
              <w:rPr>
                <w:rFonts w:hint="eastAsia" w:ascii="Times New Roman" w:hAnsi="Times New Roman" w:eastAsiaTheme="minorEastAsia" w:cstheme="minorEastAsia"/>
                <w:b/>
                <w:color w:val="auto"/>
                <w:kern w:val="0"/>
                <w:sz w:val="24"/>
                <w:szCs w:val="24"/>
                <w:u w:val="none"/>
                <w:lang w:bidi="ar"/>
              </w:rPr>
            </w:pPr>
            <w:r>
              <w:rPr>
                <w:rFonts w:hint="eastAsia" w:ascii="Times New Roman" w:hAnsi="Times New Roman" w:eastAsiaTheme="minorEastAsia" w:cstheme="minorEastAsia"/>
                <w:b/>
                <w:i w:val="0"/>
                <w:color w:val="auto"/>
                <w:kern w:val="0"/>
                <w:sz w:val="24"/>
                <w:szCs w:val="24"/>
                <w:u w:val="none"/>
                <w:lang w:val="en-US" w:eastAsia="zh-CN" w:bidi="ar"/>
              </w:rPr>
              <w:t>预算数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kern w:val="0"/>
                <w:sz w:val="21"/>
                <w:szCs w:val="21"/>
                <w:u w:val="none"/>
                <w:lang w:bidi="ar"/>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219"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bidi="ar"/>
              </w:rPr>
            </w:pPr>
            <w:r>
              <w:rPr>
                <w:rFonts w:hint="default" w:ascii="Times New Roman" w:hAnsi="Times New Roman" w:eastAsia="宋体" w:cs="Times New Roman"/>
                <w:b/>
                <w:bCs/>
                <w:i w:val="0"/>
                <w:iCs w:val="0"/>
                <w:color w:val="000000"/>
                <w:kern w:val="0"/>
                <w:sz w:val="24"/>
                <w:szCs w:val="24"/>
                <w:u w:val="none"/>
                <w:lang w:val="en-US" w:eastAsia="zh-CN" w:bidi="ar"/>
              </w:rPr>
              <w:t>5,000</w:t>
            </w:r>
          </w:p>
        </w:tc>
        <w:tc>
          <w:tcPr>
            <w:tcW w:w="1351"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5,090</w:t>
            </w:r>
          </w:p>
        </w:tc>
        <w:tc>
          <w:tcPr>
            <w:tcW w:w="187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color w:val="auto"/>
                <w:kern w:val="0"/>
                <w:sz w:val="21"/>
                <w:szCs w:val="21"/>
                <w:u w:val="none"/>
                <w:lang w:bidi="ar"/>
              </w:rPr>
            </w:pPr>
            <w:r>
              <w:rPr>
                <w:rFonts w:hint="eastAsia" w:ascii="Times New Roman" w:hAnsi="Times New Roman" w:eastAsia="宋体" w:cs="宋体"/>
                <w:b/>
                <w:bCs/>
                <w:i w:val="0"/>
                <w:iCs w:val="0"/>
                <w:color w:val="000000"/>
                <w:kern w:val="0"/>
                <w:sz w:val="21"/>
                <w:szCs w:val="21"/>
                <w:u w:val="none"/>
                <w:lang w:val="en-US" w:eastAsia="zh-CN" w:bidi="ar"/>
              </w:rPr>
              <w:t>总  计</w:t>
            </w:r>
          </w:p>
        </w:tc>
        <w:tc>
          <w:tcPr>
            <w:tcW w:w="1230"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bidi="ar"/>
              </w:rPr>
            </w:pPr>
            <w:r>
              <w:rPr>
                <w:rFonts w:hint="default" w:ascii="Times New Roman" w:hAnsi="Times New Roman" w:eastAsia="宋体" w:cs="Times New Roman"/>
                <w:b/>
                <w:bCs/>
                <w:i w:val="0"/>
                <w:iCs w:val="0"/>
                <w:color w:val="000000"/>
                <w:kern w:val="0"/>
                <w:sz w:val="24"/>
                <w:szCs w:val="24"/>
                <w:u w:val="none"/>
                <w:lang w:val="en-US" w:eastAsia="zh-CN" w:bidi="ar"/>
              </w:rPr>
              <w:t>5,000</w:t>
            </w:r>
          </w:p>
        </w:tc>
        <w:tc>
          <w:tcPr>
            <w:tcW w:w="1297"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bidi="ar"/>
              </w:rPr>
            </w:pPr>
            <w:r>
              <w:rPr>
                <w:rFonts w:hint="default" w:ascii="Times New Roman" w:hAnsi="Times New Roman" w:eastAsia="宋体" w:cs="Times New Roman"/>
                <w:b/>
                <w:bCs/>
                <w:i w:val="0"/>
                <w:iCs w:val="0"/>
                <w:color w:val="000000"/>
                <w:kern w:val="0"/>
                <w:sz w:val="24"/>
                <w:szCs w:val="24"/>
                <w:u w:val="none"/>
                <w:lang w:val="en-US" w:eastAsia="zh-CN" w:bidi="ar"/>
              </w:rPr>
              <w:t>5,090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一、本级收入</w:t>
            </w:r>
          </w:p>
        </w:tc>
        <w:tc>
          <w:tcPr>
            <w:tcW w:w="121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135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18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一、本级支出</w:t>
            </w:r>
          </w:p>
        </w:tc>
        <w:tc>
          <w:tcPr>
            <w:tcW w:w="123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129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5,000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二、转移性收入</w:t>
            </w:r>
          </w:p>
        </w:tc>
        <w:tc>
          <w:tcPr>
            <w:tcW w:w="1219"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35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8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二、转移性支出</w:t>
            </w:r>
          </w:p>
        </w:tc>
        <w:tc>
          <w:tcPr>
            <w:tcW w:w="1230"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29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上级补助收入</w:t>
            </w:r>
          </w:p>
        </w:tc>
        <w:tc>
          <w:tcPr>
            <w:tcW w:w="1219" w:type="dxa"/>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24"/>
                <w:szCs w:val="24"/>
              </w:rPr>
            </w:pPr>
          </w:p>
        </w:tc>
        <w:tc>
          <w:tcPr>
            <w:tcW w:w="1351"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lang w:val="en-US" w:eastAsia="zh-CN"/>
              </w:rPr>
            </w:pPr>
          </w:p>
        </w:tc>
        <w:tc>
          <w:tcPr>
            <w:tcW w:w="18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调出资金</w:t>
            </w:r>
          </w:p>
        </w:tc>
        <w:tc>
          <w:tcPr>
            <w:tcW w:w="1230" w:type="dxa"/>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方正仿宋_GBK" w:cs="Times New Roman"/>
                <w:color w:val="auto"/>
                <w:sz w:val="24"/>
                <w:szCs w:val="24"/>
              </w:rPr>
            </w:pPr>
          </w:p>
        </w:tc>
        <w:tc>
          <w:tcPr>
            <w:tcW w:w="1297"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color w:val="auto"/>
                <w:sz w:val="24"/>
                <w:szCs w:val="24"/>
              </w:rPr>
            </w:pPr>
            <w:r>
              <w:rPr>
                <w:rFonts w:hint="default" w:ascii="Times New Roman" w:hAnsi="Times New Roman" w:eastAsia="宋体" w:cs="Times New Roman"/>
                <w:i w:val="0"/>
                <w:iCs w:val="0"/>
                <w:color w:val="000000"/>
                <w:kern w:val="0"/>
                <w:sz w:val="24"/>
                <w:szCs w:val="24"/>
                <w:u w:val="none"/>
                <w:lang w:val="en-US" w:eastAsia="zh-CN" w:bidi="ar"/>
              </w:rPr>
              <w:t xml:space="preserve">90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上年结转</w:t>
            </w:r>
          </w:p>
        </w:tc>
        <w:tc>
          <w:tcPr>
            <w:tcW w:w="1219" w:type="dxa"/>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方正仿宋_GBK" w:cs="Times New Roman"/>
                <w:b/>
                <w:color w:val="auto"/>
                <w:kern w:val="0"/>
                <w:sz w:val="24"/>
                <w:szCs w:val="24"/>
                <w:u w:val="none"/>
                <w:lang w:bidi="ar"/>
              </w:rPr>
            </w:pPr>
          </w:p>
        </w:tc>
        <w:tc>
          <w:tcPr>
            <w:tcW w:w="1351"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方正仿宋_GBK" w:cs="Times New Roman"/>
                <w:b/>
                <w:color w:val="auto"/>
                <w:kern w:val="0"/>
                <w:sz w:val="24"/>
                <w:szCs w:val="24"/>
                <w:u w:val="none"/>
                <w:lang w:bidi="ar"/>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8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color w:val="auto"/>
                <w:sz w:val="21"/>
                <w:szCs w:val="21"/>
              </w:rPr>
            </w:pPr>
            <w:r>
              <w:rPr>
                <w:rFonts w:hint="eastAsia" w:ascii="Times New Roman" w:hAnsi="Times New Roman" w:eastAsia="宋体" w:cs="宋体"/>
                <w:i w:val="0"/>
                <w:iCs w:val="0"/>
                <w:color w:val="000000"/>
                <w:kern w:val="0"/>
                <w:sz w:val="21"/>
                <w:szCs w:val="21"/>
                <w:u w:val="none"/>
                <w:lang w:val="en-US" w:eastAsia="zh-CN" w:bidi="ar"/>
              </w:rPr>
              <w:t xml:space="preserve">  结转下年</w:t>
            </w:r>
          </w:p>
        </w:tc>
        <w:tc>
          <w:tcPr>
            <w:tcW w:w="123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24"/>
                <w:szCs w:val="24"/>
              </w:rPr>
            </w:pPr>
          </w:p>
        </w:tc>
        <w:tc>
          <w:tcPr>
            <w:tcW w:w="129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黑体_GBK" w:cs="方正黑体_GBK"/>
          <w:color w:val="auto"/>
          <w:sz w:val="32"/>
          <w:szCs w:val="32"/>
          <w:lang w:val="en-US" w:eastAsia="zh-CN" w:bidi="ar"/>
        </w:rPr>
      </w:pPr>
      <w:r>
        <w:rPr>
          <w:rFonts w:hint="default" w:ascii="Times New Roman" w:hAnsi="Times New Roman" w:eastAsia="方正仿宋_GBK" w:cs="Times New Roman"/>
          <w:color w:val="auto"/>
          <w:sz w:val="32"/>
          <w:szCs w:val="32"/>
          <w:shd w:val="clear" w:color="auto" w:fill="auto"/>
          <w:lang w:val="en-US" w:eastAsia="zh-CN"/>
        </w:rPr>
        <w:t>按照预算调整方案</w:t>
      </w:r>
      <w:r>
        <w:rPr>
          <w:rFonts w:hint="eastAsia" w:ascii="Times New Roman" w:hAnsi="Times New Roman" w:eastAsia="方正仿宋_GBK" w:cs="Times New Roman"/>
          <w:color w:val="auto"/>
          <w:sz w:val="32"/>
          <w:szCs w:val="32"/>
          <w:shd w:val="clear" w:color="auto" w:fill="auto"/>
          <w:lang w:val="en-US" w:eastAsia="zh-CN"/>
        </w:rPr>
        <w:t>数据</w:t>
      </w:r>
      <w:r>
        <w:rPr>
          <w:rFonts w:hint="default" w:ascii="Times New Roman" w:hAnsi="Times New Roman" w:eastAsia="方正仿宋_GBK" w:cs="Times New Roman"/>
          <w:color w:val="auto"/>
          <w:sz w:val="32"/>
          <w:szCs w:val="32"/>
          <w:shd w:val="clear" w:color="auto" w:fill="auto"/>
          <w:lang w:val="en-US" w:eastAsia="zh-CN"/>
        </w:rPr>
        <w:t>测算，2022年综合财力</w:t>
      </w:r>
      <w:r>
        <w:rPr>
          <w:rFonts w:hint="eastAsia" w:ascii="Times New Roman" w:hAnsi="Times New Roman" w:eastAsia="方正仿宋_GBK" w:cs="Times New Roman"/>
          <w:color w:val="auto"/>
          <w:sz w:val="32"/>
          <w:szCs w:val="32"/>
          <w:shd w:val="clear" w:color="auto" w:fill="auto"/>
          <w:lang w:val="en-US" w:eastAsia="zh-CN"/>
        </w:rPr>
        <w:t>预计实现89亿元</w:t>
      </w:r>
      <w:r>
        <w:rPr>
          <w:rFonts w:hint="default" w:ascii="Times New Roman" w:hAnsi="Times New Roman" w:eastAsia="方正仿宋_GBK" w:cs="Times New Roman"/>
          <w:color w:val="auto"/>
          <w:sz w:val="32"/>
          <w:szCs w:val="32"/>
          <w:shd w:val="clear" w:color="auto" w:fill="auto"/>
          <w:lang w:val="en-US" w:eastAsia="zh-CN"/>
        </w:rPr>
        <w:t>，</w:t>
      </w:r>
      <w:r>
        <w:rPr>
          <w:rFonts w:hint="eastAsia" w:ascii="Times New Roman" w:hAnsi="Times New Roman" w:eastAsia="方正仿宋_GBK" w:cs="Times New Roman"/>
          <w:color w:val="auto"/>
          <w:sz w:val="32"/>
          <w:szCs w:val="32"/>
          <w:shd w:val="clear" w:color="auto" w:fill="auto"/>
          <w:lang w:val="en-US" w:eastAsia="zh-CN"/>
        </w:rPr>
        <w:t>结合政府债务情况看，能够实现“不返红”的目标。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outlineLvl w:val="9"/>
        <w:rPr>
          <w:rFonts w:hint="eastAsia" w:ascii="Times New Roman" w:hAnsi="Times New Roman" w:eastAsia="方正黑体_GBK" w:cs="方正黑体_GBK"/>
          <w:color w:val="auto"/>
          <w:sz w:val="32"/>
          <w:szCs w:val="32"/>
          <w:lang w:bidi="ar"/>
        </w:rPr>
      </w:pPr>
      <w:r>
        <w:rPr>
          <w:rFonts w:hint="eastAsia" w:ascii="Times New Roman" w:hAnsi="Times New Roman" w:eastAsia="方正黑体_GBK" w:cs="方正黑体_GBK"/>
          <w:color w:val="auto"/>
          <w:sz w:val="32"/>
          <w:szCs w:val="32"/>
          <w:lang w:val="en-US" w:eastAsia="zh-CN" w:bidi="ar"/>
        </w:rPr>
        <w:t>三、</w:t>
      </w:r>
      <w:r>
        <w:rPr>
          <w:rFonts w:hint="eastAsia" w:ascii="Times New Roman" w:hAnsi="Times New Roman" w:eastAsia="方正黑体_GBK" w:cs="方正黑体_GBK"/>
          <w:color w:val="auto"/>
          <w:sz w:val="32"/>
          <w:szCs w:val="32"/>
          <w:lang w:eastAsia="zh-CN" w:bidi="ar"/>
        </w:rPr>
        <w:t>下一步工作重点</w:t>
      </w:r>
    </w:p>
    <w:p>
      <w:pPr>
        <w:keepNext w:val="0"/>
        <w:keepLines w:val="0"/>
        <w:pageBreakBefore w:val="0"/>
        <w:widowControl w:val="0"/>
        <w:numPr>
          <w:ilvl w:val="-1"/>
          <w:numId w:val="0"/>
        </w:numPr>
        <w:kinsoku/>
        <w:wordWrap/>
        <w:overflowPunct/>
        <w:topLinePunct w:val="0"/>
        <w:bidi w:val="0"/>
        <w:snapToGrid/>
        <w:spacing w:line="594" w:lineRule="exact"/>
        <w:ind w:firstLine="631" w:firstLineChars="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下一步，为坚决守住财政平稳运行底线，承压而上以韧克艰，重点围绕三方面开展工作。</w:t>
      </w:r>
      <w:r>
        <w:rPr>
          <w:rFonts w:hint="eastAsia" w:ascii="Times New Roman" w:hAnsi="Times New Roman" w:eastAsia="方正仿宋_GBK" w:cs="Times New Roman"/>
          <w:b/>
          <w:bCs/>
          <w:color w:val="auto"/>
          <w:sz w:val="32"/>
          <w:szCs w:val="32"/>
          <w:lang w:val="en-US" w:eastAsia="zh-CN"/>
        </w:rPr>
        <w:t>一是精准落实稳经济政策。</w:t>
      </w:r>
      <w:r>
        <w:rPr>
          <w:rFonts w:hint="eastAsia" w:ascii="Times New Roman" w:hAnsi="Times New Roman" w:eastAsia="方正仿宋_GBK" w:cs="Times New Roman"/>
          <w:color w:val="auto"/>
          <w:sz w:val="32"/>
          <w:szCs w:val="32"/>
          <w:lang w:val="en-US" w:eastAsia="zh-CN"/>
        </w:rPr>
        <w:t>继续狠抓稳经济一揽子政策和接续措施落地，持续优化营商环境，加大助企纾困力度，竭尽全力培植财源。</w:t>
      </w:r>
      <w:r>
        <w:rPr>
          <w:rFonts w:hint="eastAsia" w:ascii="Times New Roman" w:hAnsi="Times New Roman" w:eastAsia="方正仿宋_GBK" w:cs="Times New Roman"/>
          <w:b/>
          <w:bCs/>
          <w:color w:val="auto"/>
          <w:sz w:val="32"/>
          <w:szCs w:val="32"/>
          <w:lang w:val="en-US" w:eastAsia="zh-CN"/>
        </w:rPr>
        <w:t>二是精确调度财政收入。</w:t>
      </w:r>
      <w:r>
        <w:rPr>
          <w:rFonts w:hint="eastAsia" w:ascii="Times New Roman" w:hAnsi="Times New Roman" w:eastAsia="方正仿宋_GBK" w:cs="Times New Roman"/>
          <w:color w:val="auto"/>
          <w:sz w:val="32"/>
          <w:szCs w:val="32"/>
          <w:lang w:val="en-US" w:eastAsia="zh-CN"/>
        </w:rPr>
        <w:t>强化财税部门协调配合，加强税收和非税征管，确保实现一般公共预算收入18亿元的目标。加大土地出让收入和应收款清算力度，做实综合</w:t>
      </w:r>
      <w:r>
        <w:rPr>
          <w:rFonts w:hint="eastAsia" w:ascii="Times New Roman" w:hAnsi="Times New Roman" w:eastAsia="方正仿宋_GBK" w:cs="Times New Roman"/>
          <w:color w:val="auto"/>
          <w:sz w:val="32"/>
          <w:szCs w:val="32"/>
        </w:rPr>
        <w:t>财力</w:t>
      </w:r>
      <w:r>
        <w:rPr>
          <w:rFonts w:hint="eastAsia" w:ascii="Times New Roman" w:hAnsi="Times New Roman" w:eastAsia="方正仿宋_GBK" w:cs="Times New Roman"/>
          <w:color w:val="auto"/>
          <w:sz w:val="32"/>
          <w:szCs w:val="32"/>
          <w:lang w:eastAsia="zh-CN"/>
        </w:rPr>
        <w:t>，确保</w:t>
      </w:r>
      <w:r>
        <w:rPr>
          <w:rFonts w:hint="eastAsia" w:ascii="Times New Roman" w:hAnsi="Times New Roman" w:eastAsia="方正仿宋_GBK" w:cs="Times New Roman"/>
          <w:color w:val="auto"/>
          <w:sz w:val="32"/>
          <w:szCs w:val="32"/>
          <w:lang w:val="en-US" w:eastAsia="zh-CN"/>
        </w:rPr>
        <w:t>债务率安全可控，实现“不返红”目标。</w:t>
      </w:r>
      <w:r>
        <w:rPr>
          <w:rFonts w:hint="eastAsia" w:ascii="Times New Roman" w:hAnsi="Times New Roman" w:eastAsia="方正仿宋_GBK" w:cs="Times New Roman"/>
          <w:b/>
          <w:bCs/>
          <w:color w:val="auto"/>
          <w:sz w:val="32"/>
          <w:szCs w:val="32"/>
          <w:lang w:val="en-US" w:eastAsia="zh-CN"/>
        </w:rPr>
        <w:t>三是精细管理财政支出。</w:t>
      </w:r>
      <w:r>
        <w:rPr>
          <w:rFonts w:hint="eastAsia" w:ascii="Times New Roman" w:hAnsi="Times New Roman" w:eastAsia="方正仿宋_GBK" w:cs="Times New Roman"/>
          <w:color w:val="auto"/>
          <w:sz w:val="32"/>
          <w:szCs w:val="32"/>
          <w:lang w:val="en-US" w:eastAsia="zh-CN"/>
        </w:rPr>
        <w:t>牢牢兜住“三保”底线，</w:t>
      </w:r>
      <w:r>
        <w:rPr>
          <w:rFonts w:hint="eastAsia" w:ascii="Times New Roman" w:hAnsi="Times New Roman" w:eastAsia="方正仿宋_GBK" w:cs="Times New Roman"/>
          <w:color w:val="auto"/>
          <w:sz w:val="32"/>
          <w:szCs w:val="32"/>
          <w:lang w:eastAsia="zh-CN"/>
        </w:rPr>
        <w:t>统筹财政存量资金及预留资金，</w:t>
      </w:r>
      <w:r>
        <w:rPr>
          <w:rFonts w:hint="eastAsia" w:ascii="Times New Roman" w:hAnsi="Times New Roman" w:eastAsia="方正仿宋_GBK" w:cs="Times New Roman"/>
          <w:color w:val="auto"/>
          <w:sz w:val="32"/>
          <w:szCs w:val="32"/>
          <w:lang w:val="en-US" w:eastAsia="zh-CN"/>
        </w:rPr>
        <w:t>把资金优先用到最急需的领域。加快项目实施进度，加强重要时点运行调度，确保财政资金效益有效发挥。</w:t>
      </w:r>
    </w:p>
    <w:p>
      <w:pPr>
        <w:keepNext w:val="0"/>
        <w:keepLines w:val="0"/>
        <w:pageBreakBefore w:val="0"/>
        <w:widowControl w:val="0"/>
        <w:numPr>
          <w:ilvl w:val="-1"/>
          <w:numId w:val="0"/>
        </w:numPr>
        <w:kinsoku/>
        <w:wordWrap/>
        <w:overflowPunct/>
        <w:topLinePunct w:val="0"/>
        <w:bidi w:val="0"/>
        <w:snapToGrid/>
        <w:spacing w:line="594" w:lineRule="exact"/>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numPr>
          <w:ilvl w:val="-1"/>
          <w:numId w:val="0"/>
        </w:numPr>
        <w:kinsoku/>
        <w:wordWrap/>
        <w:overflowPunct/>
        <w:topLinePunct w:val="0"/>
        <w:bidi w:val="0"/>
        <w:snapToGrid/>
        <w:spacing w:line="594" w:lineRule="exact"/>
        <w:ind w:firstLine="632"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附件：2022年预算调整方案（草案）</w:t>
      </w:r>
    </w:p>
    <w:p>
      <w:pPr>
        <w:keepNext w:val="0"/>
        <w:keepLines w:val="0"/>
        <w:pageBreakBefore w:val="0"/>
        <w:widowControl w:val="0"/>
        <w:numPr>
          <w:ilvl w:val="-1"/>
          <w:numId w:val="0"/>
        </w:numPr>
        <w:kinsoku/>
        <w:wordWrap/>
        <w:overflowPunct/>
        <w:topLinePunct w:val="0"/>
        <w:bidi w:val="0"/>
        <w:snapToGrid/>
        <w:spacing w:line="594" w:lineRule="exact"/>
        <w:ind w:firstLine="631" w:firstLineChars="0"/>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numPr>
          <w:ilvl w:val="-1"/>
          <w:numId w:val="0"/>
        </w:numPr>
        <w:kinsoku/>
        <w:wordWrap/>
        <w:overflowPunct/>
        <w:topLinePunct w:val="0"/>
        <w:bidi w:val="0"/>
        <w:snapToGrid/>
        <w:spacing w:line="594" w:lineRule="exact"/>
        <w:ind w:firstLine="631" w:firstLineChars="0"/>
        <w:textAlignment w:val="auto"/>
        <w:outlineLvl w:val="9"/>
        <w:rPr>
          <w:rFonts w:hint="eastAsia"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pStyle w:val="2"/>
        <w:keepNext w:val="0"/>
        <w:keepLines w:val="0"/>
        <w:pageBreakBefore w:val="0"/>
        <w:widowControl w:val="0"/>
        <w:kinsoku/>
        <w:wordWrap/>
        <w:overflowPunct/>
        <w:topLinePunct w:val="0"/>
        <w:bidi w:val="0"/>
        <w:snapToGrid/>
        <w:spacing w:line="594" w:lineRule="exact"/>
        <w:ind w:firstLine="640"/>
        <w:textAlignment w:val="auto"/>
        <w:rPr>
          <w:rFonts w:ascii="Times New Roman" w:hAnsi="Times New Roman"/>
        </w:rPr>
      </w:pPr>
    </w:p>
    <w:p>
      <w:pPr>
        <w:jc w:val="left"/>
        <w:rPr>
          <w:rFonts w:hint="eastAsia" w:ascii="Times New Roman" w:hAnsi="Times New Roman" w:eastAsia="方正黑体_GBK"/>
          <w:sz w:val="30"/>
          <w:szCs w:val="30"/>
          <w:lang w:eastAsia="zh-CN"/>
        </w:rPr>
        <w:sectPr>
          <w:headerReference r:id="rId3" w:type="default"/>
          <w:footerReference r:id="rId4" w:type="default"/>
          <w:pgSz w:w="11906" w:h="16838"/>
          <w:pgMar w:top="1985" w:right="1474" w:bottom="1701" w:left="1474" w:header="851" w:footer="1474" w:gutter="0"/>
          <w:pgBorders>
            <w:top w:val="none" w:sz="0" w:space="0"/>
            <w:left w:val="none" w:sz="0" w:space="0"/>
            <w:bottom w:val="none" w:sz="0" w:space="0"/>
            <w:right w:val="none" w:sz="0" w:space="0"/>
          </w:pgBorders>
          <w:lnNumType w:countBy="0" w:distance="360"/>
          <w:pgNumType w:fmt="numberInDash" w:start="1"/>
          <w:cols w:space="720" w:num="1"/>
          <w:docGrid w:type="linesAndChars" w:linePitch="579" w:charSpace="-849"/>
        </w:sect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eastAsia" w:ascii="Times New Roman" w:hAnsi="Times New Roman" w:eastAsia="方正黑体_GBK"/>
          <w:sz w:val="30"/>
          <w:szCs w:val="30"/>
          <w:lang w:eastAsia="zh-CN"/>
        </w:rPr>
      </w:pPr>
    </w:p>
    <w:p>
      <w:pPr>
        <w:jc w:val="left"/>
        <w:rPr>
          <w:rFonts w:hint="default" w:ascii="Times New Roman" w:hAnsi="Times New Roman" w:eastAsia="方正黑体_GBK"/>
          <w:sz w:val="30"/>
          <w:szCs w:val="30"/>
          <w:lang w:val="en-US" w:eastAsia="zh-CN"/>
        </w:rPr>
      </w:pPr>
      <w:r>
        <w:rPr>
          <w:rFonts w:hint="eastAsia" w:ascii="Times New Roman" w:hAnsi="Times New Roman" w:eastAsia="方正黑体_GBK"/>
          <w:sz w:val="30"/>
          <w:szCs w:val="30"/>
          <w:lang w:eastAsia="zh-CN"/>
        </w:rPr>
        <w:t>附件</w:t>
      </w:r>
    </w:p>
    <w:p>
      <w:pPr>
        <w:jc w:val="center"/>
        <w:rPr>
          <w:rFonts w:hint="eastAsia" w:ascii="Times New Roman" w:hAnsi="Times New Roman" w:eastAsia="方正小标宋_GBK" w:cs="方正小标宋_GBK"/>
          <w:sz w:val="44"/>
        </w:rPr>
      </w:pPr>
    </w:p>
    <w:p>
      <w:pPr>
        <w:jc w:val="center"/>
        <w:rPr>
          <w:rFonts w:hint="eastAsia" w:ascii="Times New Roman" w:hAnsi="Times New Roman" w:eastAsia="方正小标宋_GBK" w:cs="方正小标宋_GBK"/>
          <w:sz w:val="44"/>
        </w:rPr>
      </w:pPr>
      <w:r>
        <w:rPr>
          <w:rFonts w:hint="eastAsia" w:ascii="Times New Roman" w:hAnsi="Times New Roman" w:eastAsia="方正小标宋_GBK" w:cs="方正小标宋_GBK"/>
          <w:sz w:val="44"/>
        </w:rPr>
        <w:t>20</w:t>
      </w:r>
      <w:r>
        <w:rPr>
          <w:rFonts w:hint="eastAsia" w:ascii="Times New Roman" w:hAnsi="Times New Roman" w:eastAsia="方正小标宋_GBK" w:cs="方正小标宋_GBK"/>
          <w:sz w:val="44"/>
          <w:lang w:val="en-US" w:eastAsia="zh-CN"/>
        </w:rPr>
        <w:t>22</w:t>
      </w:r>
      <w:r>
        <w:rPr>
          <w:rFonts w:hint="eastAsia" w:ascii="Times New Roman" w:hAnsi="Times New Roman" w:eastAsia="方正小标宋_GBK" w:cs="方正小标宋_GBK"/>
          <w:sz w:val="44"/>
        </w:rPr>
        <w:t>年预算调整方案</w:t>
      </w:r>
    </w:p>
    <w:p>
      <w:pPr>
        <w:jc w:val="center"/>
        <w:rPr>
          <w:rFonts w:hint="eastAsia" w:ascii="Times New Roman" w:hAnsi="Times New Roman" w:eastAsia="方正小标宋_GBK" w:cs="方正小标宋_GBK"/>
          <w:sz w:val="44"/>
          <w:lang w:eastAsia="zh-CN"/>
        </w:rPr>
      </w:pPr>
      <w:r>
        <w:rPr>
          <w:rFonts w:hint="eastAsia" w:ascii="Times New Roman" w:hAnsi="Times New Roman" w:eastAsia="方正小标宋_GBK" w:cs="方正小标宋_GBK"/>
          <w:sz w:val="44"/>
          <w:lang w:eastAsia="zh-CN"/>
        </w:rPr>
        <w:t>（</w:t>
      </w:r>
      <w:r>
        <w:rPr>
          <w:rFonts w:hint="eastAsia" w:ascii="Times New Roman" w:hAnsi="Times New Roman" w:eastAsia="方正小标宋_GBK" w:cs="方正小标宋_GBK"/>
          <w:sz w:val="44"/>
        </w:rPr>
        <w:t>草案</w:t>
      </w:r>
      <w:r>
        <w:rPr>
          <w:rFonts w:hint="eastAsia" w:ascii="Times New Roman" w:hAnsi="Times New Roman" w:eastAsia="方正小标宋_GBK" w:cs="方正小标宋_GBK"/>
          <w:sz w:val="44"/>
          <w:lang w:eastAsia="zh-CN"/>
        </w:rPr>
        <w:t>）</w:t>
      </w:r>
    </w:p>
    <w:p>
      <w:pPr>
        <w:jc w:val="center"/>
        <w:rPr>
          <w:rFonts w:hint="eastAsia" w:ascii="Times New Roman" w:hAnsi="Times New Roman" w:eastAsia="方正黑体_GBK"/>
          <w:sz w:val="44"/>
        </w:rPr>
      </w:pPr>
    </w:p>
    <w:p>
      <w:pPr>
        <w:jc w:val="center"/>
        <w:rPr>
          <w:rFonts w:hint="eastAsia" w:ascii="Times New Roman" w:hAnsi="Times New Roman" w:eastAsia="方正黑体_GBK"/>
          <w:sz w:val="44"/>
        </w:rPr>
      </w:pPr>
    </w:p>
    <w:p>
      <w:pPr>
        <w:jc w:val="center"/>
        <w:rPr>
          <w:rFonts w:hint="eastAsia" w:ascii="Times New Roman" w:hAnsi="Times New Roman" w:eastAsia="方正黑体_GBK"/>
          <w:sz w:val="44"/>
        </w:rPr>
      </w:pPr>
    </w:p>
    <w:p>
      <w:pPr>
        <w:jc w:val="center"/>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pStyle w:val="2"/>
        <w:rPr>
          <w:rFonts w:hint="eastAsia" w:ascii="Times New Roman" w:hAnsi="Times New Roman" w:eastAsia="方正黑体_GBK"/>
          <w:sz w:val="44"/>
        </w:rPr>
      </w:pPr>
    </w:p>
    <w:p>
      <w:pPr>
        <w:jc w:val="center"/>
        <w:rPr>
          <w:rFonts w:hint="eastAsia" w:ascii="Times New Roman" w:hAnsi="Times New Roman" w:eastAsia="方正黑体_GBK"/>
          <w:sz w:val="44"/>
        </w:rPr>
      </w:pPr>
    </w:p>
    <w:p>
      <w:pPr>
        <w:jc w:val="center"/>
        <w:rPr>
          <w:rFonts w:hint="eastAsia" w:ascii="Times New Roman" w:hAnsi="Times New Roman" w:eastAsia="方正黑体_GBK"/>
          <w:sz w:val="44"/>
        </w:rPr>
      </w:pPr>
    </w:p>
    <w:p>
      <w:pPr>
        <w:jc w:val="center"/>
        <w:rPr>
          <w:rFonts w:hint="eastAsia" w:ascii="方正仿宋_GB2312" w:hAnsi="方正仿宋_GB2312" w:eastAsia="方正仿宋_GB2312" w:cs="方正仿宋_GB2312"/>
          <w:sz w:val="32"/>
        </w:rPr>
      </w:pPr>
      <w:r>
        <w:rPr>
          <w:rFonts w:hint="default" w:ascii="Times New Roman" w:hAnsi="Times New Roman" w:eastAsia="方正仿宋_GB2312" w:cs="Times New Roman"/>
          <w:sz w:val="32"/>
        </w:rPr>
        <w:t>20</w:t>
      </w:r>
      <w:r>
        <w:rPr>
          <w:rFonts w:hint="default" w:ascii="Times New Roman" w:hAnsi="Times New Roman" w:eastAsia="方正仿宋_GB2312" w:cs="Times New Roman"/>
          <w:sz w:val="32"/>
          <w:lang w:val="en-US" w:eastAsia="zh-CN"/>
        </w:rPr>
        <w:t>22</w:t>
      </w:r>
      <w:r>
        <w:rPr>
          <w:rFonts w:hint="eastAsia" w:ascii="方正仿宋_GB2312" w:hAnsi="方正仿宋_GB2312" w:eastAsia="方正仿宋_GB2312" w:cs="方正仿宋_GB2312"/>
          <w:sz w:val="32"/>
        </w:rPr>
        <w:t>年</w:t>
      </w:r>
      <w:r>
        <w:rPr>
          <w:rFonts w:hint="default" w:ascii="Times New Roman" w:hAnsi="Times New Roman" w:eastAsia="方正仿宋_GB2312" w:cs="Times New Roman"/>
          <w:sz w:val="32"/>
          <w:lang w:val="en-US" w:eastAsia="zh-CN"/>
        </w:rPr>
        <w:t>12</w:t>
      </w:r>
      <w:r>
        <w:rPr>
          <w:rFonts w:hint="eastAsia" w:ascii="方正仿宋_GB2312" w:hAnsi="方正仿宋_GB2312" w:eastAsia="方正仿宋_GB2312" w:cs="方正仿宋_GB2312"/>
          <w:sz w:val="32"/>
        </w:rPr>
        <w:t>月</w:t>
      </w:r>
    </w:p>
    <w:p>
      <w:pPr>
        <w:widowControl/>
        <w:spacing w:before="720" w:line="596" w:lineRule="exact"/>
        <w:jc w:val="center"/>
        <w:rPr>
          <w:rFonts w:hint="eastAsia" w:ascii="Times New Roman" w:hAnsi="Times New Roman" w:eastAsia="方正黑体_GBK"/>
          <w:sz w:val="32"/>
        </w:rPr>
        <w:sectPr>
          <w:footerReference r:id="rId5" w:type="default"/>
          <w:pgSz w:w="11906" w:h="16838"/>
          <w:pgMar w:top="1985" w:right="1474" w:bottom="1701" w:left="1474" w:header="851" w:footer="1474" w:gutter="0"/>
          <w:pgBorders>
            <w:top w:val="none" w:sz="0" w:space="0"/>
            <w:left w:val="none" w:sz="0" w:space="0"/>
            <w:bottom w:val="none" w:sz="0" w:space="0"/>
            <w:right w:val="none" w:sz="0" w:space="0"/>
          </w:pgBorders>
          <w:lnNumType w:countBy="0" w:distance="360"/>
          <w:pgNumType w:fmt="numberInDash" w:start="1"/>
          <w:cols w:space="720" w:num="1"/>
          <w:docGrid w:type="linesAndChars" w:linePitch="579" w:charSpace="-849"/>
        </w:sectPr>
      </w:pPr>
    </w:p>
    <w:p>
      <w:pPr>
        <w:widowControl/>
        <w:spacing w:before="720" w:line="596" w:lineRule="exact"/>
        <w:jc w:val="center"/>
        <w:rPr>
          <w:rFonts w:hint="eastAsia" w:ascii="Times New Roman" w:hAnsi="Times New Roman" w:eastAsia="方正黑体_GBK"/>
          <w:color w:val="auto"/>
          <w:sz w:val="32"/>
        </w:rPr>
      </w:pPr>
      <w:r>
        <w:rPr>
          <w:rFonts w:hint="eastAsia" w:ascii="Times New Roman" w:hAnsi="Times New Roman" w:eastAsia="方正黑体_GBK"/>
          <w:color w:val="auto"/>
          <w:sz w:val="32"/>
        </w:rPr>
        <w:t>目  录</w:t>
      </w:r>
    </w:p>
    <w:p>
      <w:pPr>
        <w:pStyle w:val="2"/>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bidi="ar"/>
        </w:rPr>
      </w:pPr>
      <w:r>
        <w:rPr>
          <w:rFonts w:hint="default" w:ascii="Times New Roman" w:hAnsi="Times New Roman" w:eastAsia="方正黑体_GBK" w:cs="Times New Roman"/>
          <w:color w:val="auto"/>
          <w:sz w:val="24"/>
          <w:szCs w:val="24"/>
          <w:lang w:bidi="ar"/>
        </w:rPr>
        <w:t>表1：</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年全区一般公共预算收支调整预算表……………………………</w:t>
      </w:r>
      <w:r>
        <w:rPr>
          <w:rFonts w:hint="default" w:ascii="Times New Roman" w:hAnsi="Times New Roman" w:eastAsia="方正黑体_GBK" w:cs="Times New Roman"/>
          <w:color w:val="auto"/>
          <w:sz w:val="24"/>
          <w:szCs w:val="24"/>
          <w:lang w:eastAsia="zh-CN" w:bidi="ar"/>
        </w:rPr>
        <w:t>1</w:t>
      </w:r>
      <w:r>
        <w:rPr>
          <w:rFonts w:hint="default" w:ascii="Times New Roman" w:hAnsi="Times New Roman" w:eastAsia="方正黑体_GBK" w:cs="Times New Roman"/>
          <w:color w:val="auto"/>
          <w:sz w:val="24"/>
          <w:szCs w:val="24"/>
          <w:lang w:bidi="ar"/>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eastAsia="zh-CN" w:bidi="ar"/>
        </w:rPr>
      </w:pPr>
      <w:r>
        <w:rPr>
          <w:rFonts w:hint="default" w:ascii="Times New Roman" w:hAnsi="Times New Roman" w:eastAsia="方正黑体_GBK" w:cs="Times New Roman"/>
          <w:color w:val="auto"/>
          <w:sz w:val="24"/>
          <w:szCs w:val="24"/>
          <w:lang w:eastAsia="zh-CN" w:bidi="ar"/>
        </w:rPr>
        <w:t>表2：</w:t>
      </w:r>
      <w:r>
        <w:rPr>
          <w:rFonts w:hint="eastAsia" w:ascii="Times New Roman" w:hAnsi="Times New Roman" w:eastAsia="方正黑体_GBK" w:cs="Times New Roman"/>
          <w:color w:val="auto"/>
          <w:sz w:val="24"/>
          <w:szCs w:val="24"/>
          <w:lang w:val="en-US" w:eastAsia="zh-CN" w:bidi="ar"/>
        </w:rPr>
        <w:t>2022</w:t>
      </w:r>
      <w:r>
        <w:rPr>
          <w:rFonts w:hint="default" w:ascii="Times New Roman" w:hAnsi="Times New Roman" w:eastAsia="方正黑体_GBK" w:cs="Times New Roman"/>
          <w:color w:val="auto"/>
          <w:sz w:val="24"/>
          <w:szCs w:val="24"/>
          <w:lang w:eastAsia="zh-CN" w:bidi="ar"/>
        </w:rPr>
        <w:t>年区级一般公共预算本级支出调整预算表……………………………3</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表3：</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年区级一般公共预算支出调整预算表…………………………………</w:t>
      </w:r>
      <w:r>
        <w:rPr>
          <w:rFonts w:hint="default" w:ascii="Times New Roman" w:hAnsi="Times New Roman" w:eastAsia="方正黑体_GBK" w:cs="Times New Roman"/>
          <w:color w:val="auto"/>
          <w:sz w:val="24"/>
          <w:szCs w:val="24"/>
          <w:lang w:eastAsia="zh-CN" w:bidi="ar"/>
        </w:rPr>
        <w:t>1</w:t>
      </w:r>
      <w:r>
        <w:rPr>
          <w:rFonts w:hint="eastAsia" w:ascii="Times New Roman" w:hAnsi="Times New Roman" w:eastAsia="方正黑体_GBK" w:cs="Times New Roman"/>
          <w:color w:val="auto"/>
          <w:sz w:val="24"/>
          <w:szCs w:val="24"/>
          <w:lang w:val="en-US" w:eastAsia="zh-CN" w:bidi="ar"/>
        </w:rPr>
        <w:t>5</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4：</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w:t>
      </w:r>
      <w:r>
        <w:rPr>
          <w:rFonts w:hint="eastAsia" w:ascii="Times New Roman" w:hAnsi="Times New Roman" w:eastAsia="方正黑体_GBK" w:cs="Times New Roman"/>
          <w:color w:val="auto"/>
          <w:sz w:val="24"/>
          <w:szCs w:val="24"/>
          <w:lang w:val="en-US" w:eastAsia="zh-CN" w:bidi="ar"/>
        </w:rPr>
        <w:t>区级一般公共预算基本支出调整预表</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eastAsia="zh-CN" w:bidi="ar"/>
        </w:rPr>
        <w:t>1</w:t>
      </w:r>
      <w:r>
        <w:rPr>
          <w:rFonts w:hint="eastAsia" w:ascii="Times New Roman" w:hAnsi="Times New Roman" w:eastAsia="方正黑体_GBK" w:cs="Times New Roman"/>
          <w:color w:val="auto"/>
          <w:sz w:val="24"/>
          <w:szCs w:val="24"/>
          <w:lang w:val="en-US" w:eastAsia="zh-CN" w:bidi="ar"/>
        </w:rPr>
        <w:t>6</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5</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年一般公共预算转移支付调整预算表……………………………</w:t>
      </w:r>
      <w:r>
        <w:rPr>
          <w:rFonts w:hint="eastAsia" w:ascii="Times New Roman" w:hAnsi="Times New Roman" w:eastAsia="方正黑体_GBK" w:cs="Times New Roman"/>
          <w:color w:val="auto"/>
          <w:sz w:val="24"/>
          <w:szCs w:val="24"/>
          <w:lang w:val="en-US" w:eastAsia="zh-CN" w:bidi="ar"/>
        </w:rPr>
        <w:t>18</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6</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年区级一般公共预算转移支付支出调整预算表</w:t>
      </w:r>
      <w:r>
        <w:rPr>
          <w:rFonts w:hint="eastAsia" w:ascii="Times New Roman" w:hAnsi="Times New Roman" w:eastAsia="方正黑体_GBK" w:cs="Times New Roman"/>
          <w:color w:val="auto"/>
          <w:sz w:val="24"/>
          <w:szCs w:val="24"/>
          <w:lang w:eastAsia="zh-CN" w:bidi="ar"/>
        </w:rPr>
        <w:t>（</w:t>
      </w:r>
      <w:r>
        <w:rPr>
          <w:rFonts w:hint="eastAsia" w:ascii="Times New Roman" w:hAnsi="Times New Roman" w:eastAsia="方正黑体_GBK" w:cs="Times New Roman"/>
          <w:color w:val="auto"/>
          <w:sz w:val="24"/>
          <w:szCs w:val="24"/>
          <w:lang w:val="en-US" w:eastAsia="zh-CN" w:bidi="ar"/>
        </w:rPr>
        <w:t>分地区</w:t>
      </w:r>
      <w:r>
        <w:rPr>
          <w:rFonts w:hint="eastAsia" w:ascii="Times New Roman" w:hAnsi="Times New Roman" w:eastAsia="方正黑体_GBK" w:cs="Times New Roman"/>
          <w:color w:val="auto"/>
          <w:sz w:val="24"/>
          <w:szCs w:val="24"/>
          <w:lang w:eastAsia="zh-CN" w:bidi="ar"/>
        </w:rPr>
        <w:t>）</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eastAsia="zh-CN" w:bidi="ar"/>
        </w:rPr>
        <w:t>2</w:t>
      </w:r>
      <w:r>
        <w:rPr>
          <w:rFonts w:hint="default" w:ascii="Times New Roman" w:hAnsi="Times New Roman" w:eastAsia="方正黑体_GBK" w:cs="Times New Roman"/>
          <w:color w:val="auto"/>
          <w:sz w:val="24"/>
          <w:szCs w:val="24"/>
          <w:lang w:val="en-US" w:eastAsia="zh-CN" w:bidi="ar"/>
        </w:rPr>
        <w:t>0</w:t>
      </w: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7</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年区级一般公共预算转移支付支出调整预况表</w:t>
      </w:r>
      <w:r>
        <w:rPr>
          <w:rFonts w:hint="eastAsia" w:ascii="Times New Roman" w:hAnsi="Times New Roman" w:eastAsia="方正黑体_GBK" w:cs="Times New Roman"/>
          <w:color w:val="auto"/>
          <w:sz w:val="24"/>
          <w:szCs w:val="24"/>
          <w:lang w:eastAsia="zh-CN" w:bidi="ar"/>
        </w:rPr>
        <w:t>（</w:t>
      </w:r>
      <w:r>
        <w:rPr>
          <w:rFonts w:hint="eastAsia" w:ascii="Times New Roman" w:hAnsi="Times New Roman" w:eastAsia="方正黑体_GBK" w:cs="Times New Roman"/>
          <w:color w:val="auto"/>
          <w:sz w:val="24"/>
          <w:szCs w:val="24"/>
          <w:lang w:val="en-US" w:eastAsia="zh-CN" w:bidi="ar"/>
        </w:rPr>
        <w:t>分项目</w:t>
      </w:r>
      <w:r>
        <w:rPr>
          <w:rFonts w:hint="eastAsia" w:ascii="Times New Roman" w:hAnsi="Times New Roman" w:eastAsia="方正黑体_GBK" w:cs="Times New Roman"/>
          <w:color w:val="auto"/>
          <w:sz w:val="24"/>
          <w:szCs w:val="24"/>
          <w:lang w:eastAsia="zh-CN" w:bidi="ar"/>
        </w:rPr>
        <w:t>）</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eastAsia="zh-CN" w:bidi="ar"/>
        </w:rPr>
        <w:t>2</w:t>
      </w:r>
      <w:r>
        <w:rPr>
          <w:rFonts w:hint="default" w:ascii="Times New Roman" w:hAnsi="Times New Roman" w:eastAsia="方正黑体_GBK" w:cs="Times New Roman"/>
          <w:color w:val="auto"/>
          <w:sz w:val="24"/>
          <w:szCs w:val="24"/>
          <w:lang w:val="en-US" w:eastAsia="zh-CN" w:bidi="ar"/>
        </w:rPr>
        <w:t>1</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8</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2022</w:t>
      </w:r>
      <w:r>
        <w:rPr>
          <w:rFonts w:hint="default" w:ascii="Times New Roman" w:hAnsi="Times New Roman" w:eastAsia="方正黑体_GBK" w:cs="Times New Roman"/>
          <w:color w:val="auto"/>
          <w:sz w:val="24"/>
          <w:szCs w:val="24"/>
          <w:lang w:val="en-US" w:eastAsia="zh-CN" w:bidi="ar"/>
        </w:rPr>
        <w:t xml:space="preserve">年全区政府性基金预算调整预算表 </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eastAsia="zh-CN" w:bidi="ar"/>
        </w:rPr>
        <w:t>2</w:t>
      </w:r>
      <w:r>
        <w:rPr>
          <w:rFonts w:hint="eastAsia" w:ascii="Times New Roman" w:hAnsi="Times New Roman" w:eastAsia="方正黑体_GBK" w:cs="Times New Roman"/>
          <w:color w:val="auto"/>
          <w:sz w:val="24"/>
          <w:szCs w:val="24"/>
          <w:lang w:val="en-US" w:eastAsia="zh-CN" w:bidi="ar"/>
        </w:rPr>
        <w:t>2</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eastAsia" w:ascii="Times New Roman" w:hAnsi="Times New Roman" w:eastAsia="方正黑体_GBK" w:cs="Times New Roman"/>
          <w:color w:val="auto"/>
          <w:sz w:val="24"/>
          <w:szCs w:val="24"/>
          <w:lang w:val="en-US" w:eastAsia="zh-CN" w:bidi="ar"/>
        </w:rPr>
        <w:t>9</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 xml:space="preserve">2022年区级政府性基金预算支出调整预算表 </w:t>
      </w:r>
      <w:r>
        <w:rPr>
          <w:rFonts w:hint="default" w:ascii="Times New Roman" w:hAnsi="Times New Roman" w:eastAsia="方正黑体_GBK" w:cs="Times New Roman"/>
          <w:color w:val="auto"/>
          <w:sz w:val="24"/>
          <w:szCs w:val="24"/>
          <w:lang w:bidi="ar"/>
        </w:rPr>
        <w:t xml:space="preserve"> …………………………</w:t>
      </w:r>
      <w:r>
        <w:rPr>
          <w:rFonts w:hint="default" w:ascii="Times New Roman" w:hAnsi="Times New Roman" w:eastAsia="方正黑体_GBK" w:cs="Times New Roman"/>
          <w:color w:val="auto"/>
          <w:sz w:val="24"/>
          <w:szCs w:val="24"/>
          <w:lang w:val="en-US" w:eastAsia="zh-CN" w:bidi="ar"/>
        </w:rPr>
        <w:t>2</w:t>
      </w:r>
      <w:r>
        <w:rPr>
          <w:rFonts w:hint="eastAsia" w:ascii="Times New Roman" w:hAnsi="Times New Roman" w:eastAsia="方正黑体_GBK" w:cs="Times New Roman"/>
          <w:color w:val="auto"/>
          <w:sz w:val="24"/>
          <w:szCs w:val="24"/>
          <w:lang w:val="en-US" w:eastAsia="zh-CN" w:bidi="ar"/>
        </w:rPr>
        <w:t>3</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default" w:ascii="Times New Roman" w:hAnsi="Times New Roman" w:eastAsia="方正黑体_GBK" w:cs="Times New Roman"/>
          <w:color w:val="auto"/>
          <w:sz w:val="24"/>
          <w:szCs w:val="24"/>
          <w:lang w:val="en-US" w:eastAsia="zh-CN" w:bidi="ar"/>
        </w:rPr>
        <w:t>10</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eastAsia="zh-CN" w:bidi="ar"/>
        </w:rPr>
        <w:t>2022</w:t>
      </w:r>
      <w:r>
        <w:rPr>
          <w:rFonts w:hint="default" w:ascii="Times New Roman" w:hAnsi="Times New Roman" w:eastAsia="方正黑体_GBK" w:cs="Times New Roman"/>
          <w:color w:val="auto"/>
          <w:sz w:val="24"/>
          <w:szCs w:val="24"/>
          <w:lang w:bidi="ar"/>
        </w:rPr>
        <w:t>年全区国有资本经营预算调整预算表………………………………</w:t>
      </w:r>
      <w:r>
        <w:rPr>
          <w:rFonts w:hint="default" w:ascii="Times New Roman" w:hAnsi="Times New Roman" w:eastAsia="方正黑体_GBK" w:cs="Times New Roman"/>
          <w:color w:val="auto"/>
          <w:sz w:val="24"/>
          <w:szCs w:val="24"/>
          <w:lang w:val="en-US" w:eastAsia="zh-CN" w:bidi="ar"/>
        </w:rPr>
        <w:t>2</w:t>
      </w:r>
      <w:r>
        <w:rPr>
          <w:rFonts w:hint="eastAsia" w:ascii="Times New Roman" w:hAnsi="Times New Roman" w:eastAsia="方正黑体_GBK" w:cs="Times New Roman"/>
          <w:color w:val="auto"/>
          <w:sz w:val="24"/>
          <w:szCs w:val="24"/>
          <w:lang w:val="en-US" w:eastAsia="zh-CN" w:bidi="ar"/>
        </w:rPr>
        <w:t>5</w:t>
      </w:r>
    </w:p>
    <w:p>
      <w:pPr>
        <w:pStyle w:val="4"/>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default" w:ascii="Times New Roman" w:hAnsi="Times New Roman" w:eastAsia="方正黑体_GBK" w:cs="Times New Roman"/>
          <w:color w:val="auto"/>
          <w:sz w:val="24"/>
          <w:szCs w:val="24"/>
          <w:lang w:val="en-US" w:eastAsia="zh-CN" w:bidi="ar"/>
        </w:rPr>
        <w:t>11</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kern w:val="2"/>
          <w:sz w:val="24"/>
          <w:szCs w:val="24"/>
          <w:lang w:val="en-US" w:eastAsia="zh-CN" w:bidi="ar"/>
        </w:rPr>
        <w:t>2022年全区地方政府债务限额调整情况表</w:t>
      </w:r>
      <w:r>
        <w:rPr>
          <w:rFonts w:hint="default" w:ascii="Times New Roman" w:hAnsi="Times New Roman" w:eastAsia="方正黑体_GBK" w:cs="Times New Roman"/>
          <w:color w:val="auto"/>
          <w:sz w:val="24"/>
          <w:szCs w:val="24"/>
          <w:lang w:bidi="ar"/>
        </w:rPr>
        <w:t>…………………………………</w:t>
      </w:r>
      <w:r>
        <w:rPr>
          <w:rFonts w:hint="default" w:ascii="Times New Roman" w:hAnsi="Times New Roman" w:eastAsia="方正黑体_GBK" w:cs="Times New Roman"/>
          <w:color w:val="auto"/>
          <w:sz w:val="24"/>
          <w:szCs w:val="24"/>
          <w:lang w:val="en-US" w:eastAsia="zh-CN" w:bidi="ar"/>
        </w:rPr>
        <w:t>2</w:t>
      </w:r>
      <w:r>
        <w:rPr>
          <w:rFonts w:hint="eastAsia" w:ascii="Times New Roman" w:hAnsi="Times New Roman" w:eastAsia="方正黑体_GBK" w:cs="Times New Roman"/>
          <w:color w:val="auto"/>
          <w:sz w:val="24"/>
          <w:szCs w:val="24"/>
          <w:lang w:val="en-US" w:eastAsia="zh-CN" w:bidi="ar"/>
        </w:rPr>
        <w:t>6</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default" w:ascii="Times New Roman" w:hAnsi="Times New Roman" w:eastAsia="方正黑体_GBK" w:cs="Times New Roman"/>
          <w:color w:val="auto"/>
          <w:sz w:val="24"/>
          <w:szCs w:val="24"/>
          <w:lang w:val="en-US" w:eastAsia="zh-CN" w:bidi="ar"/>
        </w:rPr>
        <w:t>12</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kern w:val="2"/>
          <w:sz w:val="24"/>
          <w:szCs w:val="24"/>
          <w:lang w:val="en-US" w:eastAsia="zh-CN" w:bidi="ar"/>
        </w:rPr>
        <w:t>2022年新增地方政府债券资金安排表</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27</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ascii="Times New Roman" w:hAnsi="Times New Roman" w:eastAsia="方正黑体_GBK" w:cs="Times New Roman"/>
          <w:color w:val="auto"/>
          <w:sz w:val="24"/>
          <w:szCs w:val="24"/>
          <w:lang w:val="en-US" w:eastAsia="zh-CN" w:bidi="ar"/>
        </w:rPr>
      </w:pPr>
      <w:r>
        <w:rPr>
          <w:rFonts w:hint="default" w:ascii="Times New Roman" w:hAnsi="Times New Roman" w:eastAsia="方正黑体_GBK" w:cs="Times New Roman"/>
          <w:color w:val="auto"/>
          <w:sz w:val="24"/>
          <w:szCs w:val="24"/>
          <w:lang w:bidi="ar"/>
        </w:rPr>
        <w:t>表</w:t>
      </w:r>
      <w:r>
        <w:rPr>
          <w:rFonts w:hint="default" w:ascii="Times New Roman" w:hAnsi="Times New Roman" w:eastAsia="方正黑体_GBK" w:cs="Times New Roman"/>
          <w:color w:val="auto"/>
          <w:sz w:val="24"/>
          <w:szCs w:val="24"/>
          <w:lang w:val="en-US" w:eastAsia="zh-CN" w:bidi="ar"/>
        </w:rPr>
        <w:t>13</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kern w:val="2"/>
          <w:sz w:val="24"/>
          <w:szCs w:val="24"/>
          <w:lang w:val="en-US" w:eastAsia="zh-CN" w:bidi="ar"/>
        </w:rPr>
        <w:t>2022年项目预算收回统筹情况表</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28</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rPr>
      </w:pPr>
    </w:p>
    <w:p>
      <w:pPr>
        <w:pStyle w:val="2"/>
        <w:rPr>
          <w:rFonts w:hint="eastAsia" w:ascii="Times New Roman" w:hAnsi="Times New Roman" w:eastAsia="方正黑体_GBK"/>
          <w:color w:val="auto"/>
          <w:sz w:val="32"/>
        </w:rPr>
      </w:pPr>
    </w:p>
    <w:p>
      <w:pPr>
        <w:pStyle w:val="2"/>
        <w:rPr>
          <w:rFonts w:hint="eastAsia" w:ascii="Times New Roman" w:hAnsi="Times New Roman" w:eastAsia="方正黑体_GBK"/>
          <w:color w:val="auto"/>
          <w:sz w:val="32"/>
        </w:rPr>
      </w:pPr>
    </w:p>
    <w:p>
      <w:pPr>
        <w:spacing w:line="596" w:lineRule="exact"/>
        <w:rPr>
          <w:rFonts w:hint="eastAsia" w:ascii="Times New Roman" w:hAnsi="Times New Roman" w:eastAsia="方正黑体_GBK"/>
          <w:color w:val="auto"/>
          <w:sz w:val="32"/>
        </w:rPr>
      </w:pP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方正黑体_GBK" w:cs="方正黑体_GBK"/>
          <w:i w:val="0"/>
          <w:color w:val="000000"/>
          <w:kern w:val="0"/>
          <w:sz w:val="28"/>
          <w:szCs w:val="28"/>
          <w:u w:val="none"/>
          <w:lang w:val="en-US" w:eastAsia="zh-CN" w:bidi="ar"/>
        </w:rPr>
        <w:sectPr>
          <w:footerReference r:id="rId6" w:type="default"/>
          <w:pgSz w:w="11906" w:h="16838"/>
          <w:pgMar w:top="1440" w:right="1689" w:bottom="1440" w:left="1746"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tbl>
      <w:tblPr>
        <w:tblStyle w:val="10"/>
        <w:tblpPr w:leftFromText="180" w:rightFromText="180" w:vertAnchor="text" w:horzAnchor="page" w:tblpX="1366" w:tblpY="65"/>
        <w:tblOverlap w:val="never"/>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1"/>
        <w:gridCol w:w="1032"/>
        <w:gridCol w:w="937"/>
        <w:gridCol w:w="994"/>
        <w:gridCol w:w="1744"/>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9225" w:type="dxa"/>
            <w:gridSpan w:val="6"/>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黑体_GBK" w:cs="方正黑体_GBK"/>
                <w:i w:val="0"/>
                <w:color w:val="000000"/>
                <w:sz w:val="28"/>
                <w:szCs w:val="28"/>
                <w:u w:val="none"/>
              </w:rPr>
            </w:pPr>
            <w:r>
              <w:rPr>
                <w:rFonts w:hint="eastAsia" w:ascii="Times New Roman" w:hAnsi="Times New Roman" w:eastAsia="方正黑体_GBK" w:cs="方正黑体_GBK"/>
                <w:i w:val="0"/>
                <w:color w:val="000000"/>
                <w:kern w:val="0"/>
                <w:sz w:val="28"/>
                <w:szCs w:val="28"/>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9225" w:type="dxa"/>
            <w:gridSpan w:val="6"/>
            <w:shd w:val="clear" w:color="auto" w:fill="auto"/>
            <w:vAlign w:val="top"/>
          </w:tcPr>
          <w:p>
            <w:pPr>
              <w:keepNext w:val="0"/>
              <w:keepLines w:val="0"/>
              <w:widowControl/>
              <w:suppressLineNumbers w:val="0"/>
              <w:spacing w:before="0" w:beforeAutospacing="0" w:after="0" w:afterAutospacing="0"/>
              <w:ind w:left="0" w:right="0" w:firstLine="1080" w:firstLineChars="300"/>
              <w:jc w:val="both"/>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2022年全区一般公共预算收支调整预算表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trPr>
        <w:tc>
          <w:tcPr>
            <w:tcW w:w="1781"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1032"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937"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994"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1744"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2737" w:type="dxa"/>
            <w:tcBorders>
              <w:bottom w:val="nil"/>
            </w:tcBorders>
            <w:shd w:val="clear" w:color="auto" w:fill="auto"/>
            <w:vAlign w:val="top"/>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单位：万元 </w:t>
            </w:r>
          </w:p>
        </w:tc>
      </w:tr>
    </w:tbl>
    <w:tbl>
      <w:tblPr>
        <w:tblStyle w:val="10"/>
        <w:tblW w:w="9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6"/>
        <w:gridCol w:w="1125"/>
        <w:gridCol w:w="900"/>
        <w:gridCol w:w="956"/>
        <w:gridCol w:w="1838"/>
        <w:gridCol w:w="961"/>
        <w:gridCol w:w="883"/>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blHeader/>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收      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预算数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w:t>
            </w:r>
            <w:r>
              <w:rPr>
                <w:rFonts w:hint="eastAsia" w:ascii="Times New Roman" w:hAnsi="Times New Roman" w:eastAsia="黑体" w:cs="黑体"/>
                <w:i w:val="0"/>
                <w:iCs w:val="0"/>
                <w:color w:val="000000"/>
                <w:kern w:val="0"/>
                <w:sz w:val="22"/>
                <w:szCs w:val="22"/>
                <w:u w:val="none"/>
                <w:lang w:val="en-US" w:eastAsia="zh-CN" w:bidi="ar"/>
              </w:rPr>
              <w:br w:type="textWrapping"/>
            </w:r>
            <w:r>
              <w:rPr>
                <w:rFonts w:hint="eastAsia" w:ascii="Times New Roman" w:hAnsi="Times New Roman" w:eastAsia="黑体" w:cs="黑体"/>
                <w:i w:val="0"/>
                <w:iCs w:val="0"/>
                <w:color w:val="000000"/>
                <w:kern w:val="0"/>
                <w:sz w:val="22"/>
                <w:szCs w:val="22"/>
                <w:u w:val="none"/>
                <w:lang w:val="en-US" w:eastAsia="zh-CN" w:bidi="ar"/>
              </w:rPr>
              <w:t>预算数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支      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 xml:space="preserve"> 预算数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w:t>
            </w:r>
            <w:r>
              <w:rPr>
                <w:rFonts w:hint="eastAsia" w:ascii="Times New Roman" w:hAnsi="Times New Roman" w:eastAsia="黑体" w:cs="黑体"/>
                <w:i w:val="0"/>
                <w:iCs w:val="0"/>
                <w:color w:val="000000"/>
                <w:kern w:val="0"/>
                <w:sz w:val="22"/>
                <w:szCs w:val="22"/>
                <w:u w:val="none"/>
                <w:lang w:val="en-US" w:eastAsia="zh-CN" w:bidi="ar"/>
              </w:rPr>
              <w:br w:type="textWrapping"/>
            </w:r>
            <w:r>
              <w:rPr>
                <w:rFonts w:hint="eastAsia" w:ascii="Times New Roman" w:hAnsi="Times New Roman" w:eastAsia="黑体" w:cs="黑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总  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495,434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61,936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557,370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总  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495,434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61,936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557,370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本级收入合计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209,765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-29,765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180,000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本级支出合计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370,604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60,823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431,427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一、税收收入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189,101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-39,101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一、一般公共服务支出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55,448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增值税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48,951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-8,951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二、外交支出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企业所得税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19,950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3,050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三、国防支出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847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747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个人所得税(款)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四、公共安全支出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31,193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2,715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33,908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资源税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-75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五、教育支出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69,450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27,166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城市维护建设税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六、科学技术支出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3,727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493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房产税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七、文化旅游体育与传媒支出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5,331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2,978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印花税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八、社会保障和就业支出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41,343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4,756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城镇土地使用税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18,600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17,900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九、卫生健康支出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23,066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7,752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土地增值税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十、节能环保支出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14,903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387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耕地占用税(款)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-1,990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十一、城乡社区支出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45,322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13,011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契税(款)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-37,300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25,700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十二、农林水支出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10,135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6,065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环境保护税(款)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十三、交通运输支出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2,958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942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其他税收收入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十四、资源勘探工业信息等支出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-3,247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十五、商业服务业等支出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1,967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-505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十六、金融支出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十七、援助其他地区支出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二、非税收入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20,664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9,336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十八、自然资源海洋气象等支出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941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2,616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专项收入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6,950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十九、住房保障支出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15,288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5,392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行政事业性收费收入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760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二十、粮油物资储备支出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罚没收入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二十一、灾害防治及应急管理支出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6,489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1,409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国有资源（资产）有偿使用收入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10,664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8,213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18,877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二十二、预备费</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Style w:val="42"/>
                <w:rFonts w:ascii="Times New Roman" w:hAnsi="Times New Roman"/>
                <w:lang w:val="en-US" w:eastAsia="zh-CN" w:bidi="ar"/>
              </w:rPr>
              <w:t xml:space="preserve"> </w:t>
            </w:r>
            <w:r>
              <w:rPr>
                <w:rFonts w:hint="eastAsia" w:ascii="Times New Roman" w:hAnsi="Times New Roman" w:eastAsia="宋体" w:cs="宋体"/>
                <w:i w:val="0"/>
                <w:iCs w:val="0"/>
                <w:color w:val="000000"/>
                <w:kern w:val="0"/>
                <w:sz w:val="20"/>
                <w:szCs w:val="20"/>
                <w:u w:val="none"/>
                <w:lang w:val="en-US" w:eastAsia="zh-CN" w:bidi="ar"/>
              </w:rPr>
              <w:t xml:space="preserve">   政府住房基金收入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二十三、其他支出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213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413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二十四、债务付息支出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二十五、债务发行费用支出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转移性收入合计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285,669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91,701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377,370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转移性支出合计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124,830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1,113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125,943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一、上级补助收入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59,001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54,304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113,305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一、上解上级支出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22,811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5,828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28,639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二、债务转贷收入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117,300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二、债务还本支出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97,304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三、动用预算稳定调节基金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17,593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17,593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三、安排预算稳定调节基金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四、调入资金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67,335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17,397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84,732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四、调出资金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4,715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-4,715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五、上年结转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44,440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44,440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五、结转下年</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9215"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注：1.本表直观反映2022年一般公共预算收入与支出的平衡关系。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2.收入总计（本级收入合计+转移性收入合计）=支出总计（本级支出合计+转移性支出合计）。</w:t>
            </w:r>
          </w:p>
        </w:tc>
      </w:tr>
    </w:tbl>
    <w:p>
      <w:pPr>
        <w:pStyle w:val="2"/>
        <w:rPr>
          <w:rFonts w:ascii="Times New Roman" w:hAnsi="Times New Roman"/>
        </w:rPr>
      </w:pPr>
    </w:p>
    <w:tbl>
      <w:tblPr>
        <w:tblStyle w:val="10"/>
        <w:tblpPr w:leftFromText="180" w:rightFromText="180" w:vertAnchor="text" w:horzAnchor="page" w:tblpX="1366" w:tblpY="65"/>
        <w:tblOverlap w:val="never"/>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1"/>
        <w:gridCol w:w="1032"/>
        <w:gridCol w:w="937"/>
        <w:gridCol w:w="994"/>
        <w:gridCol w:w="1744"/>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9225" w:type="dxa"/>
            <w:gridSpan w:val="6"/>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黑体_GBK" w:cs="方正黑体_GBK"/>
                <w:i w:val="0"/>
                <w:color w:val="000000"/>
                <w:sz w:val="28"/>
                <w:szCs w:val="28"/>
                <w:u w:val="none"/>
              </w:rPr>
            </w:pPr>
            <w:r>
              <w:rPr>
                <w:rFonts w:hint="eastAsia" w:ascii="Times New Roman" w:hAnsi="Times New Roman" w:eastAsia="方正黑体_GBK" w:cs="方正黑体_GBK"/>
                <w:i w:val="0"/>
                <w:color w:val="000000"/>
                <w:kern w:val="0"/>
                <w:sz w:val="28"/>
                <w:szCs w:val="28"/>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8" w:hRule="atLeast"/>
        </w:trPr>
        <w:tc>
          <w:tcPr>
            <w:tcW w:w="9225" w:type="dxa"/>
            <w:gridSpan w:val="6"/>
            <w:shd w:val="clear" w:color="auto" w:fill="auto"/>
            <w:vAlign w:val="top"/>
          </w:tcPr>
          <w:p>
            <w:pPr>
              <w:keepNext w:val="0"/>
              <w:keepLines w:val="0"/>
              <w:widowControl/>
              <w:suppressLineNumbers w:val="0"/>
              <w:spacing w:before="0" w:beforeAutospacing="0" w:after="0" w:afterAutospacing="0"/>
              <w:ind w:left="0" w:right="0" w:firstLine="1080" w:firstLineChars="300"/>
              <w:jc w:val="both"/>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 xml:space="preserve">2022年区级一般公共预算支出调整预算表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781"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1032"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937"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994"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1744" w:type="dxa"/>
            <w:tcBorders>
              <w:bottom w:val="nil"/>
            </w:tcBorders>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方正黑体_GBK" w:cs="方正黑体_GBK"/>
                <w:i w:val="0"/>
                <w:color w:val="000000"/>
                <w:sz w:val="36"/>
                <w:szCs w:val="36"/>
                <w:u w:val="none"/>
              </w:rPr>
            </w:pPr>
          </w:p>
        </w:tc>
        <w:tc>
          <w:tcPr>
            <w:tcW w:w="2737" w:type="dxa"/>
            <w:tcBorders>
              <w:bottom w:val="nil"/>
            </w:tcBorders>
            <w:shd w:val="clear" w:color="auto" w:fill="auto"/>
            <w:vAlign w:val="top"/>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单位：万元 </w:t>
            </w:r>
          </w:p>
        </w:tc>
      </w:tr>
    </w:tbl>
    <w:tbl>
      <w:tblPr>
        <w:tblStyle w:val="10"/>
        <w:tblW w:w="9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0"/>
        <w:gridCol w:w="4320"/>
        <w:gridCol w:w="1125"/>
        <w:gridCol w:w="1125"/>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科目编码</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科目名称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调整数</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2"/>
                <w:szCs w:val="22"/>
                <w:u w:val="none"/>
              </w:rPr>
            </w:pPr>
            <w:r>
              <w:rPr>
                <w:rFonts w:hint="eastAsia" w:ascii="Times New Roman" w:hAnsi="Times New Roman" w:eastAsia="黑体" w:cs="黑体"/>
                <w:b w:val="0"/>
                <w:bCs w:val="0"/>
                <w:i w:val="0"/>
                <w:iCs w:val="0"/>
                <w:color w:val="auto"/>
                <w:kern w:val="0"/>
                <w:sz w:val="22"/>
                <w:szCs w:val="22"/>
                <w:u w:val="none"/>
                <w:lang w:val="en-US" w:eastAsia="zh-CN" w:bidi="ar"/>
              </w:rPr>
              <w:t>调整</w:t>
            </w:r>
            <w:r>
              <w:rPr>
                <w:rFonts w:hint="eastAsia" w:ascii="Times New Roman" w:hAnsi="Times New Roman" w:eastAsia="黑体" w:cs="黑体"/>
                <w:b w:val="0"/>
                <w:bCs w:val="0"/>
                <w:i w:val="0"/>
                <w:iCs w:val="0"/>
                <w:color w:val="auto"/>
                <w:kern w:val="0"/>
                <w:sz w:val="22"/>
                <w:szCs w:val="22"/>
                <w:u w:val="none"/>
                <w:lang w:val="en-US" w:eastAsia="zh-CN" w:bidi="ar"/>
              </w:rPr>
              <w:br w:type="textWrapping"/>
            </w:r>
            <w:r>
              <w:rPr>
                <w:rFonts w:hint="eastAsia" w:ascii="Times New Roman" w:hAnsi="Times New Roman" w:eastAsia="黑体" w:cs="黑体"/>
                <w:b w:val="0"/>
                <w:bCs w:val="0"/>
                <w:i w:val="0"/>
                <w:iCs w:val="0"/>
                <w:color w:val="auto"/>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val="0"/>
                <w:i w:val="0"/>
                <w:iCs w:val="0"/>
                <w:color w:val="auto"/>
                <w:sz w:val="20"/>
                <w:szCs w:val="20"/>
                <w:u w:val="none"/>
              </w:rPr>
            </w:pPr>
            <w:r>
              <w:rPr>
                <w:rFonts w:hint="eastAsia" w:ascii="Times New Roman" w:hAnsi="Times New Roman" w:eastAsia="黑体" w:cs="黑体"/>
                <w:b w:val="0"/>
                <w:bCs w:val="0"/>
                <w:i w:val="0"/>
                <w:iCs w:val="0"/>
                <w:color w:val="auto"/>
                <w:kern w:val="0"/>
                <w:sz w:val="20"/>
                <w:szCs w:val="20"/>
                <w:u w:val="none"/>
                <w:lang w:val="en-US" w:eastAsia="zh-CN" w:bidi="ar"/>
              </w:rPr>
              <w:t>合   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357,719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58,016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415,735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52,626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人大事务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829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人大会议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人大监督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人大代表履职能力提升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代表工作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其他人大事务支出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政协事务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769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政协会议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参政议政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2010250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政府办公厅(室)及相关机构事务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16,261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3,742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机关服务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专项业务及机关事务管理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政务公开审批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信访事务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其他政府办公厅(室)及相关机构事务支出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发展与改革事务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日常经济运行调节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社会事业发展规划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经济体制改革研究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物价管理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其他发展与改革事务支出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统计信息事务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专项统计业务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专项普查活动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2010508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统计抽样调查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财政委托业务支出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其他财政事务支出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税收事务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2010710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税收业务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审计事务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2010804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审计业务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纪检监察事务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大案要案查处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其他纪检监察事务支出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商贸事务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招商引资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7,671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2011350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民族事务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民主党派及工商联事务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2012850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其他民主党派及工商联事务支出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群众团体事务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2012999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其他群众团体事务支出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党委办公厅(室)及相关机构事务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1,463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2013150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组织事务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1,139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公务员事务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其他组织事务支出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宣传事务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其他宣传事务支出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统战事务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833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其他统战事务支出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其他共产党事务支出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1,327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2013650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市场监督管理事务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市场主体管理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市场秩序执法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2013899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其他市场监督管理事务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2019999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国防支出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国防动员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兵役征集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人民防空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民兵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其他国防动员支出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其他国防支出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2039999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其他国防支出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公共安全支出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30,963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2,615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20,043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2040219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信息化建设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2040220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执法办案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2,357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3,638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司法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基层司法业务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普法宣传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律师管理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公共法律服务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社区矫正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法制建设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2040613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信息化建设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监狱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2040704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犯人生活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强制隔离戒毒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2040804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强制隔离戒毒人员生活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其他公共安全支出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2049999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其他公共安全支出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教育支出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69,450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27,166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教育管理事务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3,374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其他教育管理事务支出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普通教育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48,508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25,973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学前教育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6,706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小学教育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21,854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21,976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初中教育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1,131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高中教育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其他普通教育支出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职业教育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7,202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中等职业教育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7,202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成人教育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2050404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成人广播电视教育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特殊教育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2050701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特殊学校教育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进修及培训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教师进修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干部教育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教育费附加安排的支出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农村中小学教学设施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城市中小学校舍建设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876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城市中小学教学设施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中等职业学校教学设施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2050999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其他教育费附加安排的支出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科学技术支出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3,727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科学技术管理事务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其他科学技术管理事务支出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技术研究与开发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2060404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科技成果转化与扩散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其他技术研究与开发支出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科技条件与服务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技术创新服务体系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2060503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科技条件专项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科学技术普及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其他科学技术普及支出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其他科学技术支出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2069901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科技奖励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2,838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文化和旅游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2,097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文化活动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群众文化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文化创作与保护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文化和旅游市场管理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其他文化和旅游支出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文物保护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2070205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博物馆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其他文物支出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体育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体育竞赛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体育训练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体育场馆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群众体育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其他体育支出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新闻出版电影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2070605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出版发行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其他新闻出版电影支出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2079999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37,826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4,514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人力资源和社会保障管理事务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综合业务管理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就业管理事务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社会保险业务管理事务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社会保险经办机构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劳动关系和维权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引进人才费用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1,629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其他人力资源和社会保障管理事务支出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民政管理事务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934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社会组织管理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行政区划和地名管理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基层政权建设和社区治理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其他民政管理事务支出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行政事业单位养老支出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21,668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1,538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行政单位离退休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离退休人员管理机构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机关事业单位基本养老保险缴费支出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7,932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机关事业单位职业年金缴费支出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2080599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其他行政事业单位养老支出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8,778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就业补助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2080701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就业创业服务补贴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其他就业补助支出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抚恤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848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死亡抚恤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伤残抚恤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优抚事业单位支出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义务兵优待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其他优抚支出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退役安置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退役士兵安置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军队移交政府的离退休人员安置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军队移交政府离退休干部管理机构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退役士兵管理教育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2080905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军队转业干部安置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社会福利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867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儿童福利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老年福利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殡葬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2081006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养老服务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残疾人事业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1,774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残疾人康复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残疾人就业和扶贫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残疾人生活和护理补贴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其他残疾人事业支出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红十字事业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最低生活保障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2081901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城市最低生活保障金支出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临时救助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临时救助支出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特困人员救助供养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城市特困人员救助供养支出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其他生活救助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其他城市生活救助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其他农村生活救助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财政对基本养老保险基金的补助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财政对其他基本养老保险基金的补助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退役军人管理事务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838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拥军优属</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2082899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其他退役军人事务管理支出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20830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财政代缴社会保险费支出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2083001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财政代缴城乡居民基本养老保险费支出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2089999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22,786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7,546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卫生健康管理事务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其他卫生健康管理事务支出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公立医院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综合医院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中医(民族)医院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其他公立医院支出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基层医疗卫生机构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2,739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城市社区卫生机构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2,070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其他基层医疗卫生机构支出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公共卫生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6,736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5,777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疾病预防控制机构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卫生监督机构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妇幼保健机构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基本公共卫生服务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重大公共卫生服务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1,406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突发公共卫生事件应急处理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4,401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其他公共卫生支出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中医药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中医(民族医)药专项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计划生育事务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1,751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2100716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计划生育机构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2100717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计划生育服务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其他计划生育事务支出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行政事业单位医疗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6,793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公务员医疗补助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其他行政事业单位医疗支出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财政对基本医疗保险基金的补助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2101202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财政对城乡居民基本医疗保险基金的补助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医疗救助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城乡医疗救助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优抚对象医疗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优抚对象医疗补助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医疗保障管理事务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信息化建设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医疗保障政策管理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医疗保障经办事务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2101550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2109999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节能环保支出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14,666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环境保护管理事务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2110105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环境保护法规、规划及标准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其他环境保护管理事务支出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694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环境监测与监察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其他环境监测与监察支出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污染防治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13,196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大气</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噪声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固体废弃物与化学品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辐射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土壤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其他污染防治支出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自然生态保护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农村环境保护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其他自然生态保护支出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天然林保护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森林管护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其他节能环保支出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2119999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其他节能环保支出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42,026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12,939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54,965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9,824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1,146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城管执法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其他城乡社区管理事务支出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城乡社区公共设施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其他城乡社区公共设施支出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城乡社区环境卫生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1,798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2120501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城乡社区环境卫生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9,936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1,798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其他城乡社区支出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17,288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7,090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2129999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其他城乡社区支出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17,288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7,090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农林水支出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9,152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5,693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农业农村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1,141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事业运行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病虫害控制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农产品质量安全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执法监管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行业业务管理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2130122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农业生产发展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2130135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农业资源保护修复与利用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2130142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农村道路建设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2130148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成品油价格改革对渔业的补贴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2130153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农田建设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其他农业农村支出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林业和草原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6,304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3,186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森林资源培育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3,675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2,998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森林资源管理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2,746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湿地保护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2130234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林业草原防灾减灾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水利行业业务管理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水利工程建设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水资源节约管理与保护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防汛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2130319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江河湖库水系综合整治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扶贫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2130599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其他扶贫支出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农村综合改革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对村级公益事业建设的补助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651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426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对村民委员会和村党支部的补助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对村集体经济组织的补助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其他农村综合改革支出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普惠金融发展支出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2130804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创业担保贷款贴息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其他农林水支出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2139999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其他农林水支出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交通运输支出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2,958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942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公路水路运输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2,087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1,022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920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公路养护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交通运输信息化建设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公路和运输安全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公路运输管理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2140122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港口设施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其他公路水路运输支出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车辆购置税支出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车辆购置税用于公路等基础设施建设支出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其他交通运输支出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2149999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其他交通运输支出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-348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资源勘探工业信息等支出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-3,247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制造业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-1,282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其他制造业支出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-1,282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国有资产监管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2150702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支持中小企业发展和管理支出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2150805</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中小企业发展专项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2150899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其他支持中小企业发展和管理支出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其他资源勘探工业信息等支出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2159999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其他资源勘探工业信息等支出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商业服务业等支出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1,967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商业流通事务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2160299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其他商业流通事务支出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涉外发展服务支出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其他涉外发展服务支出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其他商业服务业等支出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2169999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其他商业服务业等支出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金融支出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21799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其他金融支出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2179902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重点企业贷款贴息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自然资源海洋气象等支出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22001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自然资源事务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2,255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2200114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地质勘查与矿产资源管理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2200199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其他自然资源事务支出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700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2,290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住房保障支出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5,382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保障性安居工程支出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9,123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4,861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保障性住房租金补贴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2210108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老旧小区改造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254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4,621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4,874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2210109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住房租赁市场发展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2,468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其他保障性安居工程支出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6,247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住房改革支出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2210201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住房公积金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5,949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灾害防治及应急管理支出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6,344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495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应急管理事务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安全监管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2240199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消防事务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3,586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1,101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976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-976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2240204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消防应急救援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2,610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2,077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自然灾害防治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2240601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地质灾害防治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2240602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森林草原防灾减灾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2240699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其他自然灾害防治支出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自然灾害救灾及恢复重建支出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1,344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2240703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自然灾害救灾补助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2240704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自然灾害灾后重建补助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1,294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-912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其他灾害防治及应急管理支出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2249999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其他灾害防治及应急管理支出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预备费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其他支出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22902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年初预留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2290201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年初预留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-12,000 </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债务付息支出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23203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地方政府一般债务付息支出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2320301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地方政府一般债券付息支出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2320303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地方政府向国际组织借款付息支出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债务发行费用支出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23303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b w:val="0"/>
                <w:bCs w:val="0"/>
                <w:i w:val="0"/>
                <w:iCs w:val="0"/>
                <w:color w:val="auto"/>
                <w:sz w:val="20"/>
                <w:szCs w:val="20"/>
                <w:u w:val="none"/>
              </w:rPr>
            </w:pPr>
            <w:r>
              <w:rPr>
                <w:rFonts w:hint="eastAsia" w:ascii="Times New Roman" w:hAnsi="Times New Roman" w:eastAsia="宋体" w:cs="宋体"/>
                <w:b w:val="0"/>
                <w:bCs w:val="0"/>
                <w:i w:val="0"/>
                <w:iCs w:val="0"/>
                <w:color w:val="auto"/>
                <w:kern w:val="0"/>
                <w:sz w:val="20"/>
                <w:szCs w:val="20"/>
                <w:u w:val="none"/>
                <w:lang w:val="en-US" w:eastAsia="zh-CN" w:bidi="ar"/>
              </w:rPr>
              <w:t>地方政府一般债务发行费用支出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iCs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 xml:space="preserve">6 </w:t>
            </w:r>
          </w:p>
        </w:tc>
      </w:tr>
    </w:tbl>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tbl>
      <w:tblPr>
        <w:tblStyle w:val="10"/>
        <w:tblpPr w:leftFromText="180" w:rightFromText="180" w:vertAnchor="text" w:horzAnchor="page" w:tblpX="1075" w:tblpY="-39"/>
        <w:tblOverlap w:val="never"/>
        <w:tblW w:w="9646" w:type="dxa"/>
        <w:tblInd w:w="0" w:type="dxa"/>
        <w:tblLayout w:type="fixed"/>
        <w:tblCellMar>
          <w:top w:w="0" w:type="dxa"/>
          <w:left w:w="0" w:type="dxa"/>
          <w:bottom w:w="0" w:type="dxa"/>
          <w:right w:w="0" w:type="dxa"/>
        </w:tblCellMar>
      </w:tblPr>
      <w:tblGrid>
        <w:gridCol w:w="2381"/>
        <w:gridCol w:w="788"/>
        <w:gridCol w:w="862"/>
        <w:gridCol w:w="287"/>
        <w:gridCol w:w="482"/>
        <w:gridCol w:w="263"/>
        <w:gridCol w:w="638"/>
        <w:gridCol w:w="768"/>
        <w:gridCol w:w="825"/>
        <w:gridCol w:w="428"/>
        <w:gridCol w:w="415"/>
        <w:gridCol w:w="330"/>
        <w:gridCol w:w="402"/>
        <w:gridCol w:w="777"/>
      </w:tblGrid>
      <w:tr>
        <w:tblPrEx>
          <w:tblCellMar>
            <w:top w:w="0" w:type="dxa"/>
            <w:left w:w="0" w:type="dxa"/>
            <w:bottom w:w="0" w:type="dxa"/>
            <w:right w:w="0" w:type="dxa"/>
          </w:tblCellMar>
        </w:tblPrEx>
        <w:trPr>
          <w:trHeight w:val="1244" w:hRule="atLeast"/>
        </w:trPr>
        <w:tc>
          <w:tcPr>
            <w:tcW w:w="9646"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w:t>
            </w:r>
            <w:r>
              <w:rPr>
                <w:rFonts w:hint="default" w:ascii="Times New Roman" w:hAnsi="Times New Roman" w:eastAsia="方正黑体_GBK" w:cs="Times New Roman"/>
                <w:i w:val="0"/>
                <w:color w:val="000000"/>
                <w:kern w:val="0"/>
                <w:sz w:val="28"/>
                <w:szCs w:val="28"/>
                <w:u w:val="none"/>
                <w:shd w:val="clear" w:color="auto" w:fill="auto"/>
                <w:lang w:val="en-US" w:eastAsia="zh-CN" w:bidi="ar"/>
              </w:rPr>
              <w:t>3</w:t>
            </w:r>
            <w:r>
              <w:rPr>
                <w:rFonts w:hint="eastAsia" w:ascii="Times New Roman" w:hAnsi="Times New Roman" w:eastAsia="方正黑体_GBK" w:cs="Times New Roman"/>
                <w:i w:val="0"/>
                <w:color w:val="000000"/>
                <w:kern w:val="0"/>
                <w:sz w:val="28"/>
                <w:szCs w:val="28"/>
                <w:u w:val="none"/>
                <w:shd w:val="clear" w:color="auto" w:fill="auto"/>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2022年区级一般公共预算支出调整预算表</w:t>
            </w:r>
          </w:p>
        </w:tc>
      </w:tr>
      <w:tr>
        <w:tblPrEx>
          <w:tblCellMar>
            <w:top w:w="0" w:type="dxa"/>
            <w:left w:w="0" w:type="dxa"/>
            <w:bottom w:w="0" w:type="dxa"/>
            <w:right w:w="0" w:type="dxa"/>
          </w:tblCellMar>
        </w:tblPrEx>
        <w:trPr>
          <w:trHeight w:val="360" w:hRule="atLeast"/>
        </w:trPr>
        <w:tc>
          <w:tcPr>
            <w:tcW w:w="9646" w:type="dxa"/>
            <w:gridSpan w:val="14"/>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（按功能分类科目的基本支出和项目支出）</w:t>
            </w:r>
          </w:p>
        </w:tc>
      </w:tr>
      <w:tr>
        <w:tblPrEx>
          <w:tblCellMar>
            <w:top w:w="0" w:type="dxa"/>
            <w:left w:w="0" w:type="dxa"/>
            <w:bottom w:w="0" w:type="dxa"/>
            <w:right w:w="0" w:type="dxa"/>
          </w:tblCellMar>
        </w:tblPrEx>
        <w:trPr>
          <w:trHeight w:val="453" w:hRule="atLeast"/>
        </w:trPr>
        <w:tc>
          <w:tcPr>
            <w:tcW w:w="4318"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74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eastAsia" w:ascii="Times New Roman" w:hAnsi="Times New Roman" w:eastAsia="宋体" w:cs="宋体"/>
                <w:i w:val="0"/>
                <w:color w:val="000000"/>
                <w:sz w:val="20"/>
                <w:szCs w:val="20"/>
                <w:u w:val="none"/>
              </w:rPr>
            </w:pPr>
          </w:p>
        </w:tc>
        <w:tc>
          <w:tcPr>
            <w:tcW w:w="638"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768"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eastAsia" w:ascii="Times New Roman" w:hAnsi="Times New Roman" w:eastAsia="宋体" w:cs="宋体"/>
                <w:i w:val="0"/>
                <w:color w:val="000000"/>
                <w:sz w:val="20"/>
                <w:szCs w:val="20"/>
                <w:u w:val="none"/>
              </w:rPr>
            </w:pPr>
          </w:p>
        </w:tc>
        <w:tc>
          <w:tcPr>
            <w:tcW w:w="428"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745" w:type="dxa"/>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Times New Roman" w:hAnsi="Times New Roman" w:eastAsia="宋体" w:cs="宋体"/>
                <w:i w:val="0"/>
                <w:color w:val="000000"/>
                <w:sz w:val="22"/>
                <w:szCs w:val="22"/>
                <w:u w:val="none"/>
              </w:rPr>
            </w:pPr>
          </w:p>
        </w:tc>
        <w:tc>
          <w:tcPr>
            <w:tcW w:w="1179"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80" w:hRule="atLeast"/>
        </w:trPr>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项         目</w:t>
            </w:r>
          </w:p>
        </w:tc>
        <w:tc>
          <w:tcPr>
            <w:tcW w:w="24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预 算 数</w:t>
            </w:r>
          </w:p>
        </w:tc>
        <w:tc>
          <w:tcPr>
            <w:tcW w:w="24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23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调整预算数</w:t>
            </w:r>
          </w:p>
        </w:tc>
      </w:tr>
      <w:tr>
        <w:tblPrEx>
          <w:tblCellMar>
            <w:top w:w="0" w:type="dxa"/>
            <w:left w:w="0" w:type="dxa"/>
            <w:bottom w:w="0" w:type="dxa"/>
            <w:right w:w="0" w:type="dxa"/>
          </w:tblCellMar>
        </w:tblPrEx>
        <w:trPr>
          <w:trHeight w:val="373" w:hRule="atLeast"/>
        </w:trPr>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黑体" w:cs="黑体"/>
                <w:i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小计</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基本</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小计</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基本</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小计</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基本</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2"/>
                <w:szCs w:val="22"/>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480"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支出合计</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357,719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123,941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233,778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58,016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17,994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40,022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415,735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141,935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黑体" w:cs="Times New Roman"/>
                <w:b/>
                <w:bCs w:val="0"/>
                <w:i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273,800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一般公共服务支出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52,626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14,437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38,189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3,805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1,815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1,990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56,431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16,252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40,179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国防支出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803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803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748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1,551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1,551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公共安全支出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30,963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19,672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11,291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2,615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2,459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156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33,578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22,131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11,447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教育支出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69,450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41,108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28,342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27,166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6,917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20,249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96,616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48,025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48,591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科学技术支出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3,727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221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3,506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493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464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250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3,970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文化旅游体育与传媒支出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4,421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1,756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2,665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2,838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290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2,548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7,259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2,046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5,213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社会保障和就业支出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37,826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23,368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14,458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4,514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2,566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1,948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42,340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25,934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16,406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卫生健康支出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22,786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10,525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12,261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7,546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1,304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6,242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30,332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11,829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18,503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节能环保支出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14,666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1,013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13,653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337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137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15,003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1,150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13,853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城乡社区支出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42,026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4,447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37,579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12,939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695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12,244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54,965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5,142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49,823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农林水支出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9,152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654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8,498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5,693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5,620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14,845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727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14,118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交通运输支出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2,958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341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2,617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942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3,900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375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3,525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资源勘探工业信息等支出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6,190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6,190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-3,247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-3,247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2,943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2,943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商业服务业等支出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1,967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1,967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-505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1,462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1,462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自然资源海洋气象等支出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735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735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2,255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2,255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2,990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2,990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住房保障支出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15,073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5,949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9,124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5,382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522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4,860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20,455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6,471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13,984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灾害防治及应急管理支出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6,344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450 </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5,894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495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1,153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-658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6,839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1,603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5,236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预备费</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其他支出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 </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债务付息支出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r>
      <w:tr>
        <w:tblPrEx>
          <w:tblCellMar>
            <w:top w:w="0" w:type="dxa"/>
            <w:left w:w="0" w:type="dxa"/>
            <w:bottom w:w="0" w:type="dxa"/>
            <w:right w:w="0" w:type="dxa"/>
          </w:tblCellMar>
        </w:tblPrEx>
        <w:trPr>
          <w:trHeight w:val="402" w:hRule="atLeast"/>
        </w:trPr>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20"/>
                <w:szCs w:val="20"/>
                <w:u w:val="none"/>
                <w:lang w:eastAsia="zh-CN"/>
              </w:rPr>
            </w:pPr>
            <w:r>
              <w:rPr>
                <w:rFonts w:hint="eastAsia" w:ascii="Times New Roman" w:hAnsi="Times New Roman" w:eastAsia="宋体" w:cs="宋体"/>
                <w:i w:val="0"/>
                <w:iCs w:val="0"/>
                <w:color w:val="000000"/>
                <w:kern w:val="0"/>
                <w:sz w:val="20"/>
                <w:szCs w:val="20"/>
                <w:u w:val="none"/>
                <w:lang w:val="en-US" w:eastAsia="zh-CN" w:bidi="ar"/>
              </w:rPr>
              <w:t>债务发行费用支出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r>
      <w:tr>
        <w:tblPrEx>
          <w:tblCellMar>
            <w:top w:w="0" w:type="dxa"/>
            <w:left w:w="0" w:type="dxa"/>
            <w:bottom w:w="0" w:type="dxa"/>
            <w:right w:w="0" w:type="dxa"/>
          </w:tblCellMar>
        </w:tblPrEx>
        <w:trPr>
          <w:trHeight w:val="1050" w:hRule="atLeast"/>
        </w:trPr>
        <w:tc>
          <w:tcPr>
            <w:tcW w:w="9646"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Theme="minorEastAsia" w:cstheme="minorEastAsia"/>
                <w:i w:val="0"/>
                <w:color w:val="000000"/>
                <w:kern w:val="0"/>
                <w:sz w:val="20"/>
                <w:szCs w:val="20"/>
                <w:u w:val="none"/>
                <w:lang w:val="en-US" w:eastAsia="zh-CN" w:bidi="ar"/>
              </w:rPr>
              <w:t>注：基本支出，是指部门、单位为保障其机构正常运转、完成日常工作任务所发生的支出，包括人员经费和公用经费；项目支出，是指部门、单位为完成特定的工作任务和事业发展目标，在基本支出之外所发生的支出。</w:t>
            </w:r>
          </w:p>
        </w:tc>
      </w:tr>
    </w:tbl>
    <w:tbl>
      <w:tblPr>
        <w:tblStyle w:val="10"/>
        <w:tblW w:w="8907"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
        <w:gridCol w:w="3336"/>
        <w:gridCol w:w="58"/>
        <w:gridCol w:w="1819"/>
        <w:gridCol w:w="18"/>
        <w:gridCol w:w="1763"/>
        <w:gridCol w:w="19"/>
        <w:gridCol w:w="1856"/>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355"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表4</w:t>
            </w:r>
          </w:p>
        </w:tc>
        <w:tc>
          <w:tcPr>
            <w:tcW w:w="189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8"/>
                <w:szCs w:val="28"/>
                <w:u w:val="none"/>
              </w:rPr>
            </w:pPr>
          </w:p>
        </w:tc>
        <w:tc>
          <w:tcPr>
            <w:tcW w:w="178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8"/>
                <w:szCs w:val="28"/>
                <w:u w:val="none"/>
              </w:rPr>
            </w:pPr>
          </w:p>
        </w:tc>
        <w:tc>
          <w:tcPr>
            <w:tcW w:w="187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8907"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iCs w:val="0"/>
                <w:color w:val="000000"/>
                <w:sz w:val="36"/>
                <w:szCs w:val="36"/>
                <w:u w:val="none"/>
              </w:rPr>
            </w:pPr>
            <w:r>
              <w:rPr>
                <w:rFonts w:hint="eastAsia" w:ascii="Times New Roman" w:hAnsi="Times New Roman" w:eastAsia="方正小标宋_GBK" w:cs="方正小标宋_GBK"/>
                <w:i w:val="0"/>
                <w:iCs w:val="0"/>
                <w:color w:val="000000"/>
                <w:kern w:val="0"/>
                <w:sz w:val="36"/>
                <w:szCs w:val="36"/>
                <w:u w:val="none"/>
                <w:lang w:val="en-US" w:eastAsia="zh-CN" w:bidi="ar"/>
              </w:rPr>
              <w:t xml:space="preserve">2022年区级一般公共预算基本支出调整预算表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07"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35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黑体" w:cs="黑体"/>
                <w:i w:val="0"/>
                <w:iCs w:val="0"/>
                <w:color w:val="000000"/>
                <w:sz w:val="22"/>
                <w:szCs w:val="22"/>
                <w:u w:val="none"/>
              </w:rPr>
            </w:pPr>
          </w:p>
        </w:tc>
        <w:tc>
          <w:tcPr>
            <w:tcW w:w="189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2"/>
                <w:szCs w:val="22"/>
                <w:u w:val="none"/>
              </w:rPr>
            </w:pPr>
          </w:p>
        </w:tc>
        <w:tc>
          <w:tcPr>
            <w:tcW w:w="178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黑体" w:cs="黑体"/>
                <w:i w:val="0"/>
                <w:iCs w:val="0"/>
                <w:color w:val="000000"/>
                <w:sz w:val="22"/>
                <w:szCs w:val="22"/>
                <w:u w:val="none"/>
              </w:rPr>
            </w:pPr>
          </w:p>
        </w:tc>
        <w:tc>
          <w:tcPr>
            <w:tcW w:w="1875"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blHeader/>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支       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预算数</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本级基本支出合计</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123,941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17,994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141,935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一、机关工资福利支出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46,033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7,235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工资奖金津补贴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18,955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10,836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29,791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社会保障缴费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17,390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1,547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住房公积金 </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2,126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193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7,562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-5,341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二、机关商品和服务支出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11,563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368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办公经费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7,627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202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会议费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培训费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226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专用材料购置费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委托业务费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公务接待费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因公出国（境）费用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公务用车运行维护费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852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维修（护）费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251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1,619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123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三、机关资本性支出（一）</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房屋建筑物购建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公务用车购置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设备购置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181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大型修缮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其他资本性支出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109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四、机关资本性支出（二）</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房屋建筑物购建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基础设施建设</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大型修缮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五、对事业单位经常性补助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57,013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9,267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49,217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8,840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7,796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427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六、对事业单位资本性补助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资本性支出（一）</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资本性支出（二）</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七、对企业补助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费用补贴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利息补贴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其他对企业补助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八、对个人和家庭的补助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8,834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1,155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社会福利和救助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8,774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815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个人农业生产补贴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离退休费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 </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其他对个人和家庭补助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333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九、债务利息及费用支出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国内债务付息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国外债务付息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国内债务发行费用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十、预备费及预留</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预留</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十一、其他支出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9" w:type="dxa"/>
          <w:wAfter w:w="19" w:type="dxa"/>
          <w:trHeight w:val="454" w:hRule="exact"/>
        </w:trPr>
        <w:tc>
          <w:tcPr>
            <w:tcW w:w="8869"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注：本表按照新的“政府预算支出经济分类科目” 将区本级基本支出细化到款级科目。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r>
    </w:tbl>
    <w:p>
      <w:pPr>
        <w:rPr>
          <w:rFonts w:ascii="Times New Roman" w:hAnsi="Times New Roman"/>
        </w:rPr>
      </w:pPr>
    </w:p>
    <w:p>
      <w:pPr>
        <w:pStyle w:val="4"/>
        <w:rPr>
          <w:rFonts w:hint="default" w:ascii="Times New Roman" w:hAnsi="Times New Roman" w:eastAsia="方正仿宋_GBK" w:cs="Times New Roman"/>
          <w:sz w:val="32"/>
          <w:szCs w:val="32"/>
          <w:lang w:val="en-US" w:eastAsia="zh-CN"/>
        </w:rPr>
      </w:pPr>
    </w:p>
    <w:p>
      <w:pPr>
        <w:pStyle w:val="4"/>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方正仿宋_GBK" w:cs="Times New Roman"/>
          <w:sz w:val="32"/>
          <w:szCs w:val="32"/>
          <w:lang w:val="en-US" w:eastAsia="zh-CN"/>
        </w:rPr>
      </w:pPr>
    </w:p>
    <w:tbl>
      <w:tblPr>
        <w:tblStyle w:val="10"/>
        <w:tblpPr w:leftFromText="180" w:rightFromText="180" w:vertAnchor="text" w:horzAnchor="page" w:tblpXSpec="center" w:tblpY="-39"/>
        <w:tblOverlap w:val="never"/>
        <w:tblW w:w="9253" w:type="dxa"/>
        <w:jc w:val="center"/>
        <w:tblLayout w:type="fixed"/>
        <w:tblCellMar>
          <w:top w:w="0" w:type="dxa"/>
          <w:left w:w="0" w:type="dxa"/>
          <w:bottom w:w="0" w:type="dxa"/>
          <w:right w:w="0" w:type="dxa"/>
        </w:tblCellMar>
      </w:tblPr>
      <w:tblGrid>
        <w:gridCol w:w="2222"/>
        <w:gridCol w:w="1101"/>
        <w:gridCol w:w="480"/>
        <w:gridCol w:w="888"/>
        <w:gridCol w:w="1934"/>
        <w:gridCol w:w="876"/>
        <w:gridCol w:w="1752"/>
      </w:tblGrid>
      <w:tr>
        <w:tblPrEx>
          <w:tblCellMar>
            <w:top w:w="0" w:type="dxa"/>
            <w:left w:w="0" w:type="dxa"/>
            <w:bottom w:w="0" w:type="dxa"/>
            <w:right w:w="0" w:type="dxa"/>
          </w:tblCellMar>
        </w:tblPrEx>
        <w:trPr>
          <w:trHeight w:val="1341" w:hRule="atLeast"/>
          <w:jc w:val="center"/>
        </w:trPr>
        <w:tc>
          <w:tcPr>
            <w:tcW w:w="9253"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left"/>
              <w:textAlignment w:val="center"/>
              <w:rPr>
                <w:rFonts w:hint="eastAsia" w:ascii="Times New Roman" w:hAnsi="Times New Roman" w:eastAsia="方正黑体_GBK" w:cs="方正黑体_GBK"/>
                <w:i w:val="0"/>
                <w:color w:val="000000"/>
                <w:kern w:val="0"/>
                <w:sz w:val="28"/>
                <w:szCs w:val="28"/>
                <w:u w:val="none"/>
                <w:shd w:val="clear" w:color="auto" w:fill="auto"/>
                <w:lang w:val="en-US" w:eastAsia="zh-CN" w:bidi="ar"/>
              </w:rPr>
            </w:pPr>
            <w:r>
              <w:rPr>
                <w:rFonts w:hint="eastAsia" w:ascii="Times New Roman" w:hAnsi="Times New Roman" w:eastAsia="方正黑体_GBK" w:cs="方正黑体_GBK"/>
                <w:i w:val="0"/>
                <w:color w:val="000000"/>
                <w:kern w:val="0"/>
                <w:sz w:val="28"/>
                <w:szCs w:val="28"/>
                <w:u w:val="none"/>
                <w:shd w:val="clear" w:color="auto" w:fill="auto"/>
                <w:lang w:val="en-US" w:eastAsia="zh-CN" w:bidi="ar"/>
              </w:rPr>
              <w:t>表5</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2022年一般公共预算转移支付调整预算表</w:t>
            </w:r>
          </w:p>
        </w:tc>
      </w:tr>
      <w:tr>
        <w:tblPrEx>
          <w:tblCellMar>
            <w:top w:w="0" w:type="dxa"/>
            <w:left w:w="0" w:type="dxa"/>
            <w:bottom w:w="0" w:type="dxa"/>
            <w:right w:w="0" w:type="dxa"/>
          </w:tblCellMar>
        </w:tblPrEx>
        <w:trPr>
          <w:trHeight w:val="405" w:hRule="atLeast"/>
          <w:jc w:val="center"/>
        </w:trPr>
        <w:tc>
          <w:tcPr>
            <w:tcW w:w="2222"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000000"/>
                <w:sz w:val="22"/>
                <w:szCs w:val="22"/>
                <w:u w:val="none"/>
              </w:rPr>
            </w:pPr>
          </w:p>
        </w:tc>
        <w:tc>
          <w:tcPr>
            <w:tcW w:w="1101"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000000"/>
                <w:sz w:val="22"/>
                <w:szCs w:val="22"/>
                <w:u w:val="none"/>
              </w:rPr>
            </w:pPr>
          </w:p>
        </w:tc>
        <w:tc>
          <w:tcPr>
            <w:tcW w:w="480"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000000"/>
                <w:sz w:val="22"/>
                <w:szCs w:val="22"/>
                <w:u w:val="none"/>
              </w:rPr>
            </w:pPr>
          </w:p>
        </w:tc>
        <w:tc>
          <w:tcPr>
            <w:tcW w:w="888" w:type="dxa"/>
            <w:tcBorders>
              <w:top w:val="nil"/>
              <w:left w:val="nil"/>
              <w:bottom w:val="nil"/>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000000"/>
                <w:sz w:val="22"/>
                <w:szCs w:val="22"/>
                <w:u w:val="none"/>
              </w:rPr>
            </w:pPr>
          </w:p>
        </w:tc>
        <w:tc>
          <w:tcPr>
            <w:tcW w:w="1934" w:type="dxa"/>
            <w:tcBorders>
              <w:top w:val="nil"/>
              <w:left w:val="nil"/>
              <w:bottom w:val="nil"/>
              <w:right w:val="nil"/>
            </w:tcBorders>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color w:val="000000"/>
                <w:sz w:val="24"/>
                <w:szCs w:val="24"/>
                <w:u w:val="none"/>
              </w:rPr>
            </w:pPr>
          </w:p>
        </w:tc>
        <w:tc>
          <w:tcPr>
            <w:tcW w:w="876" w:type="dxa"/>
            <w:tcBorders>
              <w:top w:val="nil"/>
              <w:left w:val="nil"/>
              <w:bottom w:val="nil"/>
              <w:right w:val="nil"/>
            </w:tcBorders>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000000"/>
                <w:sz w:val="24"/>
                <w:szCs w:val="24"/>
                <w:u w:val="none"/>
              </w:rPr>
            </w:pPr>
          </w:p>
        </w:tc>
        <w:tc>
          <w:tcPr>
            <w:tcW w:w="1752" w:type="dxa"/>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2"/>
                <w:szCs w:val="22"/>
                <w:u w:val="none"/>
                <w:lang w:val="en-US" w:eastAsia="zh-CN" w:bidi="ar"/>
              </w:rPr>
              <w:t>单位：万元</w:t>
            </w:r>
          </w:p>
        </w:tc>
      </w:tr>
    </w:tbl>
    <w:tbl>
      <w:tblPr>
        <w:tblStyle w:val="10"/>
        <w:tblW w:w="9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0"/>
        <w:gridCol w:w="950"/>
        <w:gridCol w:w="892"/>
        <w:gridCol w:w="983"/>
        <w:gridCol w:w="1783"/>
        <w:gridCol w:w="884"/>
        <w:gridCol w:w="879"/>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收        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预算数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w:t>
            </w:r>
            <w:r>
              <w:rPr>
                <w:rFonts w:hint="eastAsia" w:ascii="Times New Roman" w:hAnsi="Times New Roman" w:eastAsia="黑体" w:cs="黑体"/>
                <w:i w:val="0"/>
                <w:iCs w:val="0"/>
                <w:color w:val="000000"/>
                <w:kern w:val="0"/>
                <w:sz w:val="22"/>
                <w:szCs w:val="22"/>
                <w:u w:val="none"/>
                <w:lang w:val="en-US" w:eastAsia="zh-CN" w:bidi="ar"/>
              </w:rPr>
              <w:br w:type="textWrapping"/>
            </w:r>
            <w:r>
              <w:rPr>
                <w:rFonts w:hint="eastAsia" w:ascii="Times New Roman" w:hAnsi="Times New Roman" w:eastAsia="黑体" w:cs="黑体"/>
                <w:i w:val="0"/>
                <w:iCs w:val="0"/>
                <w:color w:val="000000"/>
                <w:kern w:val="0"/>
                <w:sz w:val="22"/>
                <w:szCs w:val="22"/>
                <w:u w:val="none"/>
                <w:lang w:val="en-US" w:eastAsia="zh-CN" w:bidi="ar"/>
              </w:rPr>
              <w:t>预算数</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支        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预算数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调整</w:t>
            </w:r>
            <w:r>
              <w:rPr>
                <w:rFonts w:hint="eastAsia" w:ascii="Times New Roman" w:hAnsi="Times New Roman" w:eastAsia="黑体" w:cs="黑体"/>
                <w:i w:val="0"/>
                <w:iCs w:val="0"/>
                <w:color w:val="000000"/>
                <w:kern w:val="0"/>
                <w:sz w:val="22"/>
                <w:szCs w:val="22"/>
                <w:u w:val="none"/>
                <w:lang w:val="en-US" w:eastAsia="zh-CN" w:bidi="ar"/>
              </w:rPr>
              <w:br w:type="textWrapping"/>
            </w:r>
            <w:r>
              <w:rPr>
                <w:rFonts w:hint="eastAsia" w:ascii="Times New Roman" w:hAnsi="Times New Roman" w:eastAsia="黑体" w:cs="黑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上级补助收入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59,001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54,30</w:t>
            </w:r>
            <w:r>
              <w:rPr>
                <w:rFonts w:hint="eastAsia" w:ascii="Times New Roman" w:hAnsi="Times New Roman" w:eastAsia="宋体" w:cs="Times New Roman"/>
                <w:b/>
                <w:bCs/>
                <w:i w:val="0"/>
                <w:iCs w:val="0"/>
                <w:color w:val="000000"/>
                <w:kern w:val="0"/>
                <w:sz w:val="20"/>
                <w:szCs w:val="20"/>
                <w:u w:val="none"/>
                <w:lang w:val="en-US" w:eastAsia="zh-CN" w:bidi="ar"/>
              </w:rPr>
              <w:t>4</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113,30</w:t>
            </w:r>
            <w:r>
              <w:rPr>
                <w:rFonts w:hint="eastAsia" w:ascii="Times New Roman" w:hAnsi="Times New Roman" w:eastAsia="宋体" w:cs="Times New Roman"/>
                <w:b/>
                <w:bCs/>
                <w:i w:val="0"/>
                <w:iCs w:val="0"/>
                <w:color w:val="000000"/>
                <w:kern w:val="0"/>
                <w:sz w:val="20"/>
                <w:szCs w:val="20"/>
                <w:u w:val="none"/>
                <w:lang w:val="en-US" w:eastAsia="zh-CN" w:bidi="ar"/>
              </w:rPr>
              <w:t>5</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补助下级支出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12,885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2,80</w:t>
            </w:r>
            <w:r>
              <w:rPr>
                <w:rFonts w:hint="eastAsia" w:ascii="Times New Roman" w:hAnsi="Times New Roman" w:eastAsia="宋体" w:cs="Times New Roman"/>
                <w:b/>
                <w:bCs/>
                <w:i w:val="0"/>
                <w:iCs w:val="0"/>
                <w:color w:val="000000"/>
                <w:kern w:val="0"/>
                <w:sz w:val="20"/>
                <w:szCs w:val="20"/>
                <w:u w:val="none"/>
                <w:lang w:val="en-US" w:eastAsia="zh-CN" w:bidi="ar"/>
              </w:rPr>
              <w:t>7</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15,692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一、返还性收入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13,146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13,146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一、一般性转移支付支出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lang w:val="en-US" w:eastAsia="zh-CN"/>
              </w:rPr>
            </w:pPr>
            <w:r>
              <w:rPr>
                <w:rFonts w:hint="eastAsia" w:ascii="Times New Roman" w:hAnsi="Times New Roman" w:eastAsia="宋体" w:cs="Times New Roman"/>
                <w:b/>
                <w:bCs/>
                <w:i w:val="0"/>
                <w:iCs w:val="0"/>
                <w:color w:val="000000"/>
                <w:sz w:val="20"/>
                <w:szCs w:val="20"/>
                <w:u w:val="none"/>
                <w:lang w:val="en-US" w:eastAsia="zh-CN"/>
              </w:rPr>
              <w:t>11,573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lang w:val="en-US" w:eastAsia="zh-CN"/>
              </w:rPr>
            </w:pPr>
            <w:r>
              <w:rPr>
                <w:rFonts w:hint="default" w:ascii="Times New Roman" w:hAnsi="Times New Roman" w:eastAsia="宋体" w:cs="Times New Roman"/>
                <w:b/>
                <w:bCs/>
                <w:i w:val="0"/>
                <w:iCs w:val="0"/>
                <w:color w:val="000000"/>
                <w:sz w:val="20"/>
                <w:szCs w:val="20"/>
                <w:u w:val="none"/>
                <w:lang w:val="en-US" w:eastAsia="zh-CN"/>
              </w:rPr>
              <w:t>2,00</w:t>
            </w:r>
            <w:r>
              <w:rPr>
                <w:rFonts w:hint="eastAsia" w:ascii="Times New Roman" w:hAnsi="Times New Roman" w:eastAsia="宋体" w:cs="Times New Roman"/>
                <w:b/>
                <w:bCs/>
                <w:i w:val="0"/>
                <w:iCs w:val="0"/>
                <w:color w:val="000000"/>
                <w:sz w:val="20"/>
                <w:szCs w:val="20"/>
                <w:u w:val="none"/>
                <w:lang w:val="en-US" w:eastAsia="zh-CN"/>
              </w:rPr>
              <w:t>8</w:t>
            </w:r>
            <w:r>
              <w:rPr>
                <w:rFonts w:hint="default" w:ascii="Times New Roman" w:hAnsi="Times New Roman" w:eastAsia="宋体" w:cs="Times New Roman"/>
                <w:b/>
                <w:bCs/>
                <w:i w:val="0"/>
                <w:iCs w:val="0"/>
                <w:color w:val="000000"/>
                <w:sz w:val="20"/>
                <w:szCs w:val="20"/>
                <w:u w:val="none"/>
                <w:lang w:val="en-US" w:eastAsia="zh-CN"/>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sz w:val="20"/>
                <w:szCs w:val="20"/>
                <w:u w:val="none"/>
                <w:lang w:val="en-US" w:eastAsia="zh-CN"/>
              </w:rPr>
              <w:t xml:space="preserve">13,581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所得税基数返还收入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1,123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1,123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均衡财力和激励引导转移支付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1,607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增值税税收返还收入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体制补助支出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9,462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r>
              <w:rPr>
                <w:rFonts w:hint="eastAsia" w:ascii="Times New Roman" w:hAnsi="Times New Roman" w:eastAsia="宋体" w:cs="Times New Roman"/>
                <w:i w:val="0"/>
                <w:iCs w:val="0"/>
                <w:color w:val="000000"/>
                <w:kern w:val="0"/>
                <w:sz w:val="20"/>
                <w:szCs w:val="20"/>
                <w:u w:val="none"/>
                <w:lang w:val="en-US" w:eastAsia="zh-CN" w:bidi="ar"/>
              </w:rPr>
              <w:t>8</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消费税税收返还收入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结算补助支出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504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增值税“五五分享”税收返还收入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11,959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11,959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二、一般性转移支付收入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35,031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24,40</w:t>
            </w:r>
            <w:r>
              <w:rPr>
                <w:rFonts w:hint="eastAsia" w:ascii="Times New Roman" w:hAnsi="Times New Roman" w:eastAsia="宋体" w:cs="Times New Roman"/>
                <w:b/>
                <w:bCs/>
                <w:i w:val="0"/>
                <w:iCs w:val="0"/>
                <w:color w:val="000000"/>
                <w:kern w:val="0"/>
                <w:sz w:val="20"/>
                <w:szCs w:val="20"/>
                <w:u w:val="none"/>
                <w:lang w:val="en-US" w:eastAsia="zh-CN" w:bidi="ar"/>
              </w:rPr>
              <w:t>8</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59,43</w:t>
            </w:r>
            <w:r>
              <w:rPr>
                <w:rFonts w:hint="eastAsia" w:ascii="Times New Roman" w:hAnsi="Times New Roman" w:eastAsia="宋体" w:cs="Times New Roman"/>
                <w:b/>
                <w:bCs/>
                <w:i w:val="0"/>
                <w:iCs w:val="0"/>
                <w:color w:val="000000"/>
                <w:kern w:val="0"/>
                <w:sz w:val="20"/>
                <w:szCs w:val="20"/>
                <w:u w:val="none"/>
                <w:lang w:val="en-US" w:eastAsia="zh-CN" w:bidi="ar"/>
              </w:rPr>
              <w:t>9</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b/>
                <w:bCs/>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体制补助收入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134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均衡性转移支付收入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6,033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3,079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9,112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县级基本财力保障机制奖补资金收入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3,046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3,085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结算补助收入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3,375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3,540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固定数额补助收入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3,814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欠发达地区转移支付收入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961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一般公共服务共同财政事权转移支付收入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公共安全共同财政事权转移支付收入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1,433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2,268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教育共同财政事权转移支付收入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7,078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r>
              <w:rPr>
                <w:rFonts w:hint="eastAsia" w:ascii="Times New Roman" w:hAnsi="Times New Roman" w:eastAsia="宋体" w:cs="Times New Roman"/>
                <w:i w:val="0"/>
                <w:iCs w:val="0"/>
                <w:color w:val="000000"/>
                <w:kern w:val="0"/>
                <w:sz w:val="20"/>
                <w:szCs w:val="20"/>
                <w:u w:val="none"/>
                <w:lang w:val="en-US" w:eastAsia="zh-CN" w:bidi="ar"/>
              </w:rPr>
              <w:t>10</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9,98</w:t>
            </w:r>
            <w:r>
              <w:rPr>
                <w:rFonts w:hint="eastAsia"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科学技术共同财政事权转移支付收入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267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文化旅游体育与传媒共同财政事权转移支付收入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387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343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社会保障和就业共同财政事权转移支付收入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4,021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3,724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7,745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医疗卫生共同财政事权转移支付收入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4,735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794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5,529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节能环保共同财政事权转移支付收入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农林水共同财政事权转移支付收入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427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1,782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住房保障共同财政事权转移支付收入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4,148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增值税留抵退税转移支付收入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1,740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1,740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其他退税减税降费转移支付收入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4,300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4,300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其他一般性转移支付收入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三、专项转移支付收入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10,824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29,896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40,720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bCs/>
                <w:i w:val="0"/>
                <w:iCs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二、专项转移支付支出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1,312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799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一般公共服务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bCs/>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一般公共服务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113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国防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1,130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 xml:space="preserve">  文化体育与传媒</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教育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-136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社会保障和就业</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科学技术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1,254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1,254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卫生健康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文化旅游体育与传媒</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2,072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2,078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城乡社区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197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社会保障和就业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373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农林水</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卫生健康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自然资源海洋气象等</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206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326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节能环保</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367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灾害防治及应急管理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城乡社区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14,806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14,885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农林水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1,183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4,482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5,665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交通运输</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1,121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1,213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2,334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资源勘探信息等</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517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商业服务业等</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1,012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自然资源海洋气象等</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2,953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2,953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住房保障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1,328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3,408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灾害防治及应急管理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81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仿宋_GB2312" w:cs="仿宋_GB2312"/>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742"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注：本表详细反映2022年一般公共预算转移支付收入和转移支付支出情况。</w:t>
            </w:r>
          </w:p>
        </w:tc>
        <w:tc>
          <w:tcPr>
            <w:tcW w:w="87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宋体"/>
                <w:i w:val="0"/>
                <w:iCs w:val="0"/>
                <w:color w:val="000000"/>
                <w:sz w:val="18"/>
                <w:szCs w:val="18"/>
                <w:u w:val="none"/>
              </w:rPr>
            </w:pPr>
          </w:p>
        </w:tc>
        <w:tc>
          <w:tcPr>
            <w:tcW w:w="89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宋体"/>
                <w:i w:val="0"/>
                <w:iCs w:val="0"/>
                <w:color w:val="000000"/>
                <w:sz w:val="18"/>
                <w:szCs w:val="18"/>
                <w:u w:val="none"/>
              </w:rPr>
            </w:pPr>
          </w:p>
        </w:tc>
      </w:tr>
    </w:tbl>
    <w:p>
      <w:pPr>
        <w:pStyle w:val="4"/>
        <w:rPr>
          <w:rFonts w:hint="default" w:ascii="Times New Roman" w:hAnsi="Times New Roman" w:eastAsia="方正仿宋_GBK" w:cs="Times New Roman"/>
          <w:sz w:val="32"/>
          <w:szCs w:val="32"/>
          <w:lang w:val="en-US" w:eastAsia="zh-CN"/>
        </w:r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表6</w:t>
      </w:r>
    </w:p>
    <w:p>
      <w:pPr>
        <w:pStyle w:val="4"/>
        <w:jc w:val="center"/>
        <w:rPr>
          <w:rFonts w:hint="eastAsia" w:ascii="Times New Roman" w:hAnsi="Times New Roman" w:eastAsia="方正小标宋_GBK" w:cs="方正小标宋_GBK"/>
          <w:i w:val="0"/>
          <w:color w:val="000000"/>
          <w:kern w:val="0"/>
          <w:sz w:val="32"/>
          <w:szCs w:val="32"/>
          <w:u w:val="none"/>
          <w:lang w:val="en-US" w:eastAsia="zh-CN" w:bidi="ar"/>
        </w:rPr>
      </w:pPr>
      <w:r>
        <w:rPr>
          <w:rFonts w:hint="eastAsia" w:ascii="Times New Roman" w:hAnsi="Times New Roman" w:eastAsia="方正小标宋_GBK" w:cs="方正小标宋_GBK"/>
          <w:i w:val="0"/>
          <w:color w:val="000000"/>
          <w:kern w:val="0"/>
          <w:sz w:val="32"/>
          <w:szCs w:val="32"/>
          <w:u w:val="none"/>
          <w:lang w:val="en-US" w:eastAsia="zh-CN" w:bidi="ar"/>
        </w:rPr>
        <w:t>2022年区级一般公共预算转移支付支出调整预算表</w:t>
      </w:r>
    </w:p>
    <w:p>
      <w:pPr>
        <w:pStyle w:val="4"/>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（分地区）</w:t>
      </w:r>
    </w:p>
    <w:p>
      <w:pPr>
        <w:pStyle w:val="4"/>
        <w:jc w:val="right"/>
        <w:rPr>
          <w:rFonts w:hint="default"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tbl>
      <w:tblPr>
        <w:tblStyle w:val="10"/>
        <w:tblW w:w="8362"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10"/>
        <w:gridCol w:w="2014"/>
        <w:gridCol w:w="1988"/>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lang w:val="en-US" w:eastAsia="zh-CN"/>
              </w:rPr>
            </w:pPr>
            <w:r>
              <w:rPr>
                <w:rFonts w:hint="eastAsia" w:ascii="Times New Roman" w:hAnsi="Times New Roman" w:eastAsia="黑体" w:cs="黑体"/>
                <w:b w:val="0"/>
                <w:bCs/>
                <w:i w:val="0"/>
                <w:color w:val="000000"/>
                <w:sz w:val="20"/>
                <w:szCs w:val="20"/>
                <w:u w:val="none"/>
                <w:lang w:val="en-US" w:eastAsia="zh-CN"/>
              </w:rPr>
              <w:t>单 位</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预算数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86"/>
              </w:tabs>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调整数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预算调整数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b w:val="0"/>
                <w:bCs w:val="0"/>
                <w:i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补助镇合计</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12,885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2,807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15,692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2"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 xml:space="preserve">  八桥镇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4,118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463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9"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 xml:space="preserve">  建胜镇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3,189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483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5" w:hRule="atLeast"/>
        </w:trPr>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 xml:space="preserve">  跳磴镇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5,578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1,861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7,439 </w:t>
            </w:r>
          </w:p>
        </w:tc>
      </w:tr>
    </w:tbl>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表7</w:t>
      </w:r>
    </w:p>
    <w:p>
      <w:pPr>
        <w:pStyle w:val="4"/>
        <w:jc w:val="center"/>
        <w:rPr>
          <w:rFonts w:hint="eastAsia" w:ascii="Times New Roman" w:hAnsi="Times New Roman" w:eastAsia="方正小标宋_GBK" w:cs="方正小标宋_GBK"/>
          <w:i w:val="0"/>
          <w:color w:val="000000"/>
          <w:kern w:val="0"/>
          <w:sz w:val="32"/>
          <w:szCs w:val="32"/>
          <w:u w:val="none"/>
          <w:lang w:val="en-US" w:eastAsia="zh-CN" w:bidi="ar"/>
        </w:rPr>
      </w:pPr>
      <w:r>
        <w:rPr>
          <w:rFonts w:hint="eastAsia" w:ascii="Times New Roman" w:hAnsi="Times New Roman" w:eastAsia="方正小标宋_GBK" w:cs="方正小标宋_GBK"/>
          <w:i w:val="0"/>
          <w:color w:val="000000"/>
          <w:kern w:val="0"/>
          <w:sz w:val="32"/>
          <w:szCs w:val="32"/>
          <w:u w:val="none"/>
          <w:lang w:val="en-US" w:eastAsia="zh-CN" w:bidi="ar"/>
        </w:rPr>
        <w:t>2022年区级一般公共预算转移支付支出调整预算情况表</w:t>
      </w:r>
    </w:p>
    <w:p>
      <w:pPr>
        <w:pStyle w:val="4"/>
        <w:jc w:val="center"/>
        <w:rPr>
          <w:rFonts w:hint="eastAsia"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（分项目）</w:t>
      </w:r>
    </w:p>
    <w:p>
      <w:pPr>
        <w:pStyle w:val="4"/>
        <w:jc w:val="right"/>
        <w:rPr>
          <w:rFonts w:hint="default"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tbl>
      <w:tblPr>
        <w:tblStyle w:val="10"/>
        <w:tblW w:w="8813"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69"/>
        <w:gridCol w:w="1540"/>
        <w:gridCol w:w="1537"/>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i w:val="0"/>
                <w:color w:val="000000"/>
                <w:sz w:val="20"/>
                <w:szCs w:val="20"/>
                <w:u w:val="none"/>
                <w:lang w:val="en-US" w:eastAsia="zh-CN"/>
              </w:rPr>
            </w:pPr>
            <w:r>
              <w:rPr>
                <w:rFonts w:hint="eastAsia" w:ascii="Times New Roman" w:hAnsi="Times New Roman" w:eastAsia="黑体" w:cs="黑体"/>
                <w:b w:val="0"/>
                <w:bCs/>
                <w:i w:val="0"/>
                <w:color w:val="000000"/>
                <w:kern w:val="0"/>
                <w:sz w:val="20"/>
                <w:szCs w:val="20"/>
                <w:u w:val="none"/>
                <w:lang w:val="en-US" w:eastAsia="zh-CN" w:bidi="ar"/>
              </w:rPr>
              <w:t>项目名称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预算数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86"/>
              </w:tabs>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调整数</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预算调整数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b w:val="0"/>
                <w:bCs w:val="0"/>
                <w:i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补助镇合计</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12,885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2,807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15,692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b/>
                <w:bCs/>
                <w:i w:val="0"/>
                <w:iCs w:val="0"/>
                <w:color w:val="000000"/>
                <w:kern w:val="0"/>
                <w:sz w:val="20"/>
                <w:szCs w:val="20"/>
                <w:u w:val="none"/>
                <w:lang w:val="en-US" w:eastAsia="zh-CN" w:bidi="ar"/>
              </w:rPr>
              <w:t>财力保障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11,573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2,008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13,581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均衡性转移支付支出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1,607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体制补助支出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9,462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2,008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结算补助支出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504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b/>
                <w:bCs/>
                <w:i w:val="0"/>
                <w:iCs w:val="0"/>
                <w:color w:val="000000"/>
                <w:kern w:val="0"/>
                <w:sz w:val="20"/>
                <w:szCs w:val="20"/>
                <w:u w:val="none"/>
                <w:lang w:val="en-US" w:eastAsia="zh-CN" w:bidi="ar"/>
              </w:rPr>
              <w:t>专项转移支付</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1,312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799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基础设施建设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村（社区）便民服务中心建设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镇政府阵地建设专项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农村基础设施建设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园区企业管理专项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农村人居环境整治项目尾款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地质灾害应急抢险经费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渝财教〔2020〕227号,2021年文化馆（站）免费开放专项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清澜路公交停车港湾建设项目</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农村厕所革命</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黑体" w:cs="黑体"/>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黑体" w:cs="黑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57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黑体" w:cs="黑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新合村蜂窝坝村2022年路灯安装项目</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疫情防控</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渝财建[2022]19号，5人制足球场地设施建设项目</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blHeader/>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中梁山废弃矿山修复</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000000"/>
                <w:sz w:val="22"/>
                <w:szCs w:val="22"/>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326 </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326 </w:t>
            </w:r>
          </w:p>
        </w:tc>
      </w:tr>
    </w:tbl>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方正黑体_GBK" w:cs="方正黑体_GBK"/>
          <w:i w:val="0"/>
          <w:color w:val="000000"/>
          <w:kern w:val="0"/>
          <w:sz w:val="28"/>
          <w:szCs w:val="28"/>
          <w:u w:val="none"/>
          <w:shd w:val="clear" w:color="auto" w:fill="auto"/>
          <w:lang w:val="en-US" w:eastAsia="zh-CN" w:bidi="ar"/>
        </w:rPr>
      </w:pPr>
      <w:r>
        <w:rPr>
          <w:rFonts w:hint="eastAsia" w:ascii="Times New Roman" w:hAnsi="Times New Roman" w:eastAsia="方正黑体_GBK" w:cs="方正黑体_GBK"/>
          <w:i w:val="0"/>
          <w:color w:val="000000"/>
          <w:kern w:val="0"/>
          <w:sz w:val="28"/>
          <w:szCs w:val="28"/>
          <w:u w:val="none"/>
          <w:shd w:val="clear" w:color="auto" w:fill="auto"/>
          <w:lang w:val="en-US" w:eastAsia="zh-CN" w:bidi="ar"/>
        </w:rPr>
        <w:t>表8</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sz w:val="32"/>
          <w:szCs w:val="32"/>
          <w:lang w:val="en-US" w:eastAsia="zh-CN"/>
        </w:rPr>
      </w:pPr>
      <w:r>
        <w:rPr>
          <w:rFonts w:hint="eastAsia" w:ascii="Times New Roman" w:hAnsi="Times New Roman" w:eastAsia="方正小标宋_GBK" w:cs="方正小标宋_GBK"/>
          <w:i w:val="0"/>
          <w:color w:val="000000"/>
          <w:kern w:val="0"/>
          <w:sz w:val="36"/>
          <w:szCs w:val="36"/>
          <w:u w:val="none"/>
          <w:lang w:val="en-US" w:eastAsia="zh-CN" w:bidi="ar"/>
        </w:rPr>
        <w:t>2022年全区政府性基金预算调整预算表</w:t>
      </w:r>
    </w:p>
    <w:tbl>
      <w:tblPr>
        <w:tblStyle w:val="10"/>
        <w:tblpPr w:leftFromText="180" w:rightFromText="180" w:vertAnchor="text" w:tblpXSpec="center" w:tblpY="1"/>
        <w:tblOverlap w:val="never"/>
        <w:tblW w:w="9535" w:type="dxa"/>
        <w:jc w:val="center"/>
        <w:shd w:val="clear" w:color="auto" w:fill="auto"/>
        <w:tblLayout w:type="fixed"/>
        <w:tblCellMar>
          <w:top w:w="0" w:type="dxa"/>
          <w:left w:w="0" w:type="dxa"/>
          <w:bottom w:w="0" w:type="dxa"/>
          <w:right w:w="0" w:type="dxa"/>
        </w:tblCellMar>
      </w:tblPr>
      <w:tblGrid>
        <w:gridCol w:w="2259"/>
        <w:gridCol w:w="885"/>
        <w:gridCol w:w="885"/>
        <w:gridCol w:w="879"/>
        <w:gridCol w:w="1834"/>
        <w:gridCol w:w="931"/>
        <w:gridCol w:w="931"/>
        <w:gridCol w:w="931"/>
      </w:tblGrid>
      <w:tr>
        <w:tblPrEx>
          <w:tblCellMar>
            <w:top w:w="0" w:type="dxa"/>
            <w:left w:w="0" w:type="dxa"/>
            <w:bottom w:w="0" w:type="dxa"/>
            <w:right w:w="0" w:type="dxa"/>
          </w:tblCellMar>
        </w:tblPrEx>
        <w:trPr>
          <w:trHeight w:val="402" w:hRule="atLeast"/>
          <w:jc w:val="center"/>
        </w:trPr>
        <w:tc>
          <w:tcPr>
            <w:tcW w:w="9535"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 xml:space="preserve"> 单位：万元 </w:t>
            </w:r>
          </w:p>
        </w:tc>
      </w:tr>
      <w:tr>
        <w:tblPrEx>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收        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调整数</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kern w:val="0"/>
                <w:sz w:val="20"/>
                <w:szCs w:val="20"/>
                <w:u w:val="none"/>
                <w:lang w:val="en-US" w:eastAsia="zh-CN" w:bidi="ar"/>
              </w:rPr>
            </w:pPr>
            <w:r>
              <w:rPr>
                <w:rFonts w:hint="eastAsia" w:ascii="Times New Roman" w:hAnsi="Times New Roman" w:eastAsia="黑体" w:cs="黑体"/>
                <w:i w:val="0"/>
                <w:color w:val="auto"/>
                <w:kern w:val="0"/>
                <w:sz w:val="20"/>
                <w:szCs w:val="20"/>
                <w:u w:val="none"/>
                <w:lang w:val="en-US" w:eastAsia="zh-CN" w:bidi="ar"/>
              </w:rPr>
              <w:t>调整</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支        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预算数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调整数</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kern w:val="0"/>
                <w:sz w:val="20"/>
                <w:szCs w:val="20"/>
                <w:u w:val="none"/>
                <w:lang w:val="en-US" w:eastAsia="zh-CN" w:bidi="ar"/>
              </w:rPr>
            </w:pPr>
            <w:r>
              <w:rPr>
                <w:rFonts w:hint="eastAsia" w:ascii="Times New Roman" w:hAnsi="Times New Roman" w:eastAsia="黑体" w:cs="黑体"/>
                <w:i w:val="0"/>
                <w:color w:val="auto"/>
                <w:kern w:val="0"/>
                <w:sz w:val="20"/>
                <w:szCs w:val="20"/>
                <w:u w:val="none"/>
                <w:lang w:val="en-US" w:eastAsia="zh-CN" w:bidi="ar"/>
              </w:rPr>
              <w:t>调整</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r>
      <w:tr>
        <w:tblPrEx>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auto"/>
                <w:kern w:val="0"/>
                <w:sz w:val="20"/>
                <w:szCs w:val="20"/>
                <w:u w:val="none"/>
                <w:lang w:val="en-US" w:eastAsia="zh-CN" w:bidi="ar"/>
              </w:rPr>
              <w:t>总  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631,944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-2,716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629,228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auto"/>
                <w:kern w:val="0"/>
                <w:sz w:val="20"/>
                <w:szCs w:val="20"/>
                <w:u w:val="none"/>
                <w:lang w:val="en-US" w:eastAsia="zh-CN" w:bidi="ar"/>
              </w:rPr>
              <w:t>总  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631,944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-2,716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 xml:space="preserve">629,228 </w:t>
            </w:r>
          </w:p>
        </w:tc>
      </w:tr>
      <w:tr>
        <w:tblPrEx>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22"/>
                <w:szCs w:val="22"/>
                <w:u w:val="none"/>
              </w:rPr>
            </w:pPr>
            <w:r>
              <w:rPr>
                <w:rFonts w:hint="eastAsia" w:ascii="Times New Roman" w:hAnsi="Times New Roman" w:eastAsia="黑体" w:cs="黑体"/>
                <w:i w:val="0"/>
                <w:iCs w:val="0"/>
                <w:color w:val="auto"/>
                <w:kern w:val="0"/>
                <w:sz w:val="20"/>
                <w:szCs w:val="20"/>
                <w:u w:val="none"/>
                <w:lang w:val="en-US" w:eastAsia="zh-CN" w:bidi="ar"/>
              </w:rPr>
              <w:t>本级收入合计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auto"/>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i w:val="0"/>
                <w:color w:val="auto"/>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22"/>
                <w:szCs w:val="22"/>
                <w:u w:val="none"/>
              </w:rPr>
            </w:pPr>
            <w:r>
              <w:rPr>
                <w:rFonts w:hint="eastAsia" w:ascii="Times New Roman" w:hAnsi="Times New Roman" w:eastAsia="黑体" w:cs="黑体"/>
                <w:i w:val="0"/>
                <w:iCs w:val="0"/>
                <w:color w:val="auto"/>
                <w:kern w:val="0"/>
                <w:sz w:val="20"/>
                <w:szCs w:val="20"/>
                <w:u w:val="none"/>
                <w:lang w:val="en-US" w:eastAsia="zh-CN" w:bidi="ar"/>
              </w:rPr>
              <w:t>本级支出合计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i w:val="0"/>
                <w:iCs w:val="0"/>
                <w:color w:val="auto"/>
                <w:kern w:val="0"/>
                <w:sz w:val="20"/>
                <w:szCs w:val="20"/>
                <w:u w:val="none"/>
                <w:lang w:val="en-US" w:eastAsia="zh-CN" w:bidi="ar"/>
              </w:rPr>
              <w:t xml:space="preserve">478,514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i w:val="0"/>
                <w:iCs w:val="0"/>
                <w:color w:val="auto"/>
                <w:kern w:val="0"/>
                <w:sz w:val="20"/>
                <w:szCs w:val="20"/>
                <w:u w:val="none"/>
                <w:lang w:val="en-US" w:eastAsia="zh-CN" w:bidi="ar"/>
              </w:rPr>
              <w:t xml:space="preserve">-20,023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i w:val="0"/>
                <w:iCs w:val="0"/>
                <w:color w:val="auto"/>
                <w:kern w:val="0"/>
                <w:sz w:val="20"/>
                <w:szCs w:val="20"/>
                <w:u w:val="none"/>
                <w:lang w:val="en-US" w:eastAsia="zh-CN" w:bidi="ar"/>
              </w:rPr>
              <w:t xml:space="preserve">458,491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一、农网还贷资金收入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一、文化旅游体育与传媒支出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二、国家电影事业发展专项资金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二、社会保障和就业支出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101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101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三、国有土地收益基金收入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三、城乡社区支出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460,529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-22,653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437,876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四、农业土地开发资金收入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四、农林水支出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93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93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五、国有土地使用权出让收入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五、交通运输支出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六、大中型水库库区基金收入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六、其他支出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3,579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2,625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6,204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七、彩票公益金收入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七、债务付息支出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14,212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14,212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八、小型水库移民扶助基金收入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lang w:eastAsia="zh-CN"/>
              </w:rPr>
            </w:pPr>
            <w:r>
              <w:rPr>
                <w:rFonts w:hint="eastAsia" w:ascii="Times New Roman" w:hAnsi="Times New Roman" w:eastAsia="宋体" w:cs="宋体"/>
                <w:i w:val="0"/>
                <w:iCs w:val="0"/>
                <w:color w:val="auto"/>
                <w:kern w:val="0"/>
                <w:sz w:val="20"/>
                <w:szCs w:val="20"/>
                <w:u w:val="none"/>
                <w:lang w:val="en-US" w:eastAsia="zh-CN" w:bidi="ar"/>
              </w:rPr>
              <w:t>八、债务发行费用支出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九、污水处理费收入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十、彩票发行机构和彩票销售机构的业务费用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十一、城市基础设施配套费收入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18"/>
                <w:szCs w:val="18"/>
                <w:u w:val="none"/>
              </w:rPr>
            </w:pPr>
            <w:r>
              <w:rPr>
                <w:rFonts w:hint="eastAsia" w:ascii="Times New Roman" w:hAnsi="Times New Roman" w:eastAsia="黑体" w:cs="黑体"/>
                <w:i w:val="0"/>
                <w:iCs w:val="0"/>
                <w:color w:val="auto"/>
                <w:kern w:val="0"/>
                <w:sz w:val="20"/>
                <w:szCs w:val="20"/>
                <w:u w:val="none"/>
                <w:lang w:val="en-US" w:eastAsia="zh-CN" w:bidi="ar"/>
              </w:rPr>
              <w:t>转移性收入合计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631,944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-2,716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629,228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18"/>
                <w:szCs w:val="18"/>
                <w:u w:val="none"/>
              </w:rPr>
            </w:pPr>
            <w:r>
              <w:rPr>
                <w:rFonts w:hint="eastAsia" w:ascii="Times New Roman" w:hAnsi="Times New Roman" w:eastAsia="黑体" w:cs="黑体"/>
                <w:i w:val="0"/>
                <w:iCs w:val="0"/>
                <w:color w:val="auto"/>
                <w:kern w:val="0"/>
                <w:sz w:val="20"/>
                <w:szCs w:val="20"/>
                <w:u w:val="none"/>
                <w:lang w:val="en-US" w:eastAsia="zh-CN" w:bidi="ar"/>
              </w:rPr>
              <w:t>转移性支出合计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153,430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17,307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bCs/>
                <w:i w:val="0"/>
                <w:iCs w:val="0"/>
                <w:color w:val="auto"/>
                <w:kern w:val="0"/>
                <w:sz w:val="20"/>
                <w:szCs w:val="20"/>
                <w:u w:val="none"/>
                <w:lang w:val="en-US" w:eastAsia="zh-CN" w:bidi="ar"/>
              </w:rPr>
              <w:t xml:space="preserve">170,737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一、上级补助收入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302,350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302,350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一、上解支出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95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二、债务转贷收入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84,000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86,000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二、债务还本支出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86,000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auto"/>
                <w:kern w:val="0"/>
                <w:sz w:val="20"/>
                <w:szCs w:val="20"/>
                <w:u w:val="none"/>
                <w:lang w:val="en-US" w:eastAsia="zh-CN" w:bidi="ar"/>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86,000 </w:t>
            </w:r>
          </w:p>
        </w:tc>
      </w:tr>
      <w:tr>
        <w:tblPrEx>
          <w:tblCellMar>
            <w:top w:w="0" w:type="dxa"/>
            <w:left w:w="0" w:type="dxa"/>
            <w:bottom w:w="0" w:type="dxa"/>
            <w:right w:w="0" w:type="dxa"/>
          </w:tblCellMar>
        </w:tblPrEx>
        <w:trPr>
          <w:trHeight w:val="9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三、调入资金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4,715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-4,715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auto"/>
                <w:sz w:val="20"/>
                <w:szCs w:val="20"/>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三、调出资金</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67,335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17,307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84,642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iCs w:val="0"/>
                <w:color w:val="000000"/>
                <w:kern w:val="0"/>
                <w:sz w:val="20"/>
                <w:szCs w:val="20"/>
                <w:u w:val="none"/>
                <w:lang w:val="en-US" w:eastAsia="zh-CN" w:bidi="ar"/>
              </w:rPr>
              <w:t>四、上年结转</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240,879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240,878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iCs w:val="0"/>
                <w:color w:val="000000"/>
                <w:kern w:val="0"/>
                <w:sz w:val="20"/>
                <w:szCs w:val="20"/>
                <w:u w:val="none"/>
                <w:lang w:val="en-US" w:eastAsia="zh-CN" w:bidi="ar"/>
              </w:rPr>
              <w:t>四、结转下年</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02" w:hRule="atLeast"/>
          <w:jc w:val="center"/>
        </w:trPr>
        <w:tc>
          <w:tcPr>
            <w:tcW w:w="953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Times New Roman" w:hAnsi="Times New Roman" w:eastAsia="方正仿宋_GBK" w:cs="方正仿宋_GBK"/>
                <w:i w:val="0"/>
                <w:color w:val="000000"/>
                <w:sz w:val="28"/>
                <w:szCs w:val="28"/>
                <w:u w:val="none"/>
              </w:rPr>
            </w:pPr>
            <w:r>
              <w:rPr>
                <w:rFonts w:hint="eastAsia" w:ascii="Times New Roman" w:hAnsi="Times New Roman" w:eastAsia="宋体" w:cs="宋体"/>
                <w:i w:val="0"/>
                <w:color w:val="000000"/>
                <w:kern w:val="0"/>
                <w:sz w:val="20"/>
                <w:szCs w:val="20"/>
                <w:u w:val="none"/>
                <w:lang w:val="en-US" w:eastAsia="zh-CN" w:bidi="ar"/>
              </w:rPr>
              <w:t>注：1.本表直观反映2022年政府性基金预算收入与支出的平衡关系。</w:t>
            </w:r>
            <w:r>
              <w:rPr>
                <w:rFonts w:hint="eastAsia" w:ascii="Times New Roman" w:hAnsi="Times New Roman" w:eastAsia="宋体" w:cs="宋体"/>
                <w:i w:val="0"/>
                <w:color w:val="000000"/>
                <w:kern w:val="0"/>
                <w:sz w:val="20"/>
                <w:szCs w:val="20"/>
                <w:u w:val="none"/>
                <w:lang w:val="en-US" w:eastAsia="zh-CN" w:bidi="ar"/>
              </w:rPr>
              <w:br w:type="textWrapping"/>
            </w:r>
            <w:r>
              <w:rPr>
                <w:rFonts w:hint="eastAsia" w:ascii="Times New Roman" w:hAnsi="Times New Roman" w:eastAsia="宋体" w:cs="宋体"/>
                <w:i w:val="0"/>
                <w:color w:val="000000"/>
                <w:kern w:val="0"/>
                <w:sz w:val="20"/>
                <w:szCs w:val="20"/>
                <w:u w:val="none"/>
                <w:lang w:val="en-US" w:eastAsia="zh-CN" w:bidi="ar"/>
              </w:rPr>
              <w:t xml:space="preserve">    2.收入总计（本级收入合计+转移性收入合计）=支出总计（本级支出合计+转移性支出合计）。</w:t>
            </w:r>
          </w:p>
        </w:tc>
      </w:tr>
    </w:tbl>
    <w:p>
      <w:pPr>
        <w:pStyle w:val="4"/>
        <w:rPr>
          <w:rFonts w:hint="default" w:ascii="Times New Roman" w:hAnsi="Times New Roman" w:eastAsia="方正仿宋_GBK" w:cs="Times New Roman"/>
          <w:sz w:val="32"/>
          <w:szCs w:val="32"/>
          <w:lang w:val="en-US" w:eastAsia="zh-CN"/>
        </w:rPr>
      </w:pPr>
    </w:p>
    <w:tbl>
      <w:tblPr>
        <w:tblStyle w:val="10"/>
        <w:tblW w:w="9035" w:type="dxa"/>
        <w:tblInd w:w="-306" w:type="dxa"/>
        <w:shd w:val="clear" w:color="auto" w:fill="auto"/>
        <w:tblLayout w:type="fixed"/>
        <w:tblCellMar>
          <w:top w:w="0" w:type="dxa"/>
          <w:left w:w="0" w:type="dxa"/>
          <w:bottom w:w="0" w:type="dxa"/>
          <w:right w:w="0" w:type="dxa"/>
        </w:tblCellMar>
      </w:tblPr>
      <w:tblGrid>
        <w:gridCol w:w="5231"/>
        <w:gridCol w:w="1331"/>
        <w:gridCol w:w="809"/>
        <w:gridCol w:w="410"/>
        <w:gridCol w:w="1254"/>
      </w:tblGrid>
      <w:tr>
        <w:tblPrEx>
          <w:tblCellMar>
            <w:top w:w="0" w:type="dxa"/>
            <w:left w:w="0" w:type="dxa"/>
            <w:bottom w:w="0" w:type="dxa"/>
            <w:right w:w="0" w:type="dxa"/>
          </w:tblCellMar>
        </w:tblPrEx>
        <w:trPr>
          <w:trHeight w:val="705" w:hRule="atLeast"/>
        </w:trPr>
        <w:tc>
          <w:tcPr>
            <w:tcW w:w="903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方正黑体_GBK" w:cs="方正黑体_GBK"/>
                <w:i w:val="0"/>
                <w:color w:val="000000"/>
                <w:kern w:val="0"/>
                <w:sz w:val="28"/>
                <w:szCs w:val="28"/>
                <w:u w:val="none"/>
                <w:lang w:val="en-US" w:eastAsia="zh-CN" w:bidi="ar"/>
              </w:rPr>
            </w:pPr>
            <w:r>
              <w:rPr>
                <w:rFonts w:hint="eastAsia" w:ascii="Times New Roman" w:hAnsi="Times New Roman" w:eastAsia="方正黑体_GBK" w:cs="方正黑体_GBK"/>
                <w:i w:val="0"/>
                <w:color w:val="000000"/>
                <w:kern w:val="0"/>
                <w:sz w:val="28"/>
                <w:szCs w:val="28"/>
                <w:u w:val="none"/>
                <w:lang w:val="en-US" w:eastAsia="zh-CN" w:bidi="ar"/>
              </w:rPr>
              <w:t>表9</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kern w:val="0"/>
                <w:sz w:val="36"/>
                <w:szCs w:val="36"/>
                <w:u w:val="none"/>
                <w:lang w:val="en-US" w:eastAsia="zh-CN" w:bidi="ar"/>
              </w:rPr>
              <w:t xml:space="preserve">2022年区级政府性基金预算支出调整预算表 </w:t>
            </w:r>
          </w:p>
        </w:tc>
      </w:tr>
      <w:tr>
        <w:tblPrEx>
          <w:shd w:val="clear" w:color="auto" w:fill="auto"/>
          <w:tblCellMar>
            <w:top w:w="0" w:type="dxa"/>
            <w:left w:w="0" w:type="dxa"/>
            <w:bottom w:w="0" w:type="dxa"/>
            <w:right w:w="0" w:type="dxa"/>
          </w:tblCellMar>
        </w:tblPrEx>
        <w:trPr>
          <w:trHeight w:val="402" w:hRule="atLeast"/>
        </w:trPr>
        <w:tc>
          <w:tcPr>
            <w:tcW w:w="5231"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22"/>
                <w:szCs w:val="22"/>
                <w:u w:val="none"/>
              </w:rPr>
            </w:pPr>
          </w:p>
        </w:tc>
        <w:tc>
          <w:tcPr>
            <w:tcW w:w="1331"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22"/>
                <w:szCs w:val="22"/>
                <w:u w:val="none"/>
              </w:rPr>
            </w:pPr>
          </w:p>
        </w:tc>
        <w:tc>
          <w:tcPr>
            <w:tcW w:w="809"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22"/>
                <w:szCs w:val="22"/>
                <w:u w:val="none"/>
              </w:rPr>
            </w:pPr>
          </w:p>
        </w:tc>
        <w:tc>
          <w:tcPr>
            <w:tcW w:w="166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000000"/>
                <w:kern w:val="0"/>
                <w:sz w:val="22"/>
                <w:szCs w:val="22"/>
                <w:u w:val="none"/>
                <w:lang w:val="en-US" w:eastAsia="zh-CN" w:bidi="ar"/>
              </w:rPr>
            </w:pPr>
            <w:r>
              <w:rPr>
                <w:rFonts w:hint="eastAsia" w:ascii="Times New Roman" w:hAnsi="Times New Roman"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支            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预算数</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调整数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调整预算数</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本级支出合计</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478,489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-20,023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458,466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一、社会保障和就业支出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大中型水库移民后期扶持基金支出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移民补助</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础设施建设和经济发展</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二、城乡社区支出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460,529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-22,028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438,501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国有土地使用权出让收入安排的支出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429,272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-4,979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424,293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征地和拆迁补偿支出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37,373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66,204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103,577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土地开发支出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城市建设支出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1,776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2,481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4,257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农村基础设施建设支出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158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158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棚户区改造支出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其他国有土地使用权出让收入安排的支出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389,965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-73,664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316,301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城市基础设施配套费安排的支出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31,257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-17,049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14,208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城市公共设施</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31,127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-17,323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13,804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其他城市基础设施配套费安排的支出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274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404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棚户区改造专项债券收入安排的支出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征地和拆迁补偿支出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三、农林水支出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68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68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三峡水库库区基金支出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53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53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基础设施建设和经济发展</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32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解决移民遗留问题</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其他三峡水库库区基金支出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黑体" w:cs="黑体"/>
                <w:i w:val="0"/>
                <w:color w:val="000000"/>
                <w:kern w:val="2"/>
                <w:sz w:val="20"/>
                <w:szCs w:val="20"/>
                <w:u w:val="none"/>
                <w:lang w:val="en-US" w:eastAsia="zh-CN" w:bidi="ar-SA"/>
              </w:rPr>
            </w:pPr>
            <w:r>
              <w:rPr>
                <w:rFonts w:hint="eastAsia" w:ascii="Times New Roman" w:hAnsi="Times New Roman" w:eastAsia="黑体" w:cs="黑体"/>
                <w:i w:val="0"/>
                <w:color w:val="000000"/>
                <w:kern w:val="0"/>
                <w:sz w:val="20"/>
                <w:szCs w:val="20"/>
                <w:u w:val="none"/>
                <w:lang w:val="en-US" w:eastAsia="zh-CN" w:bidi="ar"/>
              </w:rPr>
              <w:t>支            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黑体"/>
                <w:i w:val="0"/>
                <w:color w:val="000000"/>
                <w:kern w:val="2"/>
                <w:sz w:val="20"/>
                <w:szCs w:val="20"/>
                <w:u w:val="none"/>
                <w:lang w:val="en-US" w:eastAsia="zh-CN" w:bidi="ar-SA"/>
              </w:rPr>
            </w:pPr>
            <w:r>
              <w:rPr>
                <w:rFonts w:hint="eastAsia" w:ascii="Times New Roman" w:hAnsi="Times New Roman" w:eastAsia="黑体" w:cs="黑体"/>
                <w:i w:val="0"/>
                <w:color w:val="000000"/>
                <w:kern w:val="0"/>
                <w:sz w:val="20"/>
                <w:szCs w:val="20"/>
                <w:u w:val="none"/>
                <w:lang w:val="en-US" w:eastAsia="zh-CN" w:bidi="ar"/>
              </w:rPr>
              <w:t>预算数</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黑体"/>
                <w:i w:val="0"/>
                <w:color w:val="000000"/>
                <w:kern w:val="2"/>
                <w:sz w:val="20"/>
                <w:szCs w:val="20"/>
                <w:u w:val="none"/>
                <w:lang w:val="en-US" w:eastAsia="zh-CN" w:bidi="ar-SA"/>
              </w:rPr>
            </w:pPr>
            <w:r>
              <w:rPr>
                <w:rFonts w:hint="eastAsia" w:ascii="Times New Roman" w:hAnsi="Times New Roman" w:eastAsia="黑体" w:cs="黑体"/>
                <w:i w:val="0"/>
                <w:color w:val="000000"/>
                <w:kern w:val="0"/>
                <w:sz w:val="20"/>
                <w:szCs w:val="20"/>
                <w:u w:val="none"/>
                <w:lang w:val="en-US" w:eastAsia="zh-CN" w:bidi="ar"/>
              </w:rPr>
              <w:t>调整数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黑体"/>
                <w:i w:val="0"/>
                <w:color w:val="000000"/>
                <w:kern w:val="2"/>
                <w:sz w:val="20"/>
                <w:szCs w:val="20"/>
                <w:u w:val="none"/>
                <w:lang w:val="en-US" w:eastAsia="zh-CN" w:bidi="ar-SA"/>
              </w:rPr>
            </w:pPr>
            <w:r>
              <w:rPr>
                <w:rFonts w:hint="eastAsia" w:ascii="Times New Roman" w:hAnsi="Times New Roman" w:eastAsia="黑体" w:cs="黑体"/>
                <w:i w:val="0"/>
                <w:color w:val="000000"/>
                <w:kern w:val="0"/>
                <w:sz w:val="20"/>
                <w:szCs w:val="20"/>
                <w:u w:val="none"/>
                <w:lang w:val="en-US" w:eastAsia="zh-CN" w:bidi="ar"/>
              </w:rPr>
              <w:t>调整预算数</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2"/>
                <w:sz w:val="20"/>
                <w:szCs w:val="20"/>
                <w:u w:val="none"/>
                <w:lang w:val="en-US" w:eastAsia="zh-CN" w:bidi="ar-SA"/>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国家重大水利工程建设基金安排的支出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2"/>
                <w:sz w:val="20"/>
                <w:szCs w:val="20"/>
                <w:u w:val="none"/>
                <w:lang w:val="en-US" w:eastAsia="zh-CN" w:bidi="ar-SA"/>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三峡后续工作</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四、其他支出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3,579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5,579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其他政府性基金及对应专项债务收入安排的支出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其他地方自行试点项目收益专项债券收入安排的支出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0"/>
                <w:szCs w:val="20"/>
                <w:u w:val="none"/>
                <w:lang w:val="en-US" w:eastAsia="zh-CN" w:bidi="ar"/>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2,000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彩票发行销售机构业务费安排的支出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彩票市场调控资金支出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其他彩票发行销售机构业务费安排的支出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彩票公益金安排的支出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3,567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3,567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用于社会福利的彩票公益金支出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953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953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用于体育事业的彩票公益金支出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2,309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2,309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用于教育事业的彩票公益金支出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41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41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用于残疾人事业的彩票公益金支出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用于城乡医疗救助的彩票公益金支出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用于其他社会公益事业的彩票公益金支出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175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175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五、债务付息支出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14,212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14,212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sz w:val="20"/>
                <w:szCs w:val="20"/>
                <w:u w:val="none"/>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地方政府专项债务付息支出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14,212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14,212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国有土地使用权出让金债务付息支出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3,414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3,414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土地储备专项债券付息支出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5,745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5,745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棚户区改造专项债券付息支出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338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338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其他地方自行试点项目收益专项债券付息支出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4,715 </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4,715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六、债务发行费用支出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地方政府专项债务发行费用支出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0"/>
                <w:szCs w:val="20"/>
                <w:u w:val="none"/>
                <w:lang w:val="en-US" w:eastAsia="zh-CN" w:bidi="ar"/>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r>
      <w:tr>
        <w:tblPrEx>
          <w:shd w:val="clear" w:color="auto" w:fill="auto"/>
          <w:tblCellMar>
            <w:top w:w="0" w:type="dxa"/>
            <w:left w:w="0" w:type="dxa"/>
            <w:bottom w:w="0" w:type="dxa"/>
            <w:right w:w="0" w:type="dxa"/>
          </w:tblCellMar>
        </w:tblPrEx>
        <w:trPr>
          <w:trHeight w:val="482" w:hRule="atLeast"/>
        </w:trPr>
        <w:tc>
          <w:tcPr>
            <w:tcW w:w="5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val="0"/>
                <w:bCs w:val="0"/>
                <w:i w:val="0"/>
                <w:iCs w:val="0"/>
                <w:color w:val="000000"/>
                <w:kern w:val="0"/>
                <w:sz w:val="20"/>
                <w:szCs w:val="20"/>
                <w:u w:val="none"/>
                <w:lang w:val="en-US" w:eastAsia="zh-CN" w:bidi="ar"/>
              </w:rPr>
            </w:pPr>
            <w:r>
              <w:rPr>
                <w:rFonts w:hint="eastAsia" w:ascii="Times New Roman" w:hAnsi="Times New Roman" w:eastAsia="宋体" w:cs="宋体"/>
                <w:b w:val="0"/>
                <w:bCs w:val="0"/>
                <w:i w:val="0"/>
                <w:iCs w:val="0"/>
                <w:color w:val="000000"/>
                <w:kern w:val="0"/>
                <w:sz w:val="20"/>
                <w:szCs w:val="20"/>
                <w:u w:val="none"/>
                <w:lang w:val="en-US" w:eastAsia="zh-CN" w:bidi="ar"/>
              </w:rPr>
              <w:t xml:space="preserve">     国有土地使用权出让金债务发行费用支出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0"/>
                <w:szCs w:val="20"/>
                <w:u w:val="none"/>
                <w:lang w:val="en-US" w:eastAsia="zh-CN" w:bidi="ar"/>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 </w:t>
            </w:r>
          </w:p>
        </w:tc>
      </w:tr>
    </w:tbl>
    <w:p>
      <w:pPr>
        <w:pStyle w:val="4"/>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注：2120899其他国有土地使用权出让收入安排的支出中，含棚户区改造购买服务支出。</w:t>
      </w: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表10</w:t>
      </w:r>
    </w:p>
    <w:p>
      <w:pPr>
        <w:widowControl/>
        <w:jc w:val="center"/>
        <w:textAlignment w:val="center"/>
        <w:rPr>
          <w:rFonts w:hint="eastAsia"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方正小标宋_GBK" w:cs="方正小标宋_GBK"/>
          <w:color w:val="000000"/>
          <w:kern w:val="0"/>
          <w:sz w:val="36"/>
          <w:szCs w:val="36"/>
          <w:u w:val="none"/>
          <w:shd w:val="clear" w:color="auto" w:fill="auto"/>
          <w:lang w:bidi="ar"/>
        </w:rPr>
        <w:t>202</w:t>
      </w:r>
      <w:r>
        <w:rPr>
          <w:rFonts w:hint="eastAsia" w:ascii="Times New Roman" w:hAnsi="Times New Roman" w:eastAsia="方正小标宋_GBK" w:cs="方正小标宋_GBK"/>
          <w:color w:val="000000"/>
          <w:kern w:val="0"/>
          <w:sz w:val="36"/>
          <w:szCs w:val="36"/>
          <w:u w:val="none"/>
          <w:shd w:val="clear" w:color="auto" w:fill="auto"/>
          <w:lang w:val="en-US" w:eastAsia="zh-CN" w:bidi="ar"/>
        </w:rPr>
        <w:t>2</w:t>
      </w:r>
      <w:r>
        <w:rPr>
          <w:rFonts w:hint="eastAsia" w:ascii="Times New Roman" w:hAnsi="Times New Roman" w:eastAsia="方正小标宋_GBK" w:cs="方正小标宋_GBK"/>
          <w:color w:val="000000"/>
          <w:kern w:val="0"/>
          <w:sz w:val="36"/>
          <w:szCs w:val="36"/>
          <w:u w:val="none"/>
          <w:shd w:val="clear" w:color="auto" w:fill="auto"/>
          <w:lang w:bidi="ar"/>
        </w:rPr>
        <w:t>年全区国有资本经营预算</w:t>
      </w:r>
      <w:r>
        <w:rPr>
          <w:rFonts w:hint="eastAsia" w:ascii="Times New Roman" w:hAnsi="Times New Roman" w:eastAsia="方正小标宋_GBK" w:cs="方正小标宋_GBK"/>
          <w:color w:val="000000"/>
          <w:kern w:val="0"/>
          <w:sz w:val="36"/>
          <w:szCs w:val="36"/>
          <w:u w:val="none"/>
          <w:shd w:val="clear" w:color="auto" w:fill="auto"/>
          <w:lang w:eastAsia="zh-CN" w:bidi="ar"/>
        </w:rPr>
        <w:t>调整</w:t>
      </w:r>
      <w:r>
        <w:rPr>
          <w:rFonts w:hint="eastAsia" w:ascii="Times New Roman" w:hAnsi="Times New Roman" w:eastAsia="方正小标宋_GBK" w:cs="方正小标宋_GBK"/>
          <w:color w:val="000000"/>
          <w:kern w:val="0"/>
          <w:sz w:val="36"/>
          <w:szCs w:val="36"/>
          <w:u w:val="none"/>
          <w:shd w:val="clear" w:color="auto" w:fill="auto"/>
          <w:lang w:bidi="ar"/>
        </w:rPr>
        <w:t>预算表</w:t>
      </w:r>
    </w:p>
    <w:p>
      <w:pPr>
        <w:pStyle w:val="4"/>
        <w:jc w:val="right"/>
        <w:rPr>
          <w:rFonts w:hint="eastAsia"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tbl>
      <w:tblPr>
        <w:tblStyle w:val="10"/>
        <w:tblpPr w:leftFromText="180" w:rightFromText="180" w:vertAnchor="text" w:horzAnchor="page" w:tblpX="1636" w:tblpY="304"/>
        <w:tblOverlap w:val="never"/>
        <w:tblW w:w="91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6"/>
        <w:gridCol w:w="975"/>
        <w:gridCol w:w="900"/>
        <w:gridCol w:w="975"/>
        <w:gridCol w:w="2100"/>
        <w:gridCol w:w="937"/>
        <w:gridCol w:w="1013"/>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收   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预算数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调整数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kern w:val="0"/>
                <w:sz w:val="20"/>
                <w:szCs w:val="20"/>
                <w:u w:val="none"/>
                <w:lang w:val="en-US" w:eastAsia="zh-CN" w:bidi="ar"/>
              </w:rPr>
            </w:pPr>
            <w:r>
              <w:rPr>
                <w:rFonts w:hint="eastAsia" w:ascii="Times New Roman" w:hAnsi="Times New Roman" w:eastAsia="黑体" w:cs="黑体"/>
                <w:i w:val="0"/>
                <w:color w:val="auto"/>
                <w:kern w:val="0"/>
                <w:sz w:val="20"/>
                <w:szCs w:val="20"/>
                <w:u w:val="none"/>
                <w:lang w:val="en-US" w:eastAsia="zh-CN" w:bidi="ar"/>
              </w:rPr>
              <w:t>调  整</w:t>
            </w:r>
          </w:p>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支    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预算数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 xml:space="preserve"> 调整数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kern w:val="0"/>
                <w:sz w:val="20"/>
                <w:szCs w:val="20"/>
                <w:u w:val="none"/>
                <w:lang w:val="en-US" w:eastAsia="zh-CN" w:bidi="ar"/>
              </w:rPr>
            </w:pPr>
            <w:r>
              <w:rPr>
                <w:rFonts w:hint="eastAsia" w:ascii="Times New Roman" w:hAnsi="Times New Roman" w:eastAsia="黑体" w:cs="黑体"/>
                <w:i w:val="0"/>
                <w:color w:val="auto"/>
                <w:kern w:val="0"/>
                <w:sz w:val="20"/>
                <w:szCs w:val="20"/>
                <w:u w:val="none"/>
                <w:lang w:val="en-US" w:eastAsia="zh-CN" w:bidi="ar"/>
              </w:rPr>
              <w:t>调  整</w:t>
            </w:r>
          </w:p>
          <w:p>
            <w:pPr>
              <w:pStyle w:val="4"/>
              <w:keepNext w:val="0"/>
              <w:keepLines w:val="0"/>
              <w:suppressLineNumbers w:val="0"/>
              <w:spacing w:before="0" w:beforeAutospacing="0" w:after="0" w:afterAutospacing="0"/>
              <w:ind w:left="0" w:right="0"/>
              <w:jc w:val="right"/>
              <w:rPr>
                <w:rFonts w:hint="eastAsia" w:ascii="Times New Roman" w:hAnsi="Times New Roman" w:eastAsia="黑体" w:cs="黑体"/>
                <w:i w:val="0"/>
                <w:color w:val="auto"/>
                <w:sz w:val="20"/>
                <w:szCs w:val="20"/>
                <w:u w:val="none"/>
              </w:rPr>
            </w:pPr>
            <w:r>
              <w:rPr>
                <w:rFonts w:hint="eastAsia" w:ascii="Times New Roman" w:hAnsi="Times New Roman" w:eastAsia="黑体" w:cs="黑体"/>
                <w:i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总  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color w:val="000000"/>
                <w:kern w:val="0"/>
                <w:sz w:val="20"/>
                <w:szCs w:val="20"/>
                <w:u w:val="none"/>
                <w:lang w:val="en-US" w:eastAsia="zh-CN" w:bidi="ar"/>
              </w:rPr>
            </w:pPr>
            <w:r>
              <w:rPr>
                <w:rFonts w:hint="eastAsia" w:ascii="Times New Roman" w:hAnsi="Times New Roman" w:eastAsia="宋体" w:cs="Times New Roman"/>
                <w:b/>
                <w:bCs/>
                <w:i w:val="0"/>
                <w:color w:val="000000"/>
                <w:kern w:val="0"/>
                <w:sz w:val="20"/>
                <w:szCs w:val="20"/>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5,090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总  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本级收入合计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b/>
                <w:bCs/>
                <w:i w:val="0"/>
                <w:color w:val="000000"/>
                <w:kern w:val="0"/>
                <w:sz w:val="20"/>
                <w:szCs w:val="20"/>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黑体" w:cs="黑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本级支出合计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一、利润收入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b/>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一、解决历史遗留问题及改革成本支出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val="0"/>
                <w:bCs/>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val="0"/>
                <w:bCs/>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val="0"/>
                <w:b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二、股利、股息收入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“三供一业”移交补助支出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其他历史遗留及改革成本支出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000000"/>
                <w:kern w:val="0"/>
                <w:sz w:val="20"/>
                <w:szCs w:val="20"/>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二、国有企业资本金注入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支持科技进步支出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其他国有企业资本金注入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三、金融企业国有资本经营预算支出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资本性支出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其他金融国有资本经营预算支出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四、其他国有资本经营预算支出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b/>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Times New Roman" w:hAnsi="Times New Roman" w:eastAsia="仿宋_GB2312" w:cs="仿宋_GB2312"/>
                <w:i w:val="0"/>
                <w:color w:val="auto"/>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其他国有资本经营预算支出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转移性收入合计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b/>
                <w:i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黑体" w:cs="黑体"/>
                <w:i w:val="0"/>
                <w:iCs w:val="0"/>
                <w:color w:val="000000"/>
                <w:kern w:val="0"/>
                <w:sz w:val="20"/>
                <w:szCs w:val="20"/>
                <w:u w:val="none"/>
                <w:lang w:val="en-US" w:eastAsia="zh-CN" w:bidi="ar"/>
              </w:rPr>
              <w:t>转移性支出合计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b/>
                <w:i w:val="0"/>
                <w:color w:val="000000"/>
                <w:kern w:val="0"/>
                <w:sz w:val="22"/>
                <w:szCs w:val="22"/>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一、上级补助收入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一、调出资金</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二、上年结转</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lang w:val="en-US" w:eastAsia="zh-CN"/>
              </w:rPr>
            </w:pPr>
            <w:r>
              <w:rPr>
                <w:rFonts w:hint="eastAsia" w:ascii="Times New Roman" w:hAnsi="Times New Roman" w:eastAsia="宋体" w:cs="宋体"/>
                <w:i w:val="0"/>
                <w:iCs w:val="0"/>
                <w:color w:val="000000"/>
                <w:kern w:val="0"/>
                <w:sz w:val="20"/>
                <w:szCs w:val="20"/>
                <w:u w:val="none"/>
                <w:lang w:val="en-US" w:eastAsia="zh-CN" w:bidi="ar"/>
              </w:rPr>
              <w:t>二、结转下年</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i w:val="0"/>
                <w:color w:val="auto"/>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jc w:val="center"/>
        </w:trPr>
        <w:tc>
          <w:tcPr>
            <w:tcW w:w="9197" w:type="dxa"/>
            <w:gridSpan w:val="8"/>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auto"/>
                <w:sz w:val="20"/>
                <w:szCs w:val="20"/>
                <w:u w:val="none"/>
              </w:rPr>
            </w:pPr>
            <w:r>
              <w:rPr>
                <w:rFonts w:hint="eastAsia" w:ascii="Times New Roman" w:hAnsi="Times New Roman" w:eastAsia="宋体" w:cs="宋体"/>
                <w:i w:val="0"/>
                <w:color w:val="auto"/>
                <w:kern w:val="0"/>
                <w:sz w:val="20"/>
                <w:szCs w:val="20"/>
                <w:u w:val="none"/>
                <w:lang w:val="en-US" w:eastAsia="zh-CN" w:bidi="ar"/>
              </w:rPr>
              <w:t>注：1.本表直观反映2022年国有资本经营预算收入与支出的平衡关系。</w:t>
            </w:r>
            <w:r>
              <w:rPr>
                <w:rFonts w:hint="eastAsia" w:ascii="Times New Roman" w:hAnsi="Times New Roman" w:eastAsia="宋体" w:cs="宋体"/>
                <w:i w:val="0"/>
                <w:color w:val="auto"/>
                <w:kern w:val="0"/>
                <w:sz w:val="20"/>
                <w:szCs w:val="20"/>
                <w:u w:val="none"/>
                <w:lang w:val="en-US" w:eastAsia="zh-CN" w:bidi="ar"/>
              </w:rPr>
              <w:br w:type="textWrapping"/>
            </w:r>
            <w:r>
              <w:rPr>
                <w:rFonts w:hint="eastAsia" w:ascii="Times New Roman" w:hAnsi="Times New Roman" w:eastAsia="宋体" w:cs="宋体"/>
                <w:i w:val="0"/>
                <w:color w:val="auto"/>
                <w:kern w:val="0"/>
                <w:sz w:val="20"/>
                <w:szCs w:val="20"/>
                <w:u w:val="none"/>
                <w:lang w:val="en-US" w:eastAsia="zh-CN" w:bidi="ar"/>
              </w:rPr>
              <w:t xml:space="preserve">    2.收入总计（本级收入合计+转移性收入合计）=支出总计（本级支出合计+转移性支出合计）。</w:t>
            </w:r>
          </w:p>
        </w:tc>
      </w:tr>
    </w:tbl>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表11</w:t>
      </w:r>
    </w:p>
    <w:p>
      <w:pPr>
        <w:pStyle w:val="4"/>
        <w:jc w:val="center"/>
        <w:rPr>
          <w:rFonts w:hint="default" w:ascii="Times New Roman" w:hAnsi="Times New Roman" w:eastAsia="方正小标宋_GBK" w:cs="方正小标宋_GBK"/>
          <w:i w:val="0"/>
          <w:color w:val="000000"/>
          <w:kern w:val="0"/>
          <w:sz w:val="36"/>
          <w:szCs w:val="36"/>
          <w:u w:val="none"/>
          <w:lang w:val="en-US" w:eastAsia="zh-CN" w:bidi="ar"/>
        </w:rPr>
      </w:pPr>
      <w:r>
        <w:rPr>
          <w:rFonts w:hint="eastAsia" w:ascii="Times New Roman" w:hAnsi="Times New Roman" w:eastAsia="方正小标宋_GBK" w:cs="方正小标宋_GBK"/>
          <w:i w:val="0"/>
          <w:color w:val="000000"/>
          <w:kern w:val="0"/>
          <w:sz w:val="36"/>
          <w:szCs w:val="36"/>
          <w:u w:val="none"/>
          <w:lang w:val="en-US" w:eastAsia="zh-CN" w:bidi="ar"/>
        </w:rPr>
        <w:t xml:space="preserve">2022年全区地方政府债务限额调整情况表                </w:t>
      </w:r>
      <w:r>
        <w:rPr>
          <w:rFonts w:hint="eastAsia" w:ascii="Times New Roman" w:hAnsi="Times New Roman" w:eastAsia="宋体" w:cs="宋体"/>
          <w:i w:val="0"/>
          <w:color w:val="000000"/>
          <w:kern w:val="0"/>
          <w:sz w:val="24"/>
          <w:szCs w:val="24"/>
          <w:u w:val="none"/>
          <w:lang w:val="en-US" w:eastAsia="zh-CN" w:bidi="ar"/>
        </w:rPr>
        <w:t xml:space="preserve"> </w:t>
      </w:r>
    </w:p>
    <w:tbl>
      <w:tblPr>
        <w:tblStyle w:val="10"/>
        <w:tblpPr w:leftFromText="180" w:rightFromText="180" w:vertAnchor="text" w:horzAnchor="page" w:tblpX="1501" w:tblpY="315"/>
        <w:tblOverlap w:val="never"/>
        <w:tblW w:w="10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4"/>
        <w:gridCol w:w="1538"/>
        <w:gridCol w:w="1612"/>
        <w:gridCol w:w="1514"/>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91" w:type="dxa"/>
          <w:trHeight w:val="680" w:hRule="atLeas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项      目</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宋体" w:cs="宋体"/>
                <w:b/>
                <w:bCs/>
                <w:i w:val="0"/>
                <w:iCs w:val="0"/>
                <w:color w:val="000000"/>
                <w:kern w:val="0"/>
                <w:sz w:val="20"/>
                <w:szCs w:val="20"/>
                <w:u w:val="none"/>
                <w:lang w:val="en-US" w:eastAsia="zh-CN" w:bidi="ar"/>
              </w:rPr>
              <w:t>公  式</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宋体" w:cs="宋体"/>
                <w:b/>
                <w:bCs/>
                <w:i w:val="0"/>
                <w:iCs w:val="0"/>
                <w:color w:val="000000"/>
                <w:kern w:val="0"/>
                <w:sz w:val="20"/>
                <w:szCs w:val="20"/>
                <w:u w:val="none"/>
                <w:lang w:val="en-US" w:eastAsia="zh-CN" w:bidi="ar"/>
              </w:rPr>
              <w:t>本地区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宋体" w:cs="宋体"/>
                <w:b/>
                <w:bCs/>
                <w:i w:val="0"/>
                <w:iCs w:val="0"/>
                <w:color w:val="000000"/>
                <w:kern w:val="0"/>
                <w:sz w:val="20"/>
                <w:szCs w:val="20"/>
                <w:u w:val="none"/>
                <w:lang w:val="en-US" w:eastAsia="zh-CN" w:bidi="ar"/>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一、2021年地方政府债务限额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A=B+C</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994,000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994,000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 一般债务限额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B</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628,000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200" w:firstLineChars="6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专项债务限额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C</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366,000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二、2022年新增地方政府债务限额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D=E+F</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 一般债务限额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E</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000" w:firstLineChars="5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专项债务限额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F</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附：提前下达的2022年新增地方政府债务限额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G=H+I</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 一般债务限额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H</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1000" w:firstLineChars="500"/>
              <w:jc w:val="both"/>
              <w:textAlignment w:val="center"/>
              <w:rPr>
                <w:rFonts w:hint="default" w:ascii="Times New Roman" w:hAnsi="Times New Roman" w:eastAsia="宋体" w:cs="宋体"/>
                <w:i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专项债务限额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color w:val="000000"/>
                <w:sz w:val="22"/>
                <w:szCs w:val="22"/>
                <w:u w:val="none"/>
              </w:rPr>
            </w:pPr>
            <w:r>
              <w:rPr>
                <w:rFonts w:hint="eastAsia" w:ascii="Times New Roman" w:hAnsi="Times New Roman" w:eastAsia="宋体" w:cs="宋体"/>
                <w:i w:val="0"/>
                <w:iCs w:val="0"/>
                <w:color w:val="000000"/>
                <w:kern w:val="0"/>
                <w:sz w:val="20"/>
                <w:szCs w:val="20"/>
                <w:u w:val="none"/>
                <w:lang w:val="en-US" w:eastAsia="zh-CN" w:bidi="ar"/>
              </w:rPr>
              <w:t>I</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三、2022年地方政府债务限额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J=K+L</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1,014,000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00" w:firstLineChars="200"/>
              <w:jc w:val="both"/>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其中： 一般债务限额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K</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 xml:space="preserve">648,000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91" w:type="dxa"/>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 xml:space="preserve">          专项债务限额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L</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366,000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10739" w:type="dxa"/>
            <w:gridSpan w:val="5"/>
            <w:shd w:val="clear" w:color="auto" w:fill="auto"/>
            <w:vAlign w:val="center"/>
          </w:tcPr>
          <w:p>
            <w:pPr>
              <w:keepNext w:val="0"/>
              <w:keepLines w:val="0"/>
              <w:widowControl/>
              <w:numPr>
                <w:ilvl w:val="0"/>
                <w:numId w:val="0"/>
              </w:numPr>
              <w:suppressLineNumbers w:val="0"/>
              <w:spacing w:before="0" w:beforeAutospacing="0" w:after="0" w:afterAutospacing="0"/>
              <w:ind w:left="0" w:right="0" w:firstLine="360" w:firstLineChars="200"/>
              <w:jc w:val="left"/>
              <w:textAlignment w:val="center"/>
              <w:rPr>
                <w:rFonts w:hint="default" w:ascii="Times New Roman" w:hAnsi="Times New Roman" w:eastAsia="宋体" w:cs="宋体"/>
                <w:i w:val="0"/>
                <w:color w:val="000000"/>
                <w:kern w:val="0"/>
                <w:sz w:val="18"/>
                <w:szCs w:val="18"/>
                <w:u w:val="none"/>
                <w:lang w:val="en-US" w:eastAsia="zh-CN" w:bidi="ar"/>
              </w:rPr>
            </w:pPr>
          </w:p>
        </w:tc>
      </w:tr>
    </w:tbl>
    <w:p>
      <w:pPr>
        <w:pStyle w:val="4"/>
        <w:jc w:val="right"/>
        <w:rPr>
          <w:rFonts w:hint="default"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p>
      <w:pPr>
        <w:pStyle w:val="4"/>
        <w:rPr>
          <w:rFonts w:hint="default" w:ascii="Times New Roman" w:hAnsi="Times New Roman" w:eastAsia="方正仿宋_GBK" w:cs="Times New Roman"/>
          <w:sz w:val="32"/>
          <w:szCs w:val="32"/>
          <w:lang w:val="en-US" w:eastAsia="zh-CN"/>
        </w:rPr>
      </w:pPr>
    </w:p>
    <w:p>
      <w:pPr>
        <w:pStyle w:val="4"/>
        <w:rPr>
          <w:rFonts w:hint="default" w:ascii="Times New Roman" w:hAnsi="Times New Roman" w:eastAsia="方正仿宋_GBK" w:cs="Times New Roman"/>
          <w:sz w:val="32"/>
          <w:szCs w:val="32"/>
          <w:lang w:val="en-US" w:eastAsia="zh-CN"/>
        </w:r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表12</w:t>
      </w:r>
    </w:p>
    <w:p>
      <w:pPr>
        <w:pStyle w:val="4"/>
        <w:jc w:val="center"/>
        <w:rPr>
          <w:rFonts w:hint="eastAsia" w:ascii="Times New Roman" w:hAnsi="Times New Roman" w:eastAsia="方正小标宋_GBK" w:cs="方正小标宋_GBK"/>
          <w:i w:val="0"/>
          <w:color w:val="000000"/>
          <w:kern w:val="0"/>
          <w:sz w:val="36"/>
          <w:szCs w:val="36"/>
          <w:u w:val="none"/>
          <w:lang w:val="en-US" w:eastAsia="zh-CN" w:bidi="ar"/>
        </w:rPr>
      </w:pPr>
      <w:r>
        <w:rPr>
          <w:rFonts w:hint="eastAsia" w:ascii="Times New Roman" w:hAnsi="Times New Roman" w:eastAsia="方正小标宋_GBK" w:cs="方正小标宋_GBK"/>
          <w:i w:val="0"/>
          <w:color w:val="000000"/>
          <w:kern w:val="0"/>
          <w:sz w:val="36"/>
          <w:szCs w:val="36"/>
          <w:u w:val="none"/>
          <w:lang w:val="en-US" w:eastAsia="zh-CN" w:bidi="ar"/>
        </w:rPr>
        <w:t>2022年新增地方政府债券资金安排表</w:t>
      </w:r>
    </w:p>
    <w:p>
      <w:pPr>
        <w:pStyle w:val="4"/>
        <w:jc w:val="center"/>
        <w:rPr>
          <w:rFonts w:hint="eastAsia" w:ascii="Times New Roman" w:hAnsi="Times New Roman" w:eastAsia="方正小标宋_GBK" w:cs="方正小标宋_GBK"/>
          <w:i w:val="0"/>
          <w:color w:val="000000"/>
          <w:kern w:val="0"/>
          <w:sz w:val="32"/>
          <w:szCs w:val="32"/>
          <w:u w:val="none"/>
          <w:lang w:val="en-US" w:eastAsia="zh-CN" w:bidi="ar"/>
        </w:rPr>
      </w:pPr>
    </w:p>
    <w:p>
      <w:pPr>
        <w:pStyle w:val="4"/>
        <w:jc w:val="right"/>
        <w:rPr>
          <w:rFonts w:hint="default" w:ascii="Times New Roman" w:hAnsi="Times New Roman" w:eastAsia="宋体" w:cs="宋体"/>
          <w:i w:val="0"/>
          <w:color w:val="000000"/>
          <w:kern w:val="0"/>
          <w:sz w:val="22"/>
          <w:szCs w:val="22"/>
          <w:u w:val="none"/>
          <w:shd w:val="clear" w:color="auto" w:fill="auto"/>
          <w:lang w:val="en-US" w:eastAsia="zh-CN" w:bidi="ar"/>
        </w:rPr>
      </w:pPr>
      <w:r>
        <w:rPr>
          <w:rFonts w:hint="eastAsia" w:ascii="Times New Roman" w:hAnsi="Times New Roman" w:eastAsia="宋体" w:cs="宋体"/>
          <w:i w:val="0"/>
          <w:color w:val="000000"/>
          <w:kern w:val="0"/>
          <w:sz w:val="22"/>
          <w:szCs w:val="22"/>
          <w:u w:val="none"/>
          <w:shd w:val="clear" w:color="auto" w:fill="auto"/>
          <w:lang w:val="en-US" w:eastAsia="zh-CN" w:bidi="ar"/>
        </w:rPr>
        <w:t>单位：万元</w:t>
      </w:r>
    </w:p>
    <w:tbl>
      <w:tblPr>
        <w:tblStyle w:val="10"/>
        <w:tblW w:w="8909"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0"/>
        <w:gridCol w:w="1978"/>
        <w:gridCol w:w="1623"/>
        <w:gridCol w:w="1320"/>
        <w:gridCol w:w="1463"/>
        <w:gridCol w:w="1481"/>
        <w:gridCol w:w="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4" w:type="dxa"/>
          <w:trHeight w:val="62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lang w:eastAsia="zh-CN"/>
              </w:rPr>
            </w:pPr>
            <w:r>
              <w:rPr>
                <w:rFonts w:hint="eastAsia" w:ascii="Times New Roman" w:hAnsi="Times New Roman" w:eastAsia="黑体" w:cs="黑体"/>
                <w:b w:val="0"/>
                <w:bCs/>
                <w:i w:val="0"/>
                <w:color w:val="000000"/>
                <w:sz w:val="20"/>
                <w:szCs w:val="20"/>
                <w:u w:val="none"/>
                <w:lang w:eastAsia="zh-CN"/>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项目类型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项目主管部门</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债券性质</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债券规模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64" w:type="dxa"/>
          <w:trHeight w:val="102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H17地块新建学校项目建设</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义务教育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区教委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一般债券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64" w:type="dxa"/>
          <w:trHeight w:val="88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黑体" w:cs="黑体"/>
                <w:i w:val="0"/>
                <w:iCs w:val="0"/>
                <w:color w:val="000000"/>
                <w:kern w:val="0"/>
                <w:sz w:val="22"/>
                <w:szCs w:val="22"/>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H17地块新建学校项目建设</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义务教育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区教委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一般债券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64" w:type="dxa"/>
          <w:trHeight w:val="100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黑体" w:cs="黑体"/>
                <w:i w:val="0"/>
                <w:iCs w:val="0"/>
                <w:color w:val="000000"/>
                <w:kern w:val="0"/>
                <w:sz w:val="20"/>
                <w:szCs w:val="20"/>
                <w:u w:val="none"/>
                <w:lang w:val="en-US" w:eastAsia="zh-CN" w:bidi="ar"/>
              </w:rPr>
              <w:t>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F10地块新建小学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义务教育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区教委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一般债券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64" w:type="dxa"/>
          <w:trHeight w:val="87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黑体" w:cs="黑体"/>
                <w:i w:val="0"/>
                <w:iCs w:val="0"/>
                <w:color w:val="000000"/>
                <w:kern w:val="0"/>
                <w:sz w:val="20"/>
                <w:szCs w:val="20"/>
                <w:u w:val="none"/>
                <w:lang w:val="en-US" w:eastAsia="zh-CN" w:bidi="ar"/>
              </w:rPr>
              <w:t xml:space="preserve">4 </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N31地块新建小学（慧泉小学）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义务教育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区教委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一般债券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64" w:type="dxa"/>
          <w:trHeight w:val="92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宋体"/>
                <w:i w:val="0"/>
                <w:color w:val="FF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大渡口区跳磴镇生态小镇项目建设</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城镇老旧小区改造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区住房城乡建委</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FF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专项债券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FF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8909" w:type="dxa"/>
            <w:gridSpan w:val="7"/>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宋体" w:cs="宋体"/>
                <w:i w:val="0"/>
                <w:color w:val="000000"/>
                <w:kern w:val="0"/>
                <w:sz w:val="18"/>
                <w:szCs w:val="18"/>
                <w:u w:val="none"/>
                <w:lang w:val="en-US" w:eastAsia="zh-CN" w:bidi="ar"/>
              </w:rPr>
            </w:pPr>
            <w:r>
              <w:rPr>
                <w:rFonts w:hint="eastAsia" w:ascii="Times New Roman" w:hAnsi="Times New Roman" w:eastAsia="宋体" w:cs="宋体"/>
                <w:i w:val="0"/>
                <w:color w:val="000000"/>
                <w:sz w:val="20"/>
                <w:szCs w:val="20"/>
                <w:u w:val="none"/>
              </w:rPr>
              <w:t>注：本表反映本级当年新增地方政府债券资金使用安排，由县级以上地方各级财政部门在本级人民代表大会常务委员会批准预算调整方案后二十日内公开。</w:t>
            </w:r>
          </w:p>
        </w:tc>
      </w:tr>
    </w:tbl>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eastAsia="方正黑体_GBK" w:cs="Times New Roman"/>
          <w:i w:val="0"/>
          <w:color w:val="000000"/>
          <w:kern w:val="0"/>
          <w:sz w:val="28"/>
          <w:szCs w:val="28"/>
          <w:u w:val="none"/>
          <w:shd w:val="clear" w:color="auto" w:fill="auto"/>
          <w:lang w:val="en-US" w:eastAsia="zh-CN" w:bidi="ar"/>
        </w:rPr>
      </w:pPr>
    </w:p>
    <w:p>
      <w:pPr>
        <w:pStyle w:val="2"/>
        <w:rPr>
          <w:rFonts w:hint="eastAsia" w:ascii="Times New Roman" w:hAnsi="Times New Roman"/>
          <w:lang w:val="en-US" w:eastAsia="zh-CN"/>
        </w:rPr>
      </w:pPr>
    </w:p>
    <w:p>
      <w:pPr>
        <w:keepNext w:val="0"/>
        <w:keepLines w:val="0"/>
        <w:widowControl/>
        <w:suppressLineNumbers w:val="0"/>
        <w:jc w:val="left"/>
        <w:textAlignment w:val="center"/>
        <w:rPr>
          <w:rFonts w:hint="eastAsia"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表13</w:t>
      </w:r>
    </w:p>
    <w:tbl>
      <w:tblPr>
        <w:tblStyle w:val="10"/>
        <w:tblpPr w:leftFromText="180" w:rightFromText="180" w:vertAnchor="text" w:horzAnchor="page" w:tblpX="1788" w:tblpY="41"/>
        <w:tblOverlap w:val="never"/>
        <w:tblW w:w="8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0"/>
        <w:gridCol w:w="3394"/>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94"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iCs w:val="0"/>
                <w:color w:val="000000"/>
                <w:sz w:val="44"/>
                <w:szCs w:val="44"/>
                <w:u w:val="none"/>
              </w:rPr>
            </w:pPr>
            <w:r>
              <w:rPr>
                <w:rFonts w:hint="eastAsia" w:ascii="Times New Roman" w:hAnsi="Times New Roman" w:eastAsia="方正小标宋_GBK" w:cs="方正小标宋_GBK"/>
                <w:i w:val="0"/>
                <w:iCs w:val="0"/>
                <w:color w:val="000000"/>
                <w:kern w:val="0"/>
                <w:sz w:val="44"/>
                <w:szCs w:val="44"/>
                <w:u w:val="none"/>
                <w:lang w:val="en-US" w:eastAsia="zh-CN" w:bidi="ar"/>
              </w:rPr>
              <w:t>2022年项目预算收回统筹情况表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33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124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单位：元</w:t>
            </w:r>
          </w:p>
        </w:tc>
      </w:tr>
    </w:tbl>
    <w:p>
      <w:pPr>
        <w:rPr>
          <w:rFonts w:ascii="Times New Roman" w:hAnsi="Times New Roman"/>
        </w:rPr>
      </w:pPr>
    </w:p>
    <w:tbl>
      <w:tblPr>
        <w:tblStyle w:val="10"/>
        <w:tblW w:w="9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2"/>
        <w:gridCol w:w="3583"/>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exact"/>
          <w:tblHeader/>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单位信息</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7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合  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134,811,047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126001-重庆市大渡口区人力资源和社会保障局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青年人才安家补贴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126001-重庆市大渡口区人力资源和社会保障局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专项人才经费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140001-重庆市大渡口区残疾人联合会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残疾人就业培训、扶贫救助及创业补助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140001-重庆市大渡口区残疾人联合会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残疾人日间照料托养服务及无障碍改造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140001-重庆市大渡口区残疾人联合会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精神病康复、残疾预防与残疾人健康体检</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大渡口区火灾惠民保险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残疾人“两项补贴”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老年人意外保险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困境儿童临时监护</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139001-重庆市大渡口区民政局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困难群众城乡居民基本养老保险代缴资金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139003-重庆市大渡口区最低生活保障事务中心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临时救助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139003-重庆市大渡口区最低生活保障事务中心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特困人员支出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839,000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124001-重庆市大渡口区社会保险事务中心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社保大厅服务运行</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124001-重庆市大渡口区社会保险事务中心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社保宣传培训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124001-重庆市大渡口区社会保险事务中心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互联网+社保</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124001-重庆市大渡口区社会保险事务中心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全民参保登记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食品公共场所等行业从业人员预防性体检补助经费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重大公共卫生服务及基层医疗卫生服务专项经费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卫生健康系统党建及人才建设专项经费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爱国卫生及健康促进专项经费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145001-重庆市大渡口区卫生健康委员会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医疗卫生管理事务专项经费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165001-重庆市大渡口区红十字会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区红十字会工作专项经费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优抚工作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退役军人安置工作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思想和权益维护工作经费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双拥工作经费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烈士陵园整修经费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138001-重庆市大渡口区退役军人事务局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全国双拥模范城创建工作经费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112001-中国共产党重庆市大渡口区委老干部局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老干部工作专项经费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112001-中国共产党重庆市大渡口区委老干部局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离退休干部体检费,健康疗养费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112001-中国共产党重庆市大渡口区委老干部局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老干部活动中心经费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113001-中国共产主义青年团重庆市大渡口区委员会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基层团组织建设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挂兼职群团干部工作补助专项经费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妇女儿童工作委员会专项经费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编制《重庆市大渡口区妇女发展规划（2021-2030》《重庆市大渡口区儿童发展规划（2021-2030》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家庭教育专项经费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妇女儿童事业发展专项经费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114001-重庆市大渡口区妇女联合会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妇女儿童活动中心运行专项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137001-重庆市大渡口区人民防空办公室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平战结合专项-人防工程加固改造、维护管理费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78,284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137001-重庆市大渡口区人民防空办公室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翠园人防工程人行通道维护专项经费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66,056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137001-重庆市大渡口区人民防空办公室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湖榕路、锦霞街、松青路人防工程专项整治（外观）经费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148001-重庆市大渡口区工商业联合会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非公经济代表人士培训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813001-财税中心代编</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协税护税专项经费-项目支出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123001-重庆市大渡口区招商投资促进局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招商引资及投资促进服务工作专项经费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123001-重庆市大渡口区招商投资促进局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外派驻点招商工作专项经费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123001-重庆市大渡口区招商投资促进局</w:t>
            </w:r>
            <w:bookmarkStart w:id="0" w:name="_GoBack"/>
            <w:bookmarkEnd w:id="0"/>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重庆小面产业营销宣传推广工作专项经费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147001-重庆市大渡口区商务委员会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内贸统计保供专项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147001-重庆市大渡口区商务委员会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安全生产监管保障支出专项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147001-重庆市大渡口区商务委员会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国际消费中心城市核心区建设发展专项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147003-</w:t>
            </w:r>
            <w:r>
              <w:rPr>
                <w:rStyle w:val="51"/>
                <w:rFonts w:ascii="Times New Roman" w:hAnsi="Times New Roman"/>
                <w:lang w:val="en-US" w:eastAsia="zh-CN" w:bidi="ar"/>
              </w:rPr>
              <w:t>重庆市大渡口区供销合作社</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“三社”融合发展及农业生产废弃物资源化利用专项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146001-重庆市大渡口区农业农村委员会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企业三类人员生活困难补助及重点信访人员节日慰问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146001-重庆市大渡口区农业农村委员会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农业农村产业化发展工作经费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146001-重庆市大渡口区农业农村委员会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千村宜居创建活动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146002-重庆市大渡口区乡村振兴发展指导中心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农村综合改革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146002-重庆市大渡口区乡村振兴发展指导中心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人居环境整治专项经费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146004-重庆市大渡口区农业技术推广服务站</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农技推广管理经费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146006-重庆市大渡口区农业综合行政执法支队</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农业综合执法专项经费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中小微企业服务工作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工业经济运行工作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数字经济工作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军民融合政策研究及策划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智博会参展工作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企业及企业涉军群体遗留问题解决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安全生产监管及应急执法保障工作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122001-重庆市大渡口区经济和信息化委员会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节能环保工作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150001-重庆市大渡口区金融发展中心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企业融资、地方金融服务专项经费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150001-重庆市大渡口区金融发展中心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地方金融监管服务专项经费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150001-重庆市大渡口区金融发展中心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培育拟上市企业专项经费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150001-重庆市大渡口区金融发展中心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打击非法金融活动专项经费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809001-政府债务管理科代编</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一般债券付息</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809001-政府债务管理科代编</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向国际组织借款付息支出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151001-重庆市大渡口区政务服务办公室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政务中心运行费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151001-重庆市大渡口区政务服务办公室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政务中心运行外聘人员专项经费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151001-重庆市大渡口区政务服务办公室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新政务服务中心电子设备和信息系统质保金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71,212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151001-重庆市大渡口区政务服务办公室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大渡口区政务服务中心智能审批项目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151002-重庆市大渡口区公共资源交易中心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公共资源交易运行经费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151002-重庆市大渡口区公共资源交易中心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开评标专项经费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120001-重庆市大渡口区机关事务管理局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物业管理经费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120001-重庆市大渡口区机关事务管理局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机关办公大楼及城市展厅安保服务经费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120001-重庆市大渡口区机关事务管理局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周转房管理运行经费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120001-重庆市大渡口区机关事务管理局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规划展览厅运行维护经费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120002-重庆市大渡口区机关后勤服务中心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机关食堂劳务经费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132001-重庆市大渡口区生态环境局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净土行动专项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132001-重庆市大渡口区生态环境局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宁静行动专项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132001-重庆市大渡口区生态环境局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碧水行动与自然保护专项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132002-重庆市大渡口区污染物减排中心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核与辐射专项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132002-重庆市大渡口区污染物减排中心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减污降碳专项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133001-重庆市大渡口区住房和城乡建设委员会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可燃雨棚与突出外墙防护网整治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133001-重庆市大渡口区住房和城乡建设委员会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大渡口区第一次全国自然灾害综合风险普查房屋建筑调查工作专项经费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133001-重庆市大渡口区住房和城乡建设委员会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勘察设计质量抽查、消防设计质量专项检查及建筑节能绿色建筑培训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133001-重庆市大渡口区住房和城乡建设委员会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2022年人行天桥项目建设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134001-重庆市大渡口区发展和改革委员会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价格管理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134001-重庆市大渡口区发展和改革委员会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改制企业人员过路和退休人员专项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135001-重庆市大渡口区交通局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国土空间规划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135001-重庆市大渡口区交通局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两江四岸货运码头治理工作经费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135001-重庆市大渡口区交通局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全区自然灾害综合风险公路水路设施承灾体普查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大渡口区雨污水管网整治工程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659,432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大渡口区迎春灯饰建设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编制大渡口区装修垃圾分选厂项目建议书和可行性研究报告</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大渡口区建筑垃圾治理专项规划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大渡口组团M18-5地块控制性详细规划修改方案（大渡口区建筑装修垃圾分选厂用地调规）</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162001-重庆市大渡口区城市管理局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公众服务基础资源普查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162002-重庆市大渡口区市政工程处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2022年市政箱式变电站更换工程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162002-重庆市大渡口区市政工程处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大渡口区210复线桥加固整治工程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162002-重庆市大渡口区市政工程处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历年尾款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162002-重庆市大渡口区市政工程处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加装中央隔离护栏</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129,700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公务车更新采购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果皮箱更新采购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2022年劳动者港湾建设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2022年公厕建设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162003-重庆市大渡口区环境卫生管理处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2021年公厕建设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749,800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162005-重庆市大渡口区绿化工程处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社区拆迁区域园林树木移植专项经费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162005-重庆市大渡口区绿化工程处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2022年街头绿地提质工程（西城大道及出入区重要节点）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162005-重庆市大渡口区绿化工程处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2022年街头绿地提质工程（五厂路、钢城印象游园）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162005-重庆市大渡口区绿化工程处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跃进览江台社区公园建设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162006-重庆市大渡口区公园管理处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2021年直管公园品质提升项目尾款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162006-重庆市大渡口区公园管理处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澜玥公园物业管理服务尾款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162006-重庆市大渡口区公园管理处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直管公园水电改造工程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806001-区规划自然资源局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观音岩危岩治理经费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806002-区不动产登记中心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深化登记财产改革优化营商环境相关工作经费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164001-重庆市大渡口区消防救援支队</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伏牛溪北消防站建设专项经费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164001-重庆市大渡口区消防救援支队</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工业级消防供水车购置费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164001-重庆市大渡口区消防救援支队</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高层建筑消防物联网管理信息系统终端建设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聘用人员专项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153001-重庆市大渡口区人民政府跃进村街道办事处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154001-重庆市大渡口区人民政府新山村街道办事处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锁口丘社区便民服务中心建设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人民武装专项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130,700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应急安全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155001-重庆市大渡口区人民政府九宫庙街道办事处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疫情防控</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131,567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127,210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聘用人员专项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村（社区）基本运行</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村（社区）干部补贴专项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251,020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应急安全专项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156001-重庆市大渡口区人民政府春晖路街道办事处</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疫情防控</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191,560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人民武装专项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聘用人员专项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565,700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158001-重庆市大渡口区八桥镇人民政府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临时过渡办公用房搬迁费用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应急安全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159001-重庆市大渡口区建胜镇人民政府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违法建筑整治工作奖补专项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160001-重庆市大渡口区跳磴镇人民政府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村（社区）便民服务中心建设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101001-中国共产党重庆市大渡口区委员会办公室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保密宣传及值班保障专项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101001-中国共产党重庆市大渡口区委员会办公室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史志档案专项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101001-中国共产党重庆市大渡口区委员会办公室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党委信息、法规及文档综合专项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102001-重庆市大渡口区人民代表大会常务委员会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人代会专项经费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102001-重庆市大渡口区人民代表大会常务委员会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人代会住宿经费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104001-中国人民政治协商会议重庆市大渡口区委员会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政协委员活动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105001-中国共产党重庆市大渡口区委员会组织部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组织工作信息化建设专项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105001-中国共产党重庆市大渡口区委员会组织部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公务员考录和管理专项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105001-中国共产党重庆市大渡口区委员会组织部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区委党的基层组织建设专项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106001-中国共产党重庆市大渡口区委员会直属机关工作委员会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党群专项工作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107001-中共重庆市大渡口区纪律检查委员会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留置中心运行工作专项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108001-中国共产党重庆市大渡口区委员会政法委员会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维稳指导专项经费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108001-中国共产党重庆市大渡口区委员会政法委员会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政法工作宣传专项经费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108001-中国共产党重庆市大渡口区委员会政法委员会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政法队伍教育培训专项经费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109001-中国共产党重庆市大渡口区委统战部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民主党派、统战团体专项经费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109001-中国共产党重庆市大渡口区委统战部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多党合作与政治协商专项工作经费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109001-中国共产党重庆市大渡口区委统战部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统战系统教育培训经费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109001-中国共产党重庆市大渡口区委统战部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“同心”工程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110001-中国共产党重庆市大渡口区委员会宣传部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社会宣传及教育</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110001-中国共产党重庆市大渡口区委员会宣传部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群众性精神文明建设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110001-中国共产党重庆市大渡口区委员会宣传部</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培育王红旭为全国重大宣传典型专项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118001-重庆市大渡口区信访办公室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维护社会稳定专项经费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151,950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118001-重庆市大渡口区信访办公室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应急协调专项经费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118001-重庆市大渡口区信访办公室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大下访活动专项经费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121001-重庆市大渡口区财政局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全区财政评审专项经费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121001-重庆市大渡口区财政局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全区预算单位及国有企业财务培训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121005-重庆市大渡口区预算绩效评审中心（重庆市中华会计函授学校大渡口分校）</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全区财政绩效评价专项经费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125001-中国共产党重庆市大渡口区委员会机构编制委员会办公室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编委会事务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129001-重庆市大渡口区融媒体中心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融媒体建设经费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129001-重庆市大渡口区融媒体中心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融媒体中心运行经费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129001-重庆市大渡口区融媒体中心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市级媒体及行业协会管理服务合作专项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129001-重庆市大渡口区融媒体中心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新媒体部运行经费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130001-重庆市大渡口区科学技术局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创新主体培育计划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131001-重庆市大渡口区应急管理局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基层基础能力建设专项经费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131001-重庆市大渡口区应急管理局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安全生产举报奖励专项经费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131001-重庆市大渡口区应急管理局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“巴渝工匠杯”竞赛专项经费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141004-重庆市大渡口区文物管理所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博物馆免费开放运行专项经费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141005-重庆市大渡口区图书馆</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文献购置经费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141005-重庆市大渡口区图书馆</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光纤租用费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142001-重庆市大渡口区教育委员会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民办学校补助经费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142001-重庆市大渡口区教育委员会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教育教学与德育教育专项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142001-重庆市大渡口区教育委员会</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教育综合改革项目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143001-重庆市大渡口区司法局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法律援助专项工作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143001-重庆市大渡口区司法局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公共法律服务办案费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144003-重庆市大渡口区体育运动场</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组织及参加群众体育活动经费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149001-重庆市公安局大渡口区分局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校园周边交通设施品质提升项目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149001-重庆市公安局大渡口区分局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重点交通服务管理信息采集筛查系统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149001-重庆市公安局大渡口区分局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民生实事未包含公路路产占用和赔偿费用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161001-重庆市大渡口区大数据应用发展管理局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大渡口区党政办公信息化系统（信创）</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161001-重庆市大渡口区大数据应用发展管理局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大渡口区基层智慧治理平台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161001-重庆市大渡口区大数据应用发展管理局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东500会议室表决系统改造二期项目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803001-重庆市大渡口区审计局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审计业务经费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803004-重庆市大渡口区市场监督管理局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质量奖励经费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803004-重庆市大渡口区市场监督管理局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知识产权奖励经费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803004-重庆市大渡口区市场监督管理局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举报奖励</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121001-</w:t>
            </w:r>
            <w:r>
              <w:rPr>
                <w:rStyle w:val="52"/>
                <w:rFonts w:ascii="Times New Roman" w:hAnsi="Times New Roman"/>
                <w:lang w:val="en-US" w:eastAsia="zh-CN" w:bidi="ar"/>
              </w:rPr>
              <w:t>重庆市大渡口区财政局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其他退税减税降费转移支付收入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121002-</w:t>
            </w:r>
            <w:r>
              <w:rPr>
                <w:rStyle w:val="52"/>
                <w:rFonts w:ascii="Times New Roman" w:hAnsi="Times New Roman"/>
                <w:lang w:val="en-US" w:eastAsia="zh-CN" w:bidi="ar"/>
              </w:rPr>
              <w:t>重庆市大渡口区财政局</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增值税留抵退税转移支付收入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17,000,000 </w:t>
            </w:r>
          </w:p>
        </w:tc>
      </w:tr>
    </w:tbl>
    <w:p>
      <w:pPr>
        <w:pStyle w:val="2"/>
        <w:rPr>
          <w:rFonts w:hint="default" w:ascii="Times New Roman" w:hAnsi="Times New Roman" w:eastAsia="方正小标宋_GBK"/>
          <w:lang w:val="en-US" w:eastAsia="zh-CN"/>
        </w:rPr>
      </w:pPr>
    </w:p>
    <w:sectPr>
      <w:footerReference r:id="rId7" w:type="default"/>
      <w:pgSz w:w="11906" w:h="16838"/>
      <w:pgMar w:top="1440" w:right="1689" w:bottom="1440" w:left="1746"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303F7"/>
    <w:multiLevelType w:val="singleLevel"/>
    <w:tmpl w:val="B01303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MjQyYjUzNzM2YjkyMTE0OGI4N2I1OTY1ZmY0NzQifQ=="/>
  </w:docVars>
  <w:rsids>
    <w:rsidRoot w:val="7F000960"/>
    <w:rsid w:val="00107BEB"/>
    <w:rsid w:val="00301A5E"/>
    <w:rsid w:val="00457DF2"/>
    <w:rsid w:val="00537778"/>
    <w:rsid w:val="0119469A"/>
    <w:rsid w:val="013173FD"/>
    <w:rsid w:val="01572581"/>
    <w:rsid w:val="01C01F94"/>
    <w:rsid w:val="01FE05A6"/>
    <w:rsid w:val="02282099"/>
    <w:rsid w:val="024567FD"/>
    <w:rsid w:val="02F2473E"/>
    <w:rsid w:val="03284159"/>
    <w:rsid w:val="03566EB6"/>
    <w:rsid w:val="037469A4"/>
    <w:rsid w:val="043C1C92"/>
    <w:rsid w:val="0465698C"/>
    <w:rsid w:val="047425B0"/>
    <w:rsid w:val="04986186"/>
    <w:rsid w:val="04C968F4"/>
    <w:rsid w:val="04DE226E"/>
    <w:rsid w:val="05307A34"/>
    <w:rsid w:val="06034A5A"/>
    <w:rsid w:val="066A2C9B"/>
    <w:rsid w:val="06EC7131"/>
    <w:rsid w:val="071B5EEF"/>
    <w:rsid w:val="075D1E70"/>
    <w:rsid w:val="07E30570"/>
    <w:rsid w:val="08055E29"/>
    <w:rsid w:val="08655C93"/>
    <w:rsid w:val="086B6A84"/>
    <w:rsid w:val="0870264D"/>
    <w:rsid w:val="08A46C8A"/>
    <w:rsid w:val="09407D91"/>
    <w:rsid w:val="094566D9"/>
    <w:rsid w:val="095032DC"/>
    <w:rsid w:val="09F75EA0"/>
    <w:rsid w:val="0A312D88"/>
    <w:rsid w:val="0A545B34"/>
    <w:rsid w:val="0A7A416B"/>
    <w:rsid w:val="0A915B3D"/>
    <w:rsid w:val="0AA4078E"/>
    <w:rsid w:val="0AD36FF0"/>
    <w:rsid w:val="0AFD0EBC"/>
    <w:rsid w:val="0B2823DD"/>
    <w:rsid w:val="0B3D44E6"/>
    <w:rsid w:val="0B5F1ECE"/>
    <w:rsid w:val="0BD1746C"/>
    <w:rsid w:val="0BE1258C"/>
    <w:rsid w:val="0C14459A"/>
    <w:rsid w:val="0C570D9F"/>
    <w:rsid w:val="0C7E602C"/>
    <w:rsid w:val="0C887B0E"/>
    <w:rsid w:val="0CA43501"/>
    <w:rsid w:val="0CD23F0A"/>
    <w:rsid w:val="0D295F98"/>
    <w:rsid w:val="0D3A33FE"/>
    <w:rsid w:val="0D7D62E4"/>
    <w:rsid w:val="0D9D51FF"/>
    <w:rsid w:val="0E22754B"/>
    <w:rsid w:val="0E283CF9"/>
    <w:rsid w:val="0E36433E"/>
    <w:rsid w:val="0E3F0FA6"/>
    <w:rsid w:val="0E440025"/>
    <w:rsid w:val="0EC56FCD"/>
    <w:rsid w:val="0EFA5A54"/>
    <w:rsid w:val="0F255DB7"/>
    <w:rsid w:val="0F4A4935"/>
    <w:rsid w:val="0F686E90"/>
    <w:rsid w:val="0FDB0D90"/>
    <w:rsid w:val="0FEC335C"/>
    <w:rsid w:val="0FEF3ADE"/>
    <w:rsid w:val="10874E20"/>
    <w:rsid w:val="10F219BA"/>
    <w:rsid w:val="10F469C2"/>
    <w:rsid w:val="11196874"/>
    <w:rsid w:val="11234EC4"/>
    <w:rsid w:val="11436A1F"/>
    <w:rsid w:val="115F7203"/>
    <w:rsid w:val="116358C4"/>
    <w:rsid w:val="117655CE"/>
    <w:rsid w:val="11826FB9"/>
    <w:rsid w:val="11865DA0"/>
    <w:rsid w:val="11976650"/>
    <w:rsid w:val="119F35A2"/>
    <w:rsid w:val="11A77BAA"/>
    <w:rsid w:val="11E67496"/>
    <w:rsid w:val="11E87400"/>
    <w:rsid w:val="11FB52AC"/>
    <w:rsid w:val="11FB7C13"/>
    <w:rsid w:val="122D0B12"/>
    <w:rsid w:val="12342CF9"/>
    <w:rsid w:val="125036D7"/>
    <w:rsid w:val="12674E64"/>
    <w:rsid w:val="126E4DF8"/>
    <w:rsid w:val="12A45713"/>
    <w:rsid w:val="12E35645"/>
    <w:rsid w:val="13270C63"/>
    <w:rsid w:val="132E1408"/>
    <w:rsid w:val="133220E8"/>
    <w:rsid w:val="135030C1"/>
    <w:rsid w:val="135A7AA2"/>
    <w:rsid w:val="13977EF4"/>
    <w:rsid w:val="13A955D8"/>
    <w:rsid w:val="13D843CC"/>
    <w:rsid w:val="13F95BC4"/>
    <w:rsid w:val="143F6226"/>
    <w:rsid w:val="14477760"/>
    <w:rsid w:val="146F31B5"/>
    <w:rsid w:val="149D73C7"/>
    <w:rsid w:val="14B14ECD"/>
    <w:rsid w:val="14B3103C"/>
    <w:rsid w:val="14E564B4"/>
    <w:rsid w:val="15024286"/>
    <w:rsid w:val="150551B6"/>
    <w:rsid w:val="15166924"/>
    <w:rsid w:val="15C57C68"/>
    <w:rsid w:val="15CC2F38"/>
    <w:rsid w:val="16461766"/>
    <w:rsid w:val="16640279"/>
    <w:rsid w:val="166F204F"/>
    <w:rsid w:val="168540AA"/>
    <w:rsid w:val="16C16793"/>
    <w:rsid w:val="16D662C3"/>
    <w:rsid w:val="16E42F30"/>
    <w:rsid w:val="16FC5BF8"/>
    <w:rsid w:val="17127177"/>
    <w:rsid w:val="1727365F"/>
    <w:rsid w:val="17AC75F5"/>
    <w:rsid w:val="17F3543E"/>
    <w:rsid w:val="189151DA"/>
    <w:rsid w:val="18CE3BCE"/>
    <w:rsid w:val="18FF414B"/>
    <w:rsid w:val="19030348"/>
    <w:rsid w:val="19090A1D"/>
    <w:rsid w:val="19244457"/>
    <w:rsid w:val="19310686"/>
    <w:rsid w:val="194F322A"/>
    <w:rsid w:val="195776E3"/>
    <w:rsid w:val="1986422C"/>
    <w:rsid w:val="19AB1F1D"/>
    <w:rsid w:val="1A562D59"/>
    <w:rsid w:val="1A691BF7"/>
    <w:rsid w:val="1A9A2283"/>
    <w:rsid w:val="1AC34C38"/>
    <w:rsid w:val="1AC83EFB"/>
    <w:rsid w:val="1B122D7C"/>
    <w:rsid w:val="1B1624C9"/>
    <w:rsid w:val="1B54468A"/>
    <w:rsid w:val="1B8C6D23"/>
    <w:rsid w:val="1BB13C7A"/>
    <w:rsid w:val="1C29264C"/>
    <w:rsid w:val="1C5E2B41"/>
    <w:rsid w:val="1C621AE4"/>
    <w:rsid w:val="1CCC680F"/>
    <w:rsid w:val="1CE15C20"/>
    <w:rsid w:val="1CFF0AC4"/>
    <w:rsid w:val="1D126A34"/>
    <w:rsid w:val="1D99170B"/>
    <w:rsid w:val="1DA32D31"/>
    <w:rsid w:val="1DCC7F62"/>
    <w:rsid w:val="1DDD55CE"/>
    <w:rsid w:val="1DF17CD8"/>
    <w:rsid w:val="1E081742"/>
    <w:rsid w:val="1E4B0767"/>
    <w:rsid w:val="1E602909"/>
    <w:rsid w:val="1E746E3F"/>
    <w:rsid w:val="1E9A4C13"/>
    <w:rsid w:val="1EB96C81"/>
    <w:rsid w:val="1EF53EF7"/>
    <w:rsid w:val="1F52600A"/>
    <w:rsid w:val="1F6342C3"/>
    <w:rsid w:val="1F6C038B"/>
    <w:rsid w:val="1F7A3E15"/>
    <w:rsid w:val="1F92085F"/>
    <w:rsid w:val="1FA62962"/>
    <w:rsid w:val="1FE67AC7"/>
    <w:rsid w:val="205531E0"/>
    <w:rsid w:val="20686214"/>
    <w:rsid w:val="20946485"/>
    <w:rsid w:val="20BE5A79"/>
    <w:rsid w:val="21003D66"/>
    <w:rsid w:val="211B1D1E"/>
    <w:rsid w:val="213B4AEF"/>
    <w:rsid w:val="21423675"/>
    <w:rsid w:val="218039C0"/>
    <w:rsid w:val="219A357D"/>
    <w:rsid w:val="21AE4FCA"/>
    <w:rsid w:val="21C077DA"/>
    <w:rsid w:val="21E3548A"/>
    <w:rsid w:val="229E612D"/>
    <w:rsid w:val="22D82195"/>
    <w:rsid w:val="22F347DD"/>
    <w:rsid w:val="23117E73"/>
    <w:rsid w:val="231E09A0"/>
    <w:rsid w:val="234C509B"/>
    <w:rsid w:val="2381349B"/>
    <w:rsid w:val="2389064B"/>
    <w:rsid w:val="23BE6DD7"/>
    <w:rsid w:val="24850BCA"/>
    <w:rsid w:val="251770DE"/>
    <w:rsid w:val="25323F8F"/>
    <w:rsid w:val="25642326"/>
    <w:rsid w:val="25786827"/>
    <w:rsid w:val="260B3DDC"/>
    <w:rsid w:val="26552F6D"/>
    <w:rsid w:val="266C5AB8"/>
    <w:rsid w:val="26801E17"/>
    <w:rsid w:val="2699707F"/>
    <w:rsid w:val="26A261BD"/>
    <w:rsid w:val="26B33FAF"/>
    <w:rsid w:val="26B6125E"/>
    <w:rsid w:val="26D2751A"/>
    <w:rsid w:val="26E47802"/>
    <w:rsid w:val="271D4D8D"/>
    <w:rsid w:val="27A01580"/>
    <w:rsid w:val="27D875BE"/>
    <w:rsid w:val="2824227D"/>
    <w:rsid w:val="284F5F1F"/>
    <w:rsid w:val="28850579"/>
    <w:rsid w:val="28A428DD"/>
    <w:rsid w:val="28F833B4"/>
    <w:rsid w:val="28FF097E"/>
    <w:rsid w:val="29387415"/>
    <w:rsid w:val="296064F0"/>
    <w:rsid w:val="297B38FD"/>
    <w:rsid w:val="29881F52"/>
    <w:rsid w:val="29B62B4E"/>
    <w:rsid w:val="29BC69EF"/>
    <w:rsid w:val="29CA01FE"/>
    <w:rsid w:val="2A497822"/>
    <w:rsid w:val="2A5A0C83"/>
    <w:rsid w:val="2A9C6B5F"/>
    <w:rsid w:val="2AD25A69"/>
    <w:rsid w:val="2ADA6850"/>
    <w:rsid w:val="2AEC6CE7"/>
    <w:rsid w:val="2B150E1C"/>
    <w:rsid w:val="2B38261F"/>
    <w:rsid w:val="2B532A63"/>
    <w:rsid w:val="2B7F7E6B"/>
    <w:rsid w:val="2B8338B4"/>
    <w:rsid w:val="2B9D0CEB"/>
    <w:rsid w:val="2C5A48C2"/>
    <w:rsid w:val="2C9B2C65"/>
    <w:rsid w:val="2CC57591"/>
    <w:rsid w:val="2CFA3C32"/>
    <w:rsid w:val="2D043437"/>
    <w:rsid w:val="2DE20EAD"/>
    <w:rsid w:val="2E3055DF"/>
    <w:rsid w:val="2E67296D"/>
    <w:rsid w:val="2E783D7C"/>
    <w:rsid w:val="2EB723DA"/>
    <w:rsid w:val="2EE84B16"/>
    <w:rsid w:val="2F016770"/>
    <w:rsid w:val="2F0C1D67"/>
    <w:rsid w:val="2F9C644B"/>
    <w:rsid w:val="2FEE15FA"/>
    <w:rsid w:val="2FFB78D9"/>
    <w:rsid w:val="30010223"/>
    <w:rsid w:val="302F6059"/>
    <w:rsid w:val="304E46D2"/>
    <w:rsid w:val="30512D44"/>
    <w:rsid w:val="30733E22"/>
    <w:rsid w:val="30F36FB7"/>
    <w:rsid w:val="310C6D11"/>
    <w:rsid w:val="314E7AE3"/>
    <w:rsid w:val="315A25F0"/>
    <w:rsid w:val="317228A0"/>
    <w:rsid w:val="31A40A69"/>
    <w:rsid w:val="31CB3D05"/>
    <w:rsid w:val="31E75B80"/>
    <w:rsid w:val="324F174E"/>
    <w:rsid w:val="326B7AA1"/>
    <w:rsid w:val="32AF15FB"/>
    <w:rsid w:val="32B211A6"/>
    <w:rsid w:val="32EA7378"/>
    <w:rsid w:val="33246EBE"/>
    <w:rsid w:val="33386EC3"/>
    <w:rsid w:val="33647D75"/>
    <w:rsid w:val="33E15C0B"/>
    <w:rsid w:val="340358D1"/>
    <w:rsid w:val="34126251"/>
    <w:rsid w:val="34190265"/>
    <w:rsid w:val="342140E9"/>
    <w:rsid w:val="342277CC"/>
    <w:rsid w:val="34D21BB1"/>
    <w:rsid w:val="34F95087"/>
    <w:rsid w:val="35311A4C"/>
    <w:rsid w:val="35593313"/>
    <w:rsid w:val="357B4597"/>
    <w:rsid w:val="35B535D9"/>
    <w:rsid w:val="35BD6130"/>
    <w:rsid w:val="35C04A4B"/>
    <w:rsid w:val="35E414B4"/>
    <w:rsid w:val="36634CB1"/>
    <w:rsid w:val="367F36AE"/>
    <w:rsid w:val="36B0745E"/>
    <w:rsid w:val="371759F5"/>
    <w:rsid w:val="371778DA"/>
    <w:rsid w:val="3729560D"/>
    <w:rsid w:val="37360872"/>
    <w:rsid w:val="373C41FA"/>
    <w:rsid w:val="375C3F1A"/>
    <w:rsid w:val="37E60D8B"/>
    <w:rsid w:val="37F51CD7"/>
    <w:rsid w:val="37F754DF"/>
    <w:rsid w:val="384B59D6"/>
    <w:rsid w:val="384E699C"/>
    <w:rsid w:val="387D6BE7"/>
    <w:rsid w:val="38936790"/>
    <w:rsid w:val="38AC35BF"/>
    <w:rsid w:val="392905D5"/>
    <w:rsid w:val="3973697B"/>
    <w:rsid w:val="398E28AF"/>
    <w:rsid w:val="39A14A7D"/>
    <w:rsid w:val="39E403F6"/>
    <w:rsid w:val="3A267DAB"/>
    <w:rsid w:val="3A58223E"/>
    <w:rsid w:val="3A6F446E"/>
    <w:rsid w:val="3A866A55"/>
    <w:rsid w:val="3A9B23E6"/>
    <w:rsid w:val="3AD848C8"/>
    <w:rsid w:val="3ADB2718"/>
    <w:rsid w:val="3B220709"/>
    <w:rsid w:val="3B984CEF"/>
    <w:rsid w:val="3BD538AD"/>
    <w:rsid w:val="3BFF217B"/>
    <w:rsid w:val="3C0533E7"/>
    <w:rsid w:val="3C055B51"/>
    <w:rsid w:val="3C1B5447"/>
    <w:rsid w:val="3C2838D4"/>
    <w:rsid w:val="3C7A01D1"/>
    <w:rsid w:val="3C8B0D48"/>
    <w:rsid w:val="3CAD762D"/>
    <w:rsid w:val="3CAE44C4"/>
    <w:rsid w:val="3CB672CA"/>
    <w:rsid w:val="3D570E63"/>
    <w:rsid w:val="3DB51F6F"/>
    <w:rsid w:val="3DC247BC"/>
    <w:rsid w:val="3DD16A5E"/>
    <w:rsid w:val="3DD479DE"/>
    <w:rsid w:val="3E030574"/>
    <w:rsid w:val="3E0C4CD5"/>
    <w:rsid w:val="3E2F0393"/>
    <w:rsid w:val="3E83706E"/>
    <w:rsid w:val="3EA37B6E"/>
    <w:rsid w:val="3EFA21BB"/>
    <w:rsid w:val="3F4C5993"/>
    <w:rsid w:val="3F514FFB"/>
    <w:rsid w:val="3F9328A3"/>
    <w:rsid w:val="3F94667B"/>
    <w:rsid w:val="3F997D0B"/>
    <w:rsid w:val="3FBF15B1"/>
    <w:rsid w:val="40822F63"/>
    <w:rsid w:val="40974F86"/>
    <w:rsid w:val="40B03CFF"/>
    <w:rsid w:val="40BD2170"/>
    <w:rsid w:val="40DA1F99"/>
    <w:rsid w:val="40EF5782"/>
    <w:rsid w:val="41276971"/>
    <w:rsid w:val="41283416"/>
    <w:rsid w:val="41341E35"/>
    <w:rsid w:val="41A50080"/>
    <w:rsid w:val="41A74D34"/>
    <w:rsid w:val="41BD2297"/>
    <w:rsid w:val="41D13F2D"/>
    <w:rsid w:val="42076B66"/>
    <w:rsid w:val="421F2175"/>
    <w:rsid w:val="42366277"/>
    <w:rsid w:val="42B9632D"/>
    <w:rsid w:val="42D87711"/>
    <w:rsid w:val="42F267DB"/>
    <w:rsid w:val="43001918"/>
    <w:rsid w:val="43075564"/>
    <w:rsid w:val="43115D2A"/>
    <w:rsid w:val="435C483A"/>
    <w:rsid w:val="43804BD0"/>
    <w:rsid w:val="43B90AC6"/>
    <w:rsid w:val="43D63A7D"/>
    <w:rsid w:val="43DC3688"/>
    <w:rsid w:val="43F3462F"/>
    <w:rsid w:val="44095C00"/>
    <w:rsid w:val="444636EF"/>
    <w:rsid w:val="44BE3150"/>
    <w:rsid w:val="44D052DD"/>
    <w:rsid w:val="44EE561B"/>
    <w:rsid w:val="44F236EA"/>
    <w:rsid w:val="45195C73"/>
    <w:rsid w:val="4559103A"/>
    <w:rsid w:val="45A17BEC"/>
    <w:rsid w:val="46150BBE"/>
    <w:rsid w:val="46234ADC"/>
    <w:rsid w:val="467B3E64"/>
    <w:rsid w:val="4684258B"/>
    <w:rsid w:val="46931FCE"/>
    <w:rsid w:val="46A82DEF"/>
    <w:rsid w:val="46AB6D51"/>
    <w:rsid w:val="46C25770"/>
    <w:rsid w:val="47371BC0"/>
    <w:rsid w:val="47580B86"/>
    <w:rsid w:val="47805909"/>
    <w:rsid w:val="4790263D"/>
    <w:rsid w:val="480B72D2"/>
    <w:rsid w:val="480D136F"/>
    <w:rsid w:val="486E734F"/>
    <w:rsid w:val="48953A16"/>
    <w:rsid w:val="4904108C"/>
    <w:rsid w:val="495237E3"/>
    <w:rsid w:val="499165E2"/>
    <w:rsid w:val="49997FA3"/>
    <w:rsid w:val="49A565A4"/>
    <w:rsid w:val="49FD6172"/>
    <w:rsid w:val="4A174546"/>
    <w:rsid w:val="4A2B5681"/>
    <w:rsid w:val="4A5D663B"/>
    <w:rsid w:val="4A907965"/>
    <w:rsid w:val="4AAA24DC"/>
    <w:rsid w:val="4AB14345"/>
    <w:rsid w:val="4ABD7D05"/>
    <w:rsid w:val="4B2C1D71"/>
    <w:rsid w:val="4B5E2C85"/>
    <w:rsid w:val="4B9366F7"/>
    <w:rsid w:val="4BFF3A2A"/>
    <w:rsid w:val="4C365F58"/>
    <w:rsid w:val="4C3F7B8D"/>
    <w:rsid w:val="4C604E49"/>
    <w:rsid w:val="4C866E8B"/>
    <w:rsid w:val="4CA80BEB"/>
    <w:rsid w:val="4CC77F2A"/>
    <w:rsid w:val="4D175FDF"/>
    <w:rsid w:val="4D767AAE"/>
    <w:rsid w:val="4D7D20EE"/>
    <w:rsid w:val="4E113A56"/>
    <w:rsid w:val="4E817F9C"/>
    <w:rsid w:val="4EFD00C1"/>
    <w:rsid w:val="4F005745"/>
    <w:rsid w:val="4F040F4F"/>
    <w:rsid w:val="4F3650C3"/>
    <w:rsid w:val="4F6C34E7"/>
    <w:rsid w:val="4F6F21F8"/>
    <w:rsid w:val="4F8A719B"/>
    <w:rsid w:val="4F9C334A"/>
    <w:rsid w:val="4F9E47B3"/>
    <w:rsid w:val="4FD113F6"/>
    <w:rsid w:val="4FD3469D"/>
    <w:rsid w:val="50136B9E"/>
    <w:rsid w:val="502756B1"/>
    <w:rsid w:val="503E3019"/>
    <w:rsid w:val="50581D4A"/>
    <w:rsid w:val="506C264F"/>
    <w:rsid w:val="50D71B96"/>
    <w:rsid w:val="5116076C"/>
    <w:rsid w:val="513164E3"/>
    <w:rsid w:val="51B83B47"/>
    <w:rsid w:val="51B94571"/>
    <w:rsid w:val="51C02B0C"/>
    <w:rsid w:val="521E78E2"/>
    <w:rsid w:val="522B17FF"/>
    <w:rsid w:val="52691389"/>
    <w:rsid w:val="527B2742"/>
    <w:rsid w:val="531B6964"/>
    <w:rsid w:val="5332207F"/>
    <w:rsid w:val="53562F78"/>
    <w:rsid w:val="53685606"/>
    <w:rsid w:val="537D1F56"/>
    <w:rsid w:val="53C04CA9"/>
    <w:rsid w:val="53D02901"/>
    <w:rsid w:val="53D33B3B"/>
    <w:rsid w:val="53E425B1"/>
    <w:rsid w:val="53FB3291"/>
    <w:rsid w:val="54016051"/>
    <w:rsid w:val="541C7043"/>
    <w:rsid w:val="54451B8F"/>
    <w:rsid w:val="545340B8"/>
    <w:rsid w:val="545B3950"/>
    <w:rsid w:val="54622AD8"/>
    <w:rsid w:val="54856480"/>
    <w:rsid w:val="549836D7"/>
    <w:rsid w:val="54BA5303"/>
    <w:rsid w:val="55767585"/>
    <w:rsid w:val="55C9177E"/>
    <w:rsid w:val="55E41262"/>
    <w:rsid w:val="55E443D3"/>
    <w:rsid w:val="561765CB"/>
    <w:rsid w:val="56371C3B"/>
    <w:rsid w:val="566B0F45"/>
    <w:rsid w:val="56704D43"/>
    <w:rsid w:val="568110EE"/>
    <w:rsid w:val="569276BD"/>
    <w:rsid w:val="56927EED"/>
    <w:rsid w:val="56B71CDF"/>
    <w:rsid w:val="56D93858"/>
    <w:rsid w:val="56E904D3"/>
    <w:rsid w:val="56F84223"/>
    <w:rsid w:val="56FD27CC"/>
    <w:rsid w:val="57204FCF"/>
    <w:rsid w:val="57293F71"/>
    <w:rsid w:val="5733559D"/>
    <w:rsid w:val="575C57B5"/>
    <w:rsid w:val="576B04C0"/>
    <w:rsid w:val="577F6442"/>
    <w:rsid w:val="57FD5AF0"/>
    <w:rsid w:val="58022C3B"/>
    <w:rsid w:val="580A6969"/>
    <w:rsid w:val="58104176"/>
    <w:rsid w:val="582515A4"/>
    <w:rsid w:val="58524006"/>
    <w:rsid w:val="585F008D"/>
    <w:rsid w:val="589F0F60"/>
    <w:rsid w:val="58AA6FF3"/>
    <w:rsid w:val="590F5E8A"/>
    <w:rsid w:val="593C47F5"/>
    <w:rsid w:val="594D36A3"/>
    <w:rsid w:val="59AE71B2"/>
    <w:rsid w:val="59B253A3"/>
    <w:rsid w:val="59FD5DAF"/>
    <w:rsid w:val="5A4E2167"/>
    <w:rsid w:val="5A9D1828"/>
    <w:rsid w:val="5ACF4974"/>
    <w:rsid w:val="5ADF5BED"/>
    <w:rsid w:val="5B4B155B"/>
    <w:rsid w:val="5B823841"/>
    <w:rsid w:val="5B870EDB"/>
    <w:rsid w:val="5B9718EC"/>
    <w:rsid w:val="5C8D2242"/>
    <w:rsid w:val="5CB52E0B"/>
    <w:rsid w:val="5D152D09"/>
    <w:rsid w:val="5D637A54"/>
    <w:rsid w:val="5D683A58"/>
    <w:rsid w:val="5D846B47"/>
    <w:rsid w:val="5DAF5AC0"/>
    <w:rsid w:val="5DF70D68"/>
    <w:rsid w:val="5EB47819"/>
    <w:rsid w:val="5F335AA6"/>
    <w:rsid w:val="5F3C7D80"/>
    <w:rsid w:val="5F454130"/>
    <w:rsid w:val="5F50072F"/>
    <w:rsid w:val="5F525A23"/>
    <w:rsid w:val="5F6D382B"/>
    <w:rsid w:val="5FFA17BC"/>
    <w:rsid w:val="600B48A4"/>
    <w:rsid w:val="60433557"/>
    <w:rsid w:val="608925BA"/>
    <w:rsid w:val="60F75097"/>
    <w:rsid w:val="61084AEA"/>
    <w:rsid w:val="61166AB0"/>
    <w:rsid w:val="617C5AF0"/>
    <w:rsid w:val="61872413"/>
    <w:rsid w:val="61A27FDA"/>
    <w:rsid w:val="61AF06B7"/>
    <w:rsid w:val="61C1425A"/>
    <w:rsid w:val="61C27619"/>
    <w:rsid w:val="61E26044"/>
    <w:rsid w:val="61E5398B"/>
    <w:rsid w:val="61E86C91"/>
    <w:rsid w:val="62200D47"/>
    <w:rsid w:val="62650F3A"/>
    <w:rsid w:val="629303A0"/>
    <w:rsid w:val="62EE2739"/>
    <w:rsid w:val="630B6B00"/>
    <w:rsid w:val="632B2BF2"/>
    <w:rsid w:val="63534C92"/>
    <w:rsid w:val="63743B91"/>
    <w:rsid w:val="638C7E2C"/>
    <w:rsid w:val="638F7952"/>
    <w:rsid w:val="63C33E09"/>
    <w:rsid w:val="64220D56"/>
    <w:rsid w:val="642807EE"/>
    <w:rsid w:val="654312BA"/>
    <w:rsid w:val="65432F08"/>
    <w:rsid w:val="65675B08"/>
    <w:rsid w:val="65892258"/>
    <w:rsid w:val="65AB3364"/>
    <w:rsid w:val="65B336E4"/>
    <w:rsid w:val="65F0450D"/>
    <w:rsid w:val="660D7645"/>
    <w:rsid w:val="66316C9B"/>
    <w:rsid w:val="666B4404"/>
    <w:rsid w:val="66AC1012"/>
    <w:rsid w:val="66C9085C"/>
    <w:rsid w:val="675C7CF3"/>
    <w:rsid w:val="67753429"/>
    <w:rsid w:val="677C227A"/>
    <w:rsid w:val="6795549D"/>
    <w:rsid w:val="67A35802"/>
    <w:rsid w:val="681512FE"/>
    <w:rsid w:val="684251C6"/>
    <w:rsid w:val="68AC241F"/>
    <w:rsid w:val="68F14C3B"/>
    <w:rsid w:val="6911502D"/>
    <w:rsid w:val="691E3680"/>
    <w:rsid w:val="693D630D"/>
    <w:rsid w:val="69855891"/>
    <w:rsid w:val="69863787"/>
    <w:rsid w:val="69977C50"/>
    <w:rsid w:val="69AC023F"/>
    <w:rsid w:val="69B30239"/>
    <w:rsid w:val="69CD26FE"/>
    <w:rsid w:val="69D2533D"/>
    <w:rsid w:val="69F56269"/>
    <w:rsid w:val="6A251E98"/>
    <w:rsid w:val="6A9455D6"/>
    <w:rsid w:val="6AE038F4"/>
    <w:rsid w:val="6B4248F0"/>
    <w:rsid w:val="6B6737E7"/>
    <w:rsid w:val="6B717C07"/>
    <w:rsid w:val="6B931818"/>
    <w:rsid w:val="6BC542E3"/>
    <w:rsid w:val="6BE415C1"/>
    <w:rsid w:val="6C4058A6"/>
    <w:rsid w:val="6C594CBF"/>
    <w:rsid w:val="6CEA7732"/>
    <w:rsid w:val="6CFF7BFE"/>
    <w:rsid w:val="6D01750D"/>
    <w:rsid w:val="6D21250F"/>
    <w:rsid w:val="6D4E6C90"/>
    <w:rsid w:val="6D82122D"/>
    <w:rsid w:val="6D8924F4"/>
    <w:rsid w:val="6D930211"/>
    <w:rsid w:val="6DB62118"/>
    <w:rsid w:val="6DBD4ADB"/>
    <w:rsid w:val="6DF010B6"/>
    <w:rsid w:val="6E185362"/>
    <w:rsid w:val="6E41775F"/>
    <w:rsid w:val="6EC81239"/>
    <w:rsid w:val="6EE51DD4"/>
    <w:rsid w:val="6EFA1B2F"/>
    <w:rsid w:val="6F0816C8"/>
    <w:rsid w:val="6FB66BB2"/>
    <w:rsid w:val="6FED3DF1"/>
    <w:rsid w:val="6FFC1DFA"/>
    <w:rsid w:val="70543F38"/>
    <w:rsid w:val="705B596D"/>
    <w:rsid w:val="709341F4"/>
    <w:rsid w:val="709962C2"/>
    <w:rsid w:val="70AB015B"/>
    <w:rsid w:val="70CD6084"/>
    <w:rsid w:val="710154D8"/>
    <w:rsid w:val="714473C5"/>
    <w:rsid w:val="71540DEB"/>
    <w:rsid w:val="71B8464F"/>
    <w:rsid w:val="71B9415D"/>
    <w:rsid w:val="72484748"/>
    <w:rsid w:val="72796DFD"/>
    <w:rsid w:val="72B64D9F"/>
    <w:rsid w:val="72DD6EF5"/>
    <w:rsid w:val="72F314E1"/>
    <w:rsid w:val="731807C9"/>
    <w:rsid w:val="73475952"/>
    <w:rsid w:val="73581E24"/>
    <w:rsid w:val="73722F12"/>
    <w:rsid w:val="737F5A95"/>
    <w:rsid w:val="738C17DF"/>
    <w:rsid w:val="73AE4E9B"/>
    <w:rsid w:val="7439249C"/>
    <w:rsid w:val="743967DB"/>
    <w:rsid w:val="74534501"/>
    <w:rsid w:val="745C7F68"/>
    <w:rsid w:val="745E7208"/>
    <w:rsid w:val="749863EC"/>
    <w:rsid w:val="74C13AC7"/>
    <w:rsid w:val="75517510"/>
    <w:rsid w:val="75545582"/>
    <w:rsid w:val="755820D1"/>
    <w:rsid w:val="75907107"/>
    <w:rsid w:val="759612F3"/>
    <w:rsid w:val="762A2590"/>
    <w:rsid w:val="76843026"/>
    <w:rsid w:val="76987663"/>
    <w:rsid w:val="769E7B7B"/>
    <w:rsid w:val="76CE4007"/>
    <w:rsid w:val="771162EE"/>
    <w:rsid w:val="77443975"/>
    <w:rsid w:val="774B470F"/>
    <w:rsid w:val="77552ADF"/>
    <w:rsid w:val="77615F72"/>
    <w:rsid w:val="776E6D65"/>
    <w:rsid w:val="77903CD2"/>
    <w:rsid w:val="77A314B1"/>
    <w:rsid w:val="77AB0ACA"/>
    <w:rsid w:val="77BD408A"/>
    <w:rsid w:val="77F550B4"/>
    <w:rsid w:val="781D4A9D"/>
    <w:rsid w:val="78301135"/>
    <w:rsid w:val="78904E9D"/>
    <w:rsid w:val="7905441F"/>
    <w:rsid w:val="792E51E6"/>
    <w:rsid w:val="79443259"/>
    <w:rsid w:val="79517126"/>
    <w:rsid w:val="79933DF1"/>
    <w:rsid w:val="799B04E2"/>
    <w:rsid w:val="79D5432C"/>
    <w:rsid w:val="79DA536E"/>
    <w:rsid w:val="7A8F4C1A"/>
    <w:rsid w:val="7B084426"/>
    <w:rsid w:val="7B531E46"/>
    <w:rsid w:val="7B536175"/>
    <w:rsid w:val="7B774DA5"/>
    <w:rsid w:val="7B863116"/>
    <w:rsid w:val="7BCB6068"/>
    <w:rsid w:val="7BF06A2C"/>
    <w:rsid w:val="7C56313B"/>
    <w:rsid w:val="7C8411F4"/>
    <w:rsid w:val="7CB22AEB"/>
    <w:rsid w:val="7CB36280"/>
    <w:rsid w:val="7CDD1E15"/>
    <w:rsid w:val="7D0F1786"/>
    <w:rsid w:val="7D18520B"/>
    <w:rsid w:val="7D3E1075"/>
    <w:rsid w:val="7DE3349E"/>
    <w:rsid w:val="7DE652EF"/>
    <w:rsid w:val="7E177B79"/>
    <w:rsid w:val="7E18359C"/>
    <w:rsid w:val="7E5325E1"/>
    <w:rsid w:val="7E650A6C"/>
    <w:rsid w:val="7E6D4629"/>
    <w:rsid w:val="7E7E5E60"/>
    <w:rsid w:val="7EA745C0"/>
    <w:rsid w:val="7EBB3A15"/>
    <w:rsid w:val="7EE32000"/>
    <w:rsid w:val="7F000960"/>
    <w:rsid w:val="7F0862FD"/>
    <w:rsid w:val="7F1B3AF5"/>
    <w:rsid w:val="7F1C0307"/>
    <w:rsid w:val="7F2D3687"/>
    <w:rsid w:val="7F566922"/>
    <w:rsid w:val="7F7C277C"/>
    <w:rsid w:val="7FD40037"/>
    <w:rsid w:val="7FF76E30"/>
    <w:rsid w:val="BBFA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styleId="4">
    <w:name w:val="Normal Indent"/>
    <w:basedOn w:val="1"/>
    <w:qFormat/>
    <w:uiPriority w:val="0"/>
  </w:style>
  <w:style w:type="paragraph" w:styleId="5">
    <w:name w:val="Body Text"/>
    <w:basedOn w:val="1"/>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footer"/>
    <w:basedOn w:val="1"/>
    <w:next w:val="7"/>
    <w:unhideWhenUsed/>
    <w:qFormat/>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296FBE"/>
      <w:u w:val="none"/>
    </w:rPr>
  </w:style>
  <w:style w:type="character" w:styleId="14">
    <w:name w:val="HTML Definition"/>
    <w:basedOn w:val="11"/>
    <w:qFormat/>
    <w:uiPriority w:val="0"/>
  </w:style>
  <w:style w:type="character" w:styleId="15">
    <w:name w:val="HTML Variable"/>
    <w:basedOn w:val="11"/>
    <w:qFormat/>
    <w:uiPriority w:val="0"/>
    <w:rPr>
      <w:shd w:val="clear" w:fill="DBCF8C"/>
    </w:rPr>
  </w:style>
  <w:style w:type="character" w:styleId="16">
    <w:name w:val="Hyperlink"/>
    <w:basedOn w:val="11"/>
    <w:qFormat/>
    <w:uiPriority w:val="0"/>
    <w:rPr>
      <w:color w:val="296FBE"/>
      <w:u w:val="none"/>
    </w:rPr>
  </w:style>
  <w:style w:type="character" w:styleId="17">
    <w:name w:val="HTML Code"/>
    <w:basedOn w:val="11"/>
    <w:qFormat/>
    <w:uiPriority w:val="0"/>
    <w:rPr>
      <w:rFonts w:ascii="宋体" w:hAnsi="宋体" w:eastAsia="宋体" w:cs="宋体"/>
      <w:sz w:val="20"/>
    </w:rPr>
  </w:style>
  <w:style w:type="character" w:styleId="18">
    <w:name w:val="HTML Cite"/>
    <w:basedOn w:val="11"/>
    <w:qFormat/>
    <w:uiPriority w:val="0"/>
  </w:style>
  <w:style w:type="character" w:customStyle="1" w:styleId="19">
    <w:name w:val="cy"/>
    <w:basedOn w:val="11"/>
    <w:qFormat/>
    <w:uiPriority w:val="0"/>
  </w:style>
  <w:style w:type="character" w:customStyle="1" w:styleId="20">
    <w:name w:val="active6"/>
    <w:basedOn w:val="11"/>
    <w:qFormat/>
    <w:uiPriority w:val="0"/>
    <w:rPr>
      <w:color w:val="00FF00"/>
      <w:shd w:val="clear" w:fill="111111"/>
    </w:rPr>
  </w:style>
  <w:style w:type="character" w:customStyle="1" w:styleId="21">
    <w:name w:val="ico1654"/>
    <w:basedOn w:val="11"/>
    <w:qFormat/>
    <w:uiPriority w:val="0"/>
  </w:style>
  <w:style w:type="character" w:customStyle="1" w:styleId="22">
    <w:name w:val="ico1655"/>
    <w:basedOn w:val="11"/>
    <w:qFormat/>
    <w:uiPriority w:val="0"/>
  </w:style>
  <w:style w:type="character" w:customStyle="1" w:styleId="23">
    <w:name w:val="pagechatarealistclose_box"/>
    <w:basedOn w:val="11"/>
    <w:qFormat/>
    <w:uiPriority w:val="0"/>
  </w:style>
  <w:style w:type="character" w:customStyle="1" w:styleId="24">
    <w:name w:val="pagechatarealistclose_box1"/>
    <w:basedOn w:val="11"/>
    <w:qFormat/>
    <w:uiPriority w:val="0"/>
  </w:style>
  <w:style w:type="character" w:customStyle="1" w:styleId="25">
    <w:name w:val="hilite6"/>
    <w:basedOn w:val="11"/>
    <w:qFormat/>
    <w:uiPriority w:val="0"/>
    <w:rPr>
      <w:color w:val="FFFFFF"/>
      <w:shd w:val="clear" w:fill="666677"/>
    </w:rPr>
  </w:style>
  <w:style w:type="character" w:customStyle="1" w:styleId="26">
    <w:name w:val="browse_class&gt;label"/>
    <w:basedOn w:val="11"/>
    <w:qFormat/>
    <w:uiPriority w:val="0"/>
    <w:rPr>
      <w:shd w:val="clear" w:fill="F8F8F8"/>
    </w:rPr>
  </w:style>
  <w:style w:type="character" w:customStyle="1" w:styleId="27">
    <w:name w:val="design_class"/>
    <w:basedOn w:val="11"/>
    <w:qFormat/>
    <w:uiPriority w:val="0"/>
  </w:style>
  <w:style w:type="character" w:customStyle="1" w:styleId="28">
    <w:name w:val="token-input-delete-token"/>
    <w:basedOn w:val="11"/>
    <w:qFormat/>
    <w:uiPriority w:val="0"/>
    <w:rPr>
      <w:color w:val="FFFFFF"/>
    </w:rPr>
  </w:style>
  <w:style w:type="character" w:customStyle="1" w:styleId="29">
    <w:name w:val="cdropleft"/>
    <w:basedOn w:val="11"/>
    <w:qFormat/>
    <w:uiPriority w:val="0"/>
  </w:style>
  <w:style w:type="character" w:customStyle="1" w:styleId="30">
    <w:name w:val="w32"/>
    <w:basedOn w:val="11"/>
    <w:qFormat/>
    <w:uiPriority w:val="0"/>
  </w:style>
  <w:style w:type="character" w:customStyle="1" w:styleId="31">
    <w:name w:val="button2"/>
    <w:basedOn w:val="11"/>
    <w:qFormat/>
    <w:uiPriority w:val="0"/>
  </w:style>
  <w:style w:type="character" w:customStyle="1" w:styleId="32">
    <w:name w:val="tmpztreemove_arrow"/>
    <w:basedOn w:val="11"/>
    <w:qFormat/>
    <w:uiPriority w:val="0"/>
  </w:style>
  <w:style w:type="character" w:customStyle="1" w:styleId="33">
    <w:name w:val="cdropright"/>
    <w:basedOn w:val="11"/>
    <w:qFormat/>
    <w:uiPriority w:val="0"/>
  </w:style>
  <w:style w:type="character" w:customStyle="1" w:styleId="34">
    <w:name w:val="drapbtn"/>
    <w:basedOn w:val="11"/>
    <w:qFormat/>
    <w:uiPriority w:val="0"/>
  </w:style>
  <w:style w:type="character" w:customStyle="1" w:styleId="35">
    <w:name w:val="edit_class"/>
    <w:basedOn w:val="11"/>
    <w:qFormat/>
    <w:uiPriority w:val="0"/>
  </w:style>
  <w:style w:type="character" w:customStyle="1" w:styleId="36">
    <w:name w:val="browse_class&gt;input"/>
    <w:basedOn w:val="11"/>
    <w:qFormat/>
    <w:uiPriority w:val="0"/>
    <w:rPr>
      <w:shd w:val="clear" w:fill="F8F8F8"/>
    </w:rPr>
  </w:style>
  <w:style w:type="character" w:customStyle="1" w:styleId="37">
    <w:name w:val="xdrichtextbox2"/>
    <w:basedOn w:val="11"/>
    <w:qFormat/>
    <w:uiPriority w:val="0"/>
  </w:style>
  <w:style w:type="character" w:customStyle="1" w:styleId="38">
    <w:name w:val="biggerthanmax"/>
    <w:basedOn w:val="11"/>
    <w:qFormat/>
    <w:uiPriority w:val="0"/>
    <w:rPr>
      <w:shd w:val="clear" w:fill="FFFF00"/>
    </w:rPr>
  </w:style>
  <w:style w:type="character" w:customStyle="1" w:styleId="39">
    <w:name w:val="browse_class&gt;span"/>
    <w:basedOn w:val="11"/>
    <w:qFormat/>
    <w:uiPriority w:val="0"/>
    <w:rPr>
      <w:shd w:val="clear" w:fill="F8F8F8"/>
    </w:rPr>
  </w:style>
  <w:style w:type="character" w:customStyle="1" w:styleId="40">
    <w:name w:val="button"/>
    <w:basedOn w:val="11"/>
    <w:qFormat/>
    <w:uiPriority w:val="0"/>
  </w:style>
  <w:style w:type="character" w:customStyle="1" w:styleId="41">
    <w:name w:val="xdrichtextbox"/>
    <w:basedOn w:val="11"/>
    <w:qFormat/>
    <w:uiPriority w:val="0"/>
    <w:rPr>
      <w:color w:val="auto"/>
      <w:sz w:val="18"/>
      <w:szCs w:val="18"/>
      <w:u w:val="none"/>
      <w:bdr w:val="single" w:color="DCDCDC" w:sz="8" w:space="0"/>
      <w:shd w:val="clear" w:fill="auto"/>
    </w:rPr>
  </w:style>
  <w:style w:type="character" w:customStyle="1" w:styleId="42">
    <w:name w:val="font81"/>
    <w:basedOn w:val="11"/>
    <w:qFormat/>
    <w:uiPriority w:val="0"/>
    <w:rPr>
      <w:rFonts w:hint="eastAsia" w:ascii="宋体" w:hAnsi="宋体" w:eastAsia="宋体" w:cs="宋体"/>
      <w:color w:val="000000"/>
      <w:sz w:val="20"/>
      <w:szCs w:val="20"/>
      <w:u w:val="none"/>
    </w:rPr>
  </w:style>
  <w:style w:type="character" w:customStyle="1" w:styleId="43">
    <w:name w:val="font41"/>
    <w:basedOn w:val="11"/>
    <w:qFormat/>
    <w:uiPriority w:val="0"/>
    <w:rPr>
      <w:rFonts w:hint="eastAsia" w:ascii="宋体" w:hAnsi="宋体" w:eastAsia="宋体" w:cs="宋体"/>
      <w:color w:val="000000"/>
      <w:sz w:val="20"/>
      <w:szCs w:val="20"/>
      <w:u w:val="none"/>
    </w:rPr>
  </w:style>
  <w:style w:type="character" w:customStyle="1" w:styleId="44">
    <w:name w:val="font61"/>
    <w:basedOn w:val="11"/>
    <w:qFormat/>
    <w:uiPriority w:val="0"/>
    <w:rPr>
      <w:rFonts w:hint="default" w:ascii="Arial" w:hAnsi="Arial" w:cs="Arial"/>
      <w:color w:val="000000"/>
      <w:sz w:val="20"/>
      <w:szCs w:val="20"/>
      <w:u w:val="none"/>
    </w:rPr>
  </w:style>
  <w:style w:type="character" w:customStyle="1" w:styleId="45">
    <w:name w:val="font151"/>
    <w:basedOn w:val="11"/>
    <w:qFormat/>
    <w:uiPriority w:val="0"/>
    <w:rPr>
      <w:rFonts w:hint="eastAsia" w:ascii="宋体" w:hAnsi="宋体" w:eastAsia="宋体" w:cs="宋体"/>
      <w:color w:val="000000"/>
      <w:sz w:val="20"/>
      <w:szCs w:val="20"/>
      <w:u w:val="none"/>
    </w:rPr>
  </w:style>
  <w:style w:type="character" w:customStyle="1" w:styleId="46">
    <w:name w:val="font11"/>
    <w:basedOn w:val="11"/>
    <w:qFormat/>
    <w:uiPriority w:val="0"/>
    <w:rPr>
      <w:rFonts w:hint="default" w:ascii="Arial" w:hAnsi="Arial" w:cs="Arial"/>
      <w:color w:val="000000"/>
      <w:sz w:val="20"/>
      <w:szCs w:val="20"/>
      <w:u w:val="none"/>
    </w:rPr>
  </w:style>
  <w:style w:type="character" w:customStyle="1" w:styleId="47">
    <w:name w:val="font71"/>
    <w:basedOn w:val="11"/>
    <w:qFormat/>
    <w:uiPriority w:val="0"/>
    <w:rPr>
      <w:rFonts w:hint="eastAsia" w:ascii="宋体" w:hAnsi="宋体" w:eastAsia="宋体" w:cs="宋体"/>
      <w:color w:val="000000"/>
      <w:sz w:val="20"/>
      <w:szCs w:val="20"/>
      <w:u w:val="none"/>
    </w:rPr>
  </w:style>
  <w:style w:type="character" w:customStyle="1" w:styleId="48">
    <w:name w:val="font91"/>
    <w:basedOn w:val="11"/>
    <w:qFormat/>
    <w:uiPriority w:val="0"/>
    <w:rPr>
      <w:rFonts w:hint="eastAsia" w:ascii="宋体" w:hAnsi="宋体" w:eastAsia="宋体" w:cs="宋体"/>
      <w:color w:val="000000"/>
      <w:sz w:val="20"/>
      <w:szCs w:val="20"/>
      <w:u w:val="none"/>
    </w:rPr>
  </w:style>
  <w:style w:type="character" w:customStyle="1" w:styleId="49">
    <w:name w:val="font21"/>
    <w:basedOn w:val="11"/>
    <w:qFormat/>
    <w:uiPriority w:val="0"/>
    <w:rPr>
      <w:rFonts w:hint="eastAsia" w:ascii="宋体" w:hAnsi="宋体" w:eastAsia="宋体" w:cs="宋体"/>
      <w:color w:val="000000"/>
      <w:sz w:val="20"/>
      <w:szCs w:val="20"/>
      <w:u w:val="none"/>
    </w:rPr>
  </w:style>
  <w:style w:type="character" w:customStyle="1" w:styleId="50">
    <w:name w:val="font51"/>
    <w:basedOn w:val="11"/>
    <w:qFormat/>
    <w:uiPriority w:val="0"/>
    <w:rPr>
      <w:rFonts w:hint="eastAsia" w:ascii="宋体" w:hAnsi="宋体" w:eastAsia="宋体" w:cs="宋体"/>
      <w:color w:val="000000"/>
      <w:sz w:val="20"/>
      <w:szCs w:val="20"/>
      <w:u w:val="none"/>
    </w:rPr>
  </w:style>
  <w:style w:type="character" w:customStyle="1" w:styleId="51">
    <w:name w:val="font101"/>
    <w:basedOn w:val="11"/>
    <w:qFormat/>
    <w:uiPriority w:val="0"/>
    <w:rPr>
      <w:rFonts w:hint="eastAsia" w:ascii="宋体" w:hAnsi="宋体" w:eastAsia="宋体" w:cs="宋体"/>
      <w:color w:val="000000"/>
      <w:sz w:val="20"/>
      <w:szCs w:val="20"/>
      <w:u w:val="none"/>
    </w:rPr>
  </w:style>
  <w:style w:type="character" w:customStyle="1" w:styleId="52">
    <w:name w:val="font12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18783</Words>
  <Characters>30462</Characters>
  <Lines>1</Lines>
  <Paragraphs>1</Paragraphs>
  <TotalTime>15</TotalTime>
  <ScaleCrop>false</ScaleCrop>
  <LinksUpToDate>false</LinksUpToDate>
  <CharactersWithSpaces>33706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2020-09-03T13:55:00Z</dcterms:created>
  <dc:creator>廖育进</dc:creator>
  <cp:lastModifiedBy>uos</cp:lastModifiedBy>
  <cp:lastPrinted>2022-12-05T19:21:00Z</cp:lastPrinted>
  <dcterms:modified xsi:type="dcterms:W3CDTF">2025-09-08T12:00:20Z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0BEB80CE04E74D6FB820988004FD2066</vt:lpwstr>
  </property>
</Properties>
</file>