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黑体_GBK" w:eastAsia="方正黑体_GBK"/>
          <w:sz w:val="32"/>
          <w:szCs w:val="32"/>
        </w:rPr>
      </w:pPr>
    </w:p>
    <w:p>
      <w:pPr>
        <w:jc w:val="center"/>
        <w:rPr>
          <w:rFonts w:ascii="方正黑体_GBK" w:eastAsia="方正黑体_GBK"/>
          <w:sz w:val="32"/>
          <w:szCs w:val="32"/>
        </w:rPr>
      </w:pPr>
    </w:p>
    <w:p>
      <w:pPr>
        <w:jc w:val="center"/>
        <w:rPr>
          <w:rFonts w:ascii="方正小标宋_GBK" w:hAnsi="Calibri" w:eastAsia="方正小标宋_GBK" w:cs="方正小标宋_GBK"/>
          <w:sz w:val="52"/>
          <w:szCs w:val="52"/>
        </w:rPr>
      </w:pPr>
      <w:r>
        <w:rPr>
          <w:rFonts w:hint="eastAsia" w:ascii="方正小标宋_GBK" w:hAnsi="Calibri" w:eastAsia="方正小标宋_GBK" w:cs="方正小标宋_GBK"/>
          <w:sz w:val="52"/>
          <w:szCs w:val="52"/>
        </w:rPr>
        <w:t>大渡口区</w:t>
      </w:r>
      <w:r>
        <w:rPr>
          <w:rFonts w:ascii="Times New Roman" w:hAnsi="Times New Roman" w:eastAsia="方正小标宋_GBK" w:cs="Times New Roman"/>
          <w:sz w:val="52"/>
          <w:szCs w:val="52"/>
        </w:rPr>
        <w:t>2022</w:t>
      </w:r>
      <w:r>
        <w:rPr>
          <w:rFonts w:hint="eastAsia" w:ascii="方正小标宋_GBK" w:hAnsi="Calibri" w:eastAsia="方正小标宋_GBK" w:cs="方正小标宋_GBK"/>
          <w:sz w:val="52"/>
          <w:szCs w:val="52"/>
        </w:rPr>
        <w:t>年预算执行情况和</w:t>
      </w:r>
    </w:p>
    <w:p>
      <w:pPr>
        <w:jc w:val="center"/>
        <w:rPr>
          <w:rFonts w:ascii="方正小标宋_GBK" w:hAnsi="Calibri" w:eastAsia="方正小标宋_GBK" w:cs="方正小标宋_GBK"/>
          <w:sz w:val="52"/>
          <w:szCs w:val="52"/>
        </w:rPr>
      </w:pPr>
      <w:r>
        <w:rPr>
          <w:rFonts w:ascii="Times New Roman" w:hAnsi="Times New Roman" w:eastAsia="方正小标宋_GBK" w:cs="Times New Roman"/>
          <w:sz w:val="52"/>
          <w:szCs w:val="52"/>
        </w:rPr>
        <w:t>2023</w:t>
      </w:r>
      <w:r>
        <w:rPr>
          <w:rFonts w:hint="eastAsia" w:ascii="方正小标宋_GBK" w:hAnsi="Calibri" w:eastAsia="方正小标宋_GBK" w:cs="方正小标宋_GBK"/>
          <w:sz w:val="52"/>
          <w:szCs w:val="52"/>
        </w:rPr>
        <w:t>年预算（草案）</w:t>
      </w:r>
    </w:p>
    <w:p>
      <w:pPr>
        <w:jc w:val="center"/>
        <w:rPr>
          <w:rFonts w:ascii="方正黑体_GBK" w:eastAsia="方正黑体_GBK"/>
          <w:sz w:val="44"/>
          <w:szCs w:val="44"/>
        </w:rPr>
      </w:pPr>
    </w:p>
    <w:p>
      <w:pPr>
        <w:jc w:val="center"/>
        <w:rPr>
          <w:rFonts w:ascii="方正黑体_GBK" w:eastAsia="方正黑体_GBK"/>
          <w:sz w:val="44"/>
          <w:szCs w:val="44"/>
        </w:rPr>
      </w:pPr>
    </w:p>
    <w:p>
      <w:pPr>
        <w:jc w:val="center"/>
        <w:rPr>
          <w:rFonts w:ascii="方正黑体_GBK" w:eastAsia="方正黑体_GBK"/>
          <w:sz w:val="44"/>
          <w:szCs w:val="44"/>
        </w:rPr>
      </w:pPr>
    </w:p>
    <w:p>
      <w:pPr>
        <w:jc w:val="center"/>
        <w:rPr>
          <w:rFonts w:ascii="方正黑体_GBK" w:eastAsia="方正黑体_GBK"/>
          <w:sz w:val="44"/>
          <w:szCs w:val="44"/>
        </w:rPr>
      </w:pPr>
    </w:p>
    <w:p>
      <w:pPr>
        <w:jc w:val="center"/>
        <w:rPr>
          <w:rFonts w:ascii="方正黑体_GBK" w:eastAsia="方正黑体_GBK"/>
          <w:sz w:val="44"/>
          <w:szCs w:val="44"/>
        </w:rPr>
      </w:pPr>
    </w:p>
    <w:p>
      <w:pPr>
        <w:jc w:val="center"/>
        <w:rPr>
          <w:rFonts w:ascii="方正黑体_GBK" w:eastAsia="方正黑体_GBK"/>
          <w:sz w:val="44"/>
          <w:szCs w:val="44"/>
        </w:rPr>
      </w:pPr>
    </w:p>
    <w:p>
      <w:pPr>
        <w:jc w:val="center"/>
        <w:rPr>
          <w:rFonts w:ascii="方正黑体_GBK" w:eastAsia="方正黑体_GBK"/>
          <w:sz w:val="44"/>
          <w:szCs w:val="44"/>
        </w:rPr>
      </w:pPr>
    </w:p>
    <w:p>
      <w:pPr>
        <w:jc w:val="center"/>
        <w:rPr>
          <w:rFonts w:ascii="方正黑体_GBK" w:eastAsia="方正黑体_GBK"/>
          <w:sz w:val="44"/>
          <w:szCs w:val="44"/>
        </w:rPr>
      </w:pPr>
    </w:p>
    <w:p>
      <w:pPr>
        <w:jc w:val="center"/>
        <w:rPr>
          <w:rFonts w:ascii="方正黑体_GBK" w:eastAsia="方正黑体_GBK"/>
          <w:sz w:val="44"/>
          <w:szCs w:val="44"/>
        </w:rPr>
      </w:pPr>
    </w:p>
    <w:p>
      <w:pPr>
        <w:jc w:val="center"/>
        <w:rPr>
          <w:rFonts w:ascii="方正黑体_GBK" w:eastAsia="方正黑体_GBK"/>
          <w:sz w:val="44"/>
          <w:szCs w:val="44"/>
        </w:rPr>
      </w:pPr>
    </w:p>
    <w:p>
      <w:pPr>
        <w:jc w:val="center"/>
        <w:rPr>
          <w:rFonts w:ascii="方正黑体_GBK" w:eastAsia="方正黑体_GBK"/>
          <w:sz w:val="44"/>
          <w:szCs w:val="44"/>
        </w:rPr>
      </w:pPr>
    </w:p>
    <w:p>
      <w:pPr>
        <w:jc w:val="center"/>
        <w:rPr>
          <w:rFonts w:ascii="方正黑体_GBK" w:eastAsia="方正黑体_GBK"/>
          <w:sz w:val="44"/>
          <w:szCs w:val="44"/>
        </w:rPr>
      </w:pPr>
    </w:p>
    <w:p>
      <w:pPr>
        <w:jc w:val="center"/>
        <w:rPr>
          <w:rFonts w:ascii="方正黑体_GBK" w:eastAsia="方正黑体_GBK"/>
          <w:sz w:val="44"/>
          <w:szCs w:val="44"/>
        </w:rPr>
      </w:pPr>
    </w:p>
    <w:p>
      <w:pPr>
        <w:jc w:val="center"/>
        <w:rPr>
          <w:rFonts w:ascii="方正黑体_GBK" w:eastAsia="方正黑体_GBK"/>
          <w:sz w:val="44"/>
          <w:szCs w:val="44"/>
        </w:rPr>
      </w:pPr>
    </w:p>
    <w:p>
      <w:pPr>
        <w:widowControl/>
        <w:jc w:val="center"/>
        <w:rPr>
          <w:rFonts w:ascii="Times New Roman" w:hAnsi="Times New Roman" w:cs="宋体"/>
          <w:color w:val="000000"/>
          <w:kern w:val="0"/>
          <w:sz w:val="32"/>
          <w:szCs w:val="32"/>
        </w:rPr>
      </w:pPr>
    </w:p>
    <w:p>
      <w:pPr>
        <w:spacing w:before="240" w:beforeLines="100"/>
        <w:jc w:val="center"/>
        <w:rPr>
          <w:rFonts w:ascii="Times New Roman" w:hAnsi="Times New Roman" w:eastAsia="方正楷体_GBK" w:cs="方正楷体_GBK"/>
          <w:sz w:val="32"/>
          <w:szCs w:val="32"/>
        </w:rPr>
      </w:pPr>
      <w:r>
        <w:rPr>
          <w:rFonts w:ascii="Times New Roman" w:hAnsi="Times New Roman" w:eastAsia="方正楷体_GBK" w:cs="Times New Roman"/>
          <w:sz w:val="32"/>
          <w:szCs w:val="32"/>
        </w:rPr>
        <w:t>2023</w:t>
      </w:r>
      <w:r>
        <w:rPr>
          <w:rFonts w:hint="eastAsia" w:ascii="Times New Roman" w:hAnsi="Times New Roman" w:eastAsia="方正楷体_GBK" w:cs="方正楷体_GBK"/>
          <w:sz w:val="32"/>
          <w:szCs w:val="32"/>
        </w:rPr>
        <w:t>年</w:t>
      </w:r>
      <w:r>
        <w:rPr>
          <w:rFonts w:ascii="Times New Roman" w:hAnsi="Times New Roman" w:eastAsia="方正楷体_GBK" w:cs="Times New Roman"/>
          <w:sz w:val="32"/>
          <w:szCs w:val="32"/>
        </w:rPr>
        <w:t>4</w:t>
      </w:r>
      <w:r>
        <w:rPr>
          <w:rFonts w:hint="eastAsia" w:ascii="Times New Roman" w:hAnsi="Times New Roman" w:eastAsia="方正楷体_GBK" w:cs="方正楷体_GBK"/>
          <w:sz w:val="32"/>
          <w:szCs w:val="32"/>
        </w:rPr>
        <w:t>月</w:t>
      </w:r>
    </w:p>
    <w:p>
      <w:pPr>
        <w:spacing w:before="240" w:beforeLines="100"/>
        <w:jc w:val="center"/>
        <w:rPr>
          <w:rFonts w:hint="eastAsia" w:ascii="Times New Roman" w:hAnsi="Times New Roman" w:eastAsia="方正小标宋_GBK" w:cs="方正小标宋_GBK"/>
          <w:sz w:val="44"/>
          <w:szCs w:val="44"/>
        </w:rPr>
        <w:sectPr>
          <w:pgSz w:w="11906" w:h="16838"/>
          <w:pgMar w:top="1985" w:right="1446" w:bottom="1644" w:left="1446" w:header="851" w:footer="992" w:gutter="0"/>
          <w:pgNumType w:fmt="numberInDash" w:start="1"/>
          <w:cols w:space="425" w:num="1"/>
          <w:docGrid w:linePitch="312" w:charSpace="0"/>
        </w:sectPr>
      </w:pPr>
    </w:p>
    <w:p>
      <w:pPr>
        <w:jc w:val="center"/>
        <w:rPr>
          <w:rFonts w:ascii="方正小标宋_GBK" w:hAnsi="Calibri" w:eastAsia="方正小标宋_GBK" w:cs="方正小标宋_GBK"/>
          <w:sz w:val="44"/>
          <w:szCs w:val="44"/>
        </w:rPr>
      </w:pPr>
      <w:r>
        <w:rPr>
          <w:rFonts w:hint="eastAsia" w:ascii="方正小标宋_GBK" w:hAnsi="Calibri" w:eastAsia="方正小标宋_GBK" w:cs="方正小标宋_GBK"/>
          <w:sz w:val="44"/>
          <w:szCs w:val="44"/>
        </w:rPr>
        <w:t xml:space="preserve">目   </w:t>
      </w:r>
      <w:r>
        <w:rPr>
          <w:rFonts w:ascii="方正小标宋_GBK" w:hAnsi="Calibri" w:eastAsia="方正小标宋_GBK" w:cs="方正小标宋_GBK"/>
          <w:sz w:val="44"/>
          <w:szCs w:val="44"/>
        </w:rPr>
        <w:t xml:space="preserve"> </w:t>
      </w:r>
      <w:r>
        <w:rPr>
          <w:rFonts w:hint="eastAsia" w:ascii="方正小标宋_GBK" w:hAnsi="Calibri" w:eastAsia="方正小标宋_GBK" w:cs="方正小标宋_GBK"/>
          <w:sz w:val="44"/>
          <w:szCs w:val="44"/>
        </w:rPr>
        <w:t>录</w:t>
      </w:r>
    </w:p>
    <w:p>
      <w:pPr>
        <w:spacing w:line="594" w:lineRule="exact"/>
        <w:rPr>
          <w:rFonts w:ascii="Times New Roman" w:hAnsi="Times New Roman" w:eastAsia="方正黑体_GBK" w:cs="Times New Roman"/>
          <w:sz w:val="32"/>
          <w:szCs w:val="32"/>
        </w:rPr>
      </w:pPr>
    </w:p>
    <w:p>
      <w:pPr>
        <w:spacing w:line="610" w:lineRule="exact"/>
        <w:rPr>
          <w:rFonts w:ascii="Times New Roman" w:hAnsi="Times New Roman" w:eastAsia="方正仿宋_GBK" w:cs="Times New Roman"/>
          <w:kern w:val="0"/>
          <w:sz w:val="32"/>
          <w:szCs w:val="32"/>
        </w:rPr>
      </w:pPr>
      <w:r>
        <w:rPr>
          <w:rFonts w:hint="eastAsia" w:ascii="Times New Roman" w:hAnsi="Times New Roman" w:eastAsia="方正黑体_GBK" w:cs="Times New Roman"/>
          <w:sz w:val="32"/>
          <w:szCs w:val="32"/>
        </w:rPr>
        <w:t>第一部分：</w:t>
      </w:r>
      <w:r>
        <w:rPr>
          <w:rFonts w:ascii="Times New Roman" w:hAnsi="Times New Roman" w:eastAsia="方正黑体_GBK" w:cs="Times New Roman"/>
          <w:sz w:val="32"/>
          <w:szCs w:val="32"/>
        </w:rPr>
        <w:t>2022</w:t>
      </w:r>
      <w:r>
        <w:rPr>
          <w:rFonts w:hint="eastAsia" w:ascii="Times New Roman" w:hAnsi="Times New Roman" w:eastAsia="方正黑体_GBK" w:cs="Times New Roman"/>
          <w:sz w:val="32"/>
          <w:szCs w:val="32"/>
        </w:rPr>
        <w:t>年预算执行情况</w:t>
      </w:r>
    </w:p>
    <w:p>
      <w:pPr>
        <w:pStyle w:val="7"/>
        <w:widowControl w:val="0"/>
        <w:tabs>
          <w:tab w:val="right" w:leader="dot" w:pos="9014"/>
        </w:tabs>
        <w:spacing w:after="0" w:line="610" w:lineRule="exact"/>
        <w:jc w:val="distribute"/>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1</w:t>
      </w:r>
      <w:r>
        <w:rPr>
          <w:rFonts w:hint="eastAsia" w:ascii="Times New Roman" w:hAnsi="Times New Roman" w:eastAsia="方正仿宋_GBK"/>
          <w:sz w:val="32"/>
          <w:szCs w:val="32"/>
        </w:rPr>
        <w:t>：</w:t>
      </w:r>
      <w:r>
        <w:rPr>
          <w:rFonts w:ascii="Times New Roman" w:hAnsi="Times New Roman" w:eastAsia="方正仿宋_GBK"/>
          <w:sz w:val="32"/>
          <w:szCs w:val="32"/>
        </w:rPr>
        <w:t>2022年全区财政预算收入执行表</w:t>
      </w:r>
      <w:r>
        <w:rPr>
          <w:rFonts w:hint="eastAsia" w:ascii="Times New Roman" w:hAnsi="Times New Roman" w:eastAsia="方正仿宋_GBK"/>
          <w:sz w:val="32"/>
          <w:szCs w:val="32"/>
        </w:rPr>
        <w:t>……………………………</w:t>
      </w:r>
      <w:r>
        <w:rPr>
          <w:rFonts w:ascii="Times New Roman" w:hAnsi="Times New Roman" w:eastAsia="方正仿宋_GBK"/>
          <w:sz w:val="32"/>
          <w:szCs w:val="32"/>
        </w:rPr>
        <w:t>1</w:t>
      </w:r>
    </w:p>
    <w:p>
      <w:pPr>
        <w:pStyle w:val="7"/>
        <w:widowControl w:val="0"/>
        <w:tabs>
          <w:tab w:val="right" w:leader="dot" w:pos="9014"/>
        </w:tabs>
        <w:spacing w:after="0" w:line="610" w:lineRule="exact"/>
        <w:jc w:val="distribute"/>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2</w:t>
      </w:r>
      <w:r>
        <w:rPr>
          <w:rFonts w:hint="eastAsia" w:ascii="Times New Roman" w:hAnsi="Times New Roman" w:eastAsia="方正仿宋_GBK"/>
          <w:sz w:val="32"/>
          <w:szCs w:val="32"/>
        </w:rPr>
        <w:t>：</w:t>
      </w:r>
      <w:r>
        <w:rPr>
          <w:rFonts w:ascii="Times New Roman" w:hAnsi="Times New Roman" w:eastAsia="方正仿宋_GBK"/>
          <w:sz w:val="32"/>
          <w:szCs w:val="32"/>
        </w:rPr>
        <w:t>2022年全区财政预算支出执行表</w:t>
      </w:r>
      <w:r>
        <w:rPr>
          <w:rFonts w:hint="eastAsia" w:ascii="Times New Roman" w:hAnsi="Times New Roman" w:eastAsia="方正仿宋_GBK"/>
          <w:sz w:val="32"/>
          <w:szCs w:val="32"/>
        </w:rPr>
        <w:t>……………………………</w:t>
      </w:r>
      <w:r>
        <w:rPr>
          <w:rFonts w:ascii="Times New Roman" w:hAnsi="Times New Roman" w:eastAsia="方正仿宋_GBK"/>
          <w:sz w:val="32"/>
          <w:szCs w:val="32"/>
        </w:rPr>
        <w:t>2</w:t>
      </w:r>
    </w:p>
    <w:p>
      <w:pPr>
        <w:pStyle w:val="7"/>
        <w:widowControl w:val="0"/>
        <w:tabs>
          <w:tab w:val="right" w:leader="dot" w:pos="9014"/>
        </w:tabs>
        <w:spacing w:after="0" w:line="610" w:lineRule="exact"/>
        <w:jc w:val="distribute"/>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3</w:t>
      </w:r>
      <w:r>
        <w:rPr>
          <w:rFonts w:hint="eastAsia" w:ascii="Times New Roman" w:hAnsi="Times New Roman" w:eastAsia="方正仿宋_GBK"/>
          <w:sz w:val="32"/>
          <w:szCs w:val="32"/>
        </w:rPr>
        <w:t>：</w:t>
      </w:r>
      <w:r>
        <w:rPr>
          <w:rFonts w:ascii="Times New Roman" w:hAnsi="Times New Roman" w:eastAsia="方正仿宋_GBK"/>
          <w:sz w:val="32"/>
          <w:szCs w:val="32"/>
        </w:rPr>
        <w:t>2022年全区一般公共预算收支执行表</w:t>
      </w:r>
      <w:r>
        <w:rPr>
          <w:rFonts w:hint="eastAsia" w:ascii="Times New Roman" w:hAnsi="Times New Roman" w:eastAsia="方正仿宋_GBK"/>
          <w:sz w:val="32"/>
          <w:szCs w:val="32"/>
        </w:rPr>
        <w:t>………………………</w:t>
      </w:r>
      <w:r>
        <w:rPr>
          <w:rFonts w:ascii="Times New Roman" w:hAnsi="Times New Roman" w:eastAsia="方正仿宋_GBK"/>
          <w:sz w:val="32"/>
          <w:szCs w:val="32"/>
        </w:rPr>
        <w:t>3</w:t>
      </w:r>
    </w:p>
    <w:p>
      <w:pPr>
        <w:pStyle w:val="7"/>
        <w:widowControl w:val="0"/>
        <w:tabs>
          <w:tab w:val="right" w:leader="dot" w:pos="9014"/>
        </w:tabs>
        <w:spacing w:after="0" w:line="610" w:lineRule="exact"/>
        <w:jc w:val="distribute"/>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4</w:t>
      </w:r>
      <w:r>
        <w:rPr>
          <w:rFonts w:hint="eastAsia" w:ascii="Times New Roman" w:hAnsi="Times New Roman" w:eastAsia="方正仿宋_GBK"/>
          <w:sz w:val="32"/>
          <w:szCs w:val="32"/>
        </w:rPr>
        <w:t>：</w:t>
      </w:r>
      <w:r>
        <w:rPr>
          <w:rFonts w:ascii="Times New Roman" w:hAnsi="Times New Roman" w:eastAsia="方正仿宋_GBK"/>
          <w:sz w:val="32"/>
          <w:szCs w:val="32"/>
        </w:rPr>
        <w:t>2022年区级一般公共预算支出执行表</w:t>
      </w:r>
      <w:r>
        <w:rPr>
          <w:rFonts w:hint="eastAsia" w:ascii="Times New Roman" w:hAnsi="Times New Roman" w:eastAsia="方正仿宋_GBK"/>
          <w:sz w:val="32"/>
          <w:szCs w:val="32"/>
        </w:rPr>
        <w:t>………………………</w:t>
      </w:r>
      <w:r>
        <w:rPr>
          <w:rFonts w:ascii="Times New Roman" w:hAnsi="Times New Roman" w:eastAsia="方正仿宋_GBK"/>
          <w:sz w:val="32"/>
          <w:szCs w:val="32"/>
        </w:rPr>
        <w:t>9</w:t>
      </w:r>
    </w:p>
    <w:p>
      <w:pPr>
        <w:pStyle w:val="7"/>
        <w:widowControl w:val="0"/>
        <w:tabs>
          <w:tab w:val="right" w:leader="dot" w:pos="9014"/>
        </w:tabs>
        <w:spacing w:after="0" w:line="610" w:lineRule="exact"/>
        <w:jc w:val="distribute"/>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5</w:t>
      </w:r>
      <w:r>
        <w:rPr>
          <w:rFonts w:hint="eastAsia" w:ascii="Times New Roman" w:hAnsi="Times New Roman" w:eastAsia="方正仿宋_GBK"/>
          <w:sz w:val="32"/>
          <w:szCs w:val="32"/>
        </w:rPr>
        <w:t>：</w:t>
      </w:r>
      <w:r>
        <w:rPr>
          <w:rFonts w:ascii="Times New Roman" w:hAnsi="Times New Roman" w:eastAsia="方正仿宋_GBK"/>
          <w:sz w:val="32"/>
          <w:szCs w:val="32"/>
        </w:rPr>
        <w:t>2022年区级一般公共预算转移支付收支执行表</w:t>
      </w:r>
      <w:r>
        <w:rPr>
          <w:rFonts w:hint="eastAsia" w:ascii="Times New Roman" w:hAnsi="Times New Roman" w:eastAsia="方正仿宋_GBK"/>
          <w:sz w:val="32"/>
          <w:szCs w:val="32"/>
        </w:rPr>
        <w:t>…………</w:t>
      </w:r>
      <w:r>
        <w:rPr>
          <w:rFonts w:ascii="Times New Roman" w:hAnsi="Times New Roman" w:eastAsia="方正仿宋_GBK"/>
          <w:sz w:val="32"/>
          <w:szCs w:val="32"/>
        </w:rPr>
        <w:t>22</w:t>
      </w:r>
    </w:p>
    <w:p>
      <w:pPr>
        <w:pStyle w:val="7"/>
        <w:widowControl w:val="0"/>
        <w:tabs>
          <w:tab w:val="right" w:leader="dot" w:pos="9014"/>
        </w:tabs>
        <w:spacing w:after="0" w:line="610" w:lineRule="exact"/>
        <w:jc w:val="both"/>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6</w:t>
      </w:r>
      <w:r>
        <w:rPr>
          <w:rFonts w:hint="eastAsia" w:ascii="Times New Roman" w:hAnsi="Times New Roman" w:eastAsia="方正仿宋_GBK"/>
          <w:sz w:val="32"/>
          <w:szCs w:val="32"/>
        </w:rPr>
        <w:t>：</w:t>
      </w:r>
      <w:r>
        <w:rPr>
          <w:rFonts w:ascii="Times New Roman" w:hAnsi="Times New Roman" w:eastAsia="方正仿宋_GBK"/>
          <w:sz w:val="32"/>
          <w:szCs w:val="32"/>
        </w:rPr>
        <w:t>2022年区级一般公共预算转移支付支出执行表（分地区）</w:t>
      </w:r>
    </w:p>
    <w:p>
      <w:pPr>
        <w:pStyle w:val="7"/>
        <w:widowControl w:val="0"/>
        <w:tabs>
          <w:tab w:val="right" w:leader="dot" w:pos="9014"/>
        </w:tabs>
        <w:spacing w:after="0" w:line="610" w:lineRule="exact"/>
        <w:jc w:val="distribute"/>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24</w:t>
      </w:r>
    </w:p>
    <w:p>
      <w:pPr>
        <w:pStyle w:val="7"/>
        <w:widowControl w:val="0"/>
        <w:tabs>
          <w:tab w:val="right" w:leader="dot" w:pos="9014"/>
        </w:tabs>
        <w:spacing w:after="0" w:line="610" w:lineRule="exact"/>
        <w:jc w:val="both"/>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7</w:t>
      </w:r>
      <w:r>
        <w:rPr>
          <w:rFonts w:hint="eastAsia" w:ascii="Times New Roman" w:hAnsi="Times New Roman" w:eastAsia="方正仿宋_GBK"/>
          <w:sz w:val="32"/>
          <w:szCs w:val="32"/>
        </w:rPr>
        <w:t>：</w:t>
      </w:r>
      <w:r>
        <w:rPr>
          <w:rFonts w:ascii="Times New Roman" w:hAnsi="Times New Roman" w:eastAsia="方正仿宋_GBK"/>
          <w:sz w:val="32"/>
          <w:szCs w:val="32"/>
        </w:rPr>
        <w:t>2022年区级一般公共预算转移支付支出执行表（分项目）</w:t>
      </w:r>
    </w:p>
    <w:p>
      <w:pPr>
        <w:pStyle w:val="7"/>
        <w:widowControl w:val="0"/>
        <w:tabs>
          <w:tab w:val="right" w:leader="dot" w:pos="9014"/>
        </w:tabs>
        <w:spacing w:after="0" w:line="610" w:lineRule="exact"/>
        <w:jc w:val="distribute"/>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25</w:t>
      </w:r>
    </w:p>
    <w:p>
      <w:pPr>
        <w:pStyle w:val="7"/>
        <w:widowControl w:val="0"/>
        <w:tabs>
          <w:tab w:val="right" w:leader="dot" w:pos="9014"/>
        </w:tabs>
        <w:spacing w:after="0" w:line="610" w:lineRule="exact"/>
        <w:jc w:val="distribute"/>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8</w:t>
      </w:r>
      <w:r>
        <w:rPr>
          <w:rFonts w:hint="eastAsia" w:ascii="Times New Roman" w:hAnsi="Times New Roman" w:eastAsia="方正仿宋_GBK"/>
          <w:sz w:val="32"/>
          <w:szCs w:val="32"/>
        </w:rPr>
        <w:t>：</w:t>
      </w:r>
      <w:r>
        <w:rPr>
          <w:rFonts w:ascii="Times New Roman" w:hAnsi="Times New Roman" w:eastAsia="方正仿宋_GBK"/>
          <w:sz w:val="32"/>
          <w:szCs w:val="32"/>
        </w:rPr>
        <w:t>2022年全区政府性基金预算收支执行表</w:t>
      </w:r>
      <w:r>
        <w:rPr>
          <w:rFonts w:hint="eastAsia" w:ascii="Times New Roman" w:hAnsi="Times New Roman" w:eastAsia="方正仿宋_GBK"/>
          <w:sz w:val="32"/>
          <w:szCs w:val="32"/>
        </w:rPr>
        <w:t>…………………</w:t>
      </w:r>
      <w:r>
        <w:rPr>
          <w:rFonts w:ascii="Times New Roman" w:hAnsi="Times New Roman" w:eastAsia="方正仿宋_GBK"/>
          <w:sz w:val="32"/>
          <w:szCs w:val="32"/>
        </w:rPr>
        <w:t>27</w:t>
      </w:r>
    </w:p>
    <w:p>
      <w:pPr>
        <w:pStyle w:val="7"/>
        <w:widowControl w:val="0"/>
        <w:tabs>
          <w:tab w:val="right" w:leader="dot" w:pos="9014"/>
        </w:tabs>
        <w:spacing w:after="0" w:line="610" w:lineRule="exact"/>
        <w:jc w:val="distribute"/>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9</w:t>
      </w:r>
      <w:r>
        <w:rPr>
          <w:rFonts w:hint="eastAsia" w:ascii="Times New Roman" w:hAnsi="Times New Roman" w:eastAsia="方正仿宋_GBK"/>
          <w:sz w:val="32"/>
          <w:szCs w:val="32"/>
        </w:rPr>
        <w:t>：</w:t>
      </w:r>
      <w:r>
        <w:rPr>
          <w:rFonts w:ascii="Times New Roman" w:hAnsi="Times New Roman" w:eastAsia="方正仿宋_GBK"/>
          <w:sz w:val="32"/>
          <w:szCs w:val="32"/>
        </w:rPr>
        <w:t>2022年区级政府性基金预算支出执行表</w:t>
      </w:r>
      <w:r>
        <w:rPr>
          <w:rFonts w:hint="eastAsia" w:ascii="Times New Roman" w:hAnsi="Times New Roman" w:eastAsia="方正仿宋_GBK"/>
          <w:sz w:val="32"/>
          <w:szCs w:val="32"/>
        </w:rPr>
        <w:t>…………………</w:t>
      </w:r>
      <w:r>
        <w:rPr>
          <w:rFonts w:ascii="Times New Roman" w:hAnsi="Times New Roman" w:eastAsia="方正仿宋_GBK"/>
          <w:sz w:val="32"/>
          <w:szCs w:val="32"/>
        </w:rPr>
        <w:t>30</w:t>
      </w:r>
    </w:p>
    <w:p>
      <w:pPr>
        <w:pStyle w:val="7"/>
        <w:widowControl w:val="0"/>
        <w:tabs>
          <w:tab w:val="right" w:leader="dot" w:pos="9014"/>
        </w:tabs>
        <w:spacing w:after="0" w:line="610" w:lineRule="exact"/>
        <w:jc w:val="distribute"/>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10</w:t>
      </w:r>
      <w:r>
        <w:rPr>
          <w:rFonts w:hint="eastAsia" w:ascii="Times New Roman" w:hAnsi="Times New Roman" w:eastAsia="方正仿宋_GBK"/>
          <w:sz w:val="32"/>
          <w:szCs w:val="32"/>
        </w:rPr>
        <w:t>：</w:t>
      </w:r>
      <w:r>
        <w:rPr>
          <w:rFonts w:ascii="Times New Roman" w:hAnsi="Times New Roman" w:eastAsia="方正仿宋_GBK"/>
          <w:sz w:val="32"/>
          <w:szCs w:val="32"/>
        </w:rPr>
        <w:t>2022年区级政府性基金预算转移支付收支执行表</w:t>
      </w:r>
      <w:r>
        <w:rPr>
          <w:rFonts w:hint="eastAsia" w:ascii="Times New Roman" w:hAnsi="Times New Roman" w:eastAsia="方正仿宋_GBK"/>
          <w:sz w:val="32"/>
          <w:szCs w:val="32"/>
        </w:rPr>
        <w:t>………</w:t>
      </w:r>
      <w:r>
        <w:rPr>
          <w:rFonts w:ascii="Times New Roman" w:hAnsi="Times New Roman" w:eastAsia="方正仿宋_GBK"/>
          <w:sz w:val="32"/>
          <w:szCs w:val="32"/>
        </w:rPr>
        <w:t>32</w:t>
      </w:r>
    </w:p>
    <w:p>
      <w:pPr>
        <w:pStyle w:val="7"/>
        <w:widowControl w:val="0"/>
        <w:tabs>
          <w:tab w:val="right" w:leader="dot" w:pos="9014"/>
        </w:tabs>
        <w:spacing w:after="0" w:line="610" w:lineRule="exact"/>
        <w:jc w:val="both"/>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11</w:t>
      </w:r>
      <w:r>
        <w:rPr>
          <w:rFonts w:hint="eastAsia" w:ascii="Times New Roman" w:hAnsi="Times New Roman" w:eastAsia="方正仿宋_GBK"/>
          <w:sz w:val="32"/>
          <w:szCs w:val="32"/>
        </w:rPr>
        <w:t>：</w:t>
      </w:r>
      <w:r>
        <w:rPr>
          <w:rFonts w:ascii="Times New Roman" w:hAnsi="Times New Roman" w:eastAsia="方正仿宋_GBK"/>
          <w:sz w:val="32"/>
          <w:szCs w:val="32"/>
        </w:rPr>
        <w:t>2022年区级政府性基金预算转移支付支出执行表（分地区）</w:t>
      </w:r>
    </w:p>
    <w:p>
      <w:pPr>
        <w:pStyle w:val="7"/>
        <w:widowControl w:val="0"/>
        <w:tabs>
          <w:tab w:val="right" w:leader="dot" w:pos="9014"/>
        </w:tabs>
        <w:spacing w:after="0" w:line="610" w:lineRule="exact"/>
        <w:jc w:val="distribute"/>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33</w:t>
      </w:r>
    </w:p>
    <w:p>
      <w:pPr>
        <w:pStyle w:val="7"/>
        <w:widowControl w:val="0"/>
        <w:tabs>
          <w:tab w:val="right" w:leader="dot" w:pos="9014"/>
        </w:tabs>
        <w:spacing w:after="0" w:line="610" w:lineRule="exact"/>
        <w:jc w:val="both"/>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12</w:t>
      </w:r>
      <w:r>
        <w:rPr>
          <w:rFonts w:hint="eastAsia" w:ascii="Times New Roman" w:hAnsi="Times New Roman" w:eastAsia="方正仿宋_GBK"/>
          <w:sz w:val="32"/>
          <w:szCs w:val="32"/>
        </w:rPr>
        <w:t>：</w:t>
      </w:r>
      <w:r>
        <w:rPr>
          <w:rFonts w:ascii="Times New Roman" w:hAnsi="Times New Roman" w:eastAsia="方正仿宋_GBK"/>
          <w:sz w:val="32"/>
          <w:szCs w:val="32"/>
        </w:rPr>
        <w:t>2022年区级政府性基金预算转移支付支出执行表（分项目）</w:t>
      </w:r>
    </w:p>
    <w:p>
      <w:pPr>
        <w:pStyle w:val="7"/>
        <w:widowControl w:val="0"/>
        <w:tabs>
          <w:tab w:val="right" w:leader="dot" w:pos="9014"/>
        </w:tabs>
        <w:spacing w:after="0" w:line="610" w:lineRule="exact"/>
        <w:jc w:val="distribute"/>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34</w:t>
      </w:r>
    </w:p>
    <w:p>
      <w:pPr>
        <w:pStyle w:val="7"/>
        <w:widowControl w:val="0"/>
        <w:tabs>
          <w:tab w:val="right" w:leader="dot" w:pos="9014"/>
        </w:tabs>
        <w:spacing w:after="0" w:line="610" w:lineRule="exact"/>
        <w:jc w:val="distribute"/>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13</w:t>
      </w:r>
      <w:r>
        <w:rPr>
          <w:rFonts w:hint="eastAsia" w:ascii="Times New Roman" w:hAnsi="Times New Roman" w:eastAsia="方正仿宋_GBK"/>
          <w:sz w:val="32"/>
          <w:szCs w:val="32"/>
        </w:rPr>
        <w:t>：</w:t>
      </w:r>
      <w:r>
        <w:rPr>
          <w:rFonts w:ascii="Times New Roman" w:hAnsi="Times New Roman" w:eastAsia="方正仿宋_GBK"/>
          <w:sz w:val="32"/>
          <w:szCs w:val="32"/>
        </w:rPr>
        <w:t>2022年全区国有资本经营预算收支执行表</w:t>
      </w:r>
      <w:r>
        <w:rPr>
          <w:rFonts w:hint="eastAsia" w:ascii="Times New Roman" w:hAnsi="Times New Roman" w:eastAsia="方正仿宋_GBK"/>
          <w:sz w:val="32"/>
          <w:szCs w:val="32"/>
        </w:rPr>
        <w:t>………………</w:t>
      </w:r>
      <w:r>
        <w:rPr>
          <w:rFonts w:ascii="Times New Roman" w:hAnsi="Times New Roman" w:eastAsia="方正仿宋_GBK"/>
          <w:sz w:val="32"/>
          <w:szCs w:val="32"/>
        </w:rPr>
        <w:t>35</w:t>
      </w:r>
    </w:p>
    <w:p>
      <w:pPr>
        <w:pStyle w:val="7"/>
        <w:widowControl w:val="0"/>
        <w:tabs>
          <w:tab w:val="right" w:leader="dot" w:pos="9014"/>
        </w:tabs>
        <w:spacing w:after="0" w:line="610" w:lineRule="exact"/>
        <w:jc w:val="distribute"/>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14</w:t>
      </w:r>
      <w:r>
        <w:rPr>
          <w:rFonts w:hint="eastAsia" w:ascii="Times New Roman" w:hAnsi="Times New Roman" w:eastAsia="方正仿宋_GBK"/>
          <w:sz w:val="32"/>
          <w:szCs w:val="32"/>
        </w:rPr>
        <w:t>：</w:t>
      </w:r>
      <w:r>
        <w:rPr>
          <w:rFonts w:ascii="Times New Roman" w:hAnsi="Times New Roman" w:eastAsia="方正仿宋_GBK"/>
          <w:sz w:val="32"/>
          <w:szCs w:val="32"/>
        </w:rPr>
        <w:t>2022年全区社会保险基金预算收支执行表</w:t>
      </w:r>
      <w:r>
        <w:rPr>
          <w:rFonts w:hint="eastAsia" w:ascii="Times New Roman" w:hAnsi="Times New Roman" w:eastAsia="方正仿宋_GBK"/>
          <w:sz w:val="32"/>
          <w:szCs w:val="32"/>
        </w:rPr>
        <w:t>………………</w:t>
      </w:r>
      <w:r>
        <w:rPr>
          <w:rFonts w:ascii="Times New Roman" w:hAnsi="Times New Roman" w:eastAsia="方正仿宋_GBK"/>
          <w:sz w:val="32"/>
          <w:szCs w:val="32"/>
        </w:rPr>
        <w:t>38</w:t>
      </w:r>
    </w:p>
    <w:p>
      <w:pPr>
        <w:spacing w:line="594" w:lineRule="exact"/>
        <w:rPr>
          <w:rFonts w:ascii="Times New Roman" w:hAnsi="Times New Roman" w:eastAsia="方正仿宋_GBK" w:cs="Times New Roman"/>
          <w:kern w:val="0"/>
          <w:sz w:val="32"/>
          <w:szCs w:val="32"/>
        </w:rPr>
      </w:pPr>
      <w:r>
        <w:rPr>
          <w:rFonts w:hint="eastAsia" w:ascii="Times New Roman" w:hAnsi="Times New Roman" w:eastAsia="方正黑体_GBK" w:cs="Times New Roman"/>
          <w:sz w:val="32"/>
          <w:szCs w:val="32"/>
        </w:rPr>
        <w:t>第二部分：</w:t>
      </w:r>
      <w:r>
        <w:rPr>
          <w:rFonts w:ascii="Times New Roman" w:hAnsi="Times New Roman" w:eastAsia="方正黑体_GBK" w:cs="Times New Roman"/>
          <w:sz w:val="32"/>
          <w:szCs w:val="32"/>
        </w:rPr>
        <w:t>2023</w:t>
      </w:r>
      <w:r>
        <w:rPr>
          <w:rFonts w:hint="eastAsia" w:ascii="Times New Roman" w:hAnsi="Times New Roman" w:eastAsia="方正黑体_GBK" w:cs="Times New Roman"/>
          <w:sz w:val="32"/>
          <w:szCs w:val="32"/>
        </w:rPr>
        <w:t>年预算（草案）</w:t>
      </w:r>
    </w:p>
    <w:p>
      <w:pPr>
        <w:pStyle w:val="7"/>
        <w:widowControl w:val="0"/>
        <w:tabs>
          <w:tab w:val="right" w:leader="dot" w:pos="9014"/>
        </w:tabs>
        <w:spacing w:after="0" w:line="594" w:lineRule="exact"/>
        <w:jc w:val="both"/>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15</w:t>
      </w:r>
      <w:r>
        <w:rPr>
          <w:rFonts w:hint="eastAsia" w:ascii="Times New Roman" w:hAnsi="Times New Roman" w:eastAsia="方正仿宋_GBK"/>
          <w:sz w:val="32"/>
          <w:szCs w:val="32"/>
        </w:rPr>
        <w:t>：</w:t>
      </w:r>
      <w:r>
        <w:rPr>
          <w:rFonts w:ascii="Times New Roman" w:hAnsi="Times New Roman" w:eastAsia="方正仿宋_GBK"/>
          <w:sz w:val="32"/>
          <w:szCs w:val="32"/>
        </w:rPr>
        <w:t>2023年全区一般公共预算收支预算表</w:t>
      </w:r>
      <w:r>
        <w:rPr>
          <w:rFonts w:hint="eastAsia" w:ascii="Times New Roman" w:hAnsi="Times New Roman" w:eastAsia="方正仿宋_GBK"/>
          <w:sz w:val="32"/>
          <w:szCs w:val="32"/>
        </w:rPr>
        <w:t>……………………</w:t>
      </w:r>
      <w:r>
        <w:rPr>
          <w:rFonts w:ascii="Times New Roman" w:hAnsi="Times New Roman" w:eastAsia="方正仿宋_GBK"/>
          <w:sz w:val="32"/>
          <w:szCs w:val="32"/>
        </w:rPr>
        <w:t>39</w:t>
      </w:r>
    </w:p>
    <w:p>
      <w:pPr>
        <w:pStyle w:val="7"/>
        <w:widowControl w:val="0"/>
        <w:tabs>
          <w:tab w:val="right" w:leader="dot" w:pos="9014"/>
        </w:tabs>
        <w:spacing w:after="0" w:line="594" w:lineRule="exact"/>
        <w:jc w:val="both"/>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16</w:t>
      </w:r>
      <w:r>
        <w:rPr>
          <w:rFonts w:hint="eastAsia" w:ascii="Times New Roman" w:hAnsi="Times New Roman" w:eastAsia="方正仿宋_GBK"/>
          <w:sz w:val="32"/>
          <w:szCs w:val="32"/>
        </w:rPr>
        <w:t>：</w:t>
      </w:r>
      <w:r>
        <w:rPr>
          <w:rFonts w:ascii="Times New Roman" w:hAnsi="Times New Roman" w:eastAsia="方正仿宋_GBK"/>
          <w:sz w:val="32"/>
          <w:szCs w:val="32"/>
        </w:rPr>
        <w:t>2023年区级一般公共预算支出预算表</w:t>
      </w:r>
      <w:r>
        <w:rPr>
          <w:rFonts w:hint="eastAsia" w:ascii="Times New Roman" w:hAnsi="Times New Roman" w:eastAsia="方正仿宋_GBK"/>
          <w:sz w:val="32"/>
          <w:szCs w:val="32"/>
        </w:rPr>
        <w:t>……………………</w:t>
      </w:r>
      <w:r>
        <w:rPr>
          <w:rFonts w:ascii="Times New Roman" w:hAnsi="Times New Roman" w:eastAsia="方正仿宋_GBK"/>
          <w:sz w:val="32"/>
          <w:szCs w:val="32"/>
        </w:rPr>
        <w:t>44</w:t>
      </w:r>
    </w:p>
    <w:p>
      <w:pPr>
        <w:pStyle w:val="7"/>
        <w:widowControl w:val="0"/>
        <w:tabs>
          <w:tab w:val="right" w:leader="dot" w:pos="9014"/>
        </w:tabs>
        <w:spacing w:after="0" w:line="594" w:lineRule="exact"/>
        <w:jc w:val="both"/>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17</w:t>
      </w:r>
      <w:r>
        <w:rPr>
          <w:rFonts w:hint="eastAsia" w:ascii="Times New Roman" w:hAnsi="Times New Roman" w:eastAsia="方正仿宋_GBK"/>
          <w:sz w:val="32"/>
          <w:szCs w:val="32"/>
        </w:rPr>
        <w:t>：</w:t>
      </w:r>
      <w:r>
        <w:rPr>
          <w:rFonts w:ascii="Times New Roman" w:hAnsi="Times New Roman" w:eastAsia="方正仿宋_GBK"/>
          <w:sz w:val="32"/>
          <w:szCs w:val="32"/>
        </w:rPr>
        <w:t>2023年区级一般公共预算支出预算表</w:t>
      </w:r>
      <w:r>
        <w:rPr>
          <w:rFonts w:hint="eastAsia" w:ascii="Times New Roman" w:hAnsi="Times New Roman" w:eastAsia="方正仿宋_GBK"/>
          <w:sz w:val="32"/>
          <w:szCs w:val="32"/>
        </w:rPr>
        <w:t>……………………</w:t>
      </w:r>
      <w:r>
        <w:rPr>
          <w:rFonts w:ascii="Times New Roman" w:hAnsi="Times New Roman" w:eastAsia="方正仿宋_GBK"/>
          <w:sz w:val="32"/>
          <w:szCs w:val="32"/>
        </w:rPr>
        <w:t>57</w:t>
      </w:r>
    </w:p>
    <w:p>
      <w:pPr>
        <w:pStyle w:val="7"/>
        <w:widowControl w:val="0"/>
        <w:tabs>
          <w:tab w:val="right" w:leader="dot" w:pos="9014"/>
        </w:tabs>
        <w:spacing w:after="0" w:line="594" w:lineRule="exact"/>
        <w:jc w:val="both"/>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18</w:t>
      </w:r>
      <w:r>
        <w:rPr>
          <w:rFonts w:hint="eastAsia" w:ascii="Times New Roman" w:hAnsi="Times New Roman" w:eastAsia="方正仿宋_GBK"/>
          <w:sz w:val="32"/>
          <w:szCs w:val="32"/>
        </w:rPr>
        <w:t>：</w:t>
      </w:r>
      <w:r>
        <w:rPr>
          <w:rFonts w:ascii="Times New Roman" w:hAnsi="Times New Roman" w:eastAsia="方正仿宋_GBK"/>
          <w:sz w:val="32"/>
          <w:szCs w:val="32"/>
        </w:rPr>
        <w:t>2023年区级一般公共预算基本支出预算表</w:t>
      </w:r>
      <w:r>
        <w:rPr>
          <w:rFonts w:hint="eastAsia" w:ascii="Times New Roman" w:hAnsi="Times New Roman" w:eastAsia="方正仿宋_GBK"/>
          <w:sz w:val="32"/>
          <w:szCs w:val="32"/>
        </w:rPr>
        <w:t>………………</w:t>
      </w:r>
      <w:r>
        <w:rPr>
          <w:rFonts w:ascii="Times New Roman" w:hAnsi="Times New Roman" w:eastAsia="方正仿宋_GBK"/>
          <w:sz w:val="32"/>
          <w:szCs w:val="32"/>
        </w:rPr>
        <w:t>58</w:t>
      </w:r>
    </w:p>
    <w:p>
      <w:pPr>
        <w:pStyle w:val="7"/>
        <w:widowControl w:val="0"/>
        <w:tabs>
          <w:tab w:val="right" w:leader="dot" w:pos="9014"/>
        </w:tabs>
        <w:spacing w:after="0" w:line="594" w:lineRule="exact"/>
        <w:jc w:val="both"/>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19</w:t>
      </w:r>
      <w:r>
        <w:rPr>
          <w:rFonts w:hint="eastAsia" w:ascii="Times New Roman" w:hAnsi="Times New Roman" w:eastAsia="方正仿宋_GBK"/>
          <w:sz w:val="32"/>
          <w:szCs w:val="32"/>
        </w:rPr>
        <w:t>：</w:t>
      </w:r>
      <w:r>
        <w:rPr>
          <w:rFonts w:ascii="Times New Roman" w:hAnsi="Times New Roman" w:eastAsia="方正仿宋_GBK"/>
          <w:sz w:val="32"/>
          <w:szCs w:val="32"/>
        </w:rPr>
        <w:t>2023年区级一般公共预算转移支付收支预算表</w:t>
      </w:r>
      <w:r>
        <w:rPr>
          <w:rFonts w:hint="eastAsia" w:ascii="Times New Roman" w:hAnsi="Times New Roman" w:eastAsia="方正仿宋_GBK"/>
          <w:sz w:val="32"/>
          <w:szCs w:val="32"/>
        </w:rPr>
        <w:t>…………</w:t>
      </w:r>
      <w:r>
        <w:rPr>
          <w:rFonts w:ascii="Times New Roman" w:hAnsi="Times New Roman" w:eastAsia="方正仿宋_GBK"/>
          <w:sz w:val="32"/>
          <w:szCs w:val="32"/>
        </w:rPr>
        <w:t>60</w:t>
      </w:r>
    </w:p>
    <w:p>
      <w:pPr>
        <w:pStyle w:val="7"/>
        <w:widowControl w:val="0"/>
        <w:tabs>
          <w:tab w:val="right" w:leader="dot" w:pos="9014"/>
        </w:tabs>
        <w:spacing w:after="0" w:line="594" w:lineRule="exact"/>
        <w:jc w:val="both"/>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20</w:t>
      </w:r>
      <w:r>
        <w:rPr>
          <w:rFonts w:hint="eastAsia" w:ascii="Times New Roman" w:hAnsi="Times New Roman" w:eastAsia="方正仿宋_GBK"/>
          <w:sz w:val="32"/>
          <w:szCs w:val="32"/>
        </w:rPr>
        <w:t>：</w:t>
      </w:r>
      <w:r>
        <w:rPr>
          <w:rFonts w:ascii="Times New Roman" w:hAnsi="Times New Roman" w:eastAsia="方正仿宋_GBK"/>
          <w:sz w:val="32"/>
          <w:szCs w:val="32"/>
        </w:rPr>
        <w:t>2023年区级一般公共预算转移支付支出预算表（分地区）</w:t>
      </w:r>
    </w:p>
    <w:p>
      <w:pPr>
        <w:pStyle w:val="7"/>
        <w:widowControl w:val="0"/>
        <w:tabs>
          <w:tab w:val="right" w:leader="dot" w:pos="9014"/>
        </w:tabs>
        <w:spacing w:after="0" w:line="594" w:lineRule="exact"/>
        <w:jc w:val="distribute"/>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62</w:t>
      </w:r>
    </w:p>
    <w:p>
      <w:pPr>
        <w:pStyle w:val="7"/>
        <w:widowControl w:val="0"/>
        <w:tabs>
          <w:tab w:val="right" w:leader="dot" w:pos="9014"/>
        </w:tabs>
        <w:spacing w:after="0" w:line="594" w:lineRule="exact"/>
        <w:jc w:val="both"/>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21</w:t>
      </w:r>
      <w:r>
        <w:rPr>
          <w:rFonts w:hint="eastAsia" w:ascii="Times New Roman" w:hAnsi="Times New Roman" w:eastAsia="方正仿宋_GBK"/>
          <w:sz w:val="32"/>
          <w:szCs w:val="32"/>
        </w:rPr>
        <w:t>：</w:t>
      </w:r>
      <w:r>
        <w:rPr>
          <w:rFonts w:ascii="Times New Roman" w:hAnsi="Times New Roman" w:eastAsia="方正仿宋_GBK"/>
          <w:sz w:val="32"/>
          <w:szCs w:val="32"/>
        </w:rPr>
        <w:t>2023年区级一般公共预算转移支付支出预算表（分项目）</w:t>
      </w:r>
    </w:p>
    <w:p>
      <w:pPr>
        <w:pStyle w:val="7"/>
        <w:widowControl w:val="0"/>
        <w:tabs>
          <w:tab w:val="right" w:leader="dot" w:pos="9014"/>
        </w:tabs>
        <w:spacing w:after="0" w:line="594" w:lineRule="exact"/>
        <w:jc w:val="distribute"/>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63</w:t>
      </w:r>
    </w:p>
    <w:p>
      <w:pPr>
        <w:pStyle w:val="7"/>
        <w:widowControl w:val="0"/>
        <w:tabs>
          <w:tab w:val="right" w:leader="dot" w:pos="9014"/>
        </w:tabs>
        <w:spacing w:after="0" w:line="594" w:lineRule="exact"/>
        <w:jc w:val="both"/>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22</w:t>
      </w:r>
      <w:r>
        <w:rPr>
          <w:rFonts w:hint="eastAsia" w:ascii="Times New Roman" w:hAnsi="Times New Roman" w:eastAsia="方正仿宋_GBK"/>
          <w:sz w:val="32"/>
          <w:szCs w:val="32"/>
        </w:rPr>
        <w:t>：</w:t>
      </w:r>
      <w:r>
        <w:rPr>
          <w:rFonts w:ascii="Times New Roman" w:hAnsi="Times New Roman" w:eastAsia="方正仿宋_GBK"/>
          <w:sz w:val="32"/>
          <w:szCs w:val="32"/>
        </w:rPr>
        <w:t>2023年全区政府性基金预算收支预算表</w:t>
      </w:r>
      <w:r>
        <w:rPr>
          <w:rFonts w:hint="eastAsia" w:ascii="Times New Roman" w:hAnsi="Times New Roman" w:eastAsia="方正仿宋_GBK"/>
          <w:sz w:val="32"/>
          <w:szCs w:val="32"/>
        </w:rPr>
        <w:t>…………………</w:t>
      </w:r>
      <w:r>
        <w:rPr>
          <w:rFonts w:ascii="Times New Roman" w:hAnsi="Times New Roman" w:eastAsia="方正仿宋_GBK"/>
          <w:sz w:val="32"/>
          <w:szCs w:val="32"/>
        </w:rPr>
        <w:t>64</w:t>
      </w:r>
    </w:p>
    <w:p>
      <w:pPr>
        <w:pStyle w:val="7"/>
        <w:widowControl w:val="0"/>
        <w:tabs>
          <w:tab w:val="right" w:leader="dot" w:pos="9014"/>
        </w:tabs>
        <w:spacing w:after="0" w:line="594" w:lineRule="exact"/>
        <w:jc w:val="both"/>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23</w:t>
      </w:r>
      <w:r>
        <w:rPr>
          <w:rFonts w:hint="eastAsia" w:ascii="Times New Roman" w:hAnsi="Times New Roman" w:eastAsia="方正仿宋_GBK"/>
          <w:sz w:val="32"/>
          <w:szCs w:val="32"/>
        </w:rPr>
        <w:t>：</w:t>
      </w:r>
      <w:r>
        <w:rPr>
          <w:rFonts w:ascii="Times New Roman" w:hAnsi="Times New Roman" w:eastAsia="方正仿宋_GBK"/>
          <w:sz w:val="32"/>
          <w:szCs w:val="32"/>
        </w:rPr>
        <w:t>2023年区级政府性基金预算支出预算表</w:t>
      </w:r>
      <w:r>
        <w:rPr>
          <w:rFonts w:hint="eastAsia" w:ascii="Times New Roman" w:hAnsi="Times New Roman" w:eastAsia="方正仿宋_GBK"/>
          <w:sz w:val="32"/>
          <w:szCs w:val="32"/>
        </w:rPr>
        <w:t>…………………</w:t>
      </w:r>
      <w:r>
        <w:rPr>
          <w:rFonts w:ascii="Times New Roman" w:hAnsi="Times New Roman" w:eastAsia="方正仿宋_GBK"/>
          <w:sz w:val="32"/>
          <w:szCs w:val="32"/>
        </w:rPr>
        <w:t>66</w:t>
      </w:r>
    </w:p>
    <w:p>
      <w:pPr>
        <w:pStyle w:val="7"/>
        <w:widowControl w:val="0"/>
        <w:tabs>
          <w:tab w:val="right" w:leader="dot" w:pos="9014"/>
        </w:tabs>
        <w:spacing w:after="0" w:line="594" w:lineRule="exact"/>
        <w:jc w:val="both"/>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24</w:t>
      </w:r>
      <w:r>
        <w:rPr>
          <w:rFonts w:hint="eastAsia" w:ascii="Times New Roman" w:hAnsi="Times New Roman" w:eastAsia="方正仿宋_GBK"/>
          <w:sz w:val="32"/>
          <w:szCs w:val="32"/>
        </w:rPr>
        <w:t>：</w:t>
      </w:r>
      <w:r>
        <w:rPr>
          <w:rFonts w:ascii="Times New Roman" w:hAnsi="Times New Roman" w:eastAsia="方正仿宋_GBK"/>
          <w:sz w:val="32"/>
          <w:szCs w:val="32"/>
        </w:rPr>
        <w:t>2023年区级政府性基金预算转移支付收支预算表</w:t>
      </w:r>
      <w:r>
        <w:rPr>
          <w:rFonts w:hint="eastAsia" w:ascii="Times New Roman" w:hAnsi="Times New Roman" w:eastAsia="方正仿宋_GBK"/>
          <w:sz w:val="32"/>
          <w:szCs w:val="32"/>
        </w:rPr>
        <w:t>………</w:t>
      </w:r>
      <w:r>
        <w:rPr>
          <w:rFonts w:ascii="Times New Roman" w:hAnsi="Times New Roman" w:eastAsia="方正仿宋_GBK"/>
          <w:sz w:val="32"/>
          <w:szCs w:val="32"/>
        </w:rPr>
        <w:t>68</w:t>
      </w:r>
    </w:p>
    <w:p>
      <w:pPr>
        <w:pStyle w:val="7"/>
        <w:widowControl w:val="0"/>
        <w:tabs>
          <w:tab w:val="right" w:leader="dot" w:pos="9014"/>
        </w:tabs>
        <w:spacing w:after="0" w:line="594" w:lineRule="exact"/>
        <w:jc w:val="both"/>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25</w:t>
      </w:r>
      <w:r>
        <w:rPr>
          <w:rFonts w:hint="eastAsia" w:ascii="Times New Roman" w:hAnsi="Times New Roman" w:eastAsia="方正仿宋_GBK"/>
          <w:sz w:val="32"/>
          <w:szCs w:val="32"/>
        </w:rPr>
        <w:t>：</w:t>
      </w:r>
      <w:r>
        <w:rPr>
          <w:rFonts w:ascii="Times New Roman" w:hAnsi="Times New Roman" w:eastAsia="方正仿宋_GBK"/>
          <w:sz w:val="32"/>
          <w:szCs w:val="32"/>
        </w:rPr>
        <w:t>2023年区级政府性基金预算转移支付支出预算表（分地区）</w:t>
      </w:r>
    </w:p>
    <w:p>
      <w:pPr>
        <w:pStyle w:val="7"/>
        <w:widowControl w:val="0"/>
        <w:tabs>
          <w:tab w:val="right" w:leader="dot" w:pos="9014"/>
        </w:tabs>
        <w:spacing w:after="0" w:line="594" w:lineRule="exact"/>
        <w:jc w:val="distribute"/>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69</w:t>
      </w:r>
    </w:p>
    <w:p>
      <w:pPr>
        <w:pStyle w:val="7"/>
        <w:widowControl w:val="0"/>
        <w:tabs>
          <w:tab w:val="right" w:leader="dot" w:pos="9014"/>
        </w:tabs>
        <w:spacing w:after="0" w:line="594" w:lineRule="exact"/>
        <w:jc w:val="both"/>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26</w:t>
      </w:r>
      <w:r>
        <w:rPr>
          <w:rFonts w:hint="eastAsia" w:ascii="Times New Roman" w:hAnsi="Times New Roman" w:eastAsia="方正仿宋_GBK"/>
          <w:sz w:val="32"/>
          <w:szCs w:val="32"/>
        </w:rPr>
        <w:t>：</w:t>
      </w:r>
      <w:r>
        <w:rPr>
          <w:rFonts w:ascii="Times New Roman" w:hAnsi="Times New Roman" w:eastAsia="方正仿宋_GBK"/>
          <w:sz w:val="32"/>
          <w:szCs w:val="32"/>
        </w:rPr>
        <w:t>2023年区级政府性基金预算转移支付支出预算表（分项目）</w:t>
      </w:r>
    </w:p>
    <w:p>
      <w:pPr>
        <w:pStyle w:val="7"/>
        <w:widowControl w:val="0"/>
        <w:tabs>
          <w:tab w:val="right" w:leader="dot" w:pos="9014"/>
        </w:tabs>
        <w:spacing w:after="0" w:line="594" w:lineRule="exact"/>
        <w:jc w:val="distribute"/>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70</w:t>
      </w:r>
    </w:p>
    <w:p>
      <w:pPr>
        <w:pStyle w:val="7"/>
        <w:widowControl w:val="0"/>
        <w:tabs>
          <w:tab w:val="right" w:leader="dot" w:pos="9014"/>
        </w:tabs>
        <w:spacing w:after="0" w:line="594" w:lineRule="exact"/>
        <w:jc w:val="both"/>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27</w:t>
      </w:r>
      <w:r>
        <w:rPr>
          <w:rFonts w:hint="eastAsia" w:ascii="Times New Roman" w:hAnsi="Times New Roman" w:eastAsia="方正仿宋_GBK"/>
          <w:sz w:val="32"/>
          <w:szCs w:val="32"/>
        </w:rPr>
        <w:t>：</w:t>
      </w:r>
      <w:r>
        <w:rPr>
          <w:rFonts w:ascii="Times New Roman" w:hAnsi="Times New Roman" w:eastAsia="方正仿宋_GBK"/>
          <w:sz w:val="32"/>
          <w:szCs w:val="32"/>
        </w:rPr>
        <w:t>2023年全区国有资本经营预算收支预算表</w:t>
      </w:r>
      <w:r>
        <w:rPr>
          <w:rFonts w:hint="eastAsia" w:ascii="Times New Roman" w:hAnsi="Times New Roman" w:eastAsia="方正仿宋_GBK"/>
          <w:sz w:val="32"/>
          <w:szCs w:val="32"/>
        </w:rPr>
        <w:t>………………</w:t>
      </w:r>
      <w:r>
        <w:rPr>
          <w:rFonts w:ascii="Times New Roman" w:hAnsi="Times New Roman" w:eastAsia="方正仿宋_GBK"/>
          <w:sz w:val="32"/>
          <w:szCs w:val="32"/>
        </w:rPr>
        <w:t>71</w:t>
      </w:r>
    </w:p>
    <w:p>
      <w:pPr>
        <w:pStyle w:val="7"/>
        <w:widowControl w:val="0"/>
        <w:tabs>
          <w:tab w:val="right" w:leader="dot" w:pos="9014"/>
        </w:tabs>
        <w:spacing w:after="0" w:line="594" w:lineRule="exact"/>
        <w:jc w:val="both"/>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28</w:t>
      </w:r>
      <w:r>
        <w:rPr>
          <w:rFonts w:hint="eastAsia" w:ascii="Times New Roman" w:hAnsi="Times New Roman" w:eastAsia="方正仿宋_GBK"/>
          <w:sz w:val="32"/>
          <w:szCs w:val="32"/>
        </w:rPr>
        <w:t>：</w:t>
      </w:r>
      <w:r>
        <w:rPr>
          <w:rFonts w:ascii="Times New Roman" w:hAnsi="Times New Roman" w:eastAsia="方正仿宋_GBK"/>
          <w:sz w:val="32"/>
          <w:szCs w:val="32"/>
        </w:rPr>
        <w:t>2023年全区社会保险基金预算收支预算表</w:t>
      </w:r>
      <w:r>
        <w:rPr>
          <w:rFonts w:hint="eastAsia" w:ascii="Times New Roman" w:hAnsi="Times New Roman" w:eastAsia="方正仿宋_GBK"/>
          <w:sz w:val="32"/>
          <w:szCs w:val="32"/>
        </w:rPr>
        <w:t>………………</w:t>
      </w:r>
      <w:r>
        <w:rPr>
          <w:rFonts w:ascii="Times New Roman" w:hAnsi="Times New Roman" w:eastAsia="方正仿宋_GBK"/>
          <w:sz w:val="32"/>
          <w:szCs w:val="32"/>
        </w:rPr>
        <w:t>73</w:t>
      </w:r>
    </w:p>
    <w:p>
      <w:pPr>
        <w:pStyle w:val="7"/>
        <w:widowControl w:val="0"/>
        <w:tabs>
          <w:tab w:val="right" w:leader="dot" w:pos="9014"/>
        </w:tabs>
        <w:spacing w:after="0" w:line="594" w:lineRule="exact"/>
        <w:jc w:val="both"/>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29</w:t>
      </w:r>
      <w:r>
        <w:rPr>
          <w:rFonts w:hint="eastAsia" w:ascii="Times New Roman" w:hAnsi="Times New Roman" w:eastAsia="方正仿宋_GBK"/>
          <w:sz w:val="32"/>
          <w:szCs w:val="32"/>
        </w:rPr>
        <w:t>：</w:t>
      </w:r>
      <w:r>
        <w:rPr>
          <w:rFonts w:ascii="Times New Roman" w:hAnsi="Times New Roman" w:eastAsia="方正仿宋_GBK"/>
          <w:sz w:val="32"/>
          <w:szCs w:val="32"/>
        </w:rPr>
        <w:t>2023年全区“三公”经费预算表</w:t>
      </w:r>
      <w:r>
        <w:rPr>
          <w:rFonts w:hint="eastAsia" w:ascii="Times New Roman" w:hAnsi="Times New Roman" w:eastAsia="方正仿宋_GBK"/>
          <w:sz w:val="32"/>
          <w:szCs w:val="32"/>
        </w:rPr>
        <w:t>……………………………</w:t>
      </w:r>
      <w:r>
        <w:rPr>
          <w:rFonts w:ascii="Times New Roman" w:hAnsi="Times New Roman" w:eastAsia="方正仿宋_GBK"/>
          <w:sz w:val="32"/>
          <w:szCs w:val="32"/>
        </w:rPr>
        <w:t>74</w:t>
      </w:r>
    </w:p>
    <w:p>
      <w:pPr>
        <w:spacing w:line="594" w:lineRule="exact"/>
        <w:rPr>
          <w:rFonts w:ascii="Times New Roman" w:hAnsi="Times New Roman" w:eastAsia="方正仿宋_GBK" w:cs="Times New Roman"/>
          <w:kern w:val="0"/>
          <w:sz w:val="32"/>
          <w:szCs w:val="32"/>
        </w:rPr>
      </w:pPr>
      <w:r>
        <w:rPr>
          <w:rFonts w:hint="eastAsia" w:ascii="Times New Roman" w:hAnsi="Times New Roman" w:eastAsia="方正黑体_GBK" w:cs="Times New Roman"/>
          <w:sz w:val="32"/>
          <w:szCs w:val="32"/>
        </w:rPr>
        <w:t>第三部分：债务管控情况</w:t>
      </w:r>
    </w:p>
    <w:p>
      <w:pPr>
        <w:pStyle w:val="7"/>
        <w:widowControl w:val="0"/>
        <w:tabs>
          <w:tab w:val="right" w:leader="dot" w:pos="9014"/>
        </w:tabs>
        <w:spacing w:after="0" w:line="594" w:lineRule="exact"/>
        <w:jc w:val="both"/>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30</w:t>
      </w:r>
      <w:r>
        <w:rPr>
          <w:rFonts w:hint="eastAsia" w:ascii="Times New Roman" w:hAnsi="Times New Roman" w:eastAsia="方正仿宋_GBK"/>
          <w:sz w:val="32"/>
          <w:szCs w:val="32"/>
        </w:rPr>
        <w:t>：</w:t>
      </w:r>
      <w:r>
        <w:rPr>
          <w:rFonts w:ascii="Times New Roman" w:hAnsi="Times New Roman" w:eastAsia="方正仿宋_GBK"/>
          <w:sz w:val="32"/>
          <w:szCs w:val="32"/>
        </w:rPr>
        <w:t>2022年地方政府债务限额及余额情况表</w:t>
      </w:r>
      <w:r>
        <w:rPr>
          <w:rFonts w:hint="eastAsia" w:ascii="Times New Roman" w:hAnsi="Times New Roman" w:eastAsia="方正仿宋_GBK"/>
          <w:sz w:val="32"/>
          <w:szCs w:val="32"/>
        </w:rPr>
        <w:t>…………………</w:t>
      </w:r>
      <w:r>
        <w:rPr>
          <w:rFonts w:ascii="Times New Roman" w:hAnsi="Times New Roman" w:eastAsia="方正仿宋_GBK"/>
          <w:sz w:val="32"/>
          <w:szCs w:val="32"/>
        </w:rPr>
        <w:t>75</w:t>
      </w:r>
    </w:p>
    <w:p>
      <w:pPr>
        <w:pStyle w:val="7"/>
        <w:widowControl w:val="0"/>
        <w:tabs>
          <w:tab w:val="right" w:leader="dot" w:pos="9014"/>
        </w:tabs>
        <w:spacing w:after="0" w:line="594" w:lineRule="exact"/>
        <w:jc w:val="distribute"/>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31</w:t>
      </w:r>
      <w:r>
        <w:rPr>
          <w:rFonts w:hint="eastAsia" w:ascii="Times New Roman" w:hAnsi="Times New Roman" w:eastAsia="方正仿宋_GBK"/>
          <w:sz w:val="32"/>
          <w:szCs w:val="32"/>
        </w:rPr>
        <w:t>：</w:t>
      </w:r>
      <w:r>
        <w:rPr>
          <w:rFonts w:ascii="Times New Roman" w:hAnsi="Times New Roman" w:eastAsia="方正仿宋_GBK"/>
          <w:sz w:val="32"/>
          <w:szCs w:val="32"/>
        </w:rPr>
        <w:t>2022年和2023年地方政府一般债务情况表</w:t>
      </w:r>
      <w:r>
        <w:rPr>
          <w:rFonts w:hint="eastAsia" w:ascii="Times New Roman" w:hAnsi="Times New Roman" w:eastAsia="方正仿宋_GBK"/>
          <w:sz w:val="32"/>
          <w:szCs w:val="32"/>
        </w:rPr>
        <w:t>……………</w:t>
      </w:r>
      <w:r>
        <w:rPr>
          <w:rFonts w:ascii="Times New Roman" w:hAnsi="Times New Roman" w:eastAsia="方正仿宋_GBK"/>
          <w:sz w:val="32"/>
          <w:szCs w:val="32"/>
        </w:rPr>
        <w:t>76</w:t>
      </w:r>
    </w:p>
    <w:p>
      <w:pPr>
        <w:pStyle w:val="7"/>
        <w:widowControl w:val="0"/>
        <w:tabs>
          <w:tab w:val="right" w:leader="dot" w:pos="9014"/>
        </w:tabs>
        <w:spacing w:after="0" w:line="594" w:lineRule="exact"/>
        <w:jc w:val="distribute"/>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32</w:t>
      </w:r>
      <w:r>
        <w:rPr>
          <w:rFonts w:hint="eastAsia" w:ascii="Times New Roman" w:hAnsi="Times New Roman" w:eastAsia="方正仿宋_GBK"/>
          <w:sz w:val="32"/>
          <w:szCs w:val="32"/>
        </w:rPr>
        <w:t>：</w:t>
      </w:r>
      <w:r>
        <w:rPr>
          <w:rFonts w:ascii="Times New Roman" w:hAnsi="Times New Roman" w:eastAsia="方正仿宋_GBK"/>
          <w:sz w:val="32"/>
          <w:szCs w:val="32"/>
        </w:rPr>
        <w:t>2022年和2023年地方政府专项债务情况表</w:t>
      </w:r>
      <w:r>
        <w:rPr>
          <w:rFonts w:hint="eastAsia" w:ascii="Times New Roman" w:hAnsi="Times New Roman" w:eastAsia="方正仿宋_GBK"/>
          <w:sz w:val="32"/>
          <w:szCs w:val="32"/>
        </w:rPr>
        <w:t>……………</w:t>
      </w:r>
      <w:r>
        <w:rPr>
          <w:rFonts w:ascii="Times New Roman" w:hAnsi="Times New Roman" w:eastAsia="方正仿宋_GBK"/>
          <w:sz w:val="32"/>
          <w:szCs w:val="32"/>
        </w:rPr>
        <w:t>77</w:t>
      </w:r>
    </w:p>
    <w:p>
      <w:pPr>
        <w:pStyle w:val="7"/>
        <w:widowControl w:val="0"/>
        <w:tabs>
          <w:tab w:val="right" w:leader="dot" w:pos="9014"/>
        </w:tabs>
        <w:spacing w:after="0" w:line="594" w:lineRule="exact"/>
        <w:jc w:val="both"/>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33</w:t>
      </w:r>
      <w:r>
        <w:rPr>
          <w:rFonts w:hint="eastAsia" w:ascii="Times New Roman" w:hAnsi="Times New Roman" w:eastAsia="方正仿宋_GBK"/>
          <w:sz w:val="32"/>
          <w:szCs w:val="32"/>
        </w:rPr>
        <w:t>：</w:t>
      </w:r>
      <w:r>
        <w:rPr>
          <w:rFonts w:ascii="Times New Roman" w:hAnsi="Times New Roman" w:eastAsia="方正仿宋_GBK"/>
          <w:sz w:val="32"/>
          <w:szCs w:val="32"/>
        </w:rPr>
        <w:t>2022年和2023年地方政府债券发行及还本付息情况表</w:t>
      </w:r>
    </w:p>
    <w:p>
      <w:pPr>
        <w:pStyle w:val="7"/>
        <w:widowControl w:val="0"/>
        <w:tabs>
          <w:tab w:val="right" w:leader="dot" w:pos="9014"/>
        </w:tabs>
        <w:spacing w:after="0" w:line="594" w:lineRule="exact"/>
        <w:jc w:val="distribute"/>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78</w:t>
      </w:r>
    </w:p>
    <w:p>
      <w:pPr>
        <w:pStyle w:val="7"/>
        <w:widowControl w:val="0"/>
        <w:tabs>
          <w:tab w:val="right" w:leader="dot" w:pos="9014"/>
        </w:tabs>
        <w:spacing w:after="0" w:line="594" w:lineRule="exact"/>
        <w:jc w:val="distribute"/>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34</w:t>
      </w:r>
      <w:r>
        <w:rPr>
          <w:rFonts w:hint="eastAsia" w:ascii="Times New Roman" w:hAnsi="Times New Roman" w:eastAsia="方正仿宋_GBK"/>
          <w:sz w:val="32"/>
          <w:szCs w:val="32"/>
        </w:rPr>
        <w:t>：</w:t>
      </w:r>
      <w:r>
        <w:rPr>
          <w:rFonts w:ascii="Times New Roman" w:hAnsi="Times New Roman" w:eastAsia="方正仿宋_GBK"/>
          <w:sz w:val="32"/>
          <w:szCs w:val="32"/>
        </w:rPr>
        <w:t>大渡口区2023年地方政府债务指标表</w:t>
      </w:r>
      <w:r>
        <w:rPr>
          <w:rFonts w:hint="eastAsia" w:ascii="Times New Roman" w:hAnsi="Times New Roman" w:eastAsia="方正仿宋_GBK"/>
          <w:sz w:val="32"/>
          <w:szCs w:val="32"/>
        </w:rPr>
        <w:t>…………………</w:t>
      </w:r>
      <w:r>
        <w:rPr>
          <w:rFonts w:ascii="Times New Roman" w:hAnsi="Times New Roman" w:eastAsia="方正仿宋_GBK"/>
          <w:sz w:val="32"/>
          <w:szCs w:val="32"/>
        </w:rPr>
        <w:t>79</w:t>
      </w:r>
    </w:p>
    <w:p>
      <w:pPr>
        <w:pStyle w:val="7"/>
        <w:widowControl w:val="0"/>
        <w:tabs>
          <w:tab w:val="right" w:leader="dot" w:pos="9014"/>
        </w:tabs>
        <w:spacing w:after="0" w:line="594" w:lineRule="exact"/>
        <w:jc w:val="distribute"/>
        <w:rPr>
          <w:rFonts w:ascii="Times New Roman" w:hAnsi="Times New Roman" w:eastAsia="方正仿宋_GBK"/>
          <w:sz w:val="32"/>
          <w:szCs w:val="32"/>
        </w:rPr>
      </w:pPr>
      <w:r>
        <w:rPr>
          <w:rFonts w:hint="eastAsia" w:ascii="Times New Roman" w:hAnsi="Times New Roman" w:eastAsia="方正仿宋_GBK"/>
          <w:sz w:val="32"/>
          <w:szCs w:val="32"/>
        </w:rPr>
        <w:t>表</w:t>
      </w:r>
      <w:r>
        <w:rPr>
          <w:rFonts w:ascii="Times New Roman" w:hAnsi="Times New Roman" w:eastAsia="方正仿宋_GBK"/>
          <w:sz w:val="32"/>
          <w:szCs w:val="32"/>
        </w:rPr>
        <w:t>35</w:t>
      </w:r>
      <w:r>
        <w:rPr>
          <w:rFonts w:hint="eastAsia" w:ascii="Times New Roman" w:hAnsi="Times New Roman" w:eastAsia="方正仿宋_GBK"/>
          <w:sz w:val="32"/>
          <w:szCs w:val="32"/>
        </w:rPr>
        <w:t>：</w:t>
      </w:r>
      <w:r>
        <w:rPr>
          <w:rFonts w:ascii="Times New Roman" w:hAnsi="Times New Roman" w:eastAsia="方正仿宋_GBK"/>
          <w:sz w:val="32"/>
          <w:szCs w:val="32"/>
        </w:rPr>
        <w:t>大渡口区2023年地方政府债务预算收支安排情况表</w:t>
      </w:r>
      <w:r>
        <w:rPr>
          <w:rFonts w:hint="eastAsia" w:ascii="Times New Roman" w:hAnsi="Times New Roman" w:eastAsia="方正仿宋_GBK"/>
          <w:sz w:val="32"/>
          <w:szCs w:val="32"/>
        </w:rPr>
        <w:t>…</w:t>
      </w:r>
      <w:r>
        <w:rPr>
          <w:rFonts w:ascii="Times New Roman" w:hAnsi="Times New Roman" w:eastAsia="方正仿宋_GBK"/>
          <w:sz w:val="32"/>
          <w:szCs w:val="32"/>
        </w:rPr>
        <w:t>80</w:t>
      </w:r>
    </w:p>
    <w:p>
      <w:pPr>
        <w:spacing w:line="400" w:lineRule="exact"/>
        <w:rPr>
          <w:rFonts w:ascii="Times New Roman" w:hAnsi="Times New Roman" w:eastAsia="方正黑体_GBK" w:cs="方正黑体_GBK"/>
          <w:kern w:val="0"/>
          <w:sz w:val="28"/>
          <w:szCs w:val="28"/>
        </w:rPr>
      </w:pPr>
    </w:p>
    <w:p>
      <w:pPr>
        <w:spacing w:line="400" w:lineRule="exact"/>
        <w:rPr>
          <w:rFonts w:ascii="Times New Roman" w:hAnsi="Times New Roman" w:eastAsia="方正黑体_GBK" w:cs="方正黑体_GBK"/>
          <w:kern w:val="0"/>
          <w:sz w:val="28"/>
          <w:szCs w:val="28"/>
        </w:rPr>
        <w:sectPr>
          <w:footerReference r:id="rId3" w:type="default"/>
          <w:footerReference r:id="rId4" w:type="even"/>
          <w:pgSz w:w="11906" w:h="16838"/>
          <w:pgMar w:top="1985" w:right="1446" w:bottom="1644" w:left="1446" w:header="851" w:footer="992" w:gutter="0"/>
          <w:pgNumType w:start="1"/>
          <w:cols w:space="0" w:num="1"/>
          <w:docGrid w:linePitch="312" w:charSpace="0"/>
        </w:sectPr>
      </w:pPr>
    </w:p>
    <w:p>
      <w:pPr>
        <w:spacing w:line="400" w:lineRule="exac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1</w:t>
      </w:r>
    </w:p>
    <w:p>
      <w:pPr>
        <w:widowControl/>
        <w:jc w:val="center"/>
        <w:textAlignment w:val="center"/>
        <w:rPr>
          <w:rFonts w:ascii="Times New Roman" w:hAnsi="Times New Roman" w:eastAsia="方正小标宋_GBK" w:cs="Times New Roman"/>
          <w:kern w:val="0"/>
          <w:sz w:val="44"/>
          <w:szCs w:val="44"/>
        </w:rPr>
      </w:pPr>
      <w:bookmarkStart w:id="0" w:name="_Toc14579"/>
      <w:bookmarkStart w:id="1" w:name="_Toc7440"/>
      <w:bookmarkStart w:id="2" w:name="_Toc26471"/>
      <w:r>
        <w:rPr>
          <w:rFonts w:ascii="Times New Roman" w:hAnsi="Times New Roman" w:eastAsia="方正小标宋_GBK" w:cs="Times New Roman"/>
          <w:kern w:val="0"/>
          <w:sz w:val="44"/>
          <w:szCs w:val="44"/>
        </w:rPr>
        <w:t>2022</w:t>
      </w:r>
      <w:r>
        <w:rPr>
          <w:rFonts w:hint="eastAsia" w:ascii="Times New Roman" w:hAnsi="Times New Roman" w:eastAsia="方正小标宋_GBK" w:cs="Times New Roman"/>
          <w:kern w:val="0"/>
          <w:sz w:val="44"/>
          <w:szCs w:val="44"/>
        </w:rPr>
        <w:t>年全区财政预算收入执行表</w:t>
      </w:r>
      <w:bookmarkEnd w:id="0"/>
      <w:bookmarkEnd w:id="1"/>
      <w:bookmarkEnd w:id="2"/>
    </w:p>
    <w:p>
      <w:pPr>
        <w:widowControl/>
        <w:tabs>
          <w:tab w:val="left" w:pos="4344"/>
          <w:tab w:val="left" w:pos="6624"/>
        </w:tabs>
        <w:jc w:val="right"/>
        <w:textAlignment w:val="center"/>
        <w:rPr>
          <w:rFonts w:ascii="宋体" w:hAnsi="宋体" w:eastAsia="宋体" w:cs="方正仿宋_GBK"/>
          <w:color w:val="000000"/>
          <w:sz w:val="22"/>
        </w:rPr>
      </w:pPr>
      <w:r>
        <w:rPr>
          <w:rFonts w:ascii="宋体" w:hAnsi="宋体" w:eastAsia="宋体" w:cs="方正仿宋_GBK"/>
          <w:color w:val="000000"/>
          <w:sz w:val="22"/>
        </w:rPr>
        <w:tab/>
      </w:r>
      <w:r>
        <w:rPr>
          <w:rFonts w:ascii="宋体" w:hAnsi="宋体" w:eastAsia="宋体" w:cs="方正仿宋_GBK"/>
          <w:color w:val="000000"/>
          <w:sz w:val="22"/>
        </w:rPr>
        <w:tab/>
      </w:r>
      <w:r>
        <w:rPr>
          <w:rFonts w:hint="eastAsia" w:ascii="宋体" w:hAnsi="宋体" w:eastAsia="宋体" w:cs="方正仿宋_GBK"/>
          <w:color w:val="000000"/>
          <w:sz w:val="22"/>
        </w:rPr>
        <w:t>单位：万元</w:t>
      </w:r>
    </w:p>
    <w:tbl>
      <w:tblPr>
        <w:tblStyle w:val="10"/>
        <w:tblW w:w="9071" w:type="dxa"/>
        <w:tblInd w:w="0" w:type="dxa"/>
        <w:tblLayout w:type="fixed"/>
        <w:tblCellMar>
          <w:top w:w="0" w:type="dxa"/>
          <w:left w:w="108" w:type="dxa"/>
          <w:bottom w:w="0" w:type="dxa"/>
          <w:right w:w="108" w:type="dxa"/>
        </w:tblCellMar>
      </w:tblPr>
      <w:tblGrid>
        <w:gridCol w:w="3313"/>
        <w:gridCol w:w="1923"/>
        <w:gridCol w:w="1922"/>
        <w:gridCol w:w="1913"/>
      </w:tblGrid>
      <w:tr>
        <w:tblPrEx>
          <w:tblLayout w:type="fixed"/>
          <w:tblCellMar>
            <w:top w:w="0" w:type="dxa"/>
            <w:left w:w="108" w:type="dxa"/>
            <w:bottom w:w="0" w:type="dxa"/>
            <w:right w:w="108" w:type="dxa"/>
          </w:tblCellMar>
        </w:tblPrEx>
        <w:trPr>
          <w:trHeight w:val="539" w:hRule="atLeast"/>
        </w:trPr>
        <w:tc>
          <w:tcPr>
            <w:tcW w:w="3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项    目</w:t>
            </w:r>
          </w:p>
        </w:tc>
        <w:tc>
          <w:tcPr>
            <w:tcW w:w="1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2"/>
              </w:rPr>
            </w:pPr>
            <w:r>
              <w:rPr>
                <w:rFonts w:ascii="Times New Roman" w:hAnsi="Times New Roman" w:eastAsia="黑体" w:cs="Times New Roman"/>
                <w:color w:val="000000"/>
                <w:kern w:val="0"/>
                <w:sz w:val="22"/>
                <w:lang w:bidi="ar"/>
              </w:rPr>
              <w:t>2021</w:t>
            </w:r>
            <w:r>
              <w:rPr>
                <w:rFonts w:hint="eastAsia" w:ascii="Times New Roman" w:hAnsi="Times New Roman" w:eastAsia="黑体" w:cs="黑体"/>
                <w:color w:val="000000"/>
                <w:kern w:val="0"/>
                <w:sz w:val="22"/>
                <w:lang w:bidi="ar"/>
              </w:rPr>
              <w:t>年决算数</w:t>
            </w:r>
          </w:p>
        </w:tc>
        <w:tc>
          <w:tcPr>
            <w:tcW w:w="1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 xml:space="preserve"> </w:t>
            </w:r>
            <w:r>
              <w:rPr>
                <w:rFonts w:ascii="Times New Roman" w:hAnsi="Times New Roman" w:eastAsia="黑体" w:cs="Times New Roman"/>
                <w:color w:val="000000"/>
                <w:kern w:val="0"/>
                <w:sz w:val="22"/>
                <w:lang w:bidi="ar"/>
              </w:rPr>
              <w:t>2022</w:t>
            </w:r>
            <w:r>
              <w:rPr>
                <w:rFonts w:hint="eastAsia" w:ascii="Times New Roman" w:hAnsi="Times New Roman" w:eastAsia="黑体" w:cs="黑体"/>
                <w:color w:val="000000"/>
                <w:kern w:val="0"/>
                <w:sz w:val="22"/>
                <w:lang w:bidi="ar"/>
              </w:rPr>
              <w:t xml:space="preserve">年执行数 </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kern w:val="0"/>
                <w:sz w:val="22"/>
                <w:lang w:bidi="ar"/>
              </w:rPr>
            </w:pPr>
            <w:r>
              <w:rPr>
                <w:rFonts w:hint="eastAsia" w:ascii="Times New Roman" w:hAnsi="Times New Roman" w:eastAsia="黑体" w:cs="黑体"/>
                <w:color w:val="000000"/>
                <w:kern w:val="0"/>
                <w:sz w:val="22"/>
                <w:lang w:bidi="ar"/>
              </w:rPr>
              <w:t>执行数为</w:t>
            </w:r>
          </w:p>
          <w:p>
            <w:pPr>
              <w:widowControl/>
              <w:jc w:val="center"/>
              <w:textAlignment w:val="center"/>
              <w:rPr>
                <w:rFonts w:ascii="Times New Roman" w:hAnsi="Times New Roman" w:eastAsia="黑体" w:cs="黑体"/>
                <w:color w:val="000000"/>
                <w:kern w:val="0"/>
                <w:sz w:val="22"/>
                <w:lang w:bidi="ar"/>
              </w:rPr>
            </w:pPr>
            <w:r>
              <w:rPr>
                <w:rFonts w:hint="eastAsia" w:ascii="Times New Roman" w:hAnsi="Times New Roman" w:eastAsia="黑体" w:cs="黑体"/>
                <w:color w:val="000000"/>
                <w:kern w:val="0"/>
                <w:sz w:val="22"/>
                <w:lang w:bidi="ar"/>
              </w:rPr>
              <w:t>上年决算数的%</w:t>
            </w:r>
          </w:p>
        </w:tc>
      </w:tr>
      <w:tr>
        <w:tblPrEx>
          <w:tblLayout w:type="fixed"/>
          <w:tblCellMar>
            <w:top w:w="0" w:type="dxa"/>
            <w:left w:w="108" w:type="dxa"/>
            <w:bottom w:w="0" w:type="dxa"/>
            <w:right w:w="108" w:type="dxa"/>
          </w:tblCellMar>
        </w:tblPrEx>
        <w:trPr>
          <w:trHeight w:val="539" w:hRule="atLeast"/>
        </w:trPr>
        <w:tc>
          <w:tcPr>
            <w:tcW w:w="3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一、一般公共预算收入</w:t>
            </w:r>
          </w:p>
        </w:tc>
        <w:tc>
          <w:tcPr>
            <w:tcW w:w="1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 202,671 </w:t>
            </w:r>
          </w:p>
        </w:tc>
        <w:tc>
          <w:tcPr>
            <w:tcW w:w="1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 184,079 </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color w:val="000000"/>
                <w:kern w:val="0"/>
                <w:sz w:val="20"/>
                <w:szCs w:val="20"/>
                <w:lang w:bidi="ar"/>
              </w:rPr>
            </w:pPr>
            <w:r>
              <w:rPr>
                <w:rFonts w:ascii="Times New Roman" w:hAnsi="Times New Roman" w:eastAsia="宋体" w:cs="Times New Roman"/>
                <w:b/>
                <w:color w:val="000000"/>
                <w:kern w:val="0"/>
                <w:sz w:val="20"/>
                <w:szCs w:val="20"/>
                <w:lang w:bidi="ar"/>
              </w:rPr>
              <w:t>90.8%</w:t>
            </w:r>
          </w:p>
        </w:tc>
      </w:tr>
      <w:tr>
        <w:tblPrEx>
          <w:tblLayout w:type="fixed"/>
          <w:tblCellMar>
            <w:top w:w="0" w:type="dxa"/>
            <w:left w:w="108" w:type="dxa"/>
            <w:bottom w:w="0" w:type="dxa"/>
            <w:right w:w="108" w:type="dxa"/>
          </w:tblCellMar>
        </w:tblPrEx>
        <w:trPr>
          <w:trHeight w:val="539" w:hRule="atLeast"/>
        </w:trPr>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 xml:space="preserve">  税收收入</w:t>
            </w:r>
          </w:p>
        </w:tc>
        <w:tc>
          <w:tcPr>
            <w:tcW w:w="1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 176,730 </w:t>
            </w:r>
          </w:p>
        </w:tc>
        <w:tc>
          <w:tcPr>
            <w:tcW w:w="1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 149,137 </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color w:val="000000"/>
                <w:kern w:val="0"/>
                <w:sz w:val="20"/>
                <w:szCs w:val="20"/>
                <w:lang w:bidi="ar"/>
              </w:rPr>
            </w:pPr>
            <w:r>
              <w:rPr>
                <w:rFonts w:ascii="Times New Roman" w:hAnsi="Times New Roman" w:eastAsia="宋体" w:cs="Times New Roman"/>
                <w:b/>
                <w:color w:val="000000"/>
                <w:kern w:val="0"/>
                <w:sz w:val="20"/>
                <w:szCs w:val="20"/>
                <w:lang w:bidi="ar"/>
              </w:rPr>
              <w:t>84.4%</w:t>
            </w:r>
          </w:p>
        </w:tc>
      </w:tr>
      <w:tr>
        <w:tblPrEx>
          <w:tblLayout w:type="fixed"/>
          <w:tblCellMar>
            <w:top w:w="0" w:type="dxa"/>
            <w:left w:w="108" w:type="dxa"/>
            <w:bottom w:w="0" w:type="dxa"/>
            <w:right w:w="108" w:type="dxa"/>
          </w:tblCellMar>
        </w:tblPrEx>
        <w:trPr>
          <w:trHeight w:val="539" w:hRule="atLeast"/>
        </w:trPr>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增值税</w:t>
            </w:r>
          </w:p>
        </w:tc>
        <w:tc>
          <w:tcPr>
            <w:tcW w:w="1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38,137</w:t>
            </w:r>
          </w:p>
        </w:tc>
        <w:tc>
          <w:tcPr>
            <w:tcW w:w="1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41,205</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108.0%</w:t>
            </w:r>
          </w:p>
        </w:tc>
      </w:tr>
      <w:tr>
        <w:tblPrEx>
          <w:tblLayout w:type="fixed"/>
          <w:tblCellMar>
            <w:top w:w="0" w:type="dxa"/>
            <w:left w:w="108" w:type="dxa"/>
            <w:bottom w:w="0" w:type="dxa"/>
            <w:right w:w="108" w:type="dxa"/>
          </w:tblCellMar>
        </w:tblPrEx>
        <w:trPr>
          <w:trHeight w:val="539" w:hRule="atLeast"/>
        </w:trPr>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企业所得税</w:t>
            </w:r>
          </w:p>
        </w:tc>
        <w:tc>
          <w:tcPr>
            <w:tcW w:w="1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18,919</w:t>
            </w:r>
          </w:p>
        </w:tc>
        <w:tc>
          <w:tcPr>
            <w:tcW w:w="1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22,894</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121.0%</w:t>
            </w:r>
          </w:p>
        </w:tc>
      </w:tr>
      <w:tr>
        <w:tblPrEx>
          <w:tblLayout w:type="fixed"/>
          <w:tblCellMar>
            <w:top w:w="0" w:type="dxa"/>
            <w:left w:w="108" w:type="dxa"/>
            <w:bottom w:w="0" w:type="dxa"/>
            <w:right w:w="108" w:type="dxa"/>
          </w:tblCellMar>
        </w:tblPrEx>
        <w:trPr>
          <w:trHeight w:val="539" w:hRule="atLeast"/>
        </w:trPr>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个人所得税</w:t>
            </w:r>
          </w:p>
        </w:tc>
        <w:tc>
          <w:tcPr>
            <w:tcW w:w="1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5,620</w:t>
            </w:r>
          </w:p>
        </w:tc>
        <w:tc>
          <w:tcPr>
            <w:tcW w:w="1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4,971</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88.5%</w:t>
            </w:r>
          </w:p>
        </w:tc>
      </w:tr>
      <w:tr>
        <w:tblPrEx>
          <w:tblLayout w:type="fixed"/>
          <w:tblCellMar>
            <w:top w:w="0" w:type="dxa"/>
            <w:left w:w="108" w:type="dxa"/>
            <w:bottom w:w="0" w:type="dxa"/>
            <w:right w:w="108" w:type="dxa"/>
          </w:tblCellMar>
        </w:tblPrEx>
        <w:trPr>
          <w:trHeight w:val="539" w:hRule="atLeast"/>
        </w:trPr>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资源税</w:t>
            </w:r>
          </w:p>
        </w:tc>
        <w:tc>
          <w:tcPr>
            <w:tcW w:w="1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43</w:t>
            </w:r>
          </w:p>
        </w:tc>
        <w:tc>
          <w:tcPr>
            <w:tcW w:w="1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32</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74.4%</w:t>
            </w:r>
          </w:p>
        </w:tc>
      </w:tr>
      <w:tr>
        <w:tblPrEx>
          <w:tblLayout w:type="fixed"/>
          <w:tblCellMar>
            <w:top w:w="0" w:type="dxa"/>
            <w:left w:w="108" w:type="dxa"/>
            <w:bottom w:w="0" w:type="dxa"/>
            <w:right w:w="108" w:type="dxa"/>
          </w:tblCellMar>
        </w:tblPrEx>
        <w:trPr>
          <w:trHeight w:val="539" w:hRule="atLeast"/>
        </w:trPr>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城市维护建设税</w:t>
            </w:r>
          </w:p>
        </w:tc>
        <w:tc>
          <w:tcPr>
            <w:tcW w:w="1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6,971</w:t>
            </w:r>
          </w:p>
        </w:tc>
        <w:tc>
          <w:tcPr>
            <w:tcW w:w="1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6,998</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100.4%</w:t>
            </w:r>
          </w:p>
        </w:tc>
      </w:tr>
      <w:tr>
        <w:tblPrEx>
          <w:tblLayout w:type="fixed"/>
          <w:tblCellMar>
            <w:top w:w="0" w:type="dxa"/>
            <w:left w:w="108" w:type="dxa"/>
            <w:bottom w:w="0" w:type="dxa"/>
            <w:right w:w="108" w:type="dxa"/>
          </w:tblCellMar>
        </w:tblPrEx>
        <w:trPr>
          <w:trHeight w:val="539" w:hRule="atLeast"/>
        </w:trPr>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房产税</w:t>
            </w:r>
          </w:p>
        </w:tc>
        <w:tc>
          <w:tcPr>
            <w:tcW w:w="1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5,460</w:t>
            </w:r>
          </w:p>
        </w:tc>
        <w:tc>
          <w:tcPr>
            <w:tcW w:w="1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5,647</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103.4%</w:t>
            </w:r>
          </w:p>
        </w:tc>
      </w:tr>
      <w:tr>
        <w:tblPrEx>
          <w:tblLayout w:type="fixed"/>
          <w:tblCellMar>
            <w:top w:w="0" w:type="dxa"/>
            <w:left w:w="108" w:type="dxa"/>
            <w:bottom w:w="0" w:type="dxa"/>
            <w:right w:w="108" w:type="dxa"/>
          </w:tblCellMar>
        </w:tblPrEx>
        <w:trPr>
          <w:trHeight w:val="539" w:hRule="atLeast"/>
        </w:trPr>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印花税</w:t>
            </w:r>
          </w:p>
        </w:tc>
        <w:tc>
          <w:tcPr>
            <w:tcW w:w="1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5,520</w:t>
            </w:r>
          </w:p>
        </w:tc>
        <w:tc>
          <w:tcPr>
            <w:tcW w:w="1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5,166</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93.6%</w:t>
            </w:r>
          </w:p>
        </w:tc>
      </w:tr>
      <w:tr>
        <w:tblPrEx>
          <w:tblLayout w:type="fixed"/>
          <w:tblCellMar>
            <w:top w:w="0" w:type="dxa"/>
            <w:left w:w="108" w:type="dxa"/>
            <w:bottom w:w="0" w:type="dxa"/>
            <w:right w:w="108" w:type="dxa"/>
          </w:tblCellMar>
        </w:tblPrEx>
        <w:trPr>
          <w:trHeight w:val="539" w:hRule="atLeast"/>
        </w:trPr>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城镇土地使用税</w:t>
            </w:r>
          </w:p>
        </w:tc>
        <w:tc>
          <w:tcPr>
            <w:tcW w:w="1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17,692</w:t>
            </w:r>
          </w:p>
        </w:tc>
        <w:tc>
          <w:tcPr>
            <w:tcW w:w="1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17,838</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100.8%</w:t>
            </w:r>
          </w:p>
        </w:tc>
      </w:tr>
      <w:tr>
        <w:tblPrEx>
          <w:tblLayout w:type="fixed"/>
          <w:tblCellMar>
            <w:top w:w="0" w:type="dxa"/>
            <w:left w:w="108" w:type="dxa"/>
            <w:bottom w:w="0" w:type="dxa"/>
            <w:right w:w="108" w:type="dxa"/>
          </w:tblCellMar>
        </w:tblPrEx>
        <w:trPr>
          <w:trHeight w:val="539" w:hRule="atLeast"/>
        </w:trPr>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土地增值税</w:t>
            </w:r>
          </w:p>
        </w:tc>
        <w:tc>
          <w:tcPr>
            <w:tcW w:w="1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6,173</w:t>
            </w:r>
          </w:p>
        </w:tc>
        <w:tc>
          <w:tcPr>
            <w:tcW w:w="1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18,938</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306.8%</w:t>
            </w:r>
          </w:p>
        </w:tc>
      </w:tr>
      <w:tr>
        <w:tblPrEx>
          <w:tblLayout w:type="fixed"/>
          <w:tblCellMar>
            <w:top w:w="0" w:type="dxa"/>
            <w:left w:w="108" w:type="dxa"/>
            <w:bottom w:w="0" w:type="dxa"/>
            <w:right w:w="108" w:type="dxa"/>
          </w:tblCellMar>
        </w:tblPrEx>
        <w:trPr>
          <w:trHeight w:val="539" w:hRule="atLeast"/>
        </w:trPr>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耕地占用税</w:t>
            </w:r>
          </w:p>
        </w:tc>
        <w:tc>
          <w:tcPr>
            <w:tcW w:w="1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5,902</w:t>
            </w:r>
          </w:p>
        </w:tc>
        <w:tc>
          <w:tcPr>
            <w:tcW w:w="1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0.2%</w:t>
            </w:r>
          </w:p>
        </w:tc>
      </w:tr>
      <w:tr>
        <w:tblPrEx>
          <w:tblLayout w:type="fixed"/>
          <w:tblCellMar>
            <w:top w:w="0" w:type="dxa"/>
            <w:left w:w="108" w:type="dxa"/>
            <w:bottom w:w="0" w:type="dxa"/>
            <w:right w:w="108" w:type="dxa"/>
          </w:tblCellMar>
        </w:tblPrEx>
        <w:trPr>
          <w:trHeight w:val="539" w:hRule="atLeast"/>
        </w:trPr>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契税</w:t>
            </w:r>
          </w:p>
        </w:tc>
        <w:tc>
          <w:tcPr>
            <w:tcW w:w="1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65,901</w:t>
            </w:r>
          </w:p>
        </w:tc>
        <w:tc>
          <w:tcPr>
            <w:tcW w:w="1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25,221</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38.3%</w:t>
            </w:r>
          </w:p>
        </w:tc>
      </w:tr>
      <w:tr>
        <w:tblPrEx>
          <w:tblLayout w:type="fixed"/>
          <w:tblCellMar>
            <w:top w:w="0" w:type="dxa"/>
            <w:left w:w="108" w:type="dxa"/>
            <w:bottom w:w="0" w:type="dxa"/>
            <w:right w:w="108" w:type="dxa"/>
          </w:tblCellMar>
        </w:tblPrEx>
        <w:trPr>
          <w:trHeight w:val="539" w:hRule="atLeast"/>
        </w:trPr>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环境保护税</w:t>
            </w:r>
          </w:p>
        </w:tc>
        <w:tc>
          <w:tcPr>
            <w:tcW w:w="1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141</w:t>
            </w:r>
          </w:p>
        </w:tc>
        <w:tc>
          <w:tcPr>
            <w:tcW w:w="1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191</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135.5%</w:t>
            </w:r>
          </w:p>
        </w:tc>
      </w:tr>
      <w:tr>
        <w:tblPrEx>
          <w:tblLayout w:type="fixed"/>
          <w:tblCellMar>
            <w:top w:w="0" w:type="dxa"/>
            <w:left w:w="108" w:type="dxa"/>
            <w:bottom w:w="0" w:type="dxa"/>
            <w:right w:w="108" w:type="dxa"/>
          </w:tblCellMar>
        </w:tblPrEx>
        <w:trPr>
          <w:trHeight w:val="539" w:hRule="atLeast"/>
        </w:trPr>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其他税收收入</w:t>
            </w:r>
          </w:p>
        </w:tc>
        <w:tc>
          <w:tcPr>
            <w:tcW w:w="1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251</w:t>
            </w:r>
          </w:p>
        </w:tc>
        <w:tc>
          <w:tcPr>
            <w:tcW w:w="1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27</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10.8%</w:t>
            </w:r>
          </w:p>
        </w:tc>
      </w:tr>
      <w:tr>
        <w:tblPrEx>
          <w:tblLayout w:type="fixed"/>
          <w:tblCellMar>
            <w:top w:w="0" w:type="dxa"/>
            <w:left w:w="108" w:type="dxa"/>
            <w:bottom w:w="0" w:type="dxa"/>
            <w:right w:w="108" w:type="dxa"/>
          </w:tblCellMar>
        </w:tblPrEx>
        <w:trPr>
          <w:trHeight w:val="539" w:hRule="atLeast"/>
        </w:trPr>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 xml:space="preserve">  非税收入</w:t>
            </w:r>
          </w:p>
        </w:tc>
        <w:tc>
          <w:tcPr>
            <w:tcW w:w="1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 25,941 </w:t>
            </w:r>
          </w:p>
        </w:tc>
        <w:tc>
          <w:tcPr>
            <w:tcW w:w="1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34,942</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color w:val="000000"/>
                <w:kern w:val="0"/>
                <w:sz w:val="20"/>
                <w:szCs w:val="20"/>
                <w:lang w:bidi="ar"/>
              </w:rPr>
            </w:pPr>
            <w:r>
              <w:rPr>
                <w:rFonts w:ascii="Times New Roman" w:hAnsi="Times New Roman" w:eastAsia="宋体" w:cs="Times New Roman"/>
                <w:b/>
                <w:color w:val="000000"/>
                <w:kern w:val="0"/>
                <w:sz w:val="20"/>
                <w:szCs w:val="20"/>
                <w:lang w:bidi="ar"/>
              </w:rPr>
              <w:t>134.7%</w:t>
            </w:r>
          </w:p>
        </w:tc>
      </w:tr>
      <w:tr>
        <w:tblPrEx>
          <w:tblLayout w:type="fixed"/>
          <w:tblCellMar>
            <w:top w:w="0" w:type="dxa"/>
            <w:left w:w="108" w:type="dxa"/>
            <w:bottom w:w="0" w:type="dxa"/>
            <w:right w:w="108" w:type="dxa"/>
          </w:tblCellMar>
        </w:tblPrEx>
        <w:trPr>
          <w:trHeight w:val="539" w:hRule="atLeast"/>
        </w:trPr>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二、政府性基金预算收入</w:t>
            </w:r>
          </w:p>
        </w:tc>
        <w:tc>
          <w:tcPr>
            <w:tcW w:w="1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b/>
                <w:bCs/>
                <w:color w:val="000000"/>
                <w:sz w:val="20"/>
                <w:szCs w:val="20"/>
              </w:rPr>
            </w:pPr>
          </w:p>
        </w:tc>
        <w:tc>
          <w:tcPr>
            <w:tcW w:w="1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b/>
                <w:bCs/>
                <w:color w:val="000000"/>
                <w:sz w:val="20"/>
                <w:szCs w:val="20"/>
              </w:rPr>
            </w:pP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b/>
                <w:bCs/>
                <w:color w:val="000000"/>
                <w:sz w:val="20"/>
                <w:szCs w:val="20"/>
              </w:rPr>
            </w:pPr>
          </w:p>
        </w:tc>
      </w:tr>
      <w:tr>
        <w:tblPrEx>
          <w:tblLayout w:type="fixed"/>
          <w:tblCellMar>
            <w:top w:w="0" w:type="dxa"/>
            <w:left w:w="108" w:type="dxa"/>
            <w:bottom w:w="0" w:type="dxa"/>
            <w:right w:w="108" w:type="dxa"/>
          </w:tblCellMar>
        </w:tblPrEx>
        <w:trPr>
          <w:trHeight w:val="539" w:hRule="atLeast"/>
        </w:trPr>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其中：国有土地使用权出让收入</w:t>
            </w:r>
          </w:p>
        </w:tc>
        <w:tc>
          <w:tcPr>
            <w:tcW w:w="1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b/>
                <w:bCs/>
                <w:color w:val="000000"/>
                <w:sz w:val="20"/>
                <w:szCs w:val="20"/>
              </w:rPr>
            </w:pP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b/>
                <w:bCs/>
                <w:color w:val="000000"/>
                <w:sz w:val="20"/>
                <w:szCs w:val="20"/>
              </w:rPr>
            </w:pPr>
          </w:p>
        </w:tc>
      </w:tr>
      <w:tr>
        <w:tblPrEx>
          <w:tblLayout w:type="fixed"/>
          <w:tblCellMar>
            <w:top w:w="0" w:type="dxa"/>
            <w:left w:w="108" w:type="dxa"/>
            <w:bottom w:w="0" w:type="dxa"/>
            <w:right w:w="108" w:type="dxa"/>
          </w:tblCellMar>
        </w:tblPrEx>
        <w:trPr>
          <w:trHeight w:val="539" w:hRule="atLeast"/>
        </w:trPr>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三、国有资本经营预算收入</w:t>
            </w:r>
          </w:p>
        </w:tc>
        <w:tc>
          <w:tcPr>
            <w:tcW w:w="1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5,688</w:t>
            </w:r>
          </w:p>
        </w:tc>
        <w:tc>
          <w:tcPr>
            <w:tcW w:w="1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7,294</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color w:val="000000"/>
                <w:kern w:val="0"/>
                <w:sz w:val="20"/>
                <w:szCs w:val="20"/>
                <w:lang w:bidi="ar"/>
              </w:rPr>
            </w:pPr>
            <w:r>
              <w:rPr>
                <w:rFonts w:ascii="Times New Roman" w:hAnsi="Times New Roman" w:eastAsia="宋体" w:cs="Times New Roman"/>
                <w:b/>
                <w:color w:val="000000"/>
                <w:kern w:val="0"/>
                <w:sz w:val="20"/>
                <w:szCs w:val="20"/>
                <w:lang w:bidi="ar"/>
              </w:rPr>
              <w:t>128.2%</w:t>
            </w:r>
          </w:p>
        </w:tc>
      </w:tr>
    </w:tbl>
    <w:p>
      <w:pPr>
        <w:spacing w:before="120" w:beforeLines="50"/>
        <w:jc w:val="left"/>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注：由于四舍五入因素，部分分项加和与总数可能略有差异，下同。</w:t>
      </w:r>
    </w:p>
    <w:p>
      <w:pPr>
        <w:widowControl/>
        <w:jc w:val="left"/>
        <w:rPr>
          <w:rFonts w:ascii="Times New Roman" w:hAnsi="Times New Roman" w:eastAsia="方正黑体_GBK" w:cs="方正黑体_GBK"/>
          <w:kern w:val="0"/>
          <w:sz w:val="28"/>
          <w:szCs w:val="28"/>
        </w:rPr>
      </w:pPr>
      <w:r>
        <w:rPr>
          <w:rFonts w:ascii="Times New Roman" w:hAnsi="Times New Roman" w:eastAsia="方正黑体_GBK" w:cs="方正黑体_GBK"/>
          <w:kern w:val="0"/>
          <w:sz w:val="28"/>
          <w:szCs w:val="28"/>
        </w:rPr>
        <w:br w:type="page"/>
      </w:r>
    </w:p>
    <w:p>
      <w:pPr>
        <w:spacing w:line="400" w:lineRule="exac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2</w:t>
      </w:r>
    </w:p>
    <w:p>
      <w:pPr>
        <w:widowControl/>
        <w:jc w:val="center"/>
        <w:textAlignment w:val="center"/>
        <w:rPr>
          <w:rFonts w:ascii="Times New Roman" w:hAnsi="Times New Roman" w:eastAsia="方正小标宋_GBK" w:cs="Times New Roman"/>
          <w:kern w:val="0"/>
          <w:sz w:val="44"/>
          <w:szCs w:val="44"/>
        </w:rPr>
      </w:pPr>
      <w:bookmarkStart w:id="3" w:name="_Toc28636"/>
      <w:bookmarkStart w:id="4" w:name="_Toc24879"/>
      <w:bookmarkStart w:id="5" w:name="_Toc8690"/>
      <w:r>
        <w:rPr>
          <w:rFonts w:ascii="Times New Roman" w:hAnsi="Times New Roman" w:eastAsia="方正小标宋_GBK" w:cs="Times New Roman"/>
          <w:kern w:val="0"/>
          <w:sz w:val="44"/>
          <w:szCs w:val="44"/>
        </w:rPr>
        <w:t>2022年全区财政预算支出执行表</w:t>
      </w:r>
      <w:bookmarkEnd w:id="3"/>
      <w:bookmarkEnd w:id="4"/>
      <w:bookmarkEnd w:id="5"/>
    </w:p>
    <w:p>
      <w:pPr>
        <w:jc w:val="righ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单位：万元</w:t>
      </w:r>
    </w:p>
    <w:tbl>
      <w:tblPr>
        <w:tblStyle w:val="10"/>
        <w:tblW w:w="9113" w:type="dxa"/>
        <w:tblInd w:w="93" w:type="dxa"/>
        <w:tblLayout w:type="fixed"/>
        <w:tblCellMar>
          <w:top w:w="0" w:type="dxa"/>
          <w:left w:w="108" w:type="dxa"/>
          <w:bottom w:w="0" w:type="dxa"/>
          <w:right w:w="108" w:type="dxa"/>
        </w:tblCellMar>
      </w:tblPr>
      <w:tblGrid>
        <w:gridCol w:w="3362"/>
        <w:gridCol w:w="1899"/>
        <w:gridCol w:w="1928"/>
        <w:gridCol w:w="1924"/>
      </w:tblGrid>
      <w:tr>
        <w:tblPrEx>
          <w:tblLayout w:type="fixed"/>
          <w:tblCellMar>
            <w:top w:w="0" w:type="dxa"/>
            <w:left w:w="108" w:type="dxa"/>
            <w:bottom w:w="0" w:type="dxa"/>
            <w:right w:w="108" w:type="dxa"/>
          </w:tblCellMar>
        </w:tblPrEx>
        <w:trPr>
          <w:trHeight w:val="454" w:hRule="atLeast"/>
        </w:trPr>
        <w:tc>
          <w:tcPr>
            <w:tcW w:w="3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方正黑体_GBK" w:cs="方正黑体_GBK"/>
                <w:color w:val="000000"/>
                <w:sz w:val="22"/>
              </w:rPr>
            </w:pPr>
            <w:r>
              <w:rPr>
                <w:rFonts w:hint="eastAsia" w:ascii="Times New Roman" w:hAnsi="Times New Roman" w:eastAsia="方正黑体_GBK" w:cs="方正黑体_GBK"/>
                <w:color w:val="000000"/>
                <w:kern w:val="0"/>
                <w:sz w:val="22"/>
                <w:lang w:bidi="ar"/>
              </w:rPr>
              <w:t>支出</w:t>
            </w:r>
          </w:p>
        </w:tc>
        <w:tc>
          <w:tcPr>
            <w:tcW w:w="1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方正黑体_GBK" w:cs="方正黑体_GBK"/>
                <w:color w:val="000000"/>
                <w:sz w:val="22"/>
              </w:rPr>
            </w:pPr>
            <w:r>
              <w:rPr>
                <w:rFonts w:hint="eastAsia" w:ascii="Times New Roman" w:hAnsi="Times New Roman" w:eastAsia="方正黑体_GBK" w:cs="方正黑体_GBK"/>
                <w:color w:val="000000"/>
                <w:kern w:val="0"/>
                <w:sz w:val="22"/>
                <w:lang w:bidi="ar"/>
              </w:rPr>
              <w:t xml:space="preserve"> </w:t>
            </w:r>
            <w:r>
              <w:rPr>
                <w:rFonts w:ascii="Times New Roman" w:hAnsi="Times New Roman" w:eastAsia="方正黑体_GBK" w:cs="Times New Roman"/>
                <w:color w:val="000000"/>
                <w:kern w:val="0"/>
                <w:sz w:val="22"/>
                <w:lang w:bidi="ar"/>
              </w:rPr>
              <w:t>2021</w:t>
            </w:r>
            <w:r>
              <w:rPr>
                <w:rFonts w:hint="eastAsia" w:ascii="Times New Roman" w:hAnsi="Times New Roman" w:eastAsia="方正黑体_GBK" w:cs="方正黑体_GBK"/>
                <w:color w:val="000000"/>
                <w:kern w:val="0"/>
                <w:sz w:val="22"/>
                <w:lang w:bidi="ar"/>
              </w:rPr>
              <w:t xml:space="preserve">年决算数 </w:t>
            </w:r>
          </w:p>
        </w:tc>
        <w:tc>
          <w:tcPr>
            <w:tcW w:w="1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方正黑体_GBK" w:cs="方正黑体_GBK"/>
                <w:color w:val="000000"/>
                <w:sz w:val="22"/>
              </w:rPr>
            </w:pPr>
            <w:r>
              <w:rPr>
                <w:rFonts w:hint="eastAsia" w:ascii="Times New Roman" w:hAnsi="Times New Roman" w:eastAsia="方正黑体_GBK" w:cs="方正黑体_GBK"/>
                <w:color w:val="000000"/>
                <w:kern w:val="0"/>
                <w:sz w:val="22"/>
                <w:lang w:bidi="ar"/>
              </w:rPr>
              <w:t xml:space="preserve"> </w:t>
            </w:r>
            <w:r>
              <w:rPr>
                <w:rFonts w:ascii="Times New Roman" w:hAnsi="Times New Roman" w:eastAsia="方正黑体_GBK" w:cs="Times New Roman"/>
                <w:color w:val="000000"/>
                <w:kern w:val="0"/>
                <w:sz w:val="22"/>
                <w:lang w:bidi="ar"/>
              </w:rPr>
              <w:t>2022</w:t>
            </w:r>
            <w:r>
              <w:rPr>
                <w:rFonts w:hint="eastAsia" w:ascii="Times New Roman" w:hAnsi="Times New Roman" w:eastAsia="方正黑体_GBK" w:cs="方正黑体_GBK"/>
                <w:color w:val="000000"/>
                <w:kern w:val="0"/>
                <w:sz w:val="22"/>
                <w:lang w:bidi="ar"/>
              </w:rPr>
              <w:t xml:space="preserve">年执行数 </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kern w:val="0"/>
                <w:sz w:val="22"/>
                <w:lang w:bidi="ar"/>
              </w:rPr>
            </w:pPr>
            <w:r>
              <w:rPr>
                <w:rFonts w:hint="eastAsia" w:ascii="Times New Roman" w:hAnsi="Times New Roman" w:eastAsia="黑体" w:cs="黑体"/>
                <w:color w:val="000000"/>
                <w:kern w:val="0"/>
                <w:sz w:val="22"/>
                <w:lang w:bidi="ar"/>
              </w:rPr>
              <w:t>执行数为</w:t>
            </w:r>
          </w:p>
          <w:p>
            <w:pPr>
              <w:widowControl/>
              <w:jc w:val="center"/>
              <w:textAlignment w:val="center"/>
              <w:rPr>
                <w:rFonts w:ascii="Times New Roman" w:hAnsi="Times New Roman" w:eastAsia="黑体" w:cs="黑体"/>
                <w:color w:val="000000"/>
                <w:kern w:val="0"/>
                <w:sz w:val="22"/>
                <w:lang w:bidi="ar"/>
              </w:rPr>
            </w:pPr>
            <w:r>
              <w:rPr>
                <w:rFonts w:hint="eastAsia" w:ascii="Times New Roman" w:hAnsi="Times New Roman" w:eastAsia="黑体" w:cs="黑体"/>
                <w:color w:val="000000"/>
                <w:kern w:val="0"/>
                <w:sz w:val="22"/>
                <w:lang w:bidi="ar"/>
              </w:rPr>
              <w:t>上年决算数的%</w:t>
            </w:r>
          </w:p>
        </w:tc>
      </w:tr>
      <w:tr>
        <w:tblPrEx>
          <w:tblLayout w:type="fixed"/>
          <w:tblCellMar>
            <w:top w:w="0" w:type="dxa"/>
            <w:left w:w="108" w:type="dxa"/>
            <w:bottom w:w="0" w:type="dxa"/>
            <w:right w:w="108" w:type="dxa"/>
          </w:tblCellMar>
        </w:tblPrEx>
        <w:trPr>
          <w:trHeight w:val="454" w:hRule="atLeast"/>
        </w:trPr>
        <w:tc>
          <w:tcPr>
            <w:tcW w:w="3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方正黑体_GBK" w:cs="方正黑体_GBK"/>
                <w:color w:val="000000"/>
                <w:sz w:val="20"/>
                <w:szCs w:val="20"/>
              </w:rPr>
            </w:pPr>
            <w:r>
              <w:rPr>
                <w:rFonts w:hint="eastAsia" w:ascii="Times New Roman" w:hAnsi="Times New Roman" w:eastAsia="方正黑体_GBK" w:cs="方正黑体_GBK"/>
                <w:color w:val="000000"/>
                <w:kern w:val="0"/>
                <w:sz w:val="20"/>
                <w:szCs w:val="20"/>
                <w:lang w:bidi="ar"/>
              </w:rPr>
              <w:t>一、一般公共预算支出</w:t>
            </w:r>
          </w:p>
        </w:tc>
        <w:tc>
          <w:tcPr>
            <w:tcW w:w="1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 357,510 </w:t>
            </w:r>
          </w:p>
        </w:tc>
        <w:tc>
          <w:tcPr>
            <w:tcW w:w="1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 384,745 </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color w:val="000000"/>
                <w:kern w:val="0"/>
                <w:sz w:val="20"/>
                <w:szCs w:val="20"/>
                <w:lang w:bidi="ar"/>
              </w:rPr>
            </w:pPr>
            <w:r>
              <w:rPr>
                <w:rFonts w:ascii="Times New Roman" w:hAnsi="Times New Roman" w:eastAsia="宋体" w:cs="Times New Roman"/>
                <w:b/>
                <w:color w:val="000000"/>
                <w:kern w:val="0"/>
                <w:sz w:val="20"/>
                <w:szCs w:val="20"/>
                <w:lang w:bidi="ar"/>
              </w:rPr>
              <w:t>107.6%</w:t>
            </w:r>
          </w:p>
        </w:tc>
      </w:tr>
      <w:tr>
        <w:tblPrEx>
          <w:tblLayout w:type="fixed"/>
          <w:tblCellMar>
            <w:top w:w="0" w:type="dxa"/>
            <w:left w:w="108" w:type="dxa"/>
            <w:bottom w:w="0" w:type="dxa"/>
            <w:right w:w="108" w:type="dxa"/>
          </w:tblCellMar>
        </w:tblPrEx>
        <w:trPr>
          <w:trHeight w:val="454" w:hRule="atLeast"/>
        </w:trPr>
        <w:tc>
          <w:tcPr>
            <w:tcW w:w="3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一般公共服务支出</w:t>
            </w:r>
          </w:p>
        </w:tc>
        <w:tc>
          <w:tcPr>
            <w:tcW w:w="1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51,318 </w:t>
            </w:r>
          </w:p>
        </w:tc>
        <w:tc>
          <w:tcPr>
            <w:tcW w:w="1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45,569 </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kern w:val="0"/>
                <w:sz w:val="20"/>
                <w:szCs w:val="20"/>
                <w:lang w:bidi="ar"/>
              </w:rPr>
            </w:pPr>
            <w:r>
              <w:rPr>
                <w:rFonts w:ascii="Times New Roman" w:hAnsi="Times New Roman" w:cs="Times New Roman"/>
                <w:color w:val="000000"/>
                <w:kern w:val="0"/>
                <w:sz w:val="20"/>
                <w:szCs w:val="20"/>
                <w:lang w:bidi="ar"/>
              </w:rPr>
              <w:t>88.8%</w:t>
            </w:r>
          </w:p>
        </w:tc>
      </w:tr>
      <w:tr>
        <w:tblPrEx>
          <w:tblLayout w:type="fixed"/>
          <w:tblCellMar>
            <w:top w:w="0" w:type="dxa"/>
            <w:left w:w="108" w:type="dxa"/>
            <w:bottom w:w="0" w:type="dxa"/>
            <w:right w:w="108" w:type="dxa"/>
          </w:tblCellMar>
        </w:tblPrEx>
        <w:trPr>
          <w:trHeight w:val="454" w:hRule="atLeast"/>
        </w:trPr>
        <w:tc>
          <w:tcPr>
            <w:tcW w:w="3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国防支出</w:t>
            </w:r>
          </w:p>
        </w:tc>
        <w:tc>
          <w:tcPr>
            <w:tcW w:w="1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1,144 </w:t>
            </w:r>
          </w:p>
        </w:tc>
        <w:tc>
          <w:tcPr>
            <w:tcW w:w="1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1,450 </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kern w:val="0"/>
                <w:sz w:val="20"/>
                <w:szCs w:val="20"/>
                <w:lang w:bidi="ar"/>
              </w:rPr>
            </w:pPr>
            <w:r>
              <w:rPr>
                <w:rFonts w:ascii="Times New Roman" w:hAnsi="Times New Roman" w:cs="Times New Roman"/>
                <w:color w:val="000000"/>
                <w:kern w:val="0"/>
                <w:sz w:val="20"/>
                <w:szCs w:val="20"/>
                <w:lang w:bidi="ar"/>
              </w:rPr>
              <w:t>126.7%</w:t>
            </w:r>
          </w:p>
        </w:tc>
      </w:tr>
      <w:tr>
        <w:tblPrEx>
          <w:tblLayout w:type="fixed"/>
          <w:tblCellMar>
            <w:top w:w="0" w:type="dxa"/>
            <w:left w:w="108" w:type="dxa"/>
            <w:bottom w:w="0" w:type="dxa"/>
            <w:right w:w="108" w:type="dxa"/>
          </w:tblCellMar>
        </w:tblPrEx>
        <w:trPr>
          <w:trHeight w:val="454" w:hRule="atLeast"/>
        </w:trPr>
        <w:tc>
          <w:tcPr>
            <w:tcW w:w="3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公共安全支出</w:t>
            </w:r>
          </w:p>
        </w:tc>
        <w:tc>
          <w:tcPr>
            <w:tcW w:w="1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36,715 </w:t>
            </w:r>
          </w:p>
        </w:tc>
        <w:tc>
          <w:tcPr>
            <w:tcW w:w="1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31,418 </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kern w:val="0"/>
                <w:sz w:val="20"/>
                <w:szCs w:val="20"/>
                <w:lang w:bidi="ar"/>
              </w:rPr>
            </w:pPr>
            <w:r>
              <w:rPr>
                <w:rFonts w:ascii="Times New Roman" w:hAnsi="Times New Roman" w:cs="Times New Roman"/>
                <w:color w:val="000000"/>
                <w:kern w:val="0"/>
                <w:sz w:val="20"/>
                <w:szCs w:val="20"/>
                <w:lang w:bidi="ar"/>
              </w:rPr>
              <w:t>85.6%</w:t>
            </w:r>
          </w:p>
        </w:tc>
      </w:tr>
      <w:tr>
        <w:tblPrEx>
          <w:tblLayout w:type="fixed"/>
          <w:tblCellMar>
            <w:top w:w="0" w:type="dxa"/>
            <w:left w:w="108" w:type="dxa"/>
            <w:bottom w:w="0" w:type="dxa"/>
            <w:right w:w="108" w:type="dxa"/>
          </w:tblCellMar>
        </w:tblPrEx>
        <w:trPr>
          <w:trHeight w:val="454" w:hRule="atLeast"/>
        </w:trPr>
        <w:tc>
          <w:tcPr>
            <w:tcW w:w="3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教育支出</w:t>
            </w:r>
          </w:p>
        </w:tc>
        <w:tc>
          <w:tcPr>
            <w:tcW w:w="1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80,329 </w:t>
            </w:r>
          </w:p>
        </w:tc>
        <w:tc>
          <w:tcPr>
            <w:tcW w:w="1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92,122 </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kern w:val="0"/>
                <w:sz w:val="20"/>
                <w:szCs w:val="20"/>
                <w:lang w:bidi="ar"/>
              </w:rPr>
            </w:pPr>
            <w:r>
              <w:rPr>
                <w:rFonts w:ascii="Times New Roman" w:hAnsi="Times New Roman" w:cs="Times New Roman"/>
                <w:color w:val="000000"/>
                <w:kern w:val="0"/>
                <w:sz w:val="20"/>
                <w:szCs w:val="20"/>
                <w:lang w:bidi="ar"/>
              </w:rPr>
              <w:t>114.7%</w:t>
            </w:r>
          </w:p>
        </w:tc>
      </w:tr>
      <w:tr>
        <w:tblPrEx>
          <w:tblLayout w:type="fixed"/>
          <w:tblCellMar>
            <w:top w:w="0" w:type="dxa"/>
            <w:left w:w="108" w:type="dxa"/>
            <w:bottom w:w="0" w:type="dxa"/>
            <w:right w:w="108" w:type="dxa"/>
          </w:tblCellMar>
        </w:tblPrEx>
        <w:trPr>
          <w:trHeight w:val="454" w:hRule="atLeast"/>
        </w:trPr>
        <w:tc>
          <w:tcPr>
            <w:tcW w:w="3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科学技术支出</w:t>
            </w:r>
          </w:p>
        </w:tc>
        <w:tc>
          <w:tcPr>
            <w:tcW w:w="1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4,862 </w:t>
            </w:r>
          </w:p>
        </w:tc>
        <w:tc>
          <w:tcPr>
            <w:tcW w:w="1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6,917 </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kern w:val="0"/>
                <w:sz w:val="20"/>
                <w:szCs w:val="20"/>
                <w:lang w:bidi="ar"/>
              </w:rPr>
            </w:pPr>
            <w:r>
              <w:rPr>
                <w:rFonts w:ascii="Times New Roman" w:hAnsi="Times New Roman" w:cs="Times New Roman"/>
                <w:color w:val="000000"/>
                <w:kern w:val="0"/>
                <w:sz w:val="20"/>
                <w:szCs w:val="20"/>
                <w:lang w:bidi="ar"/>
              </w:rPr>
              <w:t>142.3%</w:t>
            </w:r>
          </w:p>
        </w:tc>
      </w:tr>
      <w:tr>
        <w:tblPrEx>
          <w:tblLayout w:type="fixed"/>
          <w:tblCellMar>
            <w:top w:w="0" w:type="dxa"/>
            <w:left w:w="108" w:type="dxa"/>
            <w:bottom w:w="0" w:type="dxa"/>
            <w:right w:w="108" w:type="dxa"/>
          </w:tblCellMar>
        </w:tblPrEx>
        <w:trPr>
          <w:trHeight w:val="454" w:hRule="atLeast"/>
        </w:trPr>
        <w:tc>
          <w:tcPr>
            <w:tcW w:w="3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文化旅游体育与传媒支出</w:t>
            </w:r>
          </w:p>
        </w:tc>
        <w:tc>
          <w:tcPr>
            <w:tcW w:w="1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6,709 </w:t>
            </w:r>
          </w:p>
        </w:tc>
        <w:tc>
          <w:tcPr>
            <w:tcW w:w="1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6,679 </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kern w:val="0"/>
                <w:sz w:val="20"/>
                <w:szCs w:val="20"/>
                <w:lang w:bidi="ar"/>
              </w:rPr>
            </w:pPr>
            <w:r>
              <w:rPr>
                <w:rFonts w:ascii="Times New Roman" w:hAnsi="Times New Roman" w:cs="Times New Roman"/>
                <w:color w:val="000000"/>
                <w:kern w:val="0"/>
                <w:sz w:val="20"/>
                <w:szCs w:val="20"/>
                <w:lang w:bidi="ar"/>
              </w:rPr>
              <w:t>99.6%</w:t>
            </w:r>
          </w:p>
        </w:tc>
      </w:tr>
      <w:tr>
        <w:tblPrEx>
          <w:tblLayout w:type="fixed"/>
          <w:tblCellMar>
            <w:top w:w="0" w:type="dxa"/>
            <w:left w:w="108" w:type="dxa"/>
            <w:bottom w:w="0" w:type="dxa"/>
            <w:right w:w="108" w:type="dxa"/>
          </w:tblCellMar>
        </w:tblPrEx>
        <w:trPr>
          <w:trHeight w:val="454" w:hRule="atLeast"/>
        </w:trPr>
        <w:tc>
          <w:tcPr>
            <w:tcW w:w="3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社会保障和就业支出</w:t>
            </w:r>
          </w:p>
        </w:tc>
        <w:tc>
          <w:tcPr>
            <w:tcW w:w="1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55,392 </w:t>
            </w:r>
          </w:p>
        </w:tc>
        <w:tc>
          <w:tcPr>
            <w:tcW w:w="1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41,251 </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kern w:val="0"/>
                <w:sz w:val="20"/>
                <w:szCs w:val="20"/>
                <w:lang w:bidi="ar"/>
              </w:rPr>
            </w:pPr>
            <w:r>
              <w:rPr>
                <w:rFonts w:ascii="Times New Roman" w:hAnsi="Times New Roman" w:cs="Times New Roman"/>
                <w:color w:val="000000"/>
                <w:kern w:val="0"/>
                <w:sz w:val="20"/>
                <w:szCs w:val="20"/>
                <w:lang w:bidi="ar"/>
              </w:rPr>
              <w:t>74.5%</w:t>
            </w:r>
          </w:p>
        </w:tc>
      </w:tr>
      <w:tr>
        <w:tblPrEx>
          <w:tblLayout w:type="fixed"/>
          <w:tblCellMar>
            <w:top w:w="0" w:type="dxa"/>
            <w:left w:w="108" w:type="dxa"/>
            <w:bottom w:w="0" w:type="dxa"/>
            <w:right w:w="108" w:type="dxa"/>
          </w:tblCellMar>
        </w:tblPrEx>
        <w:trPr>
          <w:trHeight w:val="454" w:hRule="atLeast"/>
        </w:trPr>
        <w:tc>
          <w:tcPr>
            <w:tcW w:w="3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卫生健康支出</w:t>
            </w:r>
          </w:p>
        </w:tc>
        <w:tc>
          <w:tcPr>
            <w:tcW w:w="1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26,579 </w:t>
            </w:r>
          </w:p>
        </w:tc>
        <w:tc>
          <w:tcPr>
            <w:tcW w:w="1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34,562 </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kern w:val="0"/>
                <w:sz w:val="20"/>
                <w:szCs w:val="20"/>
                <w:lang w:bidi="ar"/>
              </w:rPr>
            </w:pPr>
            <w:r>
              <w:rPr>
                <w:rFonts w:ascii="Times New Roman" w:hAnsi="Times New Roman" w:cs="Times New Roman"/>
                <w:color w:val="000000"/>
                <w:kern w:val="0"/>
                <w:sz w:val="20"/>
                <w:szCs w:val="20"/>
                <w:lang w:bidi="ar"/>
              </w:rPr>
              <w:t>130.0%</w:t>
            </w:r>
          </w:p>
        </w:tc>
      </w:tr>
      <w:tr>
        <w:tblPrEx>
          <w:tblLayout w:type="fixed"/>
          <w:tblCellMar>
            <w:top w:w="0" w:type="dxa"/>
            <w:left w:w="108" w:type="dxa"/>
            <w:bottom w:w="0" w:type="dxa"/>
            <w:right w:w="108" w:type="dxa"/>
          </w:tblCellMar>
        </w:tblPrEx>
        <w:trPr>
          <w:trHeight w:val="454" w:hRule="atLeast"/>
        </w:trPr>
        <w:tc>
          <w:tcPr>
            <w:tcW w:w="3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节能环保支出</w:t>
            </w:r>
          </w:p>
        </w:tc>
        <w:tc>
          <w:tcPr>
            <w:tcW w:w="1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11,755 </w:t>
            </w:r>
          </w:p>
        </w:tc>
        <w:tc>
          <w:tcPr>
            <w:tcW w:w="1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11,961 </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kern w:val="0"/>
                <w:sz w:val="20"/>
                <w:szCs w:val="20"/>
                <w:lang w:bidi="ar"/>
              </w:rPr>
            </w:pPr>
            <w:r>
              <w:rPr>
                <w:rFonts w:ascii="Times New Roman" w:hAnsi="Times New Roman" w:cs="Times New Roman"/>
                <w:color w:val="000000"/>
                <w:kern w:val="0"/>
                <w:sz w:val="20"/>
                <w:szCs w:val="20"/>
                <w:lang w:bidi="ar"/>
              </w:rPr>
              <w:t>101.8%</w:t>
            </w:r>
          </w:p>
        </w:tc>
      </w:tr>
      <w:tr>
        <w:tblPrEx>
          <w:tblLayout w:type="fixed"/>
          <w:tblCellMar>
            <w:top w:w="0" w:type="dxa"/>
            <w:left w:w="108" w:type="dxa"/>
            <w:bottom w:w="0" w:type="dxa"/>
            <w:right w:w="108" w:type="dxa"/>
          </w:tblCellMar>
        </w:tblPrEx>
        <w:trPr>
          <w:trHeight w:val="454" w:hRule="atLeast"/>
        </w:trPr>
        <w:tc>
          <w:tcPr>
            <w:tcW w:w="3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城乡社区支出</w:t>
            </w:r>
          </w:p>
        </w:tc>
        <w:tc>
          <w:tcPr>
            <w:tcW w:w="1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35,752 </w:t>
            </w:r>
          </w:p>
        </w:tc>
        <w:tc>
          <w:tcPr>
            <w:tcW w:w="1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50,949 </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kern w:val="0"/>
                <w:sz w:val="20"/>
                <w:szCs w:val="20"/>
                <w:lang w:bidi="ar"/>
              </w:rPr>
            </w:pPr>
            <w:r>
              <w:rPr>
                <w:rFonts w:ascii="Times New Roman" w:hAnsi="Times New Roman" w:cs="Times New Roman"/>
                <w:color w:val="000000"/>
                <w:kern w:val="0"/>
                <w:sz w:val="20"/>
                <w:szCs w:val="20"/>
                <w:lang w:bidi="ar"/>
              </w:rPr>
              <w:t>142.5%</w:t>
            </w:r>
          </w:p>
        </w:tc>
      </w:tr>
      <w:tr>
        <w:tblPrEx>
          <w:tblLayout w:type="fixed"/>
          <w:tblCellMar>
            <w:top w:w="0" w:type="dxa"/>
            <w:left w:w="108" w:type="dxa"/>
            <w:bottom w:w="0" w:type="dxa"/>
            <w:right w:w="108" w:type="dxa"/>
          </w:tblCellMar>
        </w:tblPrEx>
        <w:trPr>
          <w:trHeight w:val="454" w:hRule="atLeast"/>
        </w:trPr>
        <w:tc>
          <w:tcPr>
            <w:tcW w:w="3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农林水支出</w:t>
            </w:r>
          </w:p>
        </w:tc>
        <w:tc>
          <w:tcPr>
            <w:tcW w:w="1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6,182 </w:t>
            </w:r>
          </w:p>
        </w:tc>
        <w:tc>
          <w:tcPr>
            <w:tcW w:w="1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8,683 </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kern w:val="0"/>
                <w:sz w:val="20"/>
                <w:szCs w:val="20"/>
                <w:lang w:bidi="ar"/>
              </w:rPr>
            </w:pPr>
            <w:r>
              <w:rPr>
                <w:rFonts w:ascii="Times New Roman" w:hAnsi="Times New Roman" w:cs="Times New Roman"/>
                <w:color w:val="000000"/>
                <w:kern w:val="0"/>
                <w:sz w:val="20"/>
                <w:szCs w:val="20"/>
                <w:lang w:bidi="ar"/>
              </w:rPr>
              <w:t>140.5%</w:t>
            </w:r>
          </w:p>
        </w:tc>
      </w:tr>
      <w:tr>
        <w:tblPrEx>
          <w:tblLayout w:type="fixed"/>
          <w:tblCellMar>
            <w:top w:w="0" w:type="dxa"/>
            <w:left w:w="108" w:type="dxa"/>
            <w:bottom w:w="0" w:type="dxa"/>
            <w:right w:w="108" w:type="dxa"/>
          </w:tblCellMar>
        </w:tblPrEx>
        <w:trPr>
          <w:trHeight w:val="454" w:hRule="atLeast"/>
        </w:trPr>
        <w:tc>
          <w:tcPr>
            <w:tcW w:w="3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交通运输支出</w:t>
            </w:r>
          </w:p>
        </w:tc>
        <w:tc>
          <w:tcPr>
            <w:tcW w:w="1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1,199 </w:t>
            </w:r>
          </w:p>
        </w:tc>
        <w:tc>
          <w:tcPr>
            <w:tcW w:w="1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1,871 </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kern w:val="0"/>
                <w:sz w:val="20"/>
                <w:szCs w:val="20"/>
                <w:lang w:bidi="ar"/>
              </w:rPr>
            </w:pPr>
            <w:r>
              <w:rPr>
                <w:rFonts w:ascii="Times New Roman" w:hAnsi="Times New Roman" w:cs="Times New Roman"/>
                <w:color w:val="000000"/>
                <w:kern w:val="0"/>
                <w:sz w:val="20"/>
                <w:szCs w:val="20"/>
                <w:lang w:bidi="ar"/>
              </w:rPr>
              <w:t>156.0%</w:t>
            </w:r>
          </w:p>
        </w:tc>
      </w:tr>
      <w:tr>
        <w:tblPrEx>
          <w:tblLayout w:type="fixed"/>
          <w:tblCellMar>
            <w:top w:w="0" w:type="dxa"/>
            <w:left w:w="108" w:type="dxa"/>
            <w:bottom w:w="0" w:type="dxa"/>
            <w:right w:w="108" w:type="dxa"/>
          </w:tblCellMar>
        </w:tblPrEx>
        <w:trPr>
          <w:trHeight w:val="454" w:hRule="atLeast"/>
        </w:trPr>
        <w:tc>
          <w:tcPr>
            <w:tcW w:w="3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资源勘探信息等支出</w:t>
            </w:r>
          </w:p>
        </w:tc>
        <w:tc>
          <w:tcPr>
            <w:tcW w:w="1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4,007 </w:t>
            </w:r>
          </w:p>
        </w:tc>
        <w:tc>
          <w:tcPr>
            <w:tcW w:w="1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5,295 </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kern w:val="0"/>
                <w:sz w:val="20"/>
                <w:szCs w:val="20"/>
                <w:lang w:bidi="ar"/>
              </w:rPr>
            </w:pPr>
            <w:r>
              <w:rPr>
                <w:rFonts w:ascii="Times New Roman" w:hAnsi="Times New Roman" w:cs="Times New Roman"/>
                <w:color w:val="000000"/>
                <w:kern w:val="0"/>
                <w:sz w:val="20"/>
                <w:szCs w:val="20"/>
                <w:lang w:bidi="ar"/>
              </w:rPr>
              <w:t>132.1%</w:t>
            </w:r>
          </w:p>
        </w:tc>
      </w:tr>
      <w:tr>
        <w:tblPrEx>
          <w:tblLayout w:type="fixed"/>
          <w:tblCellMar>
            <w:top w:w="0" w:type="dxa"/>
            <w:left w:w="108" w:type="dxa"/>
            <w:bottom w:w="0" w:type="dxa"/>
            <w:right w:w="108" w:type="dxa"/>
          </w:tblCellMar>
        </w:tblPrEx>
        <w:trPr>
          <w:trHeight w:val="454" w:hRule="atLeast"/>
        </w:trPr>
        <w:tc>
          <w:tcPr>
            <w:tcW w:w="3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商业服务业等支出</w:t>
            </w:r>
          </w:p>
        </w:tc>
        <w:tc>
          <w:tcPr>
            <w:tcW w:w="1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565 </w:t>
            </w:r>
          </w:p>
        </w:tc>
        <w:tc>
          <w:tcPr>
            <w:tcW w:w="1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724 </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kern w:val="0"/>
                <w:sz w:val="20"/>
                <w:szCs w:val="20"/>
                <w:lang w:bidi="ar"/>
              </w:rPr>
            </w:pPr>
            <w:r>
              <w:rPr>
                <w:rFonts w:ascii="Times New Roman" w:hAnsi="Times New Roman" w:cs="Times New Roman"/>
                <w:color w:val="000000"/>
                <w:kern w:val="0"/>
                <w:sz w:val="20"/>
                <w:szCs w:val="20"/>
                <w:lang w:bidi="ar"/>
              </w:rPr>
              <w:t>128.1%</w:t>
            </w:r>
          </w:p>
        </w:tc>
      </w:tr>
      <w:tr>
        <w:tblPrEx>
          <w:tblLayout w:type="fixed"/>
          <w:tblCellMar>
            <w:top w:w="0" w:type="dxa"/>
            <w:left w:w="108" w:type="dxa"/>
            <w:bottom w:w="0" w:type="dxa"/>
            <w:right w:w="108" w:type="dxa"/>
          </w:tblCellMar>
        </w:tblPrEx>
        <w:trPr>
          <w:trHeight w:val="454" w:hRule="atLeast"/>
        </w:trPr>
        <w:tc>
          <w:tcPr>
            <w:tcW w:w="3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自然资源海洋气象等支出</w:t>
            </w:r>
          </w:p>
        </w:tc>
        <w:tc>
          <w:tcPr>
            <w:tcW w:w="1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1,295 </w:t>
            </w:r>
          </w:p>
        </w:tc>
        <w:tc>
          <w:tcPr>
            <w:tcW w:w="1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3,383 </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kern w:val="0"/>
                <w:sz w:val="20"/>
                <w:szCs w:val="20"/>
                <w:lang w:bidi="ar"/>
              </w:rPr>
            </w:pPr>
            <w:r>
              <w:rPr>
                <w:rFonts w:ascii="Times New Roman" w:hAnsi="Times New Roman" w:cs="Times New Roman"/>
                <w:color w:val="000000"/>
                <w:kern w:val="0"/>
                <w:sz w:val="20"/>
                <w:szCs w:val="20"/>
                <w:lang w:bidi="ar"/>
              </w:rPr>
              <w:t>261.2%</w:t>
            </w:r>
          </w:p>
        </w:tc>
      </w:tr>
      <w:tr>
        <w:tblPrEx>
          <w:tblLayout w:type="fixed"/>
          <w:tblCellMar>
            <w:top w:w="0" w:type="dxa"/>
            <w:left w:w="108" w:type="dxa"/>
            <w:bottom w:w="0" w:type="dxa"/>
            <w:right w:w="108" w:type="dxa"/>
          </w:tblCellMar>
        </w:tblPrEx>
        <w:trPr>
          <w:trHeight w:val="454" w:hRule="atLeast"/>
        </w:trPr>
        <w:tc>
          <w:tcPr>
            <w:tcW w:w="3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住房保障支出</w:t>
            </w:r>
          </w:p>
        </w:tc>
        <w:tc>
          <w:tcPr>
            <w:tcW w:w="1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12,008 </w:t>
            </w:r>
          </w:p>
        </w:tc>
        <w:tc>
          <w:tcPr>
            <w:tcW w:w="1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17,695 </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kern w:val="0"/>
                <w:sz w:val="20"/>
                <w:szCs w:val="20"/>
                <w:lang w:bidi="ar"/>
              </w:rPr>
            </w:pPr>
            <w:r>
              <w:rPr>
                <w:rFonts w:ascii="Times New Roman" w:hAnsi="Times New Roman" w:cs="Times New Roman"/>
                <w:color w:val="000000"/>
                <w:kern w:val="0"/>
                <w:sz w:val="20"/>
                <w:szCs w:val="20"/>
                <w:lang w:bidi="ar"/>
              </w:rPr>
              <w:t>147.4%</w:t>
            </w:r>
          </w:p>
        </w:tc>
      </w:tr>
      <w:tr>
        <w:tblPrEx>
          <w:tblLayout w:type="fixed"/>
          <w:tblCellMar>
            <w:top w:w="0" w:type="dxa"/>
            <w:left w:w="108" w:type="dxa"/>
            <w:bottom w:w="0" w:type="dxa"/>
            <w:right w:w="108" w:type="dxa"/>
          </w:tblCellMar>
        </w:tblPrEx>
        <w:trPr>
          <w:trHeight w:val="454" w:hRule="atLeast"/>
        </w:trPr>
        <w:tc>
          <w:tcPr>
            <w:tcW w:w="3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灾害防治及应急管理支出</w:t>
            </w:r>
          </w:p>
        </w:tc>
        <w:tc>
          <w:tcPr>
            <w:tcW w:w="1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4,023 </w:t>
            </w:r>
          </w:p>
        </w:tc>
        <w:tc>
          <w:tcPr>
            <w:tcW w:w="1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5,192 </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kern w:val="0"/>
                <w:sz w:val="20"/>
                <w:szCs w:val="20"/>
                <w:lang w:bidi="ar"/>
              </w:rPr>
            </w:pPr>
            <w:r>
              <w:rPr>
                <w:rFonts w:ascii="Times New Roman" w:hAnsi="Times New Roman" w:cs="Times New Roman"/>
                <w:color w:val="000000"/>
                <w:kern w:val="0"/>
                <w:sz w:val="20"/>
                <w:szCs w:val="20"/>
                <w:lang w:bidi="ar"/>
              </w:rPr>
              <w:t>129.1%</w:t>
            </w:r>
          </w:p>
        </w:tc>
      </w:tr>
      <w:tr>
        <w:tblPrEx>
          <w:tblLayout w:type="fixed"/>
          <w:tblCellMar>
            <w:top w:w="0" w:type="dxa"/>
            <w:left w:w="108" w:type="dxa"/>
            <w:bottom w:w="0" w:type="dxa"/>
            <w:right w:w="108" w:type="dxa"/>
          </w:tblCellMar>
        </w:tblPrEx>
        <w:trPr>
          <w:trHeight w:val="454" w:hRule="atLeast"/>
        </w:trPr>
        <w:tc>
          <w:tcPr>
            <w:tcW w:w="3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其他支出</w:t>
            </w:r>
          </w:p>
        </w:tc>
        <w:tc>
          <w:tcPr>
            <w:tcW w:w="1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309 </w:t>
            </w:r>
          </w:p>
        </w:tc>
        <w:tc>
          <w:tcPr>
            <w:tcW w:w="1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kern w:val="0"/>
                <w:sz w:val="20"/>
                <w:szCs w:val="20"/>
                <w:lang w:bidi="ar"/>
              </w:rPr>
            </w:pPr>
            <w:r>
              <w:rPr>
                <w:rFonts w:ascii="Times New Roman" w:hAnsi="Times New Roman" w:cs="Times New Roman"/>
                <w:color w:val="000000"/>
                <w:kern w:val="0"/>
                <w:sz w:val="20"/>
                <w:szCs w:val="20"/>
                <w:lang w:bidi="ar"/>
              </w:rPr>
              <w:t>0.0%</w:t>
            </w:r>
          </w:p>
        </w:tc>
      </w:tr>
      <w:tr>
        <w:tblPrEx>
          <w:tblLayout w:type="fixed"/>
          <w:tblCellMar>
            <w:top w:w="0" w:type="dxa"/>
            <w:left w:w="108" w:type="dxa"/>
            <w:bottom w:w="0" w:type="dxa"/>
            <w:right w:w="108" w:type="dxa"/>
          </w:tblCellMar>
        </w:tblPrEx>
        <w:trPr>
          <w:trHeight w:val="454" w:hRule="atLeast"/>
        </w:trPr>
        <w:tc>
          <w:tcPr>
            <w:tcW w:w="3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债务付息支出</w:t>
            </w:r>
          </w:p>
        </w:tc>
        <w:tc>
          <w:tcPr>
            <w:tcW w:w="1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17,362 </w:t>
            </w:r>
          </w:p>
        </w:tc>
        <w:tc>
          <w:tcPr>
            <w:tcW w:w="1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19,018 </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kern w:val="0"/>
                <w:sz w:val="20"/>
                <w:szCs w:val="20"/>
                <w:lang w:bidi="ar"/>
              </w:rPr>
            </w:pPr>
            <w:r>
              <w:rPr>
                <w:rFonts w:ascii="Times New Roman" w:hAnsi="Times New Roman" w:cs="Times New Roman"/>
                <w:color w:val="000000"/>
                <w:kern w:val="0"/>
                <w:sz w:val="20"/>
                <w:szCs w:val="20"/>
                <w:lang w:bidi="ar"/>
              </w:rPr>
              <w:t>109.5%</w:t>
            </w:r>
          </w:p>
        </w:tc>
      </w:tr>
      <w:tr>
        <w:tblPrEx>
          <w:tblLayout w:type="fixed"/>
          <w:tblCellMar>
            <w:top w:w="0" w:type="dxa"/>
            <w:left w:w="108" w:type="dxa"/>
            <w:bottom w:w="0" w:type="dxa"/>
            <w:right w:w="108" w:type="dxa"/>
          </w:tblCellMar>
        </w:tblPrEx>
        <w:trPr>
          <w:trHeight w:val="454" w:hRule="atLeast"/>
        </w:trPr>
        <w:tc>
          <w:tcPr>
            <w:tcW w:w="3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债务发行费用支出</w:t>
            </w:r>
          </w:p>
        </w:tc>
        <w:tc>
          <w:tcPr>
            <w:tcW w:w="1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5 </w:t>
            </w:r>
          </w:p>
        </w:tc>
        <w:tc>
          <w:tcPr>
            <w:tcW w:w="1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bidi="ar"/>
              </w:rPr>
              <w:t xml:space="preserve"> 6 </w:t>
            </w:r>
          </w:p>
        </w:tc>
        <w:tc>
          <w:tcPr>
            <w:tcW w:w="1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cs="Times New Roman"/>
                <w:color w:val="000000"/>
                <w:kern w:val="0"/>
                <w:sz w:val="20"/>
                <w:szCs w:val="20"/>
                <w:lang w:bidi="ar"/>
              </w:rPr>
            </w:pPr>
            <w:r>
              <w:rPr>
                <w:rFonts w:ascii="Times New Roman" w:hAnsi="Times New Roman" w:cs="Times New Roman"/>
                <w:color w:val="000000"/>
                <w:kern w:val="0"/>
                <w:sz w:val="20"/>
                <w:szCs w:val="20"/>
                <w:lang w:bidi="ar"/>
              </w:rPr>
              <w:t>120.0%</w:t>
            </w:r>
          </w:p>
        </w:tc>
      </w:tr>
      <w:tr>
        <w:tblPrEx>
          <w:tblLayout w:type="fixed"/>
          <w:tblCellMar>
            <w:top w:w="0" w:type="dxa"/>
            <w:left w:w="108" w:type="dxa"/>
            <w:bottom w:w="0" w:type="dxa"/>
            <w:right w:w="108" w:type="dxa"/>
          </w:tblCellMar>
        </w:tblPrEx>
        <w:trPr>
          <w:trHeight w:val="454" w:hRule="atLeast"/>
        </w:trPr>
        <w:tc>
          <w:tcPr>
            <w:tcW w:w="3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方正黑体_GBK" w:cs="方正黑体_GBK"/>
                <w:color w:val="000000"/>
                <w:sz w:val="20"/>
                <w:szCs w:val="20"/>
              </w:rPr>
            </w:pPr>
            <w:r>
              <w:rPr>
                <w:rFonts w:hint="eastAsia" w:ascii="Times New Roman" w:hAnsi="Times New Roman" w:eastAsia="方正黑体_GBK" w:cs="方正黑体_GBK"/>
                <w:color w:val="000000"/>
                <w:kern w:val="0"/>
                <w:sz w:val="20"/>
                <w:szCs w:val="20"/>
                <w:lang w:bidi="ar"/>
              </w:rPr>
              <w:t>二、政府性基金预算支出</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 400,412 </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 403,212 </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color w:val="000000"/>
                <w:kern w:val="0"/>
                <w:sz w:val="20"/>
                <w:szCs w:val="20"/>
                <w:lang w:bidi="ar"/>
              </w:rPr>
            </w:pPr>
            <w:r>
              <w:rPr>
                <w:rFonts w:ascii="Times New Roman" w:hAnsi="Times New Roman" w:eastAsia="宋体" w:cs="Times New Roman"/>
                <w:b/>
                <w:color w:val="000000"/>
                <w:kern w:val="0"/>
                <w:sz w:val="20"/>
                <w:szCs w:val="20"/>
                <w:lang w:bidi="ar"/>
              </w:rPr>
              <w:t>100.7%</w:t>
            </w:r>
          </w:p>
        </w:tc>
      </w:tr>
      <w:tr>
        <w:tblPrEx>
          <w:tblLayout w:type="fixed"/>
          <w:tblCellMar>
            <w:top w:w="0" w:type="dxa"/>
            <w:left w:w="108" w:type="dxa"/>
            <w:bottom w:w="0" w:type="dxa"/>
            <w:right w:w="108" w:type="dxa"/>
          </w:tblCellMar>
        </w:tblPrEx>
        <w:trPr>
          <w:trHeight w:val="454" w:hRule="atLeast"/>
        </w:trPr>
        <w:tc>
          <w:tcPr>
            <w:tcW w:w="3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方正黑体_GBK" w:cs="方正黑体_GBK"/>
                <w:color w:val="000000"/>
                <w:sz w:val="20"/>
                <w:szCs w:val="20"/>
              </w:rPr>
            </w:pPr>
            <w:r>
              <w:rPr>
                <w:rFonts w:hint="eastAsia" w:ascii="Times New Roman" w:hAnsi="Times New Roman" w:eastAsia="方正黑体_GBK" w:cs="方正黑体_GBK"/>
                <w:color w:val="000000"/>
                <w:kern w:val="0"/>
                <w:sz w:val="20"/>
                <w:szCs w:val="20"/>
                <w:lang w:bidi="ar"/>
              </w:rPr>
              <w:t>三、国有资本经营预算支出</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 3,400 </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 1,800 </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color w:val="000000"/>
                <w:kern w:val="0"/>
                <w:sz w:val="20"/>
                <w:szCs w:val="20"/>
                <w:lang w:bidi="ar"/>
              </w:rPr>
            </w:pPr>
            <w:r>
              <w:rPr>
                <w:rFonts w:ascii="Times New Roman" w:hAnsi="Times New Roman" w:eastAsia="宋体" w:cs="Times New Roman"/>
                <w:b/>
                <w:color w:val="000000"/>
                <w:kern w:val="0"/>
                <w:sz w:val="20"/>
                <w:szCs w:val="20"/>
                <w:lang w:bidi="ar"/>
              </w:rPr>
              <w:t>52.9%</w:t>
            </w:r>
          </w:p>
        </w:tc>
      </w:tr>
    </w:tbl>
    <w:p>
      <w:pPr>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br w:type="page"/>
      </w:r>
    </w:p>
    <w:p>
      <w:pPr>
        <w:spacing w:line="400" w:lineRule="exac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3</w:t>
      </w:r>
    </w:p>
    <w:p>
      <w:pPr>
        <w:widowControl/>
        <w:jc w:val="center"/>
        <w:textAlignment w:val="center"/>
        <w:rPr>
          <w:rFonts w:ascii="Times New Roman" w:hAnsi="Times New Roman" w:eastAsia="方正小标宋_GBK" w:cs="Times New Roman"/>
          <w:kern w:val="0"/>
          <w:sz w:val="44"/>
          <w:szCs w:val="44"/>
        </w:rPr>
      </w:pPr>
      <w:bookmarkStart w:id="6" w:name="_Toc1016"/>
      <w:bookmarkStart w:id="7" w:name="_Toc11411"/>
      <w:bookmarkStart w:id="8" w:name="_Toc23224"/>
      <w:r>
        <w:rPr>
          <w:rFonts w:ascii="Times New Roman" w:hAnsi="Times New Roman" w:eastAsia="方正小标宋_GBK" w:cs="Times New Roman"/>
          <w:kern w:val="0"/>
          <w:sz w:val="44"/>
          <w:szCs w:val="44"/>
        </w:rPr>
        <w:t>2022</w:t>
      </w:r>
      <w:r>
        <w:rPr>
          <w:rFonts w:hint="eastAsia" w:ascii="Times New Roman" w:hAnsi="Times New Roman" w:eastAsia="方正小标宋_GBK" w:cs="Times New Roman"/>
          <w:kern w:val="0"/>
          <w:sz w:val="44"/>
          <w:szCs w:val="44"/>
        </w:rPr>
        <w:t>年全区一般公共预算收支执行表</w:t>
      </w:r>
      <w:bookmarkEnd w:id="6"/>
      <w:bookmarkEnd w:id="7"/>
      <w:bookmarkEnd w:id="8"/>
    </w:p>
    <w:p>
      <w:pPr>
        <w:spacing w:line="400" w:lineRule="exact"/>
        <w:jc w:val="righ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单位：万元</w:t>
      </w:r>
    </w:p>
    <w:tbl>
      <w:tblPr>
        <w:tblStyle w:val="10"/>
        <w:tblW w:w="9122" w:type="dxa"/>
        <w:tblInd w:w="93" w:type="dxa"/>
        <w:tblLayout w:type="fixed"/>
        <w:tblCellMar>
          <w:top w:w="0" w:type="dxa"/>
          <w:left w:w="108" w:type="dxa"/>
          <w:bottom w:w="0" w:type="dxa"/>
          <w:right w:w="108" w:type="dxa"/>
        </w:tblCellMar>
      </w:tblPr>
      <w:tblGrid>
        <w:gridCol w:w="2922"/>
        <w:gridCol w:w="1306"/>
        <w:gridCol w:w="1257"/>
        <w:gridCol w:w="1150"/>
        <w:gridCol w:w="1250"/>
        <w:gridCol w:w="1237"/>
      </w:tblGrid>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收      入</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预算数</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调整</w:t>
            </w:r>
            <w:r>
              <w:rPr>
                <w:rFonts w:hint="eastAsia" w:ascii="Times New Roman" w:hAnsi="Times New Roman" w:eastAsia="黑体" w:cs="黑体"/>
                <w:color w:val="000000"/>
                <w:kern w:val="0"/>
                <w:sz w:val="22"/>
                <w:lang w:bidi="ar"/>
              </w:rPr>
              <w:br w:type="textWrapping"/>
            </w:r>
            <w:r>
              <w:rPr>
                <w:rFonts w:hint="eastAsia" w:ascii="Times New Roman" w:hAnsi="Times New Roman" w:eastAsia="黑体" w:cs="黑体"/>
                <w:color w:val="000000"/>
                <w:kern w:val="0"/>
                <w:sz w:val="22"/>
                <w:lang w:bidi="ar"/>
              </w:rPr>
              <w:t>预算数</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执行数</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执行数为调整预算数的%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执行数为上年决算数的%</w:t>
            </w:r>
          </w:p>
        </w:tc>
      </w:tr>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总  计</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495,434 </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557,370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586,553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b/>
                <w:bCs/>
                <w:color w:val="000000"/>
                <w:sz w:val="20"/>
                <w:szCs w:val="20"/>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宋体"/>
                <w:b/>
                <w:bCs/>
                <w:color w:val="000000"/>
                <w:sz w:val="20"/>
                <w:szCs w:val="20"/>
              </w:rPr>
            </w:pPr>
          </w:p>
        </w:tc>
      </w:tr>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本级收入合计</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209,765 </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180,000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184,079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102.3%</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90.8%</w:t>
            </w:r>
          </w:p>
        </w:tc>
      </w:tr>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一、税收收入</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189,101 </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150,000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149,137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99.4%</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84.4%</w:t>
            </w:r>
          </w:p>
        </w:tc>
      </w:tr>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增值税</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48,951 </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40,000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41,205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103.0%</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108.0%</w:t>
            </w:r>
          </w:p>
        </w:tc>
      </w:tr>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企业所得税</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19,950 </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23,000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22,894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99.5%</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121.0%</w:t>
            </w:r>
          </w:p>
        </w:tc>
      </w:tr>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个人所得税</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5,600 </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4,700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4,971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105.8%</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88.5%</w:t>
            </w:r>
          </w:p>
        </w:tc>
      </w:tr>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资源税</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100 </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25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32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128.0%</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74.4%</w:t>
            </w:r>
          </w:p>
        </w:tc>
      </w:tr>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城市维护建设税</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7,120 </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6,600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6,998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106.0%</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100.4%</w:t>
            </w:r>
          </w:p>
        </w:tc>
      </w:tr>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房产税</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5,200 </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6,000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5,647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94.1%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103.4%</w:t>
            </w:r>
          </w:p>
        </w:tc>
      </w:tr>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印花税</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5,380 </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5,900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5,166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87.6%</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93.6%</w:t>
            </w:r>
          </w:p>
        </w:tc>
      </w:tr>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城镇土地使用税</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18,600 </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17,900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17,838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99.7%</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100.8%</w:t>
            </w:r>
          </w:p>
        </w:tc>
      </w:tr>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土地增值税</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13,000 </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20,000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18,938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94.7%</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306.8%</w:t>
            </w:r>
          </w:p>
        </w:tc>
      </w:tr>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耕地占用税</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2,000 </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90.0%</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0.2%</w:t>
            </w:r>
          </w:p>
        </w:tc>
      </w:tr>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契税</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63,000 </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25,700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25,221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98.1%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38.3%</w:t>
            </w:r>
          </w:p>
        </w:tc>
      </w:tr>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环境保护税</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150 </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191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136.4%</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135.5%</w:t>
            </w:r>
          </w:p>
        </w:tc>
      </w:tr>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其他税收收入</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50 </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25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27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108.0%</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10.8%</w:t>
            </w:r>
          </w:p>
        </w:tc>
      </w:tr>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宋体"/>
                <w:color w:val="000000"/>
                <w:sz w:val="20"/>
                <w:szCs w:val="20"/>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二、非税收入</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20,664 </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30,000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34,942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116.5%</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134.7%</w:t>
            </w:r>
          </w:p>
        </w:tc>
      </w:tr>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专项收入</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6,000 </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6,950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6,794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97.8%</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99.8%</w:t>
            </w:r>
          </w:p>
        </w:tc>
      </w:tr>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行政事业性收费收入</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300 </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760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772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101.6%</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252.3%</w:t>
            </w:r>
          </w:p>
        </w:tc>
      </w:tr>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罚没收入</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3,500 </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3,000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2,756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91.9%</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72.0%</w:t>
            </w:r>
          </w:p>
        </w:tc>
      </w:tr>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国有资源(资产)有偿使用收入</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10,664 </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18,877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24,200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128.2%</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165.0%</w:t>
            </w:r>
          </w:p>
        </w:tc>
      </w:tr>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其他收入</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200 </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413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420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101.7%</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126.9%</w:t>
            </w:r>
          </w:p>
        </w:tc>
      </w:tr>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宋体"/>
                <w:color w:val="000000"/>
                <w:sz w:val="20"/>
                <w:szCs w:val="20"/>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宋体"/>
                <w:color w:val="000000"/>
                <w:sz w:val="20"/>
                <w:szCs w:val="20"/>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转移性收入合计</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285,669 </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377,370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402,474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宋体"/>
                <w:b/>
                <w:bCs/>
                <w:color w:val="000000"/>
                <w:sz w:val="20"/>
                <w:szCs w:val="20"/>
              </w:rPr>
            </w:pPr>
          </w:p>
        </w:tc>
      </w:tr>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一、上级补助收入</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59,001 </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113,305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132,098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宋体"/>
                <w:color w:val="000000"/>
                <w:sz w:val="20"/>
                <w:szCs w:val="20"/>
              </w:rPr>
            </w:pPr>
          </w:p>
        </w:tc>
      </w:tr>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二、债务转贷收入 </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97,300 </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117,300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117,300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宋体"/>
                <w:color w:val="000000"/>
                <w:sz w:val="20"/>
                <w:szCs w:val="20"/>
              </w:rPr>
            </w:pPr>
          </w:p>
        </w:tc>
      </w:tr>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一般债券转贷收入(新增）</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20,000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20,000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宋体"/>
                <w:color w:val="000000"/>
                <w:sz w:val="20"/>
                <w:szCs w:val="20"/>
              </w:rPr>
            </w:pPr>
          </w:p>
        </w:tc>
      </w:tr>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一般债券转贷收入(再融资）</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97,300 </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97,300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97,300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w:t>
            </w:r>
          </w:p>
        </w:tc>
      </w:tr>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三、动用预算稳定调节基金</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17,593 </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17,593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17,592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宋体"/>
                <w:color w:val="000000"/>
                <w:sz w:val="20"/>
                <w:szCs w:val="20"/>
              </w:rPr>
            </w:pPr>
          </w:p>
        </w:tc>
      </w:tr>
      <w:tr>
        <w:tblPrEx>
          <w:tblLayout w:type="fixed"/>
          <w:tblCellMar>
            <w:top w:w="0" w:type="dxa"/>
            <w:left w:w="108" w:type="dxa"/>
            <w:bottom w:w="0" w:type="dxa"/>
            <w:right w:w="108" w:type="dxa"/>
          </w:tblCellMar>
        </w:tblPrEx>
        <w:trPr>
          <w:trHeight w:val="283" w:hRule="atLeast"/>
        </w:trPr>
        <w:tc>
          <w:tcPr>
            <w:tcW w:w="292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四、调入资金</w:t>
            </w:r>
          </w:p>
        </w:tc>
        <w:tc>
          <w:tcPr>
            <w:tcW w:w="130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67,335 </w:t>
            </w:r>
          </w:p>
        </w:tc>
        <w:tc>
          <w:tcPr>
            <w:tcW w:w="125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84,732 </w:t>
            </w:r>
          </w:p>
        </w:tc>
        <w:tc>
          <w:tcPr>
            <w:tcW w:w="115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91,044 </w:t>
            </w:r>
          </w:p>
        </w:tc>
        <w:tc>
          <w:tcPr>
            <w:tcW w:w="125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237"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right"/>
              <w:rPr>
                <w:rFonts w:ascii="Times New Roman" w:hAnsi="Times New Roman" w:eastAsia="宋体" w:cs="宋体"/>
                <w:color w:val="000000"/>
                <w:sz w:val="20"/>
                <w:szCs w:val="20"/>
              </w:rPr>
            </w:pPr>
          </w:p>
        </w:tc>
      </w:tr>
      <w:tr>
        <w:tblPrEx>
          <w:tblLayout w:type="fixed"/>
          <w:tblCellMar>
            <w:top w:w="0" w:type="dxa"/>
            <w:left w:w="108" w:type="dxa"/>
            <w:bottom w:w="0" w:type="dxa"/>
            <w:right w:w="108" w:type="dxa"/>
          </w:tblCellMar>
        </w:tblPrEx>
        <w:trPr>
          <w:trHeight w:val="283" w:hRule="atLeast"/>
        </w:trPr>
        <w:tc>
          <w:tcPr>
            <w:tcW w:w="29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五、上年结转</w:t>
            </w:r>
          </w:p>
        </w:tc>
        <w:tc>
          <w:tcPr>
            <w:tcW w:w="13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44,440 </w:t>
            </w: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44,440 </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44,440 </w:t>
            </w: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0"/>
                <w:szCs w:val="20"/>
              </w:rPr>
            </w:pP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imes New Roman" w:hAnsi="Times New Roman" w:eastAsia="宋体" w:cs="宋体"/>
                <w:color w:val="000000"/>
                <w:sz w:val="20"/>
                <w:szCs w:val="20"/>
              </w:rPr>
            </w:pPr>
          </w:p>
        </w:tc>
      </w:tr>
    </w:tbl>
    <w:p>
      <w:pPr>
        <w:spacing w:before="120" w:beforeLines="50"/>
        <w:jc w:val="left"/>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注：</w:t>
      </w:r>
      <w:r>
        <w:rPr>
          <w:rFonts w:ascii="Times New Roman" w:hAnsi="Times New Roman" w:eastAsia="宋体" w:cs="Times New Roman"/>
          <w:color w:val="000000"/>
          <w:sz w:val="18"/>
          <w:szCs w:val="18"/>
        </w:rPr>
        <w:t>1</w:t>
      </w:r>
      <w:r>
        <w:rPr>
          <w:rFonts w:hint="eastAsia" w:ascii="Times New Roman" w:hAnsi="Times New Roman" w:eastAsia="宋体" w:cs="宋体"/>
          <w:color w:val="000000"/>
          <w:sz w:val="18"/>
          <w:szCs w:val="18"/>
        </w:rPr>
        <w:t>.本表直观反映</w:t>
      </w:r>
      <w:r>
        <w:rPr>
          <w:rFonts w:ascii="Times New Roman" w:hAnsi="Times New Roman" w:eastAsia="宋体" w:cs="Times New Roman"/>
          <w:color w:val="000000"/>
          <w:sz w:val="18"/>
          <w:szCs w:val="18"/>
        </w:rPr>
        <w:t>2022</w:t>
      </w:r>
      <w:r>
        <w:rPr>
          <w:rFonts w:hint="eastAsia" w:ascii="Times New Roman" w:hAnsi="Times New Roman" w:eastAsia="宋体" w:cs="宋体"/>
          <w:color w:val="000000"/>
          <w:sz w:val="18"/>
          <w:szCs w:val="18"/>
        </w:rPr>
        <w:t>年一般公共预算收入与支出的平衡关系。</w:t>
      </w:r>
    </w:p>
    <w:p>
      <w:pPr>
        <w:ind w:firstLine="360" w:firstLineChars="200"/>
        <w:jc w:val="left"/>
        <w:rPr>
          <w:rFonts w:ascii="Times New Roman" w:hAnsi="Times New Roman" w:eastAsia="宋体" w:cs="宋体"/>
          <w:color w:val="000000"/>
          <w:sz w:val="18"/>
          <w:szCs w:val="18"/>
        </w:rPr>
      </w:pPr>
      <w:r>
        <w:rPr>
          <w:rFonts w:ascii="Times New Roman" w:hAnsi="Times New Roman" w:eastAsia="宋体" w:cs="Times New Roman"/>
          <w:color w:val="000000"/>
          <w:sz w:val="18"/>
          <w:szCs w:val="18"/>
        </w:rPr>
        <w:t>2</w:t>
      </w:r>
      <w:r>
        <w:rPr>
          <w:rFonts w:hint="eastAsia" w:ascii="Times New Roman" w:hAnsi="Times New Roman" w:eastAsia="宋体" w:cs="宋体"/>
          <w:color w:val="000000"/>
          <w:sz w:val="18"/>
          <w:szCs w:val="18"/>
        </w:rPr>
        <w:t>.调整预算数是指经区人大常委会审查批准对年初预算进行调整后形成的预算数，下同。</w:t>
      </w:r>
    </w:p>
    <w:p>
      <w:pPr>
        <w:spacing w:line="400" w:lineRule="exact"/>
        <w:rPr>
          <w:rFonts w:ascii="Times New Roman" w:hAnsi="Times New Roman" w:eastAsia="方正黑体_GBK" w:cs="方正黑体_GBK"/>
          <w:kern w:val="0"/>
          <w:sz w:val="28"/>
          <w:szCs w:val="28"/>
        </w:rPr>
      </w:pPr>
      <w:r>
        <w:rPr>
          <w:rFonts w:ascii="Times New Roman" w:hAnsi="Times New Roman"/>
        </w:rPr>
        <w:br w:type="page"/>
      </w:r>
      <w:r>
        <w:rPr>
          <w:rFonts w:hint="eastAsia" w:ascii="Times New Roman" w:hAnsi="Times New Roman" w:eastAsia="方正黑体_GBK" w:cs="方正黑体_GBK"/>
          <w:kern w:val="0"/>
          <w:sz w:val="28"/>
          <w:szCs w:val="28"/>
        </w:rPr>
        <w:t>续表</w:t>
      </w:r>
      <w:r>
        <w:rPr>
          <w:rFonts w:ascii="Times New Roman" w:hAnsi="Times New Roman" w:eastAsia="方正黑体_GBK" w:cs="Times New Roman"/>
          <w:kern w:val="0"/>
          <w:sz w:val="28"/>
          <w:szCs w:val="28"/>
        </w:rPr>
        <w:t>3</w:t>
      </w:r>
    </w:p>
    <w:p>
      <w:pPr>
        <w:widowControl/>
        <w:jc w:val="center"/>
        <w:textAlignment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2022</w:t>
      </w:r>
      <w:r>
        <w:rPr>
          <w:rFonts w:hint="eastAsia" w:ascii="Times New Roman" w:hAnsi="Times New Roman" w:eastAsia="方正小标宋_GBK" w:cs="Times New Roman"/>
          <w:kern w:val="0"/>
          <w:sz w:val="44"/>
          <w:szCs w:val="44"/>
        </w:rPr>
        <w:t>年全区一般公共预算收支执行表</w:t>
      </w:r>
    </w:p>
    <w:p>
      <w:pPr>
        <w:jc w:val="righ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单位：万元</w:t>
      </w:r>
    </w:p>
    <w:tbl>
      <w:tblPr>
        <w:tblStyle w:val="10"/>
        <w:tblW w:w="9147" w:type="dxa"/>
        <w:tblInd w:w="93" w:type="dxa"/>
        <w:tblLayout w:type="fixed"/>
        <w:tblCellMar>
          <w:top w:w="0" w:type="dxa"/>
          <w:left w:w="108" w:type="dxa"/>
          <w:bottom w:w="0" w:type="dxa"/>
          <w:right w:w="108" w:type="dxa"/>
        </w:tblCellMar>
      </w:tblPr>
      <w:tblGrid>
        <w:gridCol w:w="2935"/>
        <w:gridCol w:w="1306"/>
        <w:gridCol w:w="1256"/>
        <w:gridCol w:w="1150"/>
        <w:gridCol w:w="1238"/>
        <w:gridCol w:w="1262"/>
      </w:tblGrid>
      <w:tr>
        <w:tblPrEx>
          <w:tblLayout w:type="fixed"/>
          <w:tblCellMar>
            <w:top w:w="0" w:type="dxa"/>
            <w:left w:w="108" w:type="dxa"/>
            <w:bottom w:w="0" w:type="dxa"/>
            <w:right w:w="108" w:type="dxa"/>
          </w:tblCellMar>
        </w:tblPrEx>
        <w:trPr>
          <w:trHeight w:val="283"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支      出</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预算数</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调整</w:t>
            </w:r>
            <w:r>
              <w:rPr>
                <w:rFonts w:hint="eastAsia" w:ascii="Times New Roman" w:hAnsi="Times New Roman" w:eastAsia="黑体" w:cs="黑体"/>
                <w:color w:val="000000"/>
                <w:kern w:val="0"/>
                <w:sz w:val="22"/>
                <w:lang w:bidi="ar"/>
              </w:rPr>
              <w:br w:type="textWrapping"/>
            </w:r>
            <w:r>
              <w:rPr>
                <w:rFonts w:hint="eastAsia" w:ascii="Times New Roman" w:hAnsi="Times New Roman" w:eastAsia="黑体" w:cs="黑体"/>
                <w:color w:val="000000"/>
                <w:kern w:val="0"/>
                <w:sz w:val="22"/>
                <w:lang w:bidi="ar"/>
              </w:rPr>
              <w:t>预算数</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执行数</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执行数为调整预算数的%</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执行数为上年决算数的%</w:t>
            </w:r>
          </w:p>
        </w:tc>
      </w:tr>
      <w:tr>
        <w:tblPrEx>
          <w:tblLayout w:type="fixed"/>
          <w:tblCellMar>
            <w:top w:w="0" w:type="dxa"/>
            <w:left w:w="108" w:type="dxa"/>
            <w:bottom w:w="0" w:type="dxa"/>
            <w:right w:w="108" w:type="dxa"/>
          </w:tblCellMar>
        </w:tblPrEx>
        <w:trPr>
          <w:trHeight w:val="312"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总  计</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495,434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557,370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586,553 </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cstheme="minorEastAsia"/>
                <w:b/>
                <w:bCs/>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cstheme="minorEastAsia"/>
                <w:b/>
                <w:bCs/>
                <w:color w:val="000000"/>
                <w:sz w:val="20"/>
                <w:szCs w:val="20"/>
              </w:rPr>
            </w:pPr>
          </w:p>
        </w:tc>
      </w:tr>
      <w:tr>
        <w:tblPrEx>
          <w:tblLayout w:type="fixed"/>
          <w:tblCellMar>
            <w:top w:w="0" w:type="dxa"/>
            <w:left w:w="108" w:type="dxa"/>
            <w:bottom w:w="0" w:type="dxa"/>
            <w:right w:w="108" w:type="dxa"/>
          </w:tblCellMar>
        </w:tblPrEx>
        <w:trPr>
          <w:trHeight w:val="312"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本级支出合计</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370,604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431,427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384,745 </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89.2%</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107.6%</w:t>
            </w:r>
          </w:p>
        </w:tc>
      </w:tr>
      <w:tr>
        <w:tblPrEx>
          <w:tblLayout w:type="fixed"/>
          <w:tblCellMar>
            <w:top w:w="0" w:type="dxa"/>
            <w:left w:w="108" w:type="dxa"/>
            <w:bottom w:w="0" w:type="dxa"/>
            <w:right w:w="108" w:type="dxa"/>
          </w:tblCellMar>
        </w:tblPrEx>
        <w:trPr>
          <w:trHeight w:val="312"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一、一般公共服务支出</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55,448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59,594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45,569 </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76.5%</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88.8%</w:t>
            </w:r>
          </w:p>
        </w:tc>
      </w:tr>
      <w:tr>
        <w:tblPrEx>
          <w:tblLayout w:type="fixed"/>
          <w:tblCellMar>
            <w:top w:w="0" w:type="dxa"/>
            <w:left w:w="108" w:type="dxa"/>
            <w:bottom w:w="0" w:type="dxa"/>
            <w:right w:w="108" w:type="dxa"/>
          </w:tblCellMar>
        </w:tblPrEx>
        <w:trPr>
          <w:trHeight w:val="312"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二、国防支出</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847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1,594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1,450 </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91.0%</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126.7%</w:t>
            </w:r>
          </w:p>
        </w:tc>
      </w:tr>
      <w:tr>
        <w:tblPrEx>
          <w:tblLayout w:type="fixed"/>
          <w:tblCellMar>
            <w:top w:w="0" w:type="dxa"/>
            <w:left w:w="108" w:type="dxa"/>
            <w:bottom w:w="0" w:type="dxa"/>
            <w:right w:w="108" w:type="dxa"/>
          </w:tblCellMar>
        </w:tblPrEx>
        <w:trPr>
          <w:trHeight w:val="312"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三、公共安全支出</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31,193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33,908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31,418 </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92.7%</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85.6%</w:t>
            </w:r>
          </w:p>
        </w:tc>
      </w:tr>
      <w:tr>
        <w:tblPrEx>
          <w:tblLayout w:type="fixed"/>
          <w:tblCellMar>
            <w:top w:w="0" w:type="dxa"/>
            <w:left w:w="108" w:type="dxa"/>
            <w:bottom w:w="0" w:type="dxa"/>
            <w:right w:w="108" w:type="dxa"/>
          </w:tblCellMar>
        </w:tblPrEx>
        <w:trPr>
          <w:trHeight w:val="312"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四、教育支出</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69,450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96,616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92,122 </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95.3%</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114.7%</w:t>
            </w:r>
          </w:p>
        </w:tc>
      </w:tr>
      <w:tr>
        <w:tblPrEx>
          <w:tblLayout w:type="fixed"/>
          <w:tblCellMar>
            <w:top w:w="0" w:type="dxa"/>
            <w:left w:w="108" w:type="dxa"/>
            <w:bottom w:w="0" w:type="dxa"/>
            <w:right w:w="108" w:type="dxa"/>
          </w:tblCellMar>
        </w:tblPrEx>
        <w:trPr>
          <w:trHeight w:val="312"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五、科学技术支出</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3,727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4,220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6,917 </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163.9%</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142.3%</w:t>
            </w:r>
          </w:p>
        </w:tc>
      </w:tr>
      <w:tr>
        <w:tblPrEx>
          <w:tblLayout w:type="fixed"/>
          <w:tblCellMar>
            <w:top w:w="0" w:type="dxa"/>
            <w:left w:w="108" w:type="dxa"/>
            <w:bottom w:w="0" w:type="dxa"/>
            <w:right w:w="108" w:type="dxa"/>
          </w:tblCellMar>
        </w:tblPrEx>
        <w:trPr>
          <w:trHeight w:val="312"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六、文化旅游体育与传媒支出</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5,331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8,309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6,679 </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80.4%</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99.6%</w:t>
            </w:r>
          </w:p>
        </w:tc>
      </w:tr>
      <w:tr>
        <w:tblPrEx>
          <w:tblLayout w:type="fixed"/>
          <w:tblCellMar>
            <w:top w:w="0" w:type="dxa"/>
            <w:left w:w="108" w:type="dxa"/>
            <w:bottom w:w="0" w:type="dxa"/>
            <w:right w:w="108" w:type="dxa"/>
          </w:tblCellMar>
        </w:tblPrEx>
        <w:trPr>
          <w:trHeight w:val="312"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七、社会保障和就业支出</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41,343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46,099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41,251 </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89.5%</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74.5%</w:t>
            </w:r>
          </w:p>
        </w:tc>
      </w:tr>
      <w:tr>
        <w:tblPrEx>
          <w:tblLayout w:type="fixed"/>
          <w:tblCellMar>
            <w:top w:w="0" w:type="dxa"/>
            <w:left w:w="108" w:type="dxa"/>
            <w:bottom w:w="0" w:type="dxa"/>
            <w:right w:w="108" w:type="dxa"/>
          </w:tblCellMar>
        </w:tblPrEx>
        <w:trPr>
          <w:trHeight w:val="312"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八、卫生健康支出</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23,066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30,118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34,562 </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114.8%</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130.0%</w:t>
            </w:r>
          </w:p>
        </w:tc>
      </w:tr>
      <w:tr>
        <w:tblPrEx>
          <w:tblLayout w:type="fixed"/>
          <w:tblCellMar>
            <w:top w:w="0" w:type="dxa"/>
            <w:left w:w="108" w:type="dxa"/>
            <w:bottom w:w="0" w:type="dxa"/>
            <w:right w:w="108" w:type="dxa"/>
          </w:tblCellMar>
        </w:tblPrEx>
        <w:trPr>
          <w:trHeight w:val="312"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九、节能环保支出</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14,903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15,290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11,961 </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78.2%</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101.8%</w:t>
            </w:r>
          </w:p>
        </w:tc>
      </w:tr>
      <w:tr>
        <w:tblPrEx>
          <w:tblLayout w:type="fixed"/>
          <w:tblCellMar>
            <w:top w:w="0" w:type="dxa"/>
            <w:left w:w="108" w:type="dxa"/>
            <w:bottom w:w="0" w:type="dxa"/>
            <w:right w:w="108" w:type="dxa"/>
          </w:tblCellMar>
        </w:tblPrEx>
        <w:trPr>
          <w:trHeight w:val="312"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十、城乡社区支出</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45,322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58,333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50,949 </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87.3%</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142.5%</w:t>
            </w:r>
          </w:p>
        </w:tc>
      </w:tr>
      <w:tr>
        <w:tblPrEx>
          <w:tblLayout w:type="fixed"/>
          <w:tblCellMar>
            <w:top w:w="0" w:type="dxa"/>
            <w:left w:w="108" w:type="dxa"/>
            <w:bottom w:w="0" w:type="dxa"/>
            <w:right w:w="108" w:type="dxa"/>
          </w:tblCellMar>
        </w:tblPrEx>
        <w:trPr>
          <w:trHeight w:val="312"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十一、农林水支出</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10,135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16,200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8,683 </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53.6%</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140.5%</w:t>
            </w:r>
          </w:p>
        </w:tc>
      </w:tr>
      <w:tr>
        <w:tblPrEx>
          <w:tblLayout w:type="fixed"/>
          <w:tblCellMar>
            <w:top w:w="0" w:type="dxa"/>
            <w:left w:w="108" w:type="dxa"/>
            <w:bottom w:w="0" w:type="dxa"/>
            <w:right w:w="108" w:type="dxa"/>
          </w:tblCellMar>
        </w:tblPrEx>
        <w:trPr>
          <w:trHeight w:val="312"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十二、交通运输支出</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2,958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3,900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1,871 </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48.0%</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156.0%</w:t>
            </w:r>
          </w:p>
        </w:tc>
      </w:tr>
      <w:tr>
        <w:tblPrEx>
          <w:tblLayout w:type="fixed"/>
          <w:tblCellMar>
            <w:top w:w="0" w:type="dxa"/>
            <w:left w:w="108" w:type="dxa"/>
            <w:bottom w:w="0" w:type="dxa"/>
            <w:right w:w="108" w:type="dxa"/>
          </w:tblCellMar>
        </w:tblPrEx>
        <w:trPr>
          <w:trHeight w:val="312"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十三、资源勘探工业信息等支出</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6,190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2,943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5,295 </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179.9%</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132.1%</w:t>
            </w:r>
          </w:p>
        </w:tc>
      </w:tr>
      <w:tr>
        <w:tblPrEx>
          <w:tblLayout w:type="fixed"/>
          <w:tblCellMar>
            <w:top w:w="0" w:type="dxa"/>
            <w:left w:w="108" w:type="dxa"/>
            <w:bottom w:w="0" w:type="dxa"/>
            <w:right w:w="108" w:type="dxa"/>
          </w:tblCellMar>
        </w:tblPrEx>
        <w:trPr>
          <w:trHeight w:val="312"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十四、商业服务业等支出</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1,967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1,462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724 </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49.5%</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128.1%</w:t>
            </w:r>
          </w:p>
        </w:tc>
      </w:tr>
      <w:tr>
        <w:tblPrEx>
          <w:tblLayout w:type="fixed"/>
          <w:tblCellMar>
            <w:top w:w="0" w:type="dxa"/>
            <w:left w:w="108" w:type="dxa"/>
            <w:bottom w:w="0" w:type="dxa"/>
            <w:right w:w="108" w:type="dxa"/>
          </w:tblCellMar>
        </w:tblPrEx>
        <w:trPr>
          <w:trHeight w:val="312"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十五、自然资源海洋气象等支出</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941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3,557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3,383 </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95.1%</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261.2%</w:t>
            </w:r>
          </w:p>
        </w:tc>
      </w:tr>
      <w:tr>
        <w:tblPrEx>
          <w:tblLayout w:type="fixed"/>
          <w:tblCellMar>
            <w:top w:w="0" w:type="dxa"/>
            <w:left w:w="108" w:type="dxa"/>
            <w:bottom w:w="0" w:type="dxa"/>
            <w:right w:w="108" w:type="dxa"/>
          </w:tblCellMar>
        </w:tblPrEx>
        <w:trPr>
          <w:trHeight w:val="312"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十六、住房保障支出</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15,288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20,680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17,695 </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85.6%</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147.4%</w:t>
            </w:r>
          </w:p>
        </w:tc>
      </w:tr>
      <w:tr>
        <w:tblPrEx>
          <w:tblLayout w:type="fixed"/>
          <w:tblCellMar>
            <w:top w:w="0" w:type="dxa"/>
            <w:left w:w="108" w:type="dxa"/>
            <w:bottom w:w="0" w:type="dxa"/>
            <w:right w:w="108" w:type="dxa"/>
          </w:tblCellMar>
        </w:tblPrEx>
        <w:trPr>
          <w:trHeight w:val="312"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十七、灾害防治及应急管理支出</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6,489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7,898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5,192 </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65.7%</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129.1%</w:t>
            </w:r>
          </w:p>
        </w:tc>
      </w:tr>
      <w:tr>
        <w:tblPrEx>
          <w:tblLayout w:type="fixed"/>
          <w:tblCellMar>
            <w:top w:w="0" w:type="dxa"/>
            <w:left w:w="108" w:type="dxa"/>
            <w:bottom w:w="0" w:type="dxa"/>
            <w:right w:w="108" w:type="dxa"/>
          </w:tblCellMar>
        </w:tblPrEx>
        <w:trPr>
          <w:trHeight w:val="312"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十八、预备费</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4,000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700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312"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十九、其他支出</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12,000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312"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二十、债务付息支出</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20,000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20,000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19,018 </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95.1%</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109.5%</w:t>
            </w:r>
          </w:p>
        </w:tc>
      </w:tr>
      <w:tr>
        <w:tblPrEx>
          <w:tblLayout w:type="fixed"/>
          <w:tblCellMar>
            <w:top w:w="0" w:type="dxa"/>
            <w:left w:w="108" w:type="dxa"/>
            <w:bottom w:w="0" w:type="dxa"/>
            <w:right w:w="108" w:type="dxa"/>
          </w:tblCellMar>
        </w:tblPrEx>
        <w:trPr>
          <w:trHeight w:val="312"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二十一、债务发行费用支出</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 </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100.0%</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120.0%</w:t>
            </w:r>
          </w:p>
        </w:tc>
      </w:tr>
      <w:tr>
        <w:tblPrEx>
          <w:tblLayout w:type="fixed"/>
          <w:tblCellMar>
            <w:top w:w="0" w:type="dxa"/>
            <w:left w:w="108" w:type="dxa"/>
            <w:bottom w:w="0" w:type="dxa"/>
            <w:right w:w="108" w:type="dxa"/>
          </w:tblCellMar>
        </w:tblPrEx>
        <w:trPr>
          <w:trHeight w:val="312"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转移性支出合计</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124,830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125,943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201,808 </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宋体"/>
                <w:b/>
                <w:bCs/>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宋体"/>
                <w:b/>
                <w:bCs/>
                <w:color w:val="000000"/>
                <w:sz w:val="20"/>
                <w:szCs w:val="20"/>
              </w:rPr>
            </w:pPr>
          </w:p>
        </w:tc>
      </w:tr>
      <w:tr>
        <w:tblPrEx>
          <w:tblLayout w:type="fixed"/>
          <w:tblCellMar>
            <w:top w:w="0" w:type="dxa"/>
            <w:left w:w="108" w:type="dxa"/>
            <w:bottom w:w="0" w:type="dxa"/>
            <w:right w:w="108" w:type="dxa"/>
          </w:tblCellMar>
        </w:tblPrEx>
        <w:trPr>
          <w:trHeight w:val="312"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一、上解上级支出</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22,811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28,639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27,767 </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宋体"/>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宋体"/>
                <w:color w:val="000000"/>
                <w:sz w:val="20"/>
                <w:szCs w:val="20"/>
              </w:rPr>
            </w:pPr>
          </w:p>
        </w:tc>
      </w:tr>
      <w:tr>
        <w:tblPrEx>
          <w:tblLayout w:type="fixed"/>
          <w:tblCellMar>
            <w:top w:w="0" w:type="dxa"/>
            <w:left w:w="108" w:type="dxa"/>
            <w:bottom w:w="0" w:type="dxa"/>
            <w:right w:w="108" w:type="dxa"/>
          </w:tblCellMar>
        </w:tblPrEx>
        <w:trPr>
          <w:trHeight w:val="312"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二、债务还本支出</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97,304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97,304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97,302 </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宋体"/>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宋体"/>
                <w:color w:val="000000"/>
                <w:sz w:val="20"/>
                <w:szCs w:val="20"/>
              </w:rPr>
            </w:pPr>
          </w:p>
        </w:tc>
      </w:tr>
      <w:tr>
        <w:tblPrEx>
          <w:tblLayout w:type="fixed"/>
          <w:tblCellMar>
            <w:top w:w="0" w:type="dxa"/>
            <w:left w:w="108" w:type="dxa"/>
            <w:bottom w:w="0" w:type="dxa"/>
            <w:right w:w="108" w:type="dxa"/>
          </w:tblCellMar>
        </w:tblPrEx>
        <w:trPr>
          <w:trHeight w:val="312"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债券还本支出（本级财力）</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宋体"/>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宋体"/>
                <w:color w:val="000000"/>
                <w:sz w:val="20"/>
                <w:szCs w:val="20"/>
              </w:rPr>
            </w:pPr>
          </w:p>
        </w:tc>
      </w:tr>
      <w:tr>
        <w:tblPrEx>
          <w:tblLayout w:type="fixed"/>
          <w:tblCellMar>
            <w:top w:w="0" w:type="dxa"/>
            <w:left w:w="108" w:type="dxa"/>
            <w:bottom w:w="0" w:type="dxa"/>
            <w:right w:w="108" w:type="dxa"/>
          </w:tblCellMar>
        </w:tblPrEx>
        <w:trPr>
          <w:trHeight w:val="312"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债券还本支出（再融资）</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97,300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97,300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97,300 </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宋体"/>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宋体"/>
                <w:color w:val="000000"/>
                <w:sz w:val="20"/>
                <w:szCs w:val="20"/>
              </w:rPr>
            </w:pPr>
          </w:p>
        </w:tc>
      </w:tr>
      <w:tr>
        <w:tblPrEx>
          <w:tblLayout w:type="fixed"/>
          <w:tblCellMar>
            <w:top w:w="0" w:type="dxa"/>
            <w:left w:w="108" w:type="dxa"/>
            <w:bottom w:w="0" w:type="dxa"/>
            <w:right w:w="108" w:type="dxa"/>
          </w:tblCellMar>
        </w:tblPrEx>
        <w:trPr>
          <w:trHeight w:val="312"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地方政府向国际组织借款还本支出</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 </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宋体"/>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宋体"/>
                <w:color w:val="000000"/>
                <w:sz w:val="20"/>
                <w:szCs w:val="20"/>
              </w:rPr>
            </w:pPr>
          </w:p>
        </w:tc>
      </w:tr>
      <w:tr>
        <w:tblPrEx>
          <w:tblLayout w:type="fixed"/>
          <w:tblCellMar>
            <w:top w:w="0" w:type="dxa"/>
            <w:left w:w="108" w:type="dxa"/>
            <w:bottom w:w="0" w:type="dxa"/>
            <w:right w:w="108" w:type="dxa"/>
          </w:tblCellMar>
        </w:tblPrEx>
        <w:trPr>
          <w:trHeight w:val="312"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三、安排预算稳定调节基金</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宋体"/>
                <w:color w:val="000000"/>
                <w:sz w:val="20"/>
                <w:szCs w:val="20"/>
              </w:rPr>
            </w:pP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宋体"/>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45,731 </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宋体"/>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宋体"/>
                <w:color w:val="000000"/>
                <w:sz w:val="20"/>
                <w:szCs w:val="20"/>
              </w:rPr>
            </w:pPr>
          </w:p>
        </w:tc>
      </w:tr>
      <w:tr>
        <w:tblPrEx>
          <w:tblLayout w:type="fixed"/>
          <w:tblCellMar>
            <w:top w:w="0" w:type="dxa"/>
            <w:left w:w="108" w:type="dxa"/>
            <w:bottom w:w="0" w:type="dxa"/>
            <w:right w:w="108" w:type="dxa"/>
          </w:tblCellMar>
        </w:tblPrEx>
        <w:trPr>
          <w:trHeight w:val="312"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四、调出资金</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4,715 </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宋体"/>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宋体"/>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宋体"/>
                <w:color w:val="000000"/>
                <w:sz w:val="20"/>
                <w:szCs w:val="20"/>
              </w:rPr>
            </w:pPr>
          </w:p>
        </w:tc>
      </w:tr>
      <w:tr>
        <w:tblPrEx>
          <w:tblLayout w:type="fixed"/>
          <w:tblCellMar>
            <w:top w:w="0" w:type="dxa"/>
            <w:left w:w="108" w:type="dxa"/>
            <w:bottom w:w="0" w:type="dxa"/>
            <w:right w:w="108" w:type="dxa"/>
          </w:tblCellMar>
        </w:tblPrEx>
        <w:trPr>
          <w:trHeight w:val="312"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五、结转下年</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31,008 </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宋体"/>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宋体"/>
                <w:color w:val="000000"/>
                <w:sz w:val="20"/>
                <w:szCs w:val="20"/>
              </w:rPr>
            </w:pPr>
          </w:p>
        </w:tc>
      </w:tr>
    </w:tbl>
    <w:p>
      <w:pPr>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br w:type="page"/>
      </w:r>
    </w:p>
    <w:p>
      <w:pPr>
        <w:widowControl/>
        <w:spacing w:line="594" w:lineRule="exact"/>
        <w:jc w:val="center"/>
        <w:textAlignment w:val="center"/>
        <w:rPr>
          <w:rFonts w:ascii="Times New Roman" w:hAnsi="Times New Roman" w:eastAsia="方正小标宋_GBK" w:cs="Times New Roman"/>
          <w:kern w:val="0"/>
          <w:sz w:val="44"/>
          <w:szCs w:val="44"/>
        </w:rPr>
      </w:pPr>
      <w:r>
        <w:rPr>
          <w:rFonts w:hint="eastAsia" w:ascii="Times New Roman" w:hAnsi="Times New Roman" w:eastAsia="方正小标宋_GBK" w:cs="Times New Roman"/>
          <w:kern w:val="0"/>
          <w:sz w:val="44"/>
          <w:szCs w:val="44"/>
        </w:rPr>
        <w:t>关于</w:t>
      </w:r>
      <w:r>
        <w:rPr>
          <w:rFonts w:ascii="Times New Roman" w:hAnsi="Times New Roman" w:eastAsia="方正小标宋_GBK" w:cs="Times New Roman"/>
          <w:kern w:val="0"/>
          <w:sz w:val="44"/>
          <w:szCs w:val="44"/>
        </w:rPr>
        <w:t>2022</w:t>
      </w:r>
      <w:r>
        <w:rPr>
          <w:rFonts w:hint="eastAsia" w:ascii="Times New Roman" w:hAnsi="Times New Roman" w:eastAsia="方正小标宋_GBK" w:cs="Times New Roman"/>
          <w:kern w:val="0"/>
          <w:sz w:val="44"/>
          <w:szCs w:val="44"/>
        </w:rPr>
        <w:t>年全区税收收入</w:t>
      </w:r>
    </w:p>
    <w:p>
      <w:pPr>
        <w:spacing w:line="594" w:lineRule="exact"/>
        <w:jc w:val="center"/>
        <w:rPr>
          <w:rFonts w:ascii="Times New Roman" w:hAnsi="Times New Roman" w:eastAsia="方正小标宋_GBK" w:cs="方正小标宋_GBK"/>
          <w:kern w:val="0"/>
          <w:sz w:val="44"/>
          <w:szCs w:val="44"/>
        </w:rPr>
      </w:pPr>
      <w:r>
        <w:rPr>
          <w:rFonts w:hint="eastAsia" w:ascii="Times New Roman" w:hAnsi="Times New Roman" w:eastAsia="方正小标宋_GBK" w:cs="方正小标宋_GBK"/>
          <w:kern w:val="0"/>
          <w:sz w:val="44"/>
          <w:szCs w:val="44"/>
        </w:rPr>
        <w:t>执行情况的说明</w:t>
      </w:r>
    </w:p>
    <w:p>
      <w:pPr>
        <w:spacing w:line="594" w:lineRule="exact"/>
        <w:jc w:val="center"/>
        <w:rPr>
          <w:rFonts w:ascii="Times New Roman" w:hAnsi="Times New Roman" w:eastAsia="方正黑体_GBK" w:cs="方正黑体_GBK"/>
          <w:kern w:val="0"/>
          <w:sz w:val="28"/>
          <w:szCs w:val="28"/>
        </w:rPr>
      </w:pPr>
    </w:p>
    <w:p>
      <w:pPr>
        <w:spacing w:line="594"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2021</w:t>
      </w:r>
      <w:r>
        <w:rPr>
          <w:rFonts w:hint="eastAsia" w:ascii="Times New Roman" w:hAnsi="Times New Roman" w:eastAsia="方正仿宋_GBK" w:cs="Times New Roman"/>
          <w:kern w:val="0"/>
          <w:sz w:val="32"/>
          <w:szCs w:val="32"/>
        </w:rPr>
        <w:t>年全区一般公共预算本级收入决算数为</w:t>
      </w:r>
      <w:r>
        <w:rPr>
          <w:rFonts w:ascii="Times New Roman" w:hAnsi="Times New Roman" w:eastAsia="方正仿宋_GBK" w:cs="Times New Roman"/>
          <w:kern w:val="0"/>
          <w:sz w:val="32"/>
          <w:szCs w:val="32"/>
        </w:rPr>
        <w:t>202</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671</w:t>
      </w:r>
      <w:r>
        <w:rPr>
          <w:rFonts w:hint="eastAsia" w:ascii="Times New Roman" w:hAnsi="Times New Roman" w:eastAsia="方正仿宋_GBK" w:cs="Times New Roman"/>
          <w:kern w:val="0"/>
          <w:sz w:val="32"/>
          <w:szCs w:val="32"/>
        </w:rPr>
        <w:t>万元，</w:t>
      </w:r>
      <w:r>
        <w:rPr>
          <w:rFonts w:ascii="Times New Roman" w:hAnsi="Times New Roman" w:eastAsia="方正仿宋_GBK" w:cs="Times New Roman"/>
          <w:kern w:val="0"/>
          <w:sz w:val="32"/>
          <w:szCs w:val="32"/>
        </w:rPr>
        <w:t>2022</w:t>
      </w:r>
      <w:r>
        <w:rPr>
          <w:rFonts w:hint="eastAsia" w:ascii="Times New Roman" w:hAnsi="Times New Roman" w:eastAsia="方正仿宋_GBK" w:cs="Times New Roman"/>
          <w:kern w:val="0"/>
          <w:sz w:val="32"/>
          <w:szCs w:val="32"/>
        </w:rPr>
        <w:t>年执行数为</w:t>
      </w:r>
      <w:r>
        <w:rPr>
          <w:rFonts w:ascii="Times New Roman" w:hAnsi="Times New Roman" w:eastAsia="方正仿宋_GBK" w:cs="Times New Roman"/>
          <w:kern w:val="0"/>
          <w:sz w:val="32"/>
          <w:szCs w:val="32"/>
        </w:rPr>
        <w:t>184</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079</w:t>
      </w:r>
      <w:r>
        <w:rPr>
          <w:rFonts w:hint="eastAsia" w:ascii="Times New Roman" w:hAnsi="Times New Roman" w:eastAsia="方正仿宋_GBK" w:cs="Times New Roman"/>
          <w:kern w:val="0"/>
          <w:sz w:val="32"/>
          <w:szCs w:val="32"/>
        </w:rPr>
        <w:t>万元，执行数为上年决算数的</w:t>
      </w:r>
      <w:r>
        <w:rPr>
          <w:rFonts w:ascii="Times New Roman" w:hAnsi="Times New Roman" w:eastAsia="方正仿宋_GBK" w:cs="Times New Roman"/>
          <w:kern w:val="0"/>
          <w:sz w:val="32"/>
          <w:szCs w:val="32"/>
        </w:rPr>
        <w:t>90</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8</w:t>
      </w:r>
      <w:r>
        <w:rPr>
          <w:rFonts w:hint="eastAsia" w:ascii="Times New Roman" w:hAnsi="Times New Roman" w:eastAsia="方正仿宋_GBK" w:cs="Times New Roman"/>
          <w:kern w:val="0"/>
          <w:sz w:val="32"/>
          <w:szCs w:val="32"/>
        </w:rPr>
        <w:t>%。其中，税收收入</w:t>
      </w:r>
      <w:r>
        <w:rPr>
          <w:rFonts w:ascii="Times New Roman" w:hAnsi="Times New Roman" w:eastAsia="方正仿宋_GBK" w:cs="Times New Roman"/>
          <w:kern w:val="0"/>
          <w:sz w:val="32"/>
          <w:szCs w:val="32"/>
        </w:rPr>
        <w:t>149</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137</w:t>
      </w:r>
      <w:r>
        <w:rPr>
          <w:rFonts w:hint="eastAsia" w:ascii="Times New Roman" w:hAnsi="Times New Roman" w:eastAsia="方正仿宋_GBK" w:cs="Times New Roman"/>
          <w:kern w:val="0"/>
          <w:sz w:val="32"/>
          <w:szCs w:val="32"/>
        </w:rPr>
        <w:t>万元，为上年决算数的</w:t>
      </w:r>
      <w:r>
        <w:rPr>
          <w:rFonts w:ascii="Times New Roman" w:hAnsi="Times New Roman" w:eastAsia="方正仿宋_GBK" w:cs="Times New Roman"/>
          <w:kern w:val="0"/>
          <w:sz w:val="32"/>
          <w:szCs w:val="32"/>
        </w:rPr>
        <w:t>84</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4</w:t>
      </w:r>
      <w:r>
        <w:rPr>
          <w:rFonts w:hint="eastAsia" w:ascii="Times New Roman" w:hAnsi="Times New Roman" w:eastAsia="方正仿宋_GBK" w:cs="Times New Roman"/>
          <w:kern w:val="0"/>
          <w:sz w:val="32"/>
          <w:szCs w:val="32"/>
        </w:rPr>
        <w:t>%；非税收入</w:t>
      </w:r>
      <w:r>
        <w:rPr>
          <w:rFonts w:ascii="Times New Roman" w:hAnsi="Times New Roman" w:eastAsia="方正仿宋_GBK" w:cs="Times New Roman"/>
          <w:kern w:val="0"/>
          <w:sz w:val="32"/>
          <w:szCs w:val="32"/>
        </w:rPr>
        <w:t>34</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942</w:t>
      </w:r>
      <w:r>
        <w:rPr>
          <w:rFonts w:hint="eastAsia" w:ascii="Times New Roman" w:hAnsi="Times New Roman" w:eastAsia="方正仿宋_GBK" w:cs="Times New Roman"/>
          <w:kern w:val="0"/>
          <w:sz w:val="32"/>
          <w:szCs w:val="32"/>
        </w:rPr>
        <w:t>万元，为上年决算数的</w:t>
      </w:r>
      <w:r>
        <w:rPr>
          <w:rFonts w:ascii="Times New Roman" w:hAnsi="Times New Roman" w:eastAsia="方正仿宋_GBK" w:cs="Times New Roman"/>
          <w:kern w:val="0"/>
          <w:sz w:val="32"/>
          <w:szCs w:val="32"/>
        </w:rPr>
        <w:t>134</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7</w:t>
      </w:r>
      <w:r>
        <w:rPr>
          <w:rFonts w:hint="eastAsia" w:ascii="Times New Roman" w:hAnsi="Times New Roman" w:eastAsia="方正仿宋_GBK" w:cs="Times New Roman"/>
          <w:kern w:val="0"/>
          <w:sz w:val="32"/>
          <w:szCs w:val="32"/>
        </w:rPr>
        <w:t>%。</w:t>
      </w:r>
    </w:p>
    <w:p>
      <w:pPr>
        <w:spacing w:line="594" w:lineRule="exact"/>
        <w:ind w:firstLine="640" w:firstLineChars="200"/>
        <w:rPr>
          <w:rFonts w:ascii="Times New Roman" w:hAnsi="Times New Roman" w:eastAsia="方正仿宋_GBK" w:cs="Times New Roman"/>
          <w:kern w:val="0"/>
          <w:sz w:val="32"/>
          <w:szCs w:val="32"/>
          <w:highlight w:val="yellow"/>
        </w:rPr>
      </w:pPr>
      <w:r>
        <w:rPr>
          <w:rFonts w:hint="eastAsia" w:ascii="Times New Roman" w:hAnsi="Times New Roman" w:eastAsia="方正仿宋_GBK" w:cs="Times New Roman"/>
          <w:kern w:val="0"/>
          <w:sz w:val="32"/>
          <w:szCs w:val="32"/>
        </w:rPr>
        <w:t>增值税收入</w:t>
      </w:r>
      <w:r>
        <w:rPr>
          <w:rFonts w:ascii="Times New Roman" w:hAnsi="Times New Roman" w:eastAsia="方正仿宋_GBK" w:cs="Times New Roman"/>
          <w:kern w:val="0"/>
          <w:sz w:val="32"/>
          <w:szCs w:val="32"/>
        </w:rPr>
        <w:t>41</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205</w:t>
      </w:r>
      <w:r>
        <w:rPr>
          <w:rFonts w:hint="eastAsia" w:ascii="Times New Roman" w:hAnsi="Times New Roman" w:eastAsia="方正仿宋_GBK" w:cs="Times New Roman"/>
          <w:kern w:val="0"/>
          <w:sz w:val="32"/>
          <w:szCs w:val="32"/>
        </w:rPr>
        <w:t>万元，为上年决算数的</w:t>
      </w:r>
      <w:r>
        <w:rPr>
          <w:rFonts w:ascii="Times New Roman" w:hAnsi="Times New Roman" w:eastAsia="方正仿宋_GBK" w:cs="Times New Roman"/>
          <w:kern w:val="0"/>
          <w:sz w:val="32"/>
          <w:szCs w:val="32"/>
        </w:rPr>
        <w:t>108</w:t>
      </w:r>
      <w:r>
        <w:rPr>
          <w:rFonts w:hint="eastAsia" w:ascii="Times New Roman" w:hAnsi="Times New Roman" w:eastAsia="方正仿宋_GBK" w:cs="Times New Roman"/>
          <w:kern w:val="0"/>
          <w:sz w:val="32"/>
          <w:szCs w:val="32"/>
        </w:rPr>
        <w:t>%，主要是重点企业增收和免抵调库影响。</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企业所得税收入</w:t>
      </w:r>
      <w:r>
        <w:rPr>
          <w:rFonts w:ascii="Times New Roman" w:hAnsi="Times New Roman" w:eastAsia="方正仿宋_GBK" w:cs="Times New Roman"/>
          <w:kern w:val="0"/>
          <w:sz w:val="32"/>
          <w:szCs w:val="32"/>
        </w:rPr>
        <w:t>22</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894</w:t>
      </w:r>
      <w:r>
        <w:rPr>
          <w:rFonts w:hint="eastAsia" w:ascii="Times New Roman" w:hAnsi="Times New Roman" w:eastAsia="方正仿宋_GBK" w:cs="Times New Roman"/>
          <w:kern w:val="0"/>
          <w:sz w:val="32"/>
          <w:szCs w:val="32"/>
        </w:rPr>
        <w:t>万元，为上年决算数的</w:t>
      </w:r>
      <w:r>
        <w:rPr>
          <w:rFonts w:ascii="Times New Roman" w:hAnsi="Times New Roman" w:eastAsia="方正仿宋_GBK" w:cs="Times New Roman"/>
          <w:kern w:val="0"/>
          <w:sz w:val="32"/>
          <w:szCs w:val="32"/>
        </w:rPr>
        <w:t>121</w:t>
      </w:r>
      <w:r>
        <w:rPr>
          <w:rFonts w:hint="eastAsia" w:ascii="Times New Roman" w:hAnsi="Times New Roman" w:eastAsia="方正仿宋_GBK" w:cs="Times New Roman"/>
          <w:kern w:val="0"/>
          <w:sz w:val="32"/>
          <w:szCs w:val="32"/>
        </w:rPr>
        <w:t>%，主要是重点企业增收。</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个人所得税收入</w:t>
      </w:r>
      <w:r>
        <w:rPr>
          <w:rFonts w:ascii="Times New Roman" w:hAnsi="Times New Roman" w:eastAsia="方正仿宋_GBK" w:cs="Times New Roman"/>
          <w:kern w:val="0"/>
          <w:sz w:val="32"/>
          <w:szCs w:val="32"/>
        </w:rPr>
        <w:t>4</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971</w:t>
      </w:r>
      <w:r>
        <w:rPr>
          <w:rFonts w:hint="eastAsia" w:ascii="Times New Roman" w:hAnsi="Times New Roman" w:eastAsia="方正仿宋_GBK" w:cs="Times New Roman"/>
          <w:kern w:val="0"/>
          <w:sz w:val="32"/>
          <w:szCs w:val="32"/>
        </w:rPr>
        <w:t>万元，为上年决算数的</w:t>
      </w:r>
      <w:r>
        <w:rPr>
          <w:rFonts w:ascii="Times New Roman" w:hAnsi="Times New Roman" w:eastAsia="方正仿宋_GBK" w:cs="Times New Roman"/>
          <w:kern w:val="0"/>
          <w:sz w:val="32"/>
          <w:szCs w:val="32"/>
        </w:rPr>
        <w:t>88</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5</w:t>
      </w:r>
      <w:r>
        <w:rPr>
          <w:rFonts w:hint="eastAsia" w:ascii="Times New Roman" w:hAnsi="Times New Roman" w:eastAsia="方正仿宋_GBK" w:cs="Times New Roman"/>
          <w:kern w:val="0"/>
          <w:sz w:val="32"/>
          <w:szCs w:val="32"/>
        </w:rPr>
        <w:t>%，主要是上年个别独资企业股东分红等因素入库较多，垫高基数影响。</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资源税收入</w:t>
      </w:r>
      <w:r>
        <w:rPr>
          <w:rFonts w:ascii="Times New Roman" w:hAnsi="Times New Roman" w:eastAsia="方正仿宋_GBK" w:cs="Times New Roman"/>
          <w:kern w:val="0"/>
          <w:sz w:val="32"/>
          <w:szCs w:val="32"/>
        </w:rPr>
        <w:t>32</w:t>
      </w:r>
      <w:r>
        <w:rPr>
          <w:rFonts w:hint="eastAsia" w:ascii="Times New Roman" w:hAnsi="Times New Roman" w:eastAsia="方正仿宋_GBK" w:cs="Times New Roman"/>
          <w:kern w:val="0"/>
          <w:sz w:val="32"/>
          <w:szCs w:val="32"/>
        </w:rPr>
        <w:t>万元，为上年决算数的</w:t>
      </w:r>
      <w:r>
        <w:rPr>
          <w:rFonts w:ascii="Times New Roman" w:hAnsi="Times New Roman" w:eastAsia="方正仿宋_GBK" w:cs="Times New Roman"/>
          <w:kern w:val="0"/>
          <w:sz w:val="32"/>
          <w:szCs w:val="32"/>
        </w:rPr>
        <w:t>74</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4</w:t>
      </w:r>
      <w:r>
        <w:rPr>
          <w:rFonts w:hint="eastAsia" w:ascii="Times New Roman" w:hAnsi="Times New Roman" w:eastAsia="方正仿宋_GBK" w:cs="Times New Roman"/>
          <w:kern w:val="0"/>
          <w:sz w:val="32"/>
          <w:szCs w:val="32"/>
        </w:rPr>
        <w:t>%，主要是金额较小，</w:t>
      </w:r>
      <w:r>
        <w:rPr>
          <w:rFonts w:hint="eastAsia" w:ascii="Times New Roman" w:hAnsi="Times New Roman" w:eastAsia="方正仿宋_GBK" w:cs="Times New Roman"/>
          <w:kern w:val="0"/>
          <w:sz w:val="32"/>
          <w:szCs w:val="32"/>
          <w:lang w:eastAsia="zh-CN"/>
        </w:rPr>
        <w:t>属于</w:t>
      </w:r>
      <w:r>
        <w:rPr>
          <w:rFonts w:hint="eastAsia" w:ascii="Times New Roman" w:hAnsi="Times New Roman" w:eastAsia="方正仿宋_GBK" w:cs="Times New Roman"/>
          <w:kern w:val="0"/>
          <w:sz w:val="32"/>
          <w:szCs w:val="32"/>
        </w:rPr>
        <w:t>正常波动。</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城市维护建设税收入</w:t>
      </w:r>
      <w:r>
        <w:rPr>
          <w:rFonts w:ascii="Times New Roman" w:hAnsi="Times New Roman" w:eastAsia="方正仿宋_GBK" w:cs="Times New Roman"/>
          <w:kern w:val="0"/>
          <w:sz w:val="32"/>
          <w:szCs w:val="32"/>
        </w:rPr>
        <w:t>6</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998</w:t>
      </w:r>
      <w:r>
        <w:rPr>
          <w:rFonts w:hint="eastAsia" w:ascii="Times New Roman" w:hAnsi="Times New Roman" w:eastAsia="方正仿宋_GBK" w:cs="Times New Roman"/>
          <w:kern w:val="0"/>
          <w:sz w:val="32"/>
          <w:szCs w:val="32"/>
        </w:rPr>
        <w:t>万元，为上年决算数的</w:t>
      </w:r>
      <w:r>
        <w:rPr>
          <w:rFonts w:ascii="Times New Roman" w:hAnsi="Times New Roman" w:eastAsia="方正仿宋_GBK" w:cs="Times New Roman"/>
          <w:kern w:val="0"/>
          <w:sz w:val="32"/>
          <w:szCs w:val="32"/>
        </w:rPr>
        <w:t>100</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4</w:t>
      </w:r>
      <w:r>
        <w:rPr>
          <w:rFonts w:hint="eastAsia" w:ascii="Times New Roman" w:hAnsi="Times New Roman" w:eastAsia="方正仿宋_GBK" w:cs="Times New Roman"/>
          <w:kern w:val="0"/>
          <w:sz w:val="32"/>
          <w:szCs w:val="32"/>
        </w:rPr>
        <w:t>%，主要是增值税增长，以此为计征依据的城市维护建设税也相应增长。</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房产税收入</w:t>
      </w:r>
      <w:r>
        <w:rPr>
          <w:rFonts w:ascii="Times New Roman" w:hAnsi="Times New Roman" w:eastAsia="方正仿宋_GBK" w:cs="Times New Roman"/>
          <w:kern w:val="0"/>
          <w:sz w:val="32"/>
          <w:szCs w:val="32"/>
        </w:rPr>
        <w:t>5</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647</w:t>
      </w:r>
      <w:r>
        <w:rPr>
          <w:rFonts w:hint="eastAsia" w:ascii="Times New Roman" w:hAnsi="Times New Roman" w:eastAsia="方正仿宋_GBK" w:cs="Times New Roman"/>
          <w:kern w:val="0"/>
          <w:sz w:val="32"/>
          <w:szCs w:val="32"/>
        </w:rPr>
        <w:t>万元，为上年决算数的</w:t>
      </w:r>
      <w:r>
        <w:rPr>
          <w:rFonts w:ascii="Times New Roman" w:hAnsi="Times New Roman" w:eastAsia="方正仿宋_GBK" w:cs="Times New Roman"/>
          <w:kern w:val="0"/>
          <w:sz w:val="32"/>
          <w:szCs w:val="32"/>
        </w:rPr>
        <w:t>103</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4</w:t>
      </w:r>
      <w:r>
        <w:rPr>
          <w:rFonts w:hint="eastAsia" w:ascii="Times New Roman" w:hAnsi="Times New Roman" w:eastAsia="方正仿宋_GBK" w:cs="Times New Roman"/>
          <w:kern w:val="0"/>
          <w:sz w:val="32"/>
          <w:szCs w:val="32"/>
        </w:rPr>
        <w:t>%，我区该税源波动较小，较为稳定。</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印花税收入</w:t>
      </w:r>
      <w:r>
        <w:rPr>
          <w:rFonts w:ascii="Times New Roman" w:hAnsi="Times New Roman" w:eastAsia="方正仿宋_GBK" w:cs="Times New Roman"/>
          <w:kern w:val="0"/>
          <w:sz w:val="32"/>
          <w:szCs w:val="32"/>
        </w:rPr>
        <w:t>5</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166</w:t>
      </w:r>
      <w:r>
        <w:rPr>
          <w:rFonts w:hint="eastAsia" w:ascii="Times New Roman" w:hAnsi="Times New Roman" w:eastAsia="方正仿宋_GBK" w:cs="Times New Roman"/>
          <w:kern w:val="0"/>
          <w:sz w:val="32"/>
          <w:szCs w:val="32"/>
        </w:rPr>
        <w:t>万元，为上年决算数的</w:t>
      </w:r>
      <w:r>
        <w:rPr>
          <w:rFonts w:ascii="Times New Roman" w:hAnsi="Times New Roman" w:eastAsia="方正仿宋_GBK" w:cs="Times New Roman"/>
          <w:kern w:val="0"/>
          <w:sz w:val="32"/>
          <w:szCs w:val="32"/>
        </w:rPr>
        <w:t>93</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6</w:t>
      </w:r>
      <w:r>
        <w:rPr>
          <w:rFonts w:hint="eastAsia" w:ascii="Times New Roman" w:hAnsi="Times New Roman" w:eastAsia="方正仿宋_GBK" w:cs="Times New Roman"/>
          <w:kern w:val="0"/>
          <w:sz w:val="32"/>
          <w:szCs w:val="32"/>
        </w:rPr>
        <w:t>%，主要是疫情反复影响经济运行。</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城镇土地使用税收入</w:t>
      </w:r>
      <w:r>
        <w:rPr>
          <w:rFonts w:ascii="Times New Roman" w:hAnsi="Times New Roman" w:eastAsia="方正仿宋_GBK" w:cs="Times New Roman"/>
          <w:kern w:val="0"/>
          <w:sz w:val="32"/>
          <w:szCs w:val="32"/>
        </w:rPr>
        <w:t>17</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838</w:t>
      </w:r>
      <w:r>
        <w:rPr>
          <w:rFonts w:hint="eastAsia" w:ascii="Times New Roman" w:hAnsi="Times New Roman" w:eastAsia="方正仿宋_GBK" w:cs="Times New Roman"/>
          <w:kern w:val="0"/>
          <w:sz w:val="32"/>
          <w:szCs w:val="32"/>
        </w:rPr>
        <w:t>万元，为上年决算数的</w:t>
      </w:r>
      <w:r>
        <w:rPr>
          <w:rFonts w:ascii="Times New Roman" w:hAnsi="Times New Roman" w:eastAsia="方正仿宋_GBK" w:cs="Times New Roman"/>
          <w:kern w:val="0"/>
          <w:sz w:val="32"/>
          <w:szCs w:val="32"/>
        </w:rPr>
        <w:t>100</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8</w:t>
      </w:r>
      <w:r>
        <w:rPr>
          <w:rFonts w:hint="eastAsia" w:ascii="Times New Roman" w:hAnsi="Times New Roman" w:eastAsia="方正仿宋_GBK" w:cs="Times New Roman"/>
          <w:kern w:val="0"/>
          <w:sz w:val="32"/>
          <w:szCs w:val="32"/>
        </w:rPr>
        <w:t>%，我区该税源波动较小，较为稳定。</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土地增值税收入</w:t>
      </w:r>
      <w:r>
        <w:rPr>
          <w:rFonts w:ascii="Times New Roman" w:hAnsi="Times New Roman" w:eastAsia="方正仿宋_GBK" w:cs="Times New Roman"/>
          <w:kern w:val="0"/>
          <w:sz w:val="32"/>
          <w:szCs w:val="32"/>
        </w:rPr>
        <w:t>18</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938</w:t>
      </w:r>
      <w:r>
        <w:rPr>
          <w:rFonts w:hint="eastAsia" w:ascii="Times New Roman" w:hAnsi="Times New Roman" w:eastAsia="方正仿宋_GBK" w:cs="Times New Roman"/>
          <w:kern w:val="0"/>
          <w:sz w:val="32"/>
          <w:szCs w:val="32"/>
        </w:rPr>
        <w:t>万元，为上年决算数的</w:t>
      </w:r>
      <w:r>
        <w:rPr>
          <w:rFonts w:ascii="Times New Roman" w:hAnsi="Times New Roman" w:eastAsia="方正仿宋_GBK" w:cs="Times New Roman"/>
          <w:kern w:val="0"/>
          <w:sz w:val="32"/>
          <w:szCs w:val="32"/>
        </w:rPr>
        <w:t>306</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8</w:t>
      </w:r>
      <w:r>
        <w:rPr>
          <w:rFonts w:hint="eastAsia" w:ascii="Times New Roman" w:hAnsi="Times New Roman" w:eastAsia="方正仿宋_GBK" w:cs="Times New Roman"/>
          <w:kern w:val="0"/>
          <w:sz w:val="32"/>
          <w:szCs w:val="32"/>
        </w:rPr>
        <w:t>%，主要是重点企业一次性入库影响。</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耕地占用税收入</w:t>
      </w:r>
      <w:r>
        <w:rPr>
          <w:rFonts w:ascii="Times New Roman" w:hAnsi="Times New Roman" w:eastAsia="方正仿宋_GBK" w:cs="Times New Roman"/>
          <w:kern w:val="0"/>
          <w:sz w:val="32"/>
          <w:szCs w:val="32"/>
        </w:rPr>
        <w:t>9</w:t>
      </w:r>
      <w:r>
        <w:rPr>
          <w:rFonts w:hint="eastAsia" w:ascii="Times New Roman" w:hAnsi="Times New Roman" w:eastAsia="方正仿宋_GBK" w:cs="Times New Roman"/>
          <w:kern w:val="0"/>
          <w:sz w:val="32"/>
          <w:szCs w:val="32"/>
        </w:rPr>
        <w:t>万元，为上年决算数的</w:t>
      </w:r>
      <w:r>
        <w:rPr>
          <w:rFonts w:ascii="Times New Roman" w:hAnsi="Times New Roman" w:eastAsia="方正仿宋_GBK" w:cs="Times New Roman"/>
          <w:kern w:val="0"/>
          <w:sz w:val="32"/>
          <w:szCs w:val="32"/>
        </w:rPr>
        <w:t>0</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2</w:t>
      </w:r>
      <w:r>
        <w:rPr>
          <w:rFonts w:hint="eastAsia" w:ascii="Times New Roman" w:hAnsi="Times New Roman" w:eastAsia="方正仿宋_GBK" w:cs="Times New Roman"/>
          <w:kern w:val="0"/>
          <w:sz w:val="32"/>
          <w:szCs w:val="32"/>
        </w:rPr>
        <w:t>%，主要是上年一次性入库，垫高基数影响。</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契税收入</w:t>
      </w:r>
      <w:r>
        <w:rPr>
          <w:rFonts w:ascii="Times New Roman" w:hAnsi="Times New Roman" w:eastAsia="方正仿宋_GBK" w:cs="Times New Roman"/>
          <w:kern w:val="0"/>
          <w:sz w:val="32"/>
          <w:szCs w:val="32"/>
        </w:rPr>
        <w:t>25</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221</w:t>
      </w:r>
      <w:r>
        <w:rPr>
          <w:rFonts w:hint="eastAsia" w:ascii="Times New Roman" w:hAnsi="Times New Roman" w:eastAsia="方正仿宋_GBK" w:cs="Times New Roman"/>
          <w:kern w:val="0"/>
          <w:sz w:val="32"/>
          <w:szCs w:val="32"/>
        </w:rPr>
        <w:t>万元，为上年决算数的</w:t>
      </w:r>
      <w:r>
        <w:rPr>
          <w:rFonts w:ascii="Times New Roman" w:hAnsi="Times New Roman" w:eastAsia="方正仿宋_GBK" w:cs="Times New Roman"/>
          <w:kern w:val="0"/>
          <w:sz w:val="32"/>
          <w:szCs w:val="32"/>
        </w:rPr>
        <w:t>38</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3</w:t>
      </w:r>
      <w:r>
        <w:rPr>
          <w:rFonts w:hint="eastAsia" w:ascii="Times New Roman" w:hAnsi="Times New Roman" w:eastAsia="方正仿宋_GBK" w:cs="Times New Roman"/>
          <w:kern w:val="0"/>
          <w:sz w:val="32"/>
          <w:szCs w:val="32"/>
        </w:rPr>
        <w:t>%，主要是房地产业预期转弱、增量房交易量下滑以及土地交易契税减收综合影响。</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环境保护税收入</w:t>
      </w:r>
      <w:r>
        <w:rPr>
          <w:rFonts w:ascii="Times New Roman" w:hAnsi="Times New Roman" w:eastAsia="方正仿宋_GBK" w:cs="Times New Roman"/>
          <w:kern w:val="0"/>
          <w:sz w:val="32"/>
          <w:szCs w:val="32"/>
        </w:rPr>
        <w:t>191</w:t>
      </w:r>
      <w:r>
        <w:rPr>
          <w:rFonts w:hint="eastAsia" w:ascii="Times New Roman" w:hAnsi="Times New Roman" w:eastAsia="方正仿宋_GBK" w:cs="Times New Roman"/>
          <w:kern w:val="0"/>
          <w:sz w:val="32"/>
          <w:szCs w:val="32"/>
        </w:rPr>
        <w:t>万元，为上年决算数的</w:t>
      </w:r>
      <w:r>
        <w:rPr>
          <w:rFonts w:ascii="Times New Roman" w:hAnsi="Times New Roman" w:eastAsia="方正仿宋_GBK" w:cs="Times New Roman"/>
          <w:kern w:val="0"/>
          <w:sz w:val="32"/>
          <w:szCs w:val="32"/>
        </w:rPr>
        <w:t>135</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5</w:t>
      </w:r>
      <w:r>
        <w:rPr>
          <w:rFonts w:hint="eastAsia" w:ascii="Times New Roman" w:hAnsi="Times New Roman" w:eastAsia="方正仿宋_GBK" w:cs="Times New Roman"/>
          <w:kern w:val="0"/>
          <w:sz w:val="32"/>
          <w:szCs w:val="32"/>
        </w:rPr>
        <w:t>%，金额较小，正常波动。</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其他税收收入</w:t>
      </w:r>
      <w:r>
        <w:rPr>
          <w:rFonts w:ascii="Times New Roman" w:hAnsi="Times New Roman" w:eastAsia="方正仿宋_GBK" w:cs="Times New Roman"/>
          <w:kern w:val="0"/>
          <w:sz w:val="32"/>
          <w:szCs w:val="32"/>
        </w:rPr>
        <w:t>27</w:t>
      </w:r>
      <w:r>
        <w:rPr>
          <w:rFonts w:hint="eastAsia" w:ascii="Times New Roman" w:hAnsi="Times New Roman" w:eastAsia="方正仿宋_GBK" w:cs="Times New Roman"/>
          <w:kern w:val="0"/>
          <w:sz w:val="32"/>
          <w:szCs w:val="32"/>
        </w:rPr>
        <w:t>万元，为上年决算数的</w:t>
      </w:r>
      <w:r>
        <w:rPr>
          <w:rFonts w:ascii="Times New Roman" w:hAnsi="Times New Roman" w:eastAsia="方正仿宋_GBK" w:cs="Times New Roman"/>
          <w:kern w:val="0"/>
          <w:sz w:val="32"/>
          <w:szCs w:val="32"/>
        </w:rPr>
        <w:t>10</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8</w:t>
      </w:r>
      <w:r>
        <w:rPr>
          <w:rFonts w:hint="eastAsia" w:ascii="Times New Roman" w:hAnsi="Times New Roman" w:eastAsia="方正仿宋_GBK" w:cs="Times New Roman"/>
          <w:kern w:val="0"/>
          <w:sz w:val="32"/>
          <w:szCs w:val="32"/>
        </w:rPr>
        <w:t>%，主要是营业税等，营改增后补税金额逐步减少。</w:t>
      </w:r>
    </w:p>
    <w:p>
      <w:pPr>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br w:type="page"/>
      </w:r>
    </w:p>
    <w:p>
      <w:pPr>
        <w:widowControl/>
        <w:spacing w:line="594" w:lineRule="exact"/>
        <w:jc w:val="center"/>
        <w:textAlignment w:val="center"/>
        <w:rPr>
          <w:rFonts w:ascii="Times New Roman" w:hAnsi="Times New Roman" w:eastAsia="方正小标宋_GBK" w:cs="Times New Roman"/>
          <w:kern w:val="0"/>
          <w:sz w:val="44"/>
          <w:szCs w:val="44"/>
        </w:rPr>
      </w:pPr>
      <w:r>
        <w:rPr>
          <w:rFonts w:hint="eastAsia" w:ascii="Times New Roman" w:hAnsi="Times New Roman" w:eastAsia="方正小标宋_GBK" w:cs="Times New Roman"/>
          <w:kern w:val="0"/>
          <w:sz w:val="44"/>
          <w:szCs w:val="44"/>
        </w:rPr>
        <w:t>关于</w:t>
      </w:r>
      <w:r>
        <w:rPr>
          <w:rFonts w:ascii="Times New Roman" w:hAnsi="Times New Roman" w:eastAsia="方正小标宋_GBK" w:cs="Times New Roman"/>
          <w:kern w:val="0"/>
          <w:sz w:val="44"/>
          <w:szCs w:val="44"/>
        </w:rPr>
        <w:t>2022</w:t>
      </w:r>
      <w:r>
        <w:rPr>
          <w:rFonts w:hint="eastAsia" w:ascii="Times New Roman" w:hAnsi="Times New Roman" w:eastAsia="方正小标宋_GBK" w:cs="Times New Roman"/>
          <w:kern w:val="0"/>
          <w:sz w:val="44"/>
          <w:szCs w:val="44"/>
        </w:rPr>
        <w:t>年全区一般公共预算</w:t>
      </w:r>
    </w:p>
    <w:p>
      <w:pPr>
        <w:spacing w:line="594" w:lineRule="exact"/>
        <w:jc w:val="center"/>
        <w:rPr>
          <w:rFonts w:ascii="Times New Roman" w:hAnsi="Times New Roman" w:eastAsia="方正小标宋_GBK" w:cs="方正小标宋_GBK"/>
          <w:kern w:val="0"/>
          <w:sz w:val="44"/>
          <w:szCs w:val="44"/>
        </w:rPr>
      </w:pPr>
      <w:r>
        <w:rPr>
          <w:rFonts w:hint="eastAsia" w:ascii="Times New Roman" w:hAnsi="Times New Roman" w:eastAsia="方正小标宋_GBK" w:cs="方正小标宋_GBK"/>
          <w:kern w:val="0"/>
          <w:sz w:val="44"/>
          <w:szCs w:val="44"/>
        </w:rPr>
        <w:t>支出执行情况的说明</w:t>
      </w:r>
    </w:p>
    <w:p>
      <w:pPr>
        <w:spacing w:line="594" w:lineRule="exact"/>
        <w:jc w:val="center"/>
        <w:rPr>
          <w:rFonts w:ascii="Times New Roman" w:hAnsi="Times New Roman" w:eastAsia="方正黑体_GBK" w:cs="方正黑体_GBK"/>
          <w:kern w:val="0"/>
          <w:sz w:val="28"/>
          <w:szCs w:val="28"/>
        </w:rPr>
      </w:pPr>
    </w:p>
    <w:p>
      <w:pPr>
        <w:spacing w:line="594"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2021</w:t>
      </w:r>
      <w:r>
        <w:rPr>
          <w:rFonts w:hint="eastAsia" w:ascii="Times New Roman" w:hAnsi="Times New Roman" w:eastAsia="方正仿宋_GBK" w:cs="Times New Roman"/>
          <w:kern w:val="0"/>
          <w:sz w:val="32"/>
          <w:szCs w:val="32"/>
        </w:rPr>
        <w:t>全区</w:t>
      </w:r>
      <w:r>
        <w:rPr>
          <w:rFonts w:ascii="Times New Roman" w:hAnsi="Times New Roman" w:eastAsia="方正仿宋_GBK" w:cs="Times New Roman"/>
          <w:kern w:val="0"/>
          <w:sz w:val="32"/>
          <w:szCs w:val="32"/>
        </w:rPr>
        <w:t>一般公共预算</w:t>
      </w:r>
      <w:r>
        <w:rPr>
          <w:rFonts w:hint="eastAsia" w:ascii="Times New Roman" w:hAnsi="Times New Roman" w:eastAsia="方正仿宋_GBK" w:cs="Times New Roman"/>
          <w:kern w:val="0"/>
          <w:sz w:val="32"/>
          <w:szCs w:val="32"/>
        </w:rPr>
        <w:t>本级</w:t>
      </w:r>
      <w:r>
        <w:rPr>
          <w:rFonts w:ascii="Times New Roman" w:hAnsi="Times New Roman" w:eastAsia="方正仿宋_GBK" w:cs="Times New Roman"/>
          <w:kern w:val="0"/>
          <w:sz w:val="32"/>
          <w:szCs w:val="32"/>
        </w:rPr>
        <w:t>支出决算数为357</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510万元</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2022</w:t>
      </w:r>
      <w:r>
        <w:rPr>
          <w:rFonts w:hint="eastAsia" w:ascii="Times New Roman" w:hAnsi="Times New Roman" w:eastAsia="方正仿宋_GBK" w:cs="Times New Roman"/>
          <w:kern w:val="0"/>
          <w:sz w:val="32"/>
          <w:szCs w:val="32"/>
        </w:rPr>
        <w:t>年执行数为</w:t>
      </w:r>
      <w:r>
        <w:rPr>
          <w:rFonts w:ascii="Times New Roman" w:hAnsi="Times New Roman" w:eastAsia="方正仿宋_GBK" w:cs="Times New Roman"/>
          <w:kern w:val="0"/>
          <w:sz w:val="32"/>
          <w:szCs w:val="32"/>
        </w:rPr>
        <w:t>384</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745</w:t>
      </w:r>
      <w:r>
        <w:rPr>
          <w:rFonts w:hint="eastAsia" w:ascii="Times New Roman" w:hAnsi="Times New Roman" w:eastAsia="方正仿宋_GBK" w:cs="Times New Roman"/>
          <w:kern w:val="0"/>
          <w:sz w:val="32"/>
          <w:szCs w:val="32"/>
        </w:rPr>
        <w:t>万元，执行数为上年决算数的</w:t>
      </w:r>
      <w:r>
        <w:rPr>
          <w:rFonts w:ascii="Times New Roman" w:hAnsi="Times New Roman" w:eastAsia="方正仿宋_GBK" w:cs="Times New Roman"/>
          <w:kern w:val="0"/>
          <w:sz w:val="32"/>
          <w:szCs w:val="32"/>
        </w:rPr>
        <w:t>107</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6</w:t>
      </w:r>
      <w:r>
        <w:rPr>
          <w:rFonts w:hint="eastAsia" w:ascii="Times New Roman" w:hAnsi="Times New Roman" w:eastAsia="方正仿宋_GBK" w:cs="Times New Roman"/>
          <w:kern w:val="0"/>
          <w:sz w:val="32"/>
          <w:szCs w:val="32"/>
        </w:rPr>
        <w:t>%。</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一般公共服务支出执行数为</w:t>
      </w:r>
      <w:r>
        <w:rPr>
          <w:rFonts w:ascii="Times New Roman" w:hAnsi="Times New Roman" w:eastAsia="方正仿宋_GBK" w:cs="Times New Roman"/>
          <w:kern w:val="0"/>
          <w:sz w:val="32"/>
          <w:szCs w:val="32"/>
        </w:rPr>
        <w:t>45</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569</w:t>
      </w:r>
      <w:r>
        <w:rPr>
          <w:rFonts w:hint="eastAsia" w:ascii="Times New Roman" w:hAnsi="Times New Roman" w:eastAsia="方正仿宋_GBK" w:cs="Times New Roman"/>
          <w:kern w:val="0"/>
          <w:sz w:val="32"/>
          <w:szCs w:val="32"/>
        </w:rPr>
        <w:t>万元，为上年决算数的</w:t>
      </w:r>
      <w:r>
        <w:rPr>
          <w:rFonts w:ascii="Times New Roman" w:hAnsi="Times New Roman" w:eastAsia="方正仿宋_GBK" w:cs="Times New Roman"/>
          <w:kern w:val="0"/>
          <w:sz w:val="32"/>
          <w:szCs w:val="32"/>
        </w:rPr>
        <w:t>88</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8</w:t>
      </w:r>
      <w:r>
        <w:rPr>
          <w:rFonts w:hint="eastAsia" w:ascii="Times New Roman" w:hAnsi="Times New Roman" w:eastAsia="方正仿宋_GBK" w:cs="Times New Roman"/>
          <w:kern w:val="0"/>
          <w:sz w:val="32"/>
          <w:szCs w:val="32"/>
        </w:rPr>
        <w:t>%，主要是落实党政机关过紧日子要求，持续压减公用经费、非急需刚性支出。</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公共安全支出执行数为</w:t>
      </w:r>
      <w:r>
        <w:rPr>
          <w:rFonts w:ascii="Times New Roman" w:hAnsi="Times New Roman" w:eastAsia="方正仿宋_GBK" w:cs="Times New Roman"/>
          <w:kern w:val="0"/>
          <w:sz w:val="32"/>
          <w:szCs w:val="32"/>
        </w:rPr>
        <w:t>31</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418</w:t>
      </w:r>
      <w:r>
        <w:rPr>
          <w:rFonts w:hint="eastAsia" w:ascii="Times New Roman" w:hAnsi="Times New Roman" w:eastAsia="方正仿宋_GBK" w:cs="Times New Roman"/>
          <w:kern w:val="0"/>
          <w:sz w:val="32"/>
          <w:szCs w:val="32"/>
        </w:rPr>
        <w:t>万元，为上年决算数的</w:t>
      </w:r>
      <w:r>
        <w:rPr>
          <w:rFonts w:ascii="Times New Roman" w:hAnsi="Times New Roman" w:eastAsia="方正仿宋_GBK" w:cs="Times New Roman"/>
          <w:kern w:val="0"/>
          <w:sz w:val="32"/>
          <w:szCs w:val="32"/>
        </w:rPr>
        <w:t>85</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6</w:t>
      </w:r>
      <w:r>
        <w:rPr>
          <w:rFonts w:hint="eastAsia" w:ascii="Times New Roman" w:hAnsi="Times New Roman" w:eastAsia="方正仿宋_GBK" w:cs="Times New Roman"/>
          <w:kern w:val="0"/>
          <w:sz w:val="32"/>
          <w:szCs w:val="32"/>
        </w:rPr>
        <w:t>%，主要是绩效考核纳入下年度清算发放影响。</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教育支出执行数为</w:t>
      </w:r>
      <w:r>
        <w:rPr>
          <w:rFonts w:ascii="Times New Roman" w:hAnsi="Times New Roman" w:eastAsia="方正仿宋_GBK" w:cs="Times New Roman"/>
          <w:kern w:val="0"/>
          <w:sz w:val="32"/>
          <w:szCs w:val="32"/>
        </w:rPr>
        <w:t>92</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122</w:t>
      </w:r>
      <w:r>
        <w:rPr>
          <w:rFonts w:hint="eastAsia" w:ascii="Times New Roman" w:hAnsi="Times New Roman" w:eastAsia="方正仿宋_GBK" w:cs="Times New Roman"/>
          <w:kern w:val="0"/>
          <w:sz w:val="32"/>
          <w:szCs w:val="32"/>
        </w:rPr>
        <w:t>万元，为上年决算数的</w:t>
      </w:r>
      <w:r>
        <w:rPr>
          <w:rFonts w:ascii="Times New Roman" w:hAnsi="Times New Roman" w:eastAsia="方正仿宋_GBK" w:cs="Times New Roman"/>
          <w:kern w:val="0"/>
          <w:sz w:val="32"/>
          <w:szCs w:val="32"/>
        </w:rPr>
        <w:t>114</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7</w:t>
      </w:r>
      <w:r>
        <w:rPr>
          <w:rFonts w:hint="eastAsia" w:ascii="Times New Roman" w:hAnsi="Times New Roman" w:eastAsia="方正仿宋_GBK" w:cs="Times New Roman"/>
          <w:kern w:val="0"/>
          <w:sz w:val="32"/>
          <w:szCs w:val="32"/>
        </w:rPr>
        <w:t>%，主要是支持H</w:t>
      </w:r>
      <w:r>
        <w:rPr>
          <w:rFonts w:ascii="Times New Roman" w:hAnsi="Times New Roman" w:eastAsia="方正仿宋_GBK" w:cs="Times New Roman"/>
          <w:kern w:val="0"/>
          <w:sz w:val="32"/>
          <w:szCs w:val="32"/>
        </w:rPr>
        <w:t>17</w:t>
      </w:r>
      <w:r>
        <w:rPr>
          <w:rFonts w:hint="eastAsia" w:ascii="Times New Roman" w:hAnsi="Times New Roman" w:eastAsia="方正仿宋_GBK" w:cs="Times New Roman"/>
          <w:kern w:val="0"/>
          <w:sz w:val="32"/>
          <w:szCs w:val="32"/>
        </w:rPr>
        <w:t>地块、N</w:t>
      </w:r>
      <w:r>
        <w:rPr>
          <w:rFonts w:ascii="Times New Roman" w:hAnsi="Times New Roman" w:eastAsia="方正仿宋_GBK" w:cs="Times New Roman"/>
          <w:kern w:val="0"/>
          <w:sz w:val="32"/>
          <w:szCs w:val="32"/>
        </w:rPr>
        <w:t>31</w:t>
      </w:r>
      <w:r>
        <w:rPr>
          <w:rFonts w:hint="eastAsia" w:ascii="Times New Roman" w:hAnsi="Times New Roman" w:eastAsia="方正仿宋_GBK" w:cs="Times New Roman"/>
          <w:kern w:val="0"/>
          <w:sz w:val="32"/>
          <w:szCs w:val="32"/>
        </w:rPr>
        <w:t>地块、F</w:t>
      </w:r>
      <w:r>
        <w:rPr>
          <w:rFonts w:ascii="Times New Roman" w:hAnsi="Times New Roman" w:eastAsia="方正仿宋_GBK" w:cs="Times New Roman"/>
          <w:kern w:val="0"/>
          <w:sz w:val="32"/>
          <w:szCs w:val="32"/>
        </w:rPr>
        <w:t>10</w:t>
      </w:r>
      <w:r>
        <w:rPr>
          <w:rFonts w:hint="eastAsia" w:ascii="Times New Roman" w:hAnsi="Times New Roman" w:eastAsia="方正仿宋_GBK" w:cs="Times New Roman"/>
          <w:kern w:val="0"/>
          <w:sz w:val="32"/>
          <w:szCs w:val="32"/>
        </w:rPr>
        <w:t>地块新建学校。</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科学技术支出执行数</w:t>
      </w:r>
      <w:r>
        <w:rPr>
          <w:rFonts w:ascii="Times New Roman" w:hAnsi="Times New Roman" w:eastAsia="方正仿宋_GBK" w:cs="Times New Roman"/>
          <w:kern w:val="0"/>
          <w:sz w:val="32"/>
          <w:szCs w:val="32"/>
        </w:rPr>
        <w:t>6</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917</w:t>
      </w:r>
      <w:r>
        <w:rPr>
          <w:rFonts w:hint="eastAsia" w:ascii="Times New Roman" w:hAnsi="Times New Roman" w:eastAsia="方正仿宋_GBK" w:cs="Times New Roman"/>
          <w:kern w:val="0"/>
          <w:sz w:val="32"/>
          <w:szCs w:val="32"/>
        </w:rPr>
        <w:t>万元，为上年决算数的</w:t>
      </w:r>
      <w:r>
        <w:rPr>
          <w:rFonts w:ascii="Times New Roman" w:hAnsi="Times New Roman" w:eastAsia="方正仿宋_GBK" w:cs="Times New Roman"/>
          <w:kern w:val="0"/>
          <w:sz w:val="32"/>
          <w:szCs w:val="32"/>
        </w:rPr>
        <w:t>142</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3</w:t>
      </w:r>
      <w:r>
        <w:rPr>
          <w:rFonts w:hint="eastAsia" w:ascii="Times New Roman" w:hAnsi="Times New Roman" w:eastAsia="方正仿宋_GBK" w:cs="Times New Roman"/>
          <w:kern w:val="0"/>
          <w:sz w:val="32"/>
          <w:szCs w:val="32"/>
        </w:rPr>
        <w:t>%，主要是加大对工业企业研发投入支持。</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文化旅游体育与传媒支出执行数</w:t>
      </w:r>
      <w:r>
        <w:rPr>
          <w:rFonts w:ascii="Times New Roman" w:hAnsi="Times New Roman" w:eastAsia="方正仿宋_GBK" w:cs="Times New Roman"/>
          <w:kern w:val="0"/>
          <w:sz w:val="32"/>
          <w:szCs w:val="32"/>
        </w:rPr>
        <w:t>6</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679</w:t>
      </w:r>
      <w:r>
        <w:rPr>
          <w:rFonts w:hint="eastAsia" w:ascii="Times New Roman" w:hAnsi="Times New Roman" w:eastAsia="方正仿宋_GBK" w:cs="Times New Roman"/>
          <w:kern w:val="0"/>
          <w:sz w:val="32"/>
          <w:szCs w:val="32"/>
        </w:rPr>
        <w:t>万元，为上年决算数的</w:t>
      </w:r>
      <w:r>
        <w:rPr>
          <w:rFonts w:ascii="Times New Roman" w:hAnsi="Times New Roman" w:eastAsia="方正仿宋_GBK" w:cs="Times New Roman"/>
          <w:kern w:val="0"/>
          <w:sz w:val="32"/>
          <w:szCs w:val="32"/>
        </w:rPr>
        <w:t>99</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6</w:t>
      </w:r>
      <w:r>
        <w:rPr>
          <w:rFonts w:hint="eastAsia" w:ascii="Times New Roman" w:hAnsi="Times New Roman" w:eastAsia="方正仿宋_GBK" w:cs="Times New Roman"/>
          <w:kern w:val="0"/>
          <w:sz w:val="32"/>
          <w:szCs w:val="32"/>
        </w:rPr>
        <w:t>%。</w:t>
      </w:r>
    </w:p>
    <w:p>
      <w:pPr>
        <w:spacing w:line="594" w:lineRule="exact"/>
        <w:ind w:firstLine="608"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w w:val="95"/>
          <w:kern w:val="0"/>
          <w:sz w:val="32"/>
          <w:szCs w:val="32"/>
        </w:rPr>
        <w:t>社会保障和就业支出执行数</w:t>
      </w:r>
      <w:r>
        <w:rPr>
          <w:rFonts w:ascii="Times New Roman" w:hAnsi="Times New Roman" w:eastAsia="方正仿宋_GBK" w:cs="Times New Roman"/>
          <w:w w:val="95"/>
          <w:kern w:val="0"/>
          <w:sz w:val="32"/>
          <w:szCs w:val="32"/>
        </w:rPr>
        <w:t>41</w:t>
      </w:r>
      <w:r>
        <w:rPr>
          <w:rFonts w:hint="eastAsia" w:ascii="Times New Roman" w:hAnsi="Times New Roman" w:eastAsia="方正仿宋_GBK" w:cs="Times New Roman"/>
          <w:w w:val="95"/>
          <w:kern w:val="0"/>
          <w:sz w:val="32"/>
          <w:szCs w:val="32"/>
        </w:rPr>
        <w:t>,</w:t>
      </w:r>
      <w:r>
        <w:rPr>
          <w:rFonts w:ascii="Times New Roman" w:hAnsi="Times New Roman" w:eastAsia="方正仿宋_GBK" w:cs="Times New Roman"/>
          <w:w w:val="95"/>
          <w:kern w:val="0"/>
          <w:sz w:val="32"/>
          <w:szCs w:val="32"/>
        </w:rPr>
        <w:t>251</w:t>
      </w:r>
      <w:r>
        <w:rPr>
          <w:rFonts w:hint="eastAsia" w:ascii="Times New Roman" w:hAnsi="Times New Roman" w:eastAsia="方正仿宋_GBK" w:cs="Times New Roman"/>
          <w:w w:val="95"/>
          <w:kern w:val="0"/>
          <w:sz w:val="32"/>
          <w:szCs w:val="32"/>
        </w:rPr>
        <w:t>万元，为上年决算数的</w:t>
      </w:r>
      <w:r>
        <w:rPr>
          <w:rFonts w:ascii="Times New Roman" w:hAnsi="Times New Roman" w:eastAsia="方正仿宋_GBK" w:cs="Times New Roman"/>
          <w:w w:val="95"/>
          <w:kern w:val="0"/>
          <w:sz w:val="32"/>
          <w:szCs w:val="32"/>
        </w:rPr>
        <w:t>74</w:t>
      </w:r>
      <w:r>
        <w:rPr>
          <w:rFonts w:hint="eastAsia" w:ascii="Times New Roman" w:hAnsi="Times New Roman" w:eastAsia="方正仿宋_GBK" w:cs="Times New Roman"/>
          <w:w w:val="95"/>
          <w:kern w:val="0"/>
          <w:sz w:val="32"/>
          <w:szCs w:val="32"/>
        </w:rPr>
        <w:t>.</w:t>
      </w:r>
      <w:r>
        <w:rPr>
          <w:rFonts w:ascii="Times New Roman" w:hAnsi="Times New Roman" w:eastAsia="方正仿宋_GBK" w:cs="Times New Roman"/>
          <w:w w:val="95"/>
          <w:kern w:val="0"/>
          <w:sz w:val="32"/>
          <w:szCs w:val="32"/>
        </w:rPr>
        <w:t>5</w:t>
      </w:r>
      <w:r>
        <w:rPr>
          <w:rFonts w:hint="eastAsia" w:ascii="Times New Roman" w:hAnsi="Times New Roman" w:eastAsia="方正仿宋_GBK" w:cs="Times New Roman"/>
          <w:w w:val="95"/>
          <w:kern w:val="0"/>
          <w:sz w:val="32"/>
          <w:szCs w:val="32"/>
        </w:rPr>
        <w:t>%，</w:t>
      </w:r>
      <w:r>
        <w:rPr>
          <w:rFonts w:hint="eastAsia" w:ascii="Times New Roman" w:hAnsi="Times New Roman" w:eastAsia="方正仿宋_GBK" w:cs="Times New Roman"/>
          <w:kern w:val="0"/>
          <w:sz w:val="32"/>
          <w:szCs w:val="32"/>
        </w:rPr>
        <w:t>主要是上年清算以前年度职业年金垫高基数影响。</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卫生健康支出执行数</w:t>
      </w:r>
      <w:r>
        <w:rPr>
          <w:rFonts w:ascii="Times New Roman" w:hAnsi="Times New Roman" w:eastAsia="方正仿宋_GBK" w:cs="Times New Roman"/>
          <w:kern w:val="0"/>
          <w:sz w:val="32"/>
          <w:szCs w:val="32"/>
        </w:rPr>
        <w:t>34</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562</w:t>
      </w:r>
      <w:r>
        <w:rPr>
          <w:rFonts w:hint="eastAsia" w:ascii="Times New Roman" w:hAnsi="Times New Roman" w:eastAsia="方正仿宋_GBK" w:cs="Times New Roman"/>
          <w:kern w:val="0"/>
          <w:sz w:val="32"/>
          <w:szCs w:val="32"/>
        </w:rPr>
        <w:t>万元，为上年决算数的</w:t>
      </w:r>
      <w:r>
        <w:rPr>
          <w:rFonts w:ascii="Times New Roman" w:hAnsi="Times New Roman" w:eastAsia="方正仿宋_GBK" w:cs="Times New Roman"/>
          <w:kern w:val="0"/>
          <w:sz w:val="32"/>
          <w:szCs w:val="32"/>
        </w:rPr>
        <w:t>130</w:t>
      </w:r>
      <w:r>
        <w:rPr>
          <w:rFonts w:hint="eastAsia" w:ascii="Times New Roman" w:hAnsi="Times New Roman" w:eastAsia="方正仿宋_GBK" w:cs="Times New Roman"/>
          <w:kern w:val="0"/>
          <w:sz w:val="32"/>
          <w:szCs w:val="32"/>
        </w:rPr>
        <w:t>%，主要是全力支持</w:t>
      </w:r>
      <w:r>
        <w:rPr>
          <w:rFonts w:hint="eastAsia" w:ascii="Times New Roman" w:hAnsi="Times New Roman" w:cs="Times New Roman"/>
          <w:bCs/>
          <w:sz w:val="32"/>
          <w:szCs w:val="32"/>
        </w:rPr>
        <w:t>“</w:t>
      </w:r>
      <w:r>
        <w:rPr>
          <w:rFonts w:ascii="Times New Roman" w:hAnsi="Times New Roman" w:eastAsia="方正仿宋_GBK" w:cs="Times New Roman"/>
          <w:bCs/>
          <w:sz w:val="32"/>
          <w:szCs w:val="32"/>
        </w:rPr>
        <w:t>8·22</w:t>
      </w:r>
      <w:r>
        <w:rPr>
          <w:rFonts w:hint="eastAsia" w:ascii="Times New Roman" w:hAnsi="Times New Roman" w:cs="Times New Roman"/>
          <w:bCs/>
          <w:sz w:val="32"/>
          <w:szCs w:val="32"/>
        </w:rPr>
        <w:t>”“</w:t>
      </w:r>
      <w:r>
        <w:rPr>
          <w:rFonts w:ascii="Times New Roman" w:hAnsi="Times New Roman" w:eastAsia="方正仿宋_GBK" w:cs="Times New Roman"/>
          <w:sz w:val="32"/>
          <w:szCs w:val="32"/>
        </w:rPr>
        <w:t>10</w:t>
      </w:r>
      <w:r>
        <w:rPr>
          <w:rFonts w:ascii="Times New Roman" w:hAnsi="Times New Roman" w:eastAsia="微软雅黑" w:cs="Times New Roman"/>
          <w:bCs/>
          <w:sz w:val="32"/>
          <w:szCs w:val="32"/>
        </w:rPr>
        <w:t>·</w:t>
      </w:r>
      <w:r>
        <w:rPr>
          <w:rFonts w:ascii="Times New Roman" w:hAnsi="Times New Roman" w:eastAsia="方正仿宋_GBK" w:cs="Times New Roman"/>
          <w:sz w:val="32"/>
          <w:szCs w:val="32"/>
        </w:rPr>
        <w:t>8</w:t>
      </w:r>
      <w:r>
        <w:rPr>
          <w:rFonts w:hint="eastAsia" w:ascii="Times New Roman" w:hAnsi="Times New Roman" w:cs="Times New Roman"/>
          <w:bCs/>
          <w:sz w:val="32"/>
          <w:szCs w:val="32"/>
        </w:rPr>
        <w:t>”“</w:t>
      </w:r>
      <w:r>
        <w:rPr>
          <w:rFonts w:ascii="Times New Roman" w:hAnsi="Times New Roman" w:eastAsia="方正仿宋_GBK" w:cs="Times New Roman"/>
          <w:bCs/>
          <w:sz w:val="32"/>
          <w:szCs w:val="32"/>
        </w:rPr>
        <w:t>11·3</w:t>
      </w:r>
      <w:r>
        <w:rPr>
          <w:rFonts w:hint="eastAsia" w:ascii="Times New Roman" w:hAnsi="Times New Roman" w:cs="Times New Roman"/>
          <w:bCs/>
          <w:sz w:val="32"/>
          <w:szCs w:val="32"/>
        </w:rPr>
        <w:t>”</w:t>
      </w:r>
      <w:r>
        <w:rPr>
          <w:rFonts w:ascii="Times New Roman" w:hAnsi="Times New Roman" w:eastAsia="方正仿宋_GBK" w:cs="Times New Roman"/>
          <w:bCs/>
          <w:sz w:val="32"/>
          <w:szCs w:val="32"/>
        </w:rPr>
        <w:t>等多轮疫情</w:t>
      </w:r>
      <w:r>
        <w:rPr>
          <w:rFonts w:hint="eastAsia" w:ascii="Times New Roman" w:hAnsi="Times New Roman" w:eastAsia="方正仿宋_GBK" w:cs="Times New Roman"/>
          <w:kern w:val="0"/>
          <w:sz w:val="32"/>
          <w:szCs w:val="32"/>
        </w:rPr>
        <w:t>防控。</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节能环保支出执行数</w:t>
      </w:r>
      <w:r>
        <w:rPr>
          <w:rFonts w:ascii="Times New Roman" w:hAnsi="Times New Roman" w:eastAsia="方正仿宋_GBK" w:cs="Times New Roman"/>
          <w:kern w:val="0"/>
          <w:sz w:val="32"/>
          <w:szCs w:val="32"/>
        </w:rPr>
        <w:t>11</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961</w:t>
      </w:r>
      <w:r>
        <w:rPr>
          <w:rFonts w:hint="eastAsia" w:ascii="Times New Roman" w:hAnsi="Times New Roman" w:eastAsia="方正仿宋_GBK" w:cs="Times New Roman"/>
          <w:kern w:val="0"/>
          <w:sz w:val="32"/>
          <w:szCs w:val="32"/>
        </w:rPr>
        <w:t>万元，为上年决算数的</w:t>
      </w:r>
      <w:r>
        <w:rPr>
          <w:rFonts w:ascii="Times New Roman" w:hAnsi="Times New Roman" w:eastAsia="方正仿宋_GBK" w:cs="Times New Roman"/>
          <w:kern w:val="0"/>
          <w:sz w:val="32"/>
          <w:szCs w:val="32"/>
        </w:rPr>
        <w:t>101</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8</w:t>
      </w:r>
      <w:r>
        <w:rPr>
          <w:rFonts w:hint="eastAsia" w:ascii="Times New Roman" w:hAnsi="Times New Roman" w:eastAsia="方正仿宋_GBK" w:cs="Times New Roman"/>
          <w:kern w:val="0"/>
          <w:sz w:val="32"/>
          <w:szCs w:val="32"/>
        </w:rPr>
        <w:t>%。</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城乡社区支出执行数</w:t>
      </w:r>
      <w:r>
        <w:rPr>
          <w:rFonts w:ascii="Times New Roman" w:hAnsi="Times New Roman" w:eastAsia="方正仿宋_GBK" w:cs="Times New Roman"/>
          <w:kern w:val="0"/>
          <w:sz w:val="32"/>
          <w:szCs w:val="32"/>
        </w:rPr>
        <w:t>50</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949</w:t>
      </w:r>
      <w:r>
        <w:rPr>
          <w:rFonts w:hint="eastAsia" w:ascii="Times New Roman" w:hAnsi="Times New Roman" w:eastAsia="方正仿宋_GBK" w:cs="Times New Roman"/>
          <w:kern w:val="0"/>
          <w:sz w:val="32"/>
          <w:szCs w:val="32"/>
        </w:rPr>
        <w:t>万元，为上年决算数的</w:t>
      </w:r>
      <w:r>
        <w:rPr>
          <w:rFonts w:ascii="Times New Roman" w:hAnsi="Times New Roman" w:eastAsia="方正仿宋_GBK" w:cs="Times New Roman"/>
          <w:kern w:val="0"/>
          <w:sz w:val="32"/>
          <w:szCs w:val="32"/>
        </w:rPr>
        <w:t>142</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5</w:t>
      </w:r>
      <w:r>
        <w:rPr>
          <w:rFonts w:hint="eastAsia" w:ascii="Times New Roman" w:hAnsi="Times New Roman" w:eastAsia="方正仿宋_GBK" w:cs="Times New Roman"/>
          <w:kern w:val="0"/>
          <w:sz w:val="32"/>
          <w:szCs w:val="32"/>
        </w:rPr>
        <w:t>%，主要是增加“两江四岸”核心区和艺术湾区治理提升市级补助资金以及兑现</w:t>
      </w:r>
      <w:r>
        <w:rPr>
          <w:rFonts w:ascii="Times New Roman" w:hAnsi="Times New Roman" w:eastAsia="方正仿宋_GBK" w:cs="Times New Roman"/>
          <w:kern w:val="0"/>
          <w:sz w:val="32"/>
          <w:szCs w:val="32"/>
        </w:rPr>
        <w:t>2021</w:t>
      </w:r>
      <w:r>
        <w:rPr>
          <w:rFonts w:hint="eastAsia" w:ascii="Times New Roman" w:hAnsi="Times New Roman" w:eastAsia="方正仿宋_GBK" w:cs="Times New Roman"/>
          <w:kern w:val="0"/>
          <w:sz w:val="32"/>
          <w:szCs w:val="32"/>
        </w:rPr>
        <w:t>年购买新建商品房享受契税补贴。</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农林水支出执行数</w:t>
      </w:r>
      <w:r>
        <w:rPr>
          <w:rFonts w:ascii="Times New Roman" w:hAnsi="Times New Roman" w:eastAsia="方正仿宋_GBK" w:cs="Times New Roman"/>
          <w:kern w:val="0"/>
          <w:sz w:val="32"/>
          <w:szCs w:val="32"/>
        </w:rPr>
        <w:t>8</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683</w:t>
      </w:r>
      <w:r>
        <w:rPr>
          <w:rFonts w:hint="eastAsia" w:ascii="Times New Roman" w:hAnsi="Times New Roman" w:eastAsia="方正仿宋_GBK" w:cs="Times New Roman"/>
          <w:kern w:val="0"/>
          <w:sz w:val="32"/>
          <w:szCs w:val="32"/>
        </w:rPr>
        <w:t>万元，为上年决算数的</w:t>
      </w:r>
      <w:r>
        <w:rPr>
          <w:rFonts w:ascii="Times New Roman" w:hAnsi="Times New Roman" w:eastAsia="方正仿宋_GBK" w:cs="Times New Roman"/>
          <w:kern w:val="0"/>
          <w:sz w:val="32"/>
          <w:szCs w:val="32"/>
        </w:rPr>
        <w:t>140</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5</w:t>
      </w:r>
      <w:r>
        <w:rPr>
          <w:rFonts w:hint="eastAsia" w:ascii="Times New Roman" w:hAnsi="Times New Roman" w:eastAsia="方正仿宋_GBK" w:cs="Times New Roman"/>
          <w:kern w:val="0"/>
          <w:sz w:val="32"/>
          <w:szCs w:val="32"/>
        </w:rPr>
        <w:t>%，主要是支持国土绿化提升行动，实施横向生态补偿机制。</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交通运输支出执行数</w:t>
      </w: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871</w:t>
      </w:r>
      <w:r>
        <w:rPr>
          <w:rFonts w:hint="eastAsia" w:ascii="Times New Roman" w:hAnsi="Times New Roman" w:eastAsia="方正仿宋_GBK" w:cs="Times New Roman"/>
          <w:kern w:val="0"/>
          <w:sz w:val="32"/>
          <w:szCs w:val="32"/>
        </w:rPr>
        <w:t>万元，为上年决算数的</w:t>
      </w:r>
      <w:r>
        <w:rPr>
          <w:rFonts w:ascii="Times New Roman" w:hAnsi="Times New Roman" w:eastAsia="方正仿宋_GBK" w:cs="Times New Roman"/>
          <w:kern w:val="0"/>
          <w:sz w:val="32"/>
          <w:szCs w:val="32"/>
        </w:rPr>
        <w:t>156</w:t>
      </w:r>
      <w:r>
        <w:rPr>
          <w:rFonts w:hint="eastAsia" w:ascii="Times New Roman" w:hAnsi="Times New Roman" w:eastAsia="方正仿宋_GBK" w:cs="Times New Roman"/>
          <w:kern w:val="0"/>
          <w:sz w:val="32"/>
          <w:szCs w:val="32"/>
        </w:rPr>
        <w:t>%，主要是车辆购置税上级补助资金增加。</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资源勘探工业信息等支出执行数</w:t>
      </w:r>
      <w:r>
        <w:rPr>
          <w:rFonts w:ascii="Times New Roman" w:hAnsi="Times New Roman" w:eastAsia="方正仿宋_GBK" w:cs="Times New Roman"/>
          <w:kern w:val="0"/>
          <w:sz w:val="32"/>
          <w:szCs w:val="32"/>
        </w:rPr>
        <w:t>5</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295</w:t>
      </w:r>
      <w:r>
        <w:rPr>
          <w:rFonts w:hint="eastAsia" w:ascii="Times New Roman" w:hAnsi="Times New Roman" w:eastAsia="方正仿宋_GBK" w:cs="Times New Roman"/>
          <w:kern w:val="0"/>
          <w:sz w:val="32"/>
          <w:szCs w:val="32"/>
        </w:rPr>
        <w:t>万元，为上年决算数的</w:t>
      </w:r>
      <w:r>
        <w:rPr>
          <w:rFonts w:ascii="Times New Roman" w:hAnsi="Times New Roman" w:eastAsia="方正仿宋_GBK" w:cs="Times New Roman"/>
          <w:kern w:val="0"/>
          <w:sz w:val="32"/>
          <w:szCs w:val="32"/>
        </w:rPr>
        <w:t>132</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%，主要是增加建桥C区生物医药园中央基建投资预算。</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商业服务业等支出执行数</w:t>
      </w:r>
      <w:r>
        <w:rPr>
          <w:rFonts w:ascii="Times New Roman" w:hAnsi="Times New Roman" w:eastAsia="方正仿宋_GBK" w:cs="Times New Roman"/>
          <w:kern w:val="0"/>
          <w:sz w:val="32"/>
          <w:szCs w:val="32"/>
        </w:rPr>
        <w:t>724</w:t>
      </w:r>
      <w:r>
        <w:rPr>
          <w:rFonts w:hint="eastAsia" w:ascii="Times New Roman" w:hAnsi="Times New Roman" w:eastAsia="方正仿宋_GBK" w:cs="Times New Roman"/>
          <w:kern w:val="0"/>
          <w:sz w:val="32"/>
          <w:szCs w:val="32"/>
        </w:rPr>
        <w:t>万元，为上年决算数的</w:t>
      </w:r>
      <w:r>
        <w:rPr>
          <w:rFonts w:ascii="Times New Roman" w:hAnsi="Times New Roman" w:eastAsia="方正仿宋_GBK" w:cs="Times New Roman"/>
          <w:kern w:val="0"/>
          <w:sz w:val="32"/>
          <w:szCs w:val="32"/>
        </w:rPr>
        <w:t>128</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%，主要是增加中央外经贸和服务业发展资金。</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自然资源海洋气象等支出执行数</w:t>
      </w:r>
      <w:r>
        <w:rPr>
          <w:rFonts w:ascii="Times New Roman" w:hAnsi="Times New Roman" w:eastAsia="方正仿宋_GBK" w:cs="Times New Roman"/>
          <w:kern w:val="0"/>
          <w:sz w:val="32"/>
          <w:szCs w:val="32"/>
        </w:rPr>
        <w:t>3</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383</w:t>
      </w:r>
      <w:r>
        <w:rPr>
          <w:rFonts w:hint="eastAsia" w:ascii="Times New Roman" w:hAnsi="Times New Roman" w:eastAsia="方正仿宋_GBK" w:cs="Times New Roman"/>
          <w:kern w:val="0"/>
          <w:sz w:val="32"/>
          <w:szCs w:val="32"/>
        </w:rPr>
        <w:t>万元，为上年决算数的</w:t>
      </w:r>
      <w:r>
        <w:rPr>
          <w:rFonts w:ascii="Times New Roman" w:hAnsi="Times New Roman" w:eastAsia="方正仿宋_GBK" w:cs="Times New Roman"/>
          <w:kern w:val="0"/>
          <w:sz w:val="32"/>
          <w:szCs w:val="32"/>
        </w:rPr>
        <w:t>261</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2</w:t>
      </w:r>
      <w:r>
        <w:rPr>
          <w:rFonts w:hint="eastAsia" w:ascii="Times New Roman" w:hAnsi="Times New Roman" w:eastAsia="方正仿宋_GBK" w:cs="Times New Roman"/>
          <w:kern w:val="0"/>
          <w:sz w:val="32"/>
          <w:szCs w:val="32"/>
        </w:rPr>
        <w:t>%，主要是退还第七批矿山关闭采矿权价款，兑现“四山”管制区矿业权退出补偿，保障方家岩危岩治理等。</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住房保障支出执行数</w:t>
      </w:r>
      <w:r>
        <w:rPr>
          <w:rFonts w:ascii="Times New Roman" w:hAnsi="Times New Roman" w:eastAsia="方正仿宋_GBK" w:cs="Times New Roman"/>
          <w:kern w:val="0"/>
          <w:sz w:val="32"/>
          <w:szCs w:val="32"/>
        </w:rPr>
        <w:t>17</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695</w:t>
      </w:r>
      <w:r>
        <w:rPr>
          <w:rFonts w:hint="eastAsia" w:ascii="Times New Roman" w:hAnsi="Times New Roman" w:eastAsia="方正仿宋_GBK" w:cs="Times New Roman"/>
          <w:kern w:val="0"/>
          <w:sz w:val="32"/>
          <w:szCs w:val="32"/>
        </w:rPr>
        <w:t>万元，为上年决算数的</w:t>
      </w:r>
      <w:r>
        <w:rPr>
          <w:rFonts w:ascii="Times New Roman" w:hAnsi="Times New Roman" w:eastAsia="方正仿宋_GBK" w:cs="Times New Roman"/>
          <w:kern w:val="0"/>
          <w:sz w:val="32"/>
          <w:szCs w:val="32"/>
        </w:rPr>
        <w:t>147</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4</w:t>
      </w:r>
      <w:r>
        <w:rPr>
          <w:rFonts w:hint="eastAsia" w:ascii="Times New Roman" w:hAnsi="Times New Roman" w:eastAsia="方正仿宋_GBK" w:cs="Times New Roman"/>
          <w:kern w:val="0"/>
          <w:sz w:val="32"/>
          <w:szCs w:val="32"/>
        </w:rPr>
        <w:t>%，主要是增加老旧小区燃气改造项目中央基建投资预算。</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灾害防治及应急管理支出执行数</w:t>
      </w:r>
      <w:r>
        <w:rPr>
          <w:rFonts w:ascii="Times New Roman" w:hAnsi="Times New Roman" w:eastAsia="方正仿宋_GBK" w:cs="Times New Roman"/>
          <w:kern w:val="0"/>
          <w:sz w:val="32"/>
          <w:szCs w:val="32"/>
        </w:rPr>
        <w:t>5</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192</w:t>
      </w:r>
      <w:r>
        <w:rPr>
          <w:rFonts w:hint="eastAsia" w:ascii="Times New Roman" w:hAnsi="Times New Roman" w:eastAsia="方正仿宋_GBK" w:cs="Times New Roman"/>
          <w:kern w:val="0"/>
          <w:sz w:val="32"/>
          <w:szCs w:val="32"/>
        </w:rPr>
        <w:t>万元，为上年决算数的</w:t>
      </w:r>
      <w:r>
        <w:rPr>
          <w:rFonts w:ascii="Times New Roman" w:hAnsi="Times New Roman" w:eastAsia="方正仿宋_GBK" w:cs="Times New Roman"/>
          <w:kern w:val="0"/>
          <w:sz w:val="32"/>
          <w:szCs w:val="32"/>
        </w:rPr>
        <w:t>129</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%，主要是支持伏牛溪北消防站建设。</w:t>
      </w:r>
    </w:p>
    <w:p>
      <w:pPr>
        <w:spacing w:line="594" w:lineRule="exact"/>
        <w:ind w:firstLine="640" w:firstLineChars="200"/>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br w:type="page"/>
      </w:r>
    </w:p>
    <w:p>
      <w:pPr>
        <w:spacing w:line="400" w:lineRule="exac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4</w:t>
      </w:r>
    </w:p>
    <w:p>
      <w:pPr>
        <w:widowControl/>
        <w:jc w:val="center"/>
        <w:textAlignment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2022</w:t>
      </w:r>
      <w:r>
        <w:rPr>
          <w:rFonts w:hint="eastAsia" w:ascii="Times New Roman" w:hAnsi="Times New Roman" w:eastAsia="方正小标宋_GBK" w:cs="Times New Roman"/>
          <w:kern w:val="0"/>
          <w:sz w:val="44"/>
          <w:szCs w:val="44"/>
        </w:rPr>
        <w:t>年区级一般公共预算支出执行表</w:t>
      </w:r>
    </w:p>
    <w:p>
      <w:pPr>
        <w:jc w:val="right"/>
        <w:rPr>
          <w:rFonts w:ascii="Times New Roman" w:hAnsi="Times New Roman"/>
        </w:rPr>
      </w:pPr>
      <w:r>
        <w:rPr>
          <w:rFonts w:hint="eastAsia" w:ascii="Times New Roman" w:hAnsi="Times New Roman" w:eastAsia="宋体" w:cs="宋体"/>
          <w:color w:val="000000"/>
          <w:kern w:val="0"/>
          <w:sz w:val="22"/>
        </w:rPr>
        <w:t>单位：万元</w:t>
      </w:r>
    </w:p>
    <w:tbl>
      <w:tblPr>
        <w:tblStyle w:val="10"/>
        <w:tblW w:w="907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5463"/>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1803" w:type="dxa"/>
            <w:shd w:val="clear" w:color="auto" w:fill="auto"/>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黑体" w:cs="黑体"/>
                <w:color w:val="000000"/>
                <w:kern w:val="0"/>
                <w:sz w:val="22"/>
                <w:lang w:bidi="ar"/>
              </w:rPr>
              <w:t>科目编码</w:t>
            </w:r>
          </w:p>
        </w:tc>
        <w:tc>
          <w:tcPr>
            <w:tcW w:w="5463" w:type="dxa"/>
            <w:shd w:val="clear" w:color="auto" w:fill="auto"/>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黑体" w:cs="黑体"/>
                <w:color w:val="000000"/>
                <w:kern w:val="0"/>
                <w:sz w:val="22"/>
                <w:lang w:bidi="ar"/>
              </w:rPr>
              <w:t>科目名称</w:t>
            </w:r>
          </w:p>
        </w:tc>
        <w:tc>
          <w:tcPr>
            <w:tcW w:w="1812" w:type="dxa"/>
            <w:shd w:val="clear" w:color="auto" w:fill="auto"/>
            <w:vAlign w:val="center"/>
          </w:tcPr>
          <w:p>
            <w:pPr>
              <w:widowControl/>
              <w:jc w:val="center"/>
              <w:textAlignment w:val="center"/>
              <w:rPr>
                <w:rFonts w:ascii="Times New Roman" w:hAnsi="Times New Roman" w:eastAsia="宋体" w:cs="Times New Roman"/>
                <w:color w:val="000000"/>
                <w:sz w:val="22"/>
              </w:rPr>
            </w:pPr>
            <w:r>
              <w:rPr>
                <w:rFonts w:hint="eastAsia" w:ascii="Times New Roman" w:hAnsi="Times New Roman" w:eastAsia="黑体" w:cs="黑体"/>
                <w:color w:val="000000"/>
                <w:kern w:val="0"/>
                <w:sz w:val="22"/>
                <w:lang w:bidi="ar"/>
              </w:rPr>
              <w:t>执行数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66" w:type="dxa"/>
            <w:gridSpan w:val="2"/>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本级支出合计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b/>
                <w:bCs/>
                <w:color w:val="000000"/>
                <w:kern w:val="0"/>
                <w:sz w:val="20"/>
                <w:szCs w:val="20"/>
                <w:lang w:bidi="ar"/>
              </w:rPr>
              <w:t>370,941</w:t>
            </w:r>
            <w:r>
              <w:rPr>
                <w:rFonts w:ascii="Times New Roman" w:hAnsi="Times New Roman" w:eastAsia="宋体" w:cs="Times New Roman"/>
                <w:color w:val="000000"/>
                <w:kern w:val="0"/>
                <w:sz w:val="20"/>
                <w:szCs w:val="20"/>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一般公共服务支出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42,610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20101</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人大事务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2010101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2010102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一般行政管理事务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2010104</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人大会议</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2010106</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人大监督</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2010107</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人大代表履职能力提升</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2010108</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代表工作</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2010150</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事业运行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2010199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其他人大事务支出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20102</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政协事务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2010201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2010202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一般行政管理事务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2010204</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政协会议</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2010206</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参政议政</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2010250</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事业运行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20103</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政府办公厅（室）及相关机构事务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15,486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2010301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4,083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2010302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一般行政管理事务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2010303</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机关服务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2010305</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专项业务及机关事务管理</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2010306</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政务公开审批</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2010308</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信访事务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2010350</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事业运行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2010399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其他政府办公厅</w:t>
            </w:r>
            <w:r>
              <w:rPr>
                <w:rFonts w:ascii="Times New Roman" w:hAnsi="Times New Roman" w:eastAsia="宋体" w:cs="Times New Roman"/>
                <w:color w:val="000000"/>
                <w:kern w:val="0"/>
                <w:sz w:val="20"/>
                <w:szCs w:val="20"/>
                <w:lang w:bidi="ar"/>
              </w:rPr>
              <w:t>(</w:t>
            </w:r>
            <w:r>
              <w:rPr>
                <w:rFonts w:hint="eastAsia" w:ascii="Times New Roman" w:hAnsi="Times New Roman" w:eastAsia="宋体" w:cs="宋体"/>
                <w:color w:val="000000"/>
                <w:kern w:val="0"/>
                <w:sz w:val="20"/>
                <w:szCs w:val="20"/>
                <w:lang w:bidi="ar"/>
              </w:rPr>
              <w:t>室</w:t>
            </w:r>
            <w:r>
              <w:rPr>
                <w:rFonts w:ascii="Times New Roman" w:hAnsi="Times New Roman" w:eastAsia="宋体" w:cs="Times New Roman"/>
                <w:color w:val="000000"/>
                <w:kern w:val="0"/>
                <w:sz w:val="20"/>
                <w:szCs w:val="20"/>
                <w:lang w:bidi="ar"/>
              </w:rPr>
              <w:t>)</w:t>
            </w:r>
            <w:r>
              <w:rPr>
                <w:rFonts w:hint="eastAsia" w:ascii="Times New Roman" w:hAnsi="Times New Roman" w:eastAsia="宋体" w:cs="宋体"/>
                <w:color w:val="000000"/>
                <w:kern w:val="0"/>
                <w:sz w:val="20"/>
                <w:szCs w:val="20"/>
                <w:lang w:bidi="ar"/>
              </w:rPr>
              <w:t>及相关机构事务支出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9,251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20104</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发展与改革事务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3,318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2010401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2010402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一般行政管理事务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2010405</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日常经济运行调节</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2,189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2010406</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社会事业发展规划</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2010407</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经济体制改革研究</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2010408</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物价管理</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2010450</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事业运行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20105</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统计信息事务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2010501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2010507</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专项普查活动</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2010508</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统计抽样调查</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20106</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财政事务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2010601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2010602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一般行政管理事务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2010608</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财政委托业务支出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2010650</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事业运行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20107</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税收事务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3,290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2010702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一般行政管理事务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2010710</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税收业务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3,206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20108</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审计事务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2010804</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审计业务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20111</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纪检监察事务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2,189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2011101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1,689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2011102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一般行政管理事务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2011104</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大案要案查处</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2011150</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事业运行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20113</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商贸事务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4,104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2011301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2011302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一般行政管理事务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2011308</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招商引资</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2,379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2011350</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事业运行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20123</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民族事务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2012304</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民族工作专项</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20128</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民主党派及工商联事务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2012801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2012850</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事业运行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2012899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其他民主党派及工商联事务支出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20129</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群众团体事务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2012901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2012902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一般行政管理事务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2012950</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事业运行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2012999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其他群众团体事务支出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20131</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党委办公厅</w:t>
            </w:r>
            <w:r>
              <w:rPr>
                <w:rFonts w:ascii="Times New Roman" w:hAnsi="Times New Roman" w:eastAsia="宋体" w:cs="Times New Roman"/>
                <w:b/>
                <w:bCs/>
                <w:color w:val="000000"/>
                <w:kern w:val="0"/>
                <w:sz w:val="20"/>
                <w:szCs w:val="20"/>
                <w:lang w:bidi="ar"/>
              </w:rPr>
              <w:t>(</w:t>
            </w:r>
            <w:r>
              <w:rPr>
                <w:rFonts w:hint="eastAsia" w:ascii="Times New Roman" w:hAnsi="Times New Roman" w:eastAsia="宋体" w:cs="宋体"/>
                <w:b/>
                <w:bCs/>
                <w:color w:val="000000"/>
                <w:kern w:val="0"/>
                <w:sz w:val="20"/>
                <w:szCs w:val="20"/>
                <w:lang w:bidi="ar"/>
              </w:rPr>
              <w:t>室</w:t>
            </w:r>
            <w:r>
              <w:rPr>
                <w:rFonts w:ascii="Times New Roman" w:hAnsi="Times New Roman" w:eastAsia="宋体" w:cs="Times New Roman"/>
                <w:b/>
                <w:bCs/>
                <w:color w:val="000000"/>
                <w:kern w:val="0"/>
                <w:sz w:val="20"/>
                <w:szCs w:val="20"/>
                <w:lang w:bidi="ar"/>
              </w:rPr>
              <w:t>)</w:t>
            </w:r>
            <w:r>
              <w:rPr>
                <w:rFonts w:hint="eastAsia" w:ascii="Times New Roman" w:hAnsi="Times New Roman" w:eastAsia="宋体" w:cs="宋体"/>
                <w:b/>
                <w:bCs/>
                <w:color w:val="000000"/>
                <w:kern w:val="0"/>
                <w:sz w:val="20"/>
                <w:szCs w:val="20"/>
                <w:lang w:bidi="ar"/>
              </w:rPr>
              <w:t>及相关机构事务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2013101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2013102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一般行政管理事务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2013105</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专项业务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2013150</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事业运行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20132</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组织事务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2013201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2013202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一般行政管理事务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2013204</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公务员事务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2013250</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事业运行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2013299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其他组织事务支出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20133</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宣传事务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2,338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2013301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2013302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一般行政管理事务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1,717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2013350</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事业运行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2013399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其他宣传事务支出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20134</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统战事务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2013401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2013402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一般行政管理事务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2013450</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事业运行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20136</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其他共产党事务支出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1,672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2013601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2013602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一般行政管理事务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2013650</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事业运行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20138</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市场监督管理事务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2013802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一般行政管理事务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2013804</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市场主体管理</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2013805</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市场秩序执法</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20199</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其他一般公共服务支出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2019999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其他一般公共服务支出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203</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国防支出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20306</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国防动员</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2030601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兵役征集</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2030603</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人民防空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2030607</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民兵</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2030699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其他国防动员支出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20399</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其他国防支出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2039999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其他国防支出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公共安全支出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31,133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20402</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公安</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29,077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2040201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19,902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2040202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一般行政管理事务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2040219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信息化建设</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2040220</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执法办案</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2040299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其他公安支出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4,560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20405</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法院</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2040504</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案件审判</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20406</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司法</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2040601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2040602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一般行政管理事务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2040604</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基层司法业务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2040605</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普法宣传</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2040607</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公共法律服务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2040610</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社区矫正</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2040612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法治建设</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2040613</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信息化建设</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20407</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监狱</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2040704</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罪犯生活及医疗卫生</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20408</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强制隔离戒毒</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2040804</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强制隔离戒毒人员生活</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20499</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其他公共安全支出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2049999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其他公共安全支出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教育支出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92,122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20501</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教育管理事务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3,353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2050101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2050199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其他教育管理事务支出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3,064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20502</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普通教育</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72,439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2050201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学前教育</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6,260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2050202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小学教育</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43,608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2050203</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初中教育</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14,348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2050204</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高中教育</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6,113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2050299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其他普通教育支出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20503</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职业教育</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7,865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2050302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中等职业教育</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7,865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20504</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成人教育</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2050404</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成人广播电视教育</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20507</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特殊教育</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2050701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特殊学校教育</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20508</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进修及培训</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2050801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教师进修</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2050802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干部教育</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20509</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教育费附加安排的支出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6,894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2050902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农村中小学教学设施</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2050903</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城市中小学校舍建设</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2050904</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城市中小学教学设施</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2050905</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中等职业学校教学设施</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2050999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其他教育费附加安排的支出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4,928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206</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科学技术支出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6,917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20601</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科学技术管理事务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2060101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2060199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其他科学技术管理事务支出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20604</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技术研究与开发</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2060404</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科技成果转化与扩散</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4,480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2060499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其他技术研究与开发支出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20605</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科技条件与服务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2060502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技术创新服务体系</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2060503</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科技条件专项</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20607</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科学技术普及</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2060702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科普活动</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2060799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其他科学技术普及支出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20699</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其他科学技术支出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2069901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科技奖励</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2069999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其他科学技术支出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文化旅游体育与传媒支出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5,845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20701</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文化和旅游</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2,393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2070101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2070104</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图书馆</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2070108</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文化活动</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2070109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群众文化</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2070111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文化创作与保护</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2070112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文化和旅游市场管理</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2070199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其他文化和旅游支出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20702</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文物</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2070204</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文物保护</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2070205</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博物馆</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2070299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其他文物支出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20703</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体育</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1,664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2070301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2070305</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体育竞赛</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2070306</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体育训练</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2070307</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体育场馆</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2070308</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群众体育</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2070399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其他体育支出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20706</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新闻出版电影</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1,206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2070605</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出版发行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2070699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其他新闻出版电影支出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20799</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其他文化旅游体育与传媒支出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2079999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其他文化旅游体育与传媒支出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社会保障和就业支出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37,799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20801</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人力资源和社会保障管理事务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2,390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2080101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2080102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一般行政管理事务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2080104</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综合业务管理</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2080106</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就业管理事务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2080109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社会保险经办机构</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2080110</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劳动关系和维权</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2080116</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引进人才费用</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2080150</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事业运行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2080199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其他人力资源和社会保障管理事务支出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20802</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民政管理事务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2080201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2080202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一般行政管理事务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2080206</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社会组织管理</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2080207</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行政区划和地名管理</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2080208</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基层政权建设和社区治理</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2080299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其他民政管理事务支出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20805</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行政事业单位养老支出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22,198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2080501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行政单位离退休</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2080502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事业单位离退休</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2080503</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离退休人员管理机构</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2080505</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机关事业单位基本养老保险缴费支出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8,753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2080506</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机关事业单位职业年金缴费支出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4,455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2080599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其他行政事业单位养老支出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20807</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就业补助</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3,085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2080701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就业创业服务补贴</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3,062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2080799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其他就业补助支出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20808</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抚恤</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2080801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死亡抚恤</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2080802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伤残抚恤</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2080805</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义务兵优待</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2080808</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烈士纪念设施管理维护</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2080899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其他优抚支出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20809</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退役安置</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2080901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退役士兵安置</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2080902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军队移交政府的离退休人员安置</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2080903</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军队移交政府离退休干部管理机构</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2080905</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军队转业干部安置</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20810</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社会福利</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2081002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老年福利</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2081004</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殡葬</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2081006</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养老服务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20811</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残疾人事业</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2081101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2081104</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残疾人康复</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2081105</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残疾人就业</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2081107</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残疾人生活和护理补贴</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2081199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其他残疾人事业支出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20816</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红十字事业</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2081601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20819</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最低生活保障</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1,783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2081901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城市最低生活保障金支出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1,783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20820</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临时救助</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2082001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临时救助支出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20821</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特困人员救助供养</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2082101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城市特困人员救助供养支出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20825</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其他生活救助</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2082501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其他城市生活救助</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2082502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其他农村生活救助</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20828</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退役军人管理事务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2082801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2082802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一般行政管理事务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2082804</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拥军优属</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2082850</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事业运行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2082899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其他退役军人事务管理支出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20830</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财政代缴社会保险费支出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2083001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财政代缴城乡居民基本养老保险费支出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20899</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其他社会保障和就业支出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2089999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其他社会保障和就业支出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卫生健康支出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34,081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21001</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卫生健康管理事务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2100101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2100102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一般行政管理事务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2100199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其他卫生健康管理事务支出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21002</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公立医院</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1,217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2100201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综合医院</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2100202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中医</w:t>
            </w:r>
            <w:r>
              <w:rPr>
                <w:rFonts w:ascii="Times New Roman" w:hAnsi="Times New Roman" w:eastAsia="宋体" w:cs="Times New Roman"/>
                <w:color w:val="000000"/>
                <w:kern w:val="0"/>
                <w:sz w:val="20"/>
                <w:szCs w:val="20"/>
                <w:lang w:bidi="ar"/>
              </w:rPr>
              <w:t>(</w:t>
            </w:r>
            <w:r>
              <w:rPr>
                <w:rFonts w:hint="eastAsia" w:ascii="Times New Roman" w:hAnsi="Times New Roman" w:eastAsia="宋体" w:cs="宋体"/>
                <w:color w:val="000000"/>
                <w:kern w:val="0"/>
                <w:sz w:val="20"/>
                <w:szCs w:val="20"/>
                <w:lang w:bidi="ar"/>
              </w:rPr>
              <w:t>民族</w:t>
            </w:r>
            <w:r>
              <w:rPr>
                <w:rFonts w:ascii="Times New Roman" w:hAnsi="Times New Roman" w:eastAsia="宋体" w:cs="Times New Roman"/>
                <w:color w:val="000000"/>
                <w:kern w:val="0"/>
                <w:sz w:val="20"/>
                <w:szCs w:val="20"/>
                <w:lang w:bidi="ar"/>
              </w:rPr>
              <w:t>)</w:t>
            </w:r>
            <w:r>
              <w:rPr>
                <w:rFonts w:hint="eastAsia" w:ascii="Times New Roman" w:hAnsi="Times New Roman" w:eastAsia="宋体" w:cs="宋体"/>
                <w:color w:val="000000"/>
                <w:kern w:val="0"/>
                <w:sz w:val="20"/>
                <w:szCs w:val="20"/>
                <w:lang w:bidi="ar"/>
              </w:rPr>
              <w:t>医院</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2100299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其他公立医院支出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21003</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基层医疗卫生机构</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3,236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2100301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城市社区卫生机构</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2100399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其他基层医疗卫生机构支出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21004</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公共卫生</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17,469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2100401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疾病预防控制机构</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2100402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卫生监督机构</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2100403</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妇幼保健机构</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2100408</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基本公共卫生服务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3,514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2100409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重大公共卫生服务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2100410</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突发公共卫生事件应急处理</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10,097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2100499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其他公共卫生支出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21006</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中医药</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2100601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中医</w:t>
            </w:r>
            <w:r>
              <w:rPr>
                <w:rFonts w:ascii="Times New Roman" w:hAnsi="Times New Roman" w:eastAsia="宋体" w:cs="Times New Roman"/>
                <w:color w:val="000000"/>
                <w:kern w:val="0"/>
                <w:sz w:val="20"/>
                <w:szCs w:val="20"/>
                <w:lang w:bidi="ar"/>
              </w:rPr>
              <w:t>(</w:t>
            </w:r>
            <w:r>
              <w:rPr>
                <w:rFonts w:hint="eastAsia" w:ascii="Times New Roman" w:hAnsi="Times New Roman" w:eastAsia="宋体" w:cs="宋体"/>
                <w:color w:val="000000"/>
                <w:kern w:val="0"/>
                <w:sz w:val="20"/>
                <w:szCs w:val="20"/>
                <w:lang w:bidi="ar"/>
              </w:rPr>
              <w:t>民族医</w:t>
            </w:r>
            <w:r>
              <w:rPr>
                <w:rFonts w:ascii="Times New Roman" w:hAnsi="Times New Roman" w:eastAsia="宋体" w:cs="Times New Roman"/>
                <w:color w:val="000000"/>
                <w:kern w:val="0"/>
                <w:sz w:val="20"/>
                <w:szCs w:val="20"/>
                <w:lang w:bidi="ar"/>
              </w:rPr>
              <w:t>)</w:t>
            </w:r>
            <w:r>
              <w:rPr>
                <w:rFonts w:hint="eastAsia" w:ascii="Times New Roman" w:hAnsi="Times New Roman" w:eastAsia="宋体" w:cs="宋体"/>
                <w:color w:val="000000"/>
                <w:kern w:val="0"/>
                <w:sz w:val="20"/>
                <w:szCs w:val="20"/>
                <w:lang w:bidi="ar"/>
              </w:rPr>
              <w:t>药专项</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21007</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计划生育事务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1,994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2100716</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计划生育机构</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2100717</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计划生育服务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1,723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2100799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其他计划生育事务支出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21011</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行政事业单位医疗</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7,133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2101101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行政单位医疗</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2101102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事业单位医疗</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2,684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2101103</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公务员医疗补助</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2101199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其他行政事业单位医疗支出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21012</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财政对基本医疗保险基金的补助</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2101202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财政对城乡居民基本医疗保险基金的补助</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21013</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医疗救助</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2101301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城乡医疗救助</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2101399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其他医疗救助支出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21014</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优抚对象医疗</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2101401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优抚对象医疗补助</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21015</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医疗保障管理事务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2101501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2101502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一般行政管理事务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2101504</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信息化建设</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2101505</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医疗保障政策管理</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2101506</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医疗保障经办事务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2101550</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事业运行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211</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节能环保支出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11,725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21101</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环境保护管理事务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1,251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2110101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2110105</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环境保护法规、规划及标准</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2110199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其他环境保护管理事务支出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21102</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环境监测与监察</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2110299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其他环境监测与监察支出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21103</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污染防治</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10,280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2110301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大气</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2,573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2110302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水体</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2110303</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噪声</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2110304</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固体废弃物与化学品</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2110306</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辐射</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2110307</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土壤</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2110399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其他污染防治支出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21104</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自然生态保护</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2110402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农村环境保护</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21105</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天然林保护</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2110501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森林管护</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21199</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其他节能环保支出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2119999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其他节能环保支出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城乡社区支出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48,165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21201</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城乡社区管理事务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8,488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2120101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1,214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2120102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一般行政管理事务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2120104</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城管执法</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2120199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其他城乡社区管理事务支出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6,563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21203</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城乡社区公共设施</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4,652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2120399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其他城乡社区公共设施支出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4,652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21205</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城乡社区环境卫生</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10,039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2120501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城乡社区环境卫生</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10,039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21299</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其他城乡社区支出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24,986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2129999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其他城乡社区支出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24,986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农林水支出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7,112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21301</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农业农村</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2130101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2130104</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事业运行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2130108</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病虫害控制</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2130109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农产品质量安全</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2130110</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执法监管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2130112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行业业务管理</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2130122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农业生产发展</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2130135</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农业资源保护修复与利用</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2130148</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渔业发展</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2130153</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农田建设</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2130199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其他农业农村支出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21302</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林业和草原</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3,536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2130205</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森林资源培育</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2,278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2130207</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森林资源管理</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1,252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2130212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湿地保护</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21303</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水利</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2130304</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水利行业业务管理</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2130305</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水利工程建设</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2130311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水资源节约管理与保护</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2130314</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防汛</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2130319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江河湖库水系综合整治</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21305</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巩固脱贫衔接乡村振兴</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2130599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其他巩固脱贫衔接乡村振兴支出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21307</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农村综合改革</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2130701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对村级公益事业建设的补助</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21308</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普惠金融发展支出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2130803</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农业保险保费补贴</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2130804</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创业担保贷款贴息及奖补</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214</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交通运输支出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21401</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公路水路运输</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2140101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2140102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一般行政管理事务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2140104</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公路建设</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2140106</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公路养护</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2140109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交通运输信息化建设</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2140110</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公路和运输安全</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2140112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公路运输管理</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2140122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港口设施</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2140199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其他公路水路运输支出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21406</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车辆购置税支出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2140601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车辆购置税用于公路等基础设施建设支出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21499</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其他交通运输支出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2149999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其他交通运输支出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215</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资源勘探工业信息等支出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5,295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21502</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制造业</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4,161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2150205</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医药制造业</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2,492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2150206</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非金属矿物制品业</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2150299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其他制造业支出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21507</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国有资产监管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2150702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一般行政管理事务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21508</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支持中小企业发展和管理支出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2150805</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中小企业发展专项</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21599</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其他资源勘探工业信息等支出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2159999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其他资源勘探工业信息等支出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216</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商业服务业等支出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21602</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商业流通事务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2160299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其他商业流通事务支出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21606</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涉外发展服务支出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2160699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其他涉外发展服务支出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220</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自然资源海洋气象等支出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2,931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22001</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自然资源事务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2,931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2200199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其他自然资源事务支出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2,931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221</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住房保障支出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17,459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22101</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保障性安居工程支出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10,244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2210103</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棚户区改造</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2210106</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公共租赁住房</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2210107</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保障性住房租金补贴</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2210108</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老旧小区改造</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2210199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其他保障性安居工程支出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5,649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22102</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住房改革支出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7,215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2210201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住房公积金</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6,433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2210203</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购房补贴</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224</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灾害防治及应急管理支出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4,716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22401</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应急管理事务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2240101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行政运行</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2240102</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一般行政管理事务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2240106</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安全监管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2240199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其他应急管理支出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22402</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消防救援事务</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3,452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2240204</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消防应急救援</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3,452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22406</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自然灾害防治</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2240601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地质灾害防治</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2240699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其他自然灾害防治支出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22407</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自然灾害救灾及恢复重建支出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2240704</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自然灾害灾后重建补助</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22499</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其他灾害防治及应急管理支出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2249999</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其他灾害防治及应急管理支出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232</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债务付息支出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19,018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23203</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地方政府一般债务付息支出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19,018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2320301</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地方政府一般债券付息支出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15,797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2320303</w:t>
            </w:r>
          </w:p>
        </w:tc>
        <w:tc>
          <w:tcPr>
            <w:tcW w:w="546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r>
              <w:rPr>
                <w:rFonts w:hint="eastAsia" w:ascii="Times New Roman" w:hAnsi="Times New Roman" w:eastAsia="宋体" w:cs="宋体"/>
                <w:color w:val="000000"/>
                <w:kern w:val="0"/>
                <w:sz w:val="20"/>
                <w:szCs w:val="20"/>
                <w:lang w:bidi="ar"/>
              </w:rPr>
              <w:t>地方政府向国际组织借款付息支出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3,221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233</w:t>
            </w:r>
          </w:p>
        </w:tc>
        <w:tc>
          <w:tcPr>
            <w:tcW w:w="5463" w:type="dxa"/>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债务发行费用支出</w:t>
            </w:r>
          </w:p>
        </w:tc>
        <w:tc>
          <w:tcPr>
            <w:tcW w:w="1812" w:type="dxa"/>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03" w:type="dxa"/>
            <w:tcBorders>
              <w:bottom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23303</w:t>
            </w:r>
          </w:p>
        </w:tc>
        <w:tc>
          <w:tcPr>
            <w:tcW w:w="5463" w:type="dxa"/>
            <w:tcBorders>
              <w:bottom w:val="single" w:color="auto"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地方政府一般债务发行费用支出</w:t>
            </w:r>
          </w:p>
        </w:tc>
        <w:tc>
          <w:tcPr>
            <w:tcW w:w="1812" w:type="dxa"/>
            <w:tcBorders>
              <w:bottom w:val="single" w:color="auto"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 </w:t>
            </w:r>
          </w:p>
        </w:tc>
      </w:tr>
    </w:tbl>
    <w:p>
      <w:pPr>
        <w:spacing w:before="120" w:beforeLines="50"/>
        <w:jc w:val="left"/>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注：本表详细反映</w:t>
      </w:r>
      <w:r>
        <w:rPr>
          <w:rFonts w:ascii="Times New Roman" w:hAnsi="Times New Roman" w:eastAsia="宋体" w:cs="宋体"/>
          <w:color w:val="000000"/>
          <w:sz w:val="18"/>
          <w:szCs w:val="18"/>
        </w:rPr>
        <w:t>2022</w:t>
      </w:r>
      <w:r>
        <w:rPr>
          <w:rFonts w:hint="eastAsia" w:ascii="Times New Roman" w:hAnsi="Times New Roman" w:eastAsia="宋体" w:cs="宋体"/>
          <w:color w:val="000000"/>
          <w:sz w:val="18"/>
          <w:szCs w:val="18"/>
        </w:rPr>
        <w:t>年一般公共预算区级支出情况，按预算法要求细化到功能分类项级科目。</w:t>
      </w:r>
    </w:p>
    <w:p>
      <w:pPr>
        <w:widowControl/>
        <w:spacing w:line="580" w:lineRule="exact"/>
        <w:jc w:val="center"/>
        <w:rPr>
          <w:rFonts w:ascii="Times New Roman" w:hAnsi="Times New Roman" w:eastAsia="方正仿宋_GBK"/>
          <w:lang w:val="zh-CN"/>
        </w:rPr>
      </w:pPr>
    </w:p>
    <w:p>
      <w:pPr>
        <w:rPr>
          <w:rFonts w:ascii="Times New Roman" w:hAnsi="Times New Roman" w:eastAsia="方正仿宋_GBK"/>
        </w:rPr>
      </w:pPr>
      <w:r>
        <w:rPr>
          <w:rFonts w:ascii="Times New Roman" w:hAnsi="Times New Roman" w:eastAsia="方正仿宋_GBK"/>
          <w:lang w:val="zh-CN"/>
        </w:rPr>
        <w:br w:type="page"/>
      </w:r>
    </w:p>
    <w:p>
      <w:pPr>
        <w:spacing w:line="400" w:lineRule="exac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5</w:t>
      </w:r>
    </w:p>
    <w:p>
      <w:pPr>
        <w:widowControl/>
        <w:jc w:val="center"/>
        <w:textAlignment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2022</w:t>
      </w:r>
      <w:r>
        <w:rPr>
          <w:rFonts w:hint="eastAsia" w:ascii="Times New Roman" w:hAnsi="Times New Roman" w:eastAsia="方正小标宋_GBK" w:cs="Times New Roman"/>
          <w:kern w:val="0"/>
          <w:sz w:val="44"/>
          <w:szCs w:val="44"/>
        </w:rPr>
        <w:t>年区级一般公共预算转移支付收支执行表</w:t>
      </w:r>
    </w:p>
    <w:p>
      <w:pPr>
        <w:jc w:val="righ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 xml:space="preserve"> 单位：万元 </w:t>
      </w:r>
    </w:p>
    <w:tbl>
      <w:tblPr>
        <w:tblStyle w:val="10"/>
        <w:tblW w:w="9072" w:type="dxa"/>
        <w:tblInd w:w="0" w:type="dxa"/>
        <w:tblLayout w:type="fixed"/>
        <w:tblCellMar>
          <w:top w:w="15" w:type="dxa"/>
          <w:left w:w="15" w:type="dxa"/>
          <w:bottom w:w="15" w:type="dxa"/>
          <w:right w:w="15" w:type="dxa"/>
        </w:tblCellMar>
      </w:tblPr>
      <w:tblGrid>
        <w:gridCol w:w="2761"/>
        <w:gridCol w:w="1775"/>
        <w:gridCol w:w="2950"/>
        <w:gridCol w:w="1586"/>
      </w:tblGrid>
      <w:tr>
        <w:tblPrEx>
          <w:tblLayout w:type="fixed"/>
          <w:tblCellMar>
            <w:top w:w="15" w:type="dxa"/>
            <w:left w:w="15" w:type="dxa"/>
            <w:bottom w:w="15" w:type="dxa"/>
            <w:right w:w="15" w:type="dxa"/>
          </w:tblCellMar>
        </w:tblPrEx>
        <w:trPr>
          <w:trHeight w:val="435" w:hRule="atLeast"/>
          <w:tblHeader/>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4"/>
                <w:szCs w:val="24"/>
              </w:rPr>
            </w:pPr>
            <w:r>
              <w:rPr>
                <w:rFonts w:hint="eastAsia" w:ascii="Times New Roman" w:hAnsi="Times New Roman" w:eastAsia="黑体" w:cs="黑体"/>
                <w:color w:val="000000"/>
                <w:kern w:val="0"/>
                <w:sz w:val="24"/>
                <w:szCs w:val="24"/>
                <w:lang w:bidi="ar"/>
              </w:rPr>
              <w:t>收   入</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4"/>
                <w:szCs w:val="24"/>
              </w:rPr>
            </w:pPr>
            <w:r>
              <w:rPr>
                <w:rFonts w:hint="eastAsia" w:ascii="Times New Roman" w:hAnsi="Times New Roman" w:eastAsia="黑体" w:cs="黑体"/>
                <w:color w:val="000000"/>
                <w:kern w:val="0"/>
                <w:sz w:val="24"/>
                <w:szCs w:val="24"/>
                <w:lang w:bidi="ar"/>
              </w:rPr>
              <w:t xml:space="preserve"> 执行数</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4"/>
                <w:szCs w:val="24"/>
              </w:rPr>
            </w:pPr>
            <w:r>
              <w:rPr>
                <w:rFonts w:hint="eastAsia" w:ascii="Times New Roman" w:hAnsi="Times New Roman" w:eastAsia="黑体" w:cs="黑体"/>
                <w:color w:val="000000"/>
                <w:kern w:val="0"/>
                <w:sz w:val="24"/>
                <w:szCs w:val="24"/>
                <w:lang w:bidi="ar"/>
              </w:rPr>
              <w:t>支   出</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4"/>
                <w:szCs w:val="24"/>
              </w:rPr>
            </w:pPr>
            <w:r>
              <w:rPr>
                <w:rFonts w:hint="eastAsia" w:ascii="Times New Roman" w:hAnsi="Times New Roman" w:eastAsia="黑体" w:cs="黑体"/>
                <w:color w:val="000000"/>
                <w:kern w:val="0"/>
                <w:sz w:val="24"/>
                <w:szCs w:val="24"/>
                <w:lang w:bidi="ar"/>
              </w:rPr>
              <w:t xml:space="preserve"> 执行数</w:t>
            </w:r>
          </w:p>
        </w:tc>
      </w:tr>
      <w:tr>
        <w:tblPrEx>
          <w:tblLayout w:type="fixed"/>
          <w:tblCellMar>
            <w:top w:w="15" w:type="dxa"/>
            <w:left w:w="15" w:type="dxa"/>
            <w:bottom w:w="15" w:type="dxa"/>
            <w:right w:w="15" w:type="dxa"/>
          </w:tblCellMar>
        </w:tblPrEx>
        <w:trPr>
          <w:trHeight w:val="43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转移性收入</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color w:val="000000"/>
                <w:sz w:val="22"/>
              </w:rPr>
            </w:pPr>
            <w:r>
              <w:rPr>
                <w:rFonts w:ascii="Times New Roman" w:hAnsi="Times New Roman" w:eastAsia="宋体" w:cs="Times New Roman"/>
                <w:b/>
                <w:color w:val="000000"/>
                <w:kern w:val="0"/>
                <w:sz w:val="22"/>
                <w:lang w:bidi="ar"/>
              </w:rPr>
              <w:t>132,098</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补助下级支出</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color w:val="000000"/>
                <w:sz w:val="22"/>
              </w:rPr>
            </w:pPr>
            <w:r>
              <w:rPr>
                <w:rFonts w:ascii="Times New Roman" w:hAnsi="Times New Roman" w:eastAsia="宋体" w:cs="Times New Roman"/>
                <w:b/>
                <w:color w:val="000000"/>
                <w:kern w:val="0"/>
                <w:sz w:val="22"/>
                <w:lang w:bidi="ar"/>
              </w:rPr>
              <w:t>13,804</w:t>
            </w:r>
          </w:p>
        </w:tc>
      </w:tr>
      <w:tr>
        <w:tblPrEx>
          <w:tblLayout w:type="fixed"/>
          <w:tblCellMar>
            <w:top w:w="15" w:type="dxa"/>
            <w:left w:w="15" w:type="dxa"/>
            <w:bottom w:w="15" w:type="dxa"/>
            <w:right w:w="15" w:type="dxa"/>
          </w:tblCellMar>
        </w:tblPrEx>
        <w:trPr>
          <w:trHeight w:val="43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b/>
                <w:color w:val="000000"/>
                <w:sz w:val="20"/>
                <w:szCs w:val="20"/>
              </w:rPr>
            </w:pPr>
            <w:r>
              <w:rPr>
                <w:rFonts w:hint="eastAsia" w:ascii="Times New Roman" w:hAnsi="Times New Roman" w:eastAsia="宋体" w:cs="宋体"/>
                <w:b/>
                <w:color w:val="000000"/>
                <w:kern w:val="0"/>
                <w:sz w:val="20"/>
                <w:szCs w:val="20"/>
                <w:lang w:bidi="ar"/>
              </w:rPr>
              <w:t xml:space="preserve">    返还性收入</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13,146</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w:t>
            </w:r>
            <w:r>
              <w:rPr>
                <w:rFonts w:hint="eastAsia" w:ascii="Times New Roman" w:hAnsi="Times New Roman" w:eastAsia="宋体" w:cs="宋体"/>
                <w:b/>
                <w:bCs/>
                <w:color w:val="000000"/>
                <w:kern w:val="0"/>
                <w:sz w:val="20"/>
                <w:szCs w:val="20"/>
                <w:lang w:bidi="ar"/>
              </w:rPr>
              <w:t>一般性转移支付支出</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color w:val="000000"/>
                <w:kern w:val="0"/>
                <w:sz w:val="20"/>
                <w:szCs w:val="20"/>
                <w:lang w:bidi="ar"/>
              </w:rPr>
            </w:pPr>
            <w:r>
              <w:rPr>
                <w:rFonts w:ascii="Times New Roman" w:hAnsi="Times New Roman" w:eastAsia="宋体" w:cs="Times New Roman"/>
                <w:b/>
                <w:color w:val="000000"/>
                <w:kern w:val="0"/>
                <w:sz w:val="20"/>
                <w:szCs w:val="20"/>
                <w:lang w:bidi="ar"/>
              </w:rPr>
              <w:t>11,920</w:t>
            </w:r>
          </w:p>
        </w:tc>
      </w:tr>
      <w:tr>
        <w:tblPrEx>
          <w:tblLayout w:type="fixed"/>
          <w:tblCellMar>
            <w:top w:w="15" w:type="dxa"/>
            <w:left w:w="15" w:type="dxa"/>
            <w:bottom w:w="15" w:type="dxa"/>
            <w:right w:w="15" w:type="dxa"/>
          </w:tblCellMar>
        </w:tblPrEx>
        <w:trPr>
          <w:trHeight w:val="43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所得税基数返还收入</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1,123</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均衡财力和激励引导转移支付</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1,564</w:t>
            </w:r>
          </w:p>
        </w:tc>
      </w:tr>
      <w:tr>
        <w:tblPrEx>
          <w:tblLayout w:type="fixed"/>
          <w:tblCellMar>
            <w:top w:w="15" w:type="dxa"/>
            <w:left w:w="15" w:type="dxa"/>
            <w:bottom w:w="15" w:type="dxa"/>
            <w:right w:w="15" w:type="dxa"/>
          </w:tblCellMar>
        </w:tblPrEx>
        <w:trPr>
          <w:trHeight w:val="43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增值税税收返还收入</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59</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体制补助支出</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9,851</w:t>
            </w:r>
          </w:p>
        </w:tc>
      </w:tr>
      <w:tr>
        <w:tblPrEx>
          <w:tblLayout w:type="fixed"/>
          <w:tblCellMar>
            <w:top w:w="15" w:type="dxa"/>
            <w:left w:w="15" w:type="dxa"/>
            <w:bottom w:w="15" w:type="dxa"/>
            <w:right w:w="15" w:type="dxa"/>
          </w:tblCellMar>
        </w:tblPrEx>
        <w:trPr>
          <w:trHeight w:val="43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消费税税收返还收入</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结算补助支出</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505</w:t>
            </w:r>
          </w:p>
        </w:tc>
      </w:tr>
      <w:tr>
        <w:tblPrEx>
          <w:tblLayout w:type="fixed"/>
          <w:tblCellMar>
            <w:top w:w="15" w:type="dxa"/>
            <w:left w:w="15" w:type="dxa"/>
            <w:bottom w:w="15" w:type="dxa"/>
            <w:right w:w="15" w:type="dxa"/>
          </w:tblCellMar>
        </w:tblPrEx>
        <w:trPr>
          <w:trHeight w:val="43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增值税“五五分享”税收返还收入</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11,959</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0"/>
                <w:szCs w:val="20"/>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r>
        <w:tblPrEx>
          <w:tblLayout w:type="fixed"/>
          <w:tblCellMar>
            <w:top w:w="15" w:type="dxa"/>
            <w:left w:w="15" w:type="dxa"/>
            <w:bottom w:w="15" w:type="dxa"/>
            <w:right w:w="15" w:type="dxa"/>
          </w:tblCellMar>
        </w:tblPrEx>
        <w:trPr>
          <w:trHeight w:val="43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b/>
                <w:color w:val="000000"/>
                <w:sz w:val="20"/>
                <w:szCs w:val="20"/>
              </w:rPr>
            </w:pPr>
            <w:r>
              <w:rPr>
                <w:rFonts w:hint="eastAsia" w:ascii="Times New Roman" w:hAnsi="Times New Roman" w:eastAsia="宋体" w:cs="宋体"/>
                <w:b/>
                <w:color w:val="000000"/>
                <w:kern w:val="0"/>
                <w:sz w:val="20"/>
                <w:szCs w:val="20"/>
                <w:lang w:bidi="ar"/>
              </w:rPr>
              <w:t xml:space="preserve">    一般性转移支付收入</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77,600</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0"/>
                <w:szCs w:val="20"/>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r>
        <w:tblPrEx>
          <w:tblLayout w:type="fixed"/>
          <w:tblCellMar>
            <w:top w:w="15" w:type="dxa"/>
            <w:left w:w="15" w:type="dxa"/>
            <w:bottom w:w="15" w:type="dxa"/>
            <w:right w:w="15" w:type="dxa"/>
          </w:tblCellMar>
        </w:tblPrEx>
        <w:trPr>
          <w:trHeight w:val="43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体制补助收入</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149</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0"/>
                <w:szCs w:val="20"/>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r>
        <w:tblPrEx>
          <w:tblLayout w:type="fixed"/>
          <w:tblCellMar>
            <w:top w:w="15" w:type="dxa"/>
            <w:left w:w="15" w:type="dxa"/>
            <w:bottom w:w="15" w:type="dxa"/>
            <w:right w:w="15" w:type="dxa"/>
          </w:tblCellMar>
        </w:tblPrEx>
        <w:trPr>
          <w:trHeight w:val="43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均衡性转移支付收入</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9,112</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0"/>
                <w:szCs w:val="20"/>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r>
        <w:tblPrEx>
          <w:tblLayout w:type="fixed"/>
          <w:tblCellMar>
            <w:top w:w="15" w:type="dxa"/>
            <w:left w:w="15" w:type="dxa"/>
            <w:bottom w:w="15" w:type="dxa"/>
            <w:right w:w="15" w:type="dxa"/>
          </w:tblCellMar>
        </w:tblPrEx>
        <w:trPr>
          <w:trHeight w:val="43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县级基本财力保障机制奖补资金收入</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4,565</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0"/>
                <w:szCs w:val="20"/>
              </w:rPr>
            </w:pPr>
          </w:p>
        </w:tc>
        <w:tc>
          <w:tcPr>
            <w:tcW w:w="1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15" w:type="dxa"/>
            <w:left w:w="15" w:type="dxa"/>
            <w:bottom w:w="15" w:type="dxa"/>
            <w:right w:w="15" w:type="dxa"/>
          </w:tblCellMar>
        </w:tblPrEx>
        <w:trPr>
          <w:trHeight w:val="43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结算补助收入</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17,779</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0"/>
                <w:szCs w:val="20"/>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r>
        <w:tblPrEx>
          <w:tblLayout w:type="fixed"/>
          <w:tblCellMar>
            <w:top w:w="15" w:type="dxa"/>
            <w:left w:w="15" w:type="dxa"/>
            <w:bottom w:w="15" w:type="dxa"/>
            <w:right w:w="15" w:type="dxa"/>
          </w:tblCellMar>
        </w:tblPrEx>
        <w:trPr>
          <w:trHeight w:val="43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固定数额补助收入</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3,814</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0"/>
                <w:szCs w:val="20"/>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r>
        <w:tblPrEx>
          <w:tblLayout w:type="fixed"/>
          <w:tblCellMar>
            <w:top w:w="15" w:type="dxa"/>
            <w:left w:w="15" w:type="dxa"/>
            <w:bottom w:w="15" w:type="dxa"/>
            <w:right w:w="15" w:type="dxa"/>
          </w:tblCellMar>
        </w:tblPrEx>
        <w:trPr>
          <w:trHeight w:val="43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巩固脱贫攻坚成果衔接乡村振兴转移支付收入</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1,127</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0"/>
                <w:szCs w:val="20"/>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r>
        <w:tblPrEx>
          <w:tblLayout w:type="fixed"/>
          <w:tblCellMar>
            <w:top w:w="15" w:type="dxa"/>
            <w:left w:w="15" w:type="dxa"/>
            <w:bottom w:w="15" w:type="dxa"/>
            <w:right w:w="15" w:type="dxa"/>
          </w:tblCellMar>
        </w:tblPrEx>
        <w:trPr>
          <w:trHeight w:val="43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一般公共服务共同财政事权转移支付收入</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0"/>
                <w:szCs w:val="20"/>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r>
        <w:tblPrEx>
          <w:tblLayout w:type="fixed"/>
          <w:tblCellMar>
            <w:top w:w="15" w:type="dxa"/>
            <w:left w:w="15" w:type="dxa"/>
            <w:bottom w:w="15" w:type="dxa"/>
            <w:right w:w="15" w:type="dxa"/>
          </w:tblCellMar>
        </w:tblPrEx>
        <w:trPr>
          <w:trHeight w:val="43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公共安全共同财政事权转移支付收入</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2,268</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仿宋_GB2312" w:cs="仿宋_GB2312"/>
                <w:color w:val="000000"/>
                <w:sz w:val="24"/>
                <w:szCs w:val="24"/>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r>
        <w:tblPrEx>
          <w:tblLayout w:type="fixed"/>
          <w:tblCellMar>
            <w:top w:w="15" w:type="dxa"/>
            <w:left w:w="15" w:type="dxa"/>
            <w:bottom w:w="15" w:type="dxa"/>
            <w:right w:w="15" w:type="dxa"/>
          </w:tblCellMar>
        </w:tblPrEx>
        <w:trPr>
          <w:trHeight w:val="43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教育共同财政事权转移支付收入</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10,001</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仿宋_GB2312" w:cs="仿宋_GB2312"/>
                <w:color w:val="000000"/>
                <w:sz w:val="24"/>
                <w:szCs w:val="24"/>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Times New Roman" w:hAnsi="Times New Roman" w:eastAsia="宋体" w:cs="Times New Roman"/>
                <w:color w:val="000000"/>
                <w:sz w:val="24"/>
                <w:szCs w:val="24"/>
              </w:rPr>
            </w:pPr>
          </w:p>
        </w:tc>
      </w:tr>
      <w:tr>
        <w:tblPrEx>
          <w:tblLayout w:type="fixed"/>
          <w:tblCellMar>
            <w:top w:w="15" w:type="dxa"/>
            <w:left w:w="15" w:type="dxa"/>
            <w:bottom w:w="15" w:type="dxa"/>
            <w:right w:w="15" w:type="dxa"/>
          </w:tblCellMar>
        </w:tblPrEx>
        <w:trPr>
          <w:trHeight w:val="43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科学技术共同财政事权转移支付收入</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267</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仿宋_GB2312" w:cs="仿宋_GB2312"/>
                <w:color w:val="000000"/>
                <w:sz w:val="24"/>
                <w:szCs w:val="24"/>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Times New Roman" w:hAnsi="Times New Roman" w:eastAsia="宋体" w:cs="Times New Roman"/>
                <w:color w:val="000000"/>
                <w:sz w:val="24"/>
                <w:szCs w:val="24"/>
              </w:rPr>
            </w:pPr>
          </w:p>
        </w:tc>
      </w:tr>
      <w:tr>
        <w:tblPrEx>
          <w:tblLayout w:type="fixed"/>
          <w:tblCellMar>
            <w:top w:w="15" w:type="dxa"/>
            <w:left w:w="15" w:type="dxa"/>
            <w:bottom w:w="15" w:type="dxa"/>
            <w:right w:w="15" w:type="dxa"/>
          </w:tblCellMar>
        </w:tblPrEx>
        <w:trPr>
          <w:trHeight w:val="43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文化旅游体育与传媒共同财政事权转移支付收入</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737</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仿宋_GB2312" w:cs="仿宋_GB2312"/>
                <w:color w:val="000000"/>
                <w:sz w:val="24"/>
                <w:szCs w:val="24"/>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Times New Roman" w:hAnsi="Times New Roman" w:eastAsia="宋体" w:cs="Times New Roman"/>
                <w:color w:val="000000"/>
                <w:sz w:val="24"/>
                <w:szCs w:val="24"/>
              </w:rPr>
            </w:pPr>
          </w:p>
        </w:tc>
      </w:tr>
      <w:tr>
        <w:tblPrEx>
          <w:tblLayout w:type="fixed"/>
          <w:tblCellMar>
            <w:top w:w="15" w:type="dxa"/>
            <w:left w:w="15" w:type="dxa"/>
            <w:bottom w:w="15" w:type="dxa"/>
            <w:right w:w="15" w:type="dxa"/>
          </w:tblCellMar>
        </w:tblPrEx>
        <w:trPr>
          <w:trHeight w:val="43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社会保障和就业共同财政事权转移支付收入</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7,784</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仿宋_GB2312" w:cs="仿宋_GB2312"/>
                <w:color w:val="000000"/>
                <w:sz w:val="24"/>
                <w:szCs w:val="24"/>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Times New Roman" w:hAnsi="Times New Roman" w:eastAsia="宋体" w:cs="Times New Roman"/>
                <w:color w:val="000000"/>
                <w:sz w:val="24"/>
                <w:szCs w:val="24"/>
              </w:rPr>
            </w:pPr>
          </w:p>
        </w:tc>
      </w:tr>
      <w:tr>
        <w:tblPrEx>
          <w:tblLayout w:type="fixed"/>
          <w:tblCellMar>
            <w:top w:w="15" w:type="dxa"/>
            <w:left w:w="15" w:type="dxa"/>
            <w:bottom w:w="15" w:type="dxa"/>
            <w:right w:w="15" w:type="dxa"/>
          </w:tblCellMar>
        </w:tblPrEx>
        <w:trPr>
          <w:trHeight w:val="43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医疗卫生共同财政事权转移支付收入</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5,561</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仿宋_GB2312" w:cs="仿宋_GB2312"/>
                <w:color w:val="000000"/>
                <w:sz w:val="24"/>
                <w:szCs w:val="24"/>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Times New Roman" w:hAnsi="Times New Roman" w:eastAsia="宋体" w:cs="Times New Roman"/>
                <w:color w:val="000000"/>
                <w:sz w:val="24"/>
                <w:szCs w:val="24"/>
              </w:rPr>
            </w:pPr>
          </w:p>
        </w:tc>
      </w:tr>
      <w:tr>
        <w:tblPrEx>
          <w:tblLayout w:type="fixed"/>
          <w:tblCellMar>
            <w:top w:w="15" w:type="dxa"/>
            <w:left w:w="15" w:type="dxa"/>
            <w:bottom w:w="15" w:type="dxa"/>
            <w:right w:w="15" w:type="dxa"/>
          </w:tblCellMar>
        </w:tblPrEx>
        <w:trPr>
          <w:trHeight w:val="43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节能环保共同财政事权转移支付收入</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仿宋_GB2312" w:cs="仿宋_GB2312"/>
                <w:color w:val="000000"/>
                <w:sz w:val="24"/>
                <w:szCs w:val="24"/>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Times New Roman" w:hAnsi="Times New Roman" w:eastAsia="宋体" w:cs="Times New Roman"/>
                <w:color w:val="000000"/>
                <w:sz w:val="24"/>
                <w:szCs w:val="24"/>
              </w:rPr>
            </w:pPr>
          </w:p>
        </w:tc>
      </w:tr>
      <w:tr>
        <w:tblPrEx>
          <w:tblLayout w:type="fixed"/>
          <w:tblCellMar>
            <w:top w:w="15" w:type="dxa"/>
            <w:left w:w="15" w:type="dxa"/>
            <w:bottom w:w="15" w:type="dxa"/>
            <w:right w:w="15" w:type="dxa"/>
          </w:tblCellMar>
        </w:tblPrEx>
        <w:trPr>
          <w:trHeight w:val="43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农林水共同财政事权转移支付收入</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w:t>
            </w:r>
            <w:r>
              <w:rPr>
                <w:rFonts w:hint="eastAsia" w:ascii="Times New Roman" w:hAnsi="Times New Roman" w:eastAsia="宋体" w:cs="Times New Roman"/>
                <w:color w:val="000000"/>
                <w:kern w:val="0"/>
                <w:sz w:val="20"/>
                <w:szCs w:val="20"/>
                <w:lang w:bidi="ar"/>
              </w:rPr>
              <w:t>,</w:t>
            </w:r>
            <w:r>
              <w:rPr>
                <w:rFonts w:ascii="Times New Roman" w:hAnsi="Times New Roman" w:eastAsia="宋体" w:cs="Times New Roman"/>
                <w:color w:val="000000"/>
                <w:kern w:val="0"/>
                <w:sz w:val="20"/>
                <w:szCs w:val="20"/>
                <w:lang w:bidi="ar"/>
              </w:rPr>
              <w:t>785</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仿宋_GB2312" w:cs="仿宋_GB2312"/>
                <w:color w:val="000000"/>
                <w:sz w:val="24"/>
                <w:szCs w:val="24"/>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Times New Roman" w:hAnsi="Times New Roman" w:eastAsia="宋体" w:cs="Times New Roman"/>
                <w:color w:val="000000"/>
                <w:sz w:val="24"/>
                <w:szCs w:val="24"/>
              </w:rPr>
            </w:pPr>
          </w:p>
        </w:tc>
      </w:tr>
      <w:tr>
        <w:tblPrEx>
          <w:tblLayout w:type="fixed"/>
          <w:tblCellMar>
            <w:top w:w="15" w:type="dxa"/>
            <w:left w:w="15" w:type="dxa"/>
            <w:bottom w:w="15" w:type="dxa"/>
            <w:right w:w="15" w:type="dxa"/>
          </w:tblCellMar>
        </w:tblPrEx>
        <w:trPr>
          <w:trHeight w:val="43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住房保障共同财政事权转移支付收入</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6,493</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仿宋_GB2312" w:cs="仿宋_GB2312"/>
                <w:color w:val="000000"/>
                <w:sz w:val="24"/>
                <w:szCs w:val="24"/>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Times New Roman" w:hAnsi="Times New Roman" w:eastAsia="宋体" w:cs="Times New Roman"/>
                <w:color w:val="000000"/>
                <w:sz w:val="24"/>
                <w:szCs w:val="24"/>
              </w:rPr>
            </w:pPr>
          </w:p>
        </w:tc>
      </w:tr>
      <w:tr>
        <w:tblPrEx>
          <w:tblLayout w:type="fixed"/>
          <w:tblCellMar>
            <w:top w:w="15" w:type="dxa"/>
            <w:left w:w="15" w:type="dxa"/>
            <w:bottom w:w="15" w:type="dxa"/>
            <w:right w:w="15" w:type="dxa"/>
          </w:tblCellMar>
        </w:tblPrEx>
        <w:trPr>
          <w:trHeight w:val="43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kern w:val="0"/>
                <w:sz w:val="20"/>
                <w:szCs w:val="20"/>
                <w:lang w:bidi="ar"/>
              </w:rPr>
            </w:pPr>
            <w:r>
              <w:rPr>
                <w:rFonts w:hint="eastAsia" w:ascii="Times New Roman" w:hAnsi="Times New Roman" w:eastAsia="宋体" w:cs="宋体"/>
                <w:color w:val="000000"/>
                <w:kern w:val="0"/>
                <w:sz w:val="20"/>
                <w:szCs w:val="20"/>
                <w:lang w:bidi="ar"/>
              </w:rPr>
              <w:t xml:space="preserve">      增值税留抵退税转移支付收入</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1,740</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仿宋_GB2312" w:cs="仿宋_GB2312"/>
                <w:color w:val="000000"/>
                <w:sz w:val="24"/>
                <w:szCs w:val="24"/>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Times New Roman" w:hAnsi="Times New Roman" w:eastAsia="宋体" w:cs="Times New Roman"/>
                <w:color w:val="000000"/>
                <w:sz w:val="24"/>
                <w:szCs w:val="24"/>
              </w:rPr>
            </w:pPr>
          </w:p>
        </w:tc>
      </w:tr>
      <w:tr>
        <w:tblPrEx>
          <w:tblLayout w:type="fixed"/>
          <w:tblCellMar>
            <w:top w:w="15" w:type="dxa"/>
            <w:left w:w="15" w:type="dxa"/>
            <w:bottom w:w="15" w:type="dxa"/>
            <w:right w:w="15" w:type="dxa"/>
          </w:tblCellMar>
        </w:tblPrEx>
        <w:trPr>
          <w:trHeight w:val="43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kern w:val="0"/>
                <w:sz w:val="20"/>
                <w:szCs w:val="20"/>
                <w:lang w:bidi="ar"/>
              </w:rPr>
            </w:pPr>
            <w:r>
              <w:rPr>
                <w:rFonts w:hint="eastAsia" w:ascii="Times New Roman" w:hAnsi="Times New Roman" w:eastAsia="宋体" w:cs="宋体"/>
                <w:color w:val="000000"/>
                <w:kern w:val="0"/>
                <w:sz w:val="20"/>
                <w:szCs w:val="20"/>
                <w:lang w:bidi="ar"/>
              </w:rPr>
              <w:t xml:space="preserve">      其他退税减税降费转移支付收入</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4,300</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仿宋_GB2312" w:cs="仿宋_GB2312"/>
                <w:color w:val="000000"/>
                <w:sz w:val="24"/>
                <w:szCs w:val="24"/>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Times New Roman" w:hAnsi="Times New Roman" w:eastAsia="宋体" w:cs="Times New Roman"/>
                <w:color w:val="000000"/>
                <w:sz w:val="24"/>
                <w:szCs w:val="24"/>
              </w:rPr>
            </w:pPr>
          </w:p>
        </w:tc>
      </w:tr>
      <w:tr>
        <w:tblPrEx>
          <w:tblLayout w:type="fixed"/>
          <w:tblCellMar>
            <w:top w:w="15" w:type="dxa"/>
            <w:left w:w="15" w:type="dxa"/>
            <w:bottom w:w="15" w:type="dxa"/>
            <w:right w:w="15" w:type="dxa"/>
          </w:tblCellMar>
        </w:tblPrEx>
        <w:trPr>
          <w:trHeight w:val="43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其他一般性转移支付收入</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100</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仿宋_GB2312" w:cs="仿宋_GB2312"/>
                <w:color w:val="000000"/>
                <w:sz w:val="24"/>
                <w:szCs w:val="24"/>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Times New Roman" w:hAnsi="Times New Roman" w:eastAsia="宋体" w:cs="Times New Roman"/>
                <w:color w:val="000000"/>
                <w:sz w:val="24"/>
                <w:szCs w:val="24"/>
              </w:rPr>
            </w:pPr>
          </w:p>
        </w:tc>
      </w:tr>
      <w:tr>
        <w:tblPrEx>
          <w:tblLayout w:type="fixed"/>
          <w:tblCellMar>
            <w:top w:w="15" w:type="dxa"/>
            <w:left w:w="15" w:type="dxa"/>
            <w:bottom w:w="15" w:type="dxa"/>
            <w:right w:w="15" w:type="dxa"/>
          </w:tblCellMar>
        </w:tblPrEx>
        <w:trPr>
          <w:trHeight w:val="37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b/>
                <w:color w:val="000000"/>
                <w:sz w:val="20"/>
                <w:szCs w:val="20"/>
              </w:rPr>
            </w:pPr>
            <w:r>
              <w:rPr>
                <w:rFonts w:hint="eastAsia" w:ascii="Times New Roman" w:hAnsi="Times New Roman" w:eastAsia="宋体" w:cs="宋体"/>
                <w:b/>
                <w:color w:val="000000"/>
                <w:kern w:val="0"/>
                <w:sz w:val="20"/>
                <w:szCs w:val="20"/>
                <w:lang w:bidi="ar"/>
              </w:rPr>
              <w:t xml:space="preserve">    专项转移支付收入</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41,352</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b/>
                <w:bCs/>
                <w:color w:val="000000"/>
                <w:kern w:val="0"/>
                <w:sz w:val="20"/>
                <w:szCs w:val="20"/>
                <w:lang w:bidi="ar"/>
              </w:rPr>
              <w:t>专项转移支付支出</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color w:val="000000"/>
                <w:kern w:val="0"/>
                <w:sz w:val="20"/>
                <w:szCs w:val="20"/>
                <w:lang w:bidi="ar"/>
              </w:rPr>
            </w:pPr>
            <w:r>
              <w:rPr>
                <w:rFonts w:ascii="Times New Roman" w:hAnsi="Times New Roman" w:eastAsia="宋体" w:cs="Times New Roman"/>
                <w:b/>
                <w:color w:val="000000"/>
                <w:kern w:val="0"/>
                <w:sz w:val="20"/>
                <w:szCs w:val="20"/>
                <w:lang w:bidi="ar"/>
              </w:rPr>
              <w:t>1,884</w:t>
            </w:r>
          </w:p>
        </w:tc>
      </w:tr>
      <w:tr>
        <w:tblPrEx>
          <w:tblLayout w:type="fixed"/>
          <w:tblCellMar>
            <w:top w:w="15" w:type="dxa"/>
            <w:left w:w="15" w:type="dxa"/>
            <w:bottom w:w="15" w:type="dxa"/>
            <w:right w:w="15" w:type="dxa"/>
          </w:tblCellMar>
        </w:tblPrEx>
        <w:trPr>
          <w:trHeight w:val="37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一般公共服务</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 </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一般公共服务</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93</w:t>
            </w:r>
          </w:p>
        </w:tc>
      </w:tr>
      <w:tr>
        <w:tblPrEx>
          <w:tblLayout w:type="fixed"/>
          <w:tblCellMar>
            <w:top w:w="15" w:type="dxa"/>
            <w:left w:w="15" w:type="dxa"/>
            <w:bottom w:w="15" w:type="dxa"/>
            <w:right w:w="15" w:type="dxa"/>
          </w:tblCellMar>
        </w:tblPrEx>
        <w:trPr>
          <w:trHeight w:val="37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国防</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1,130 </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公共安全</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59</w:t>
            </w:r>
          </w:p>
        </w:tc>
      </w:tr>
      <w:tr>
        <w:tblPrEx>
          <w:tblLayout w:type="fixed"/>
          <w:tblCellMar>
            <w:top w:w="15" w:type="dxa"/>
            <w:left w:w="15" w:type="dxa"/>
            <w:bottom w:w="15" w:type="dxa"/>
            <w:right w:w="15" w:type="dxa"/>
          </w:tblCellMar>
        </w:tblPrEx>
        <w:trPr>
          <w:trHeight w:val="37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教育</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574 </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文化旅游体育与传媒</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46</w:t>
            </w:r>
          </w:p>
        </w:tc>
      </w:tr>
      <w:tr>
        <w:tblPrEx>
          <w:tblLayout w:type="fixed"/>
          <w:tblCellMar>
            <w:top w:w="15" w:type="dxa"/>
            <w:left w:w="15" w:type="dxa"/>
            <w:bottom w:w="15" w:type="dxa"/>
            <w:right w:w="15" w:type="dxa"/>
          </w:tblCellMar>
        </w:tblPrEx>
        <w:trPr>
          <w:trHeight w:val="37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科学技术</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3,817 </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社会保障和就业</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w:t>
            </w:r>
          </w:p>
        </w:tc>
      </w:tr>
      <w:tr>
        <w:tblPrEx>
          <w:tblLayout w:type="fixed"/>
          <w:tblCellMar>
            <w:top w:w="15" w:type="dxa"/>
            <w:left w:w="15" w:type="dxa"/>
            <w:bottom w:w="15" w:type="dxa"/>
            <w:right w:w="15" w:type="dxa"/>
          </w:tblCellMar>
        </w:tblPrEx>
        <w:trPr>
          <w:trHeight w:val="37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文化旅游体育与传媒</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2,071 </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卫生健康</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198</w:t>
            </w:r>
          </w:p>
        </w:tc>
      </w:tr>
      <w:tr>
        <w:tblPrEx>
          <w:tblLayout w:type="fixed"/>
          <w:tblCellMar>
            <w:top w:w="15" w:type="dxa"/>
            <w:left w:w="15" w:type="dxa"/>
            <w:bottom w:w="15" w:type="dxa"/>
            <w:right w:w="15" w:type="dxa"/>
          </w:tblCellMar>
        </w:tblPrEx>
        <w:trPr>
          <w:trHeight w:val="37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社会保障和就业</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373 </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节能环保</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50</w:t>
            </w:r>
          </w:p>
        </w:tc>
      </w:tr>
      <w:tr>
        <w:tblPrEx>
          <w:tblLayout w:type="fixed"/>
          <w:tblCellMar>
            <w:top w:w="15" w:type="dxa"/>
            <w:left w:w="15" w:type="dxa"/>
            <w:bottom w:w="15" w:type="dxa"/>
            <w:right w:w="15" w:type="dxa"/>
          </w:tblCellMar>
        </w:tblPrEx>
        <w:trPr>
          <w:trHeight w:val="37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卫生健康</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545 </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城乡社区</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279</w:t>
            </w:r>
          </w:p>
        </w:tc>
      </w:tr>
      <w:tr>
        <w:tblPrEx>
          <w:tblLayout w:type="fixed"/>
          <w:tblCellMar>
            <w:top w:w="15" w:type="dxa"/>
            <w:left w:w="15" w:type="dxa"/>
            <w:bottom w:w="15" w:type="dxa"/>
            <w:right w:w="15" w:type="dxa"/>
          </w:tblCellMar>
        </w:tblPrEx>
        <w:trPr>
          <w:trHeight w:val="37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节能环保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667 </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农林水</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i w:val="0"/>
                <w:color w:val="000000"/>
                <w:kern w:val="0"/>
                <w:sz w:val="20"/>
                <w:szCs w:val="20"/>
                <w:u w:val="none"/>
                <w:lang w:val="en-US" w:eastAsia="zh-CN" w:bidi="ar"/>
              </w:rPr>
              <w:t>399</w:t>
            </w:r>
          </w:p>
        </w:tc>
      </w:tr>
      <w:tr>
        <w:tblPrEx>
          <w:tblLayout w:type="fixed"/>
          <w:tblCellMar>
            <w:top w:w="15" w:type="dxa"/>
            <w:left w:w="15" w:type="dxa"/>
            <w:bottom w:w="15" w:type="dxa"/>
            <w:right w:w="15" w:type="dxa"/>
          </w:tblCellMar>
        </w:tblPrEx>
        <w:trPr>
          <w:trHeight w:val="37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城乡社区</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14,885 </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自然资源海洋气象</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i w:val="0"/>
                <w:color w:val="000000"/>
                <w:kern w:val="0"/>
                <w:sz w:val="20"/>
                <w:szCs w:val="20"/>
                <w:u w:val="none"/>
                <w:lang w:val="en-US" w:eastAsia="zh-CN" w:bidi="ar"/>
              </w:rPr>
              <w:t>326</w:t>
            </w:r>
          </w:p>
        </w:tc>
      </w:tr>
      <w:tr>
        <w:tblPrEx>
          <w:tblLayout w:type="fixed"/>
          <w:tblCellMar>
            <w:top w:w="15" w:type="dxa"/>
            <w:left w:w="15" w:type="dxa"/>
            <w:bottom w:w="15" w:type="dxa"/>
            <w:right w:w="15" w:type="dxa"/>
          </w:tblCellMar>
        </w:tblPrEx>
        <w:trPr>
          <w:trHeight w:val="37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农林水</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5,665 </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灾害防治及应急管理</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i w:val="0"/>
                <w:color w:val="000000"/>
                <w:kern w:val="0"/>
                <w:sz w:val="20"/>
                <w:szCs w:val="20"/>
                <w:u w:val="none"/>
                <w:lang w:val="en-US" w:eastAsia="zh-CN" w:bidi="ar"/>
              </w:rPr>
              <w:t>423</w:t>
            </w:r>
          </w:p>
        </w:tc>
      </w:tr>
      <w:tr>
        <w:tblPrEx>
          <w:tblLayout w:type="fixed"/>
          <w:tblCellMar>
            <w:top w:w="15" w:type="dxa"/>
            <w:left w:w="15" w:type="dxa"/>
            <w:bottom w:w="15" w:type="dxa"/>
            <w:right w:w="15" w:type="dxa"/>
          </w:tblCellMar>
        </w:tblPrEx>
        <w:trPr>
          <w:trHeight w:val="37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交通运输</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1,421 </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0"/>
                <w:szCs w:val="20"/>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r>
        <w:tblPrEx>
          <w:tblLayout w:type="fixed"/>
          <w:tblCellMar>
            <w:top w:w="15" w:type="dxa"/>
            <w:left w:w="15" w:type="dxa"/>
            <w:bottom w:w="15" w:type="dxa"/>
            <w:right w:w="15" w:type="dxa"/>
          </w:tblCellMar>
        </w:tblPrEx>
        <w:trPr>
          <w:trHeight w:val="37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资源勘探工业信息等</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4,472 </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0"/>
                <w:szCs w:val="20"/>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r>
        <w:tblPrEx>
          <w:tblLayout w:type="fixed"/>
          <w:tblCellMar>
            <w:top w:w="15" w:type="dxa"/>
            <w:left w:w="15" w:type="dxa"/>
            <w:bottom w:w="15" w:type="dxa"/>
            <w:right w:w="15" w:type="dxa"/>
          </w:tblCellMar>
        </w:tblPrEx>
        <w:trPr>
          <w:trHeight w:val="37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商业服务业等</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723 </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0"/>
                <w:szCs w:val="20"/>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r>
        <w:tblPrEx>
          <w:tblLayout w:type="fixed"/>
          <w:tblCellMar>
            <w:top w:w="15" w:type="dxa"/>
            <w:left w:w="15" w:type="dxa"/>
            <w:bottom w:w="15" w:type="dxa"/>
            <w:right w:w="15" w:type="dxa"/>
          </w:tblCellMar>
        </w:tblPrEx>
        <w:trPr>
          <w:trHeight w:val="375" w:hRule="atLeast"/>
        </w:trPr>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自然资源海洋气象等</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2,953 </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0"/>
                <w:szCs w:val="20"/>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r>
        <w:tblPrEx>
          <w:tblLayout w:type="fixed"/>
          <w:tblCellMar>
            <w:top w:w="15" w:type="dxa"/>
            <w:left w:w="15" w:type="dxa"/>
            <w:bottom w:w="15" w:type="dxa"/>
            <w:right w:w="15" w:type="dxa"/>
          </w:tblCellMar>
        </w:tblPrEx>
        <w:trPr>
          <w:trHeight w:val="375" w:hRule="atLeast"/>
        </w:trPr>
        <w:tc>
          <w:tcPr>
            <w:tcW w:w="2761"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住房保障</w:t>
            </w:r>
          </w:p>
        </w:tc>
        <w:tc>
          <w:tcPr>
            <w:tcW w:w="177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1,902 </w:t>
            </w:r>
          </w:p>
        </w:tc>
        <w:tc>
          <w:tcPr>
            <w:tcW w:w="295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left"/>
              <w:rPr>
                <w:rFonts w:ascii="Times New Roman" w:hAnsi="Times New Roman" w:eastAsia="宋体" w:cs="宋体"/>
                <w:color w:val="000000"/>
                <w:sz w:val="20"/>
                <w:szCs w:val="20"/>
              </w:rPr>
            </w:pPr>
          </w:p>
        </w:tc>
        <w:tc>
          <w:tcPr>
            <w:tcW w:w="158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r>
        <w:tblPrEx>
          <w:tblLayout w:type="fixed"/>
          <w:tblCellMar>
            <w:top w:w="15" w:type="dxa"/>
            <w:left w:w="15" w:type="dxa"/>
            <w:bottom w:w="15" w:type="dxa"/>
            <w:right w:w="15" w:type="dxa"/>
          </w:tblCellMar>
        </w:tblPrEx>
        <w:trPr>
          <w:trHeight w:val="375" w:hRule="atLeast"/>
        </w:trPr>
        <w:tc>
          <w:tcPr>
            <w:tcW w:w="27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灾害防治及应急管理</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153 </w:t>
            </w:r>
          </w:p>
        </w:tc>
        <w:tc>
          <w:tcPr>
            <w:tcW w:w="29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宋体" w:cs="宋体"/>
                <w:color w:val="000000"/>
                <w:sz w:val="20"/>
                <w:szCs w:val="20"/>
              </w:rPr>
            </w:pP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0"/>
                <w:szCs w:val="20"/>
              </w:rPr>
            </w:pPr>
          </w:p>
        </w:tc>
      </w:tr>
    </w:tbl>
    <w:p>
      <w:pPr>
        <w:spacing w:before="120" w:beforeLines="50"/>
        <w:jc w:val="left"/>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注：本表详细反映</w:t>
      </w:r>
      <w:r>
        <w:rPr>
          <w:rFonts w:ascii="Times New Roman" w:hAnsi="Times New Roman" w:eastAsia="宋体" w:cs="宋体"/>
          <w:color w:val="000000"/>
          <w:sz w:val="18"/>
          <w:szCs w:val="18"/>
        </w:rPr>
        <w:t>2022</w:t>
      </w:r>
      <w:r>
        <w:rPr>
          <w:rFonts w:hint="eastAsia" w:ascii="Times New Roman" w:hAnsi="Times New Roman" w:eastAsia="宋体" w:cs="宋体"/>
          <w:color w:val="000000"/>
          <w:sz w:val="18"/>
          <w:szCs w:val="18"/>
        </w:rPr>
        <w:t>年一般公共预算转移支付收入和转移支付支出情况。</w:t>
      </w:r>
    </w:p>
    <w:p>
      <w:pPr>
        <w:rPr>
          <w:rFonts w:ascii="Times New Roman" w:hAnsi="Times New Roman"/>
        </w:rPr>
      </w:pPr>
    </w:p>
    <w:p>
      <w:pPr>
        <w:spacing w:line="240" w:lineRule="atLeast"/>
        <w:jc w:val="left"/>
        <w:rPr>
          <w:rFonts w:ascii="Times New Roman" w:hAnsi="Times New Roman" w:eastAsia="方正仿宋_GBK"/>
          <w:lang w:val="zh-CN"/>
        </w:rPr>
      </w:pPr>
      <w:r>
        <w:rPr>
          <w:rFonts w:ascii="Times New Roman" w:hAnsi="Times New Roman" w:eastAsia="方正仿宋_GBK"/>
          <w:lang w:val="zh-CN"/>
        </w:rPr>
        <w:br w:type="page"/>
      </w:r>
    </w:p>
    <w:p>
      <w:pPr>
        <w:spacing w:line="400" w:lineRule="exac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6</w:t>
      </w:r>
    </w:p>
    <w:p>
      <w:pPr>
        <w:widowControl/>
        <w:jc w:val="center"/>
        <w:textAlignment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2022</w:t>
      </w:r>
      <w:r>
        <w:rPr>
          <w:rFonts w:hint="eastAsia" w:ascii="Times New Roman" w:hAnsi="Times New Roman" w:eastAsia="方正小标宋_GBK" w:cs="Times New Roman"/>
          <w:kern w:val="0"/>
          <w:sz w:val="44"/>
          <w:szCs w:val="44"/>
        </w:rPr>
        <w:t xml:space="preserve">年区级一般公共预算转移支付支出执行表 </w:t>
      </w:r>
    </w:p>
    <w:p>
      <w:pPr>
        <w:widowControl/>
        <w:spacing w:line="600" w:lineRule="exact"/>
        <w:jc w:val="center"/>
        <w:textAlignment w:val="center"/>
        <w:rPr>
          <w:rFonts w:ascii="方正小标宋_GBK" w:hAnsi="宋体" w:eastAsia="方正小标宋_GBK" w:cs="方正小标宋_GBK"/>
          <w:kern w:val="0"/>
          <w:sz w:val="32"/>
          <w:szCs w:val="32"/>
        </w:rPr>
      </w:pPr>
      <w:bookmarkStart w:id="9" w:name="_Toc4285"/>
      <w:r>
        <w:rPr>
          <w:rFonts w:hint="eastAsia" w:ascii="方正小标宋_GBK" w:hAnsi="宋体" w:eastAsia="方正小标宋_GBK" w:cs="方正小标宋_GBK"/>
          <w:kern w:val="0"/>
          <w:sz w:val="32"/>
          <w:szCs w:val="32"/>
        </w:rPr>
        <w:t>（分地区）</w:t>
      </w:r>
      <w:bookmarkEnd w:id="9"/>
    </w:p>
    <w:p>
      <w:pPr>
        <w:jc w:val="right"/>
        <w:rPr>
          <w:rFonts w:ascii="Times New Roman" w:hAnsi="Times New Roman" w:eastAsia="宋体" w:cs="Times New Roman"/>
        </w:rPr>
      </w:pPr>
      <w:r>
        <w:rPr>
          <w:rFonts w:hint="eastAsia" w:ascii="Times New Roman" w:hAnsi="Times New Roman" w:eastAsia="宋体" w:cs="Times New Roman"/>
        </w:rPr>
        <w:t>单位：万元</w:t>
      </w:r>
    </w:p>
    <w:tbl>
      <w:tblPr>
        <w:tblStyle w:val="10"/>
        <w:tblW w:w="9159" w:type="dxa"/>
        <w:tblInd w:w="0" w:type="dxa"/>
        <w:tblLayout w:type="fixed"/>
        <w:tblCellMar>
          <w:top w:w="0" w:type="dxa"/>
          <w:left w:w="108" w:type="dxa"/>
          <w:bottom w:w="0" w:type="dxa"/>
          <w:right w:w="108" w:type="dxa"/>
        </w:tblCellMar>
      </w:tblPr>
      <w:tblGrid>
        <w:gridCol w:w="6808"/>
        <w:gridCol w:w="2351"/>
      </w:tblGrid>
      <w:tr>
        <w:tblPrEx>
          <w:tblLayout w:type="fixed"/>
          <w:tblCellMar>
            <w:top w:w="0" w:type="dxa"/>
            <w:left w:w="108" w:type="dxa"/>
            <w:bottom w:w="0" w:type="dxa"/>
            <w:right w:w="108" w:type="dxa"/>
          </w:tblCellMar>
        </w:tblPrEx>
        <w:trPr>
          <w:trHeight w:val="454" w:hRule="atLeast"/>
        </w:trPr>
        <w:tc>
          <w:tcPr>
            <w:tcW w:w="6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单位名称</w:t>
            </w:r>
          </w:p>
        </w:tc>
        <w:tc>
          <w:tcPr>
            <w:tcW w:w="2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执行数</w:t>
            </w:r>
          </w:p>
        </w:tc>
      </w:tr>
      <w:tr>
        <w:tblPrEx>
          <w:tblLayout w:type="fixed"/>
          <w:tblCellMar>
            <w:top w:w="0" w:type="dxa"/>
            <w:left w:w="108" w:type="dxa"/>
            <w:bottom w:w="0" w:type="dxa"/>
            <w:right w:w="108" w:type="dxa"/>
          </w:tblCellMar>
        </w:tblPrEx>
        <w:trPr>
          <w:trHeight w:val="454" w:hRule="atLeast"/>
        </w:trPr>
        <w:tc>
          <w:tcPr>
            <w:tcW w:w="6808"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补助镇合计</w:t>
            </w:r>
          </w:p>
        </w:tc>
        <w:tc>
          <w:tcPr>
            <w:tcW w:w="2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13</w:t>
            </w:r>
            <w:r>
              <w:rPr>
                <w:rFonts w:hint="eastAsia" w:ascii="Times New Roman" w:hAnsi="Times New Roman" w:eastAsia="宋体" w:cs="Times New Roman"/>
                <w:b/>
                <w:bCs/>
                <w:color w:val="000000"/>
                <w:kern w:val="0"/>
                <w:sz w:val="20"/>
                <w:szCs w:val="20"/>
                <w:lang w:bidi="ar"/>
              </w:rPr>
              <w:t>,</w:t>
            </w:r>
            <w:r>
              <w:rPr>
                <w:rFonts w:ascii="Times New Roman" w:hAnsi="Times New Roman" w:eastAsia="宋体" w:cs="Times New Roman"/>
                <w:b/>
                <w:bCs/>
                <w:color w:val="000000"/>
                <w:kern w:val="0"/>
                <w:sz w:val="20"/>
                <w:szCs w:val="20"/>
                <w:lang w:bidi="ar"/>
              </w:rPr>
              <w:t xml:space="preserve">804 </w:t>
            </w:r>
          </w:p>
        </w:tc>
      </w:tr>
      <w:tr>
        <w:tblPrEx>
          <w:tblLayout w:type="fixed"/>
          <w:tblCellMar>
            <w:top w:w="0" w:type="dxa"/>
            <w:left w:w="108" w:type="dxa"/>
            <w:bottom w:w="0" w:type="dxa"/>
            <w:right w:w="108" w:type="dxa"/>
          </w:tblCellMar>
        </w:tblPrEx>
        <w:trPr>
          <w:trHeight w:val="454" w:hRule="atLeast"/>
        </w:trPr>
        <w:tc>
          <w:tcPr>
            <w:tcW w:w="6808"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八桥镇</w:t>
            </w:r>
          </w:p>
        </w:tc>
        <w:tc>
          <w:tcPr>
            <w:tcW w:w="2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4,160  </w:t>
            </w:r>
          </w:p>
        </w:tc>
      </w:tr>
      <w:tr>
        <w:tblPrEx>
          <w:tblLayout w:type="fixed"/>
          <w:tblCellMar>
            <w:top w:w="0" w:type="dxa"/>
            <w:left w:w="108" w:type="dxa"/>
            <w:bottom w:w="0" w:type="dxa"/>
            <w:right w:w="108" w:type="dxa"/>
          </w:tblCellMar>
        </w:tblPrEx>
        <w:trPr>
          <w:trHeight w:val="454" w:hRule="atLeast"/>
        </w:trPr>
        <w:tc>
          <w:tcPr>
            <w:tcW w:w="6808" w:type="dxa"/>
            <w:tcBorders>
              <w:top w:val="single" w:color="000000" w:sz="4" w:space="0"/>
              <w:left w:val="single" w:color="000000" w:sz="4" w:space="0"/>
              <w:bottom w:val="single" w:color="000000" w:sz="4" w:space="0"/>
              <w:right w:val="nil"/>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建胜镇</w:t>
            </w:r>
          </w:p>
        </w:tc>
        <w:tc>
          <w:tcPr>
            <w:tcW w:w="2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3,456  </w:t>
            </w:r>
          </w:p>
        </w:tc>
      </w:tr>
      <w:tr>
        <w:tblPrEx>
          <w:tblLayout w:type="fixed"/>
          <w:tblCellMar>
            <w:top w:w="0" w:type="dxa"/>
            <w:left w:w="108" w:type="dxa"/>
            <w:bottom w:w="0" w:type="dxa"/>
            <w:right w:w="108" w:type="dxa"/>
          </w:tblCellMar>
        </w:tblPrEx>
        <w:trPr>
          <w:trHeight w:val="454" w:hRule="atLeast"/>
        </w:trPr>
        <w:tc>
          <w:tcPr>
            <w:tcW w:w="6808" w:type="dxa"/>
            <w:tcBorders>
              <w:top w:val="single" w:color="000000" w:sz="4" w:space="0"/>
              <w:left w:val="single" w:color="000000" w:sz="4" w:space="0"/>
              <w:bottom w:val="single" w:color="000000" w:sz="4" w:space="0"/>
              <w:right w:val="nil"/>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跳磴镇</w:t>
            </w:r>
          </w:p>
        </w:tc>
        <w:tc>
          <w:tcPr>
            <w:tcW w:w="2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6,188 </w:t>
            </w:r>
          </w:p>
        </w:tc>
      </w:tr>
    </w:tbl>
    <w:p>
      <w:pPr>
        <w:widowControl/>
        <w:spacing w:line="580" w:lineRule="exact"/>
        <w:jc w:val="center"/>
        <w:rPr>
          <w:rFonts w:ascii="Times New Roman" w:hAnsi="Times New Roman" w:eastAsia="方正仿宋_GBK"/>
          <w:lang w:val="zh-CN"/>
        </w:rPr>
      </w:pPr>
    </w:p>
    <w:p>
      <w:pPr>
        <w:widowControl/>
        <w:spacing w:line="580" w:lineRule="exact"/>
        <w:jc w:val="center"/>
        <w:rPr>
          <w:rFonts w:ascii="Times New Roman" w:hAnsi="Times New Roman" w:eastAsia="方正仿宋_GBK"/>
          <w:lang w:val="zh-CN"/>
        </w:rPr>
      </w:pPr>
    </w:p>
    <w:p>
      <w:pPr>
        <w:widowControl/>
        <w:spacing w:line="580" w:lineRule="exact"/>
        <w:jc w:val="center"/>
        <w:rPr>
          <w:rFonts w:ascii="Times New Roman" w:hAnsi="Times New Roman" w:eastAsia="方正仿宋_GBK"/>
          <w:lang w:val="zh-CN"/>
        </w:rPr>
      </w:pPr>
    </w:p>
    <w:p>
      <w:pPr>
        <w:widowControl/>
        <w:spacing w:line="580" w:lineRule="exact"/>
        <w:jc w:val="center"/>
        <w:rPr>
          <w:rFonts w:ascii="Times New Roman" w:hAnsi="Times New Roman" w:eastAsia="方正仿宋_GBK"/>
          <w:lang w:val="zh-CN"/>
        </w:rPr>
      </w:pPr>
    </w:p>
    <w:p>
      <w:pPr>
        <w:widowControl/>
        <w:tabs>
          <w:tab w:val="left" w:pos="1631"/>
          <w:tab w:val="center" w:pos="4595"/>
        </w:tabs>
        <w:spacing w:line="580" w:lineRule="exact"/>
        <w:jc w:val="left"/>
        <w:rPr>
          <w:rFonts w:ascii="Times New Roman" w:hAnsi="Times New Roman" w:eastAsia="方正仿宋_GBK"/>
          <w:lang w:val="zh-CN"/>
        </w:rPr>
      </w:pPr>
      <w:r>
        <w:rPr>
          <w:rFonts w:hint="eastAsia" w:ascii="Times New Roman" w:hAnsi="Times New Roman" w:eastAsia="方正仿宋_GBK"/>
          <w:lang w:val="zh-CN"/>
        </w:rPr>
        <w:tab/>
      </w:r>
    </w:p>
    <w:p>
      <w:pPr>
        <w:widowControl/>
        <w:jc w:val="left"/>
        <w:rPr>
          <w:rFonts w:ascii="Times New Roman" w:hAnsi="Times New Roman" w:eastAsia="方正黑体_GBK" w:cs="方正黑体_GBK"/>
          <w:color w:val="000000"/>
          <w:kern w:val="0"/>
          <w:sz w:val="28"/>
          <w:szCs w:val="28"/>
        </w:rPr>
      </w:pPr>
      <w:r>
        <w:rPr>
          <w:rFonts w:ascii="Times New Roman" w:hAnsi="Times New Roman" w:eastAsia="方正黑体_GBK" w:cs="方正黑体_GBK"/>
          <w:color w:val="000000"/>
          <w:kern w:val="0"/>
          <w:sz w:val="28"/>
          <w:szCs w:val="28"/>
        </w:rPr>
        <w:br w:type="page"/>
      </w:r>
    </w:p>
    <w:p>
      <w:pPr>
        <w:spacing w:line="400" w:lineRule="exac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7</w:t>
      </w:r>
    </w:p>
    <w:p>
      <w:pPr>
        <w:widowControl/>
        <w:jc w:val="center"/>
        <w:textAlignment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2022</w:t>
      </w:r>
      <w:r>
        <w:rPr>
          <w:rFonts w:hint="eastAsia" w:ascii="Times New Roman" w:hAnsi="Times New Roman" w:eastAsia="方正小标宋_GBK" w:cs="Times New Roman"/>
          <w:kern w:val="0"/>
          <w:sz w:val="44"/>
          <w:szCs w:val="44"/>
        </w:rPr>
        <w:t xml:space="preserve">年区级一般公共预算转移支付支出执行表 </w:t>
      </w:r>
    </w:p>
    <w:p>
      <w:pPr>
        <w:widowControl/>
        <w:jc w:val="center"/>
        <w:textAlignment w:val="center"/>
        <w:outlineLvl w:val="0"/>
        <w:rPr>
          <w:rFonts w:ascii="Times New Roman" w:hAnsi="Times New Roman" w:eastAsia="方正小标宋_GBK" w:cs="方正小标宋_GBK"/>
          <w:color w:val="000000"/>
          <w:kern w:val="0"/>
          <w:sz w:val="32"/>
          <w:szCs w:val="32"/>
        </w:rPr>
      </w:pPr>
      <w:bookmarkStart w:id="10" w:name="_Toc16278"/>
      <w:r>
        <w:rPr>
          <w:rFonts w:hint="eastAsia" w:ascii="Times New Roman" w:hAnsi="Times New Roman" w:eastAsia="方正小标宋_GBK" w:cs="方正小标宋_GBK"/>
          <w:color w:val="000000"/>
          <w:kern w:val="0"/>
          <w:sz w:val="32"/>
          <w:szCs w:val="32"/>
        </w:rPr>
        <w:t>（分项目）</w:t>
      </w:r>
      <w:bookmarkEnd w:id="10"/>
    </w:p>
    <w:p>
      <w:pPr>
        <w:widowControl/>
        <w:jc w:val="right"/>
        <w:textAlignment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单位：万元</w:t>
      </w:r>
    </w:p>
    <w:tbl>
      <w:tblPr>
        <w:tblStyle w:val="10"/>
        <w:tblW w:w="9030" w:type="dxa"/>
        <w:tblInd w:w="0" w:type="dxa"/>
        <w:tblLayout w:type="fixed"/>
        <w:tblCellMar>
          <w:top w:w="15" w:type="dxa"/>
          <w:left w:w="15" w:type="dxa"/>
          <w:bottom w:w="15" w:type="dxa"/>
          <w:right w:w="15" w:type="dxa"/>
        </w:tblCellMar>
      </w:tblPr>
      <w:tblGrid>
        <w:gridCol w:w="6795"/>
        <w:gridCol w:w="2235"/>
      </w:tblGrid>
      <w:tr>
        <w:tblPrEx>
          <w:tblLayout w:type="fixed"/>
          <w:tblCellMar>
            <w:top w:w="15" w:type="dxa"/>
            <w:left w:w="15" w:type="dxa"/>
            <w:bottom w:w="15" w:type="dxa"/>
            <w:right w:w="15" w:type="dxa"/>
          </w:tblCellMar>
        </w:tblPrEx>
        <w:trPr>
          <w:trHeight w:val="480" w:hRule="atLeast"/>
          <w:tblHeader/>
        </w:trPr>
        <w:tc>
          <w:tcPr>
            <w:tcW w:w="6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项  目</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执行数</w:t>
            </w:r>
          </w:p>
        </w:tc>
      </w:tr>
      <w:tr>
        <w:tblPrEx>
          <w:tblLayout w:type="fixed"/>
          <w:tblCellMar>
            <w:top w:w="15" w:type="dxa"/>
            <w:left w:w="15" w:type="dxa"/>
            <w:bottom w:w="15" w:type="dxa"/>
            <w:right w:w="15" w:type="dxa"/>
          </w:tblCellMar>
        </w:tblPrEx>
        <w:trPr>
          <w:trHeight w:val="420" w:hRule="atLeast"/>
        </w:trPr>
        <w:tc>
          <w:tcPr>
            <w:tcW w:w="6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补助镇合计</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2"/>
              </w:rPr>
            </w:pPr>
            <w:r>
              <w:rPr>
                <w:rFonts w:ascii="Times New Roman" w:hAnsi="Times New Roman" w:eastAsia="宋体" w:cs="Times New Roman"/>
                <w:b/>
                <w:bCs/>
                <w:color w:val="000000"/>
                <w:kern w:val="0"/>
                <w:sz w:val="22"/>
                <w:lang w:bidi="ar"/>
              </w:rPr>
              <w:t>13</w:t>
            </w:r>
            <w:r>
              <w:rPr>
                <w:rFonts w:hint="eastAsia" w:ascii="Times New Roman" w:hAnsi="Times New Roman" w:eastAsia="宋体" w:cs="Times New Roman"/>
                <w:b/>
                <w:bCs/>
                <w:color w:val="000000"/>
                <w:kern w:val="0"/>
                <w:sz w:val="22"/>
                <w:lang w:bidi="ar"/>
              </w:rPr>
              <w:t>,</w:t>
            </w:r>
            <w:r>
              <w:rPr>
                <w:rFonts w:ascii="Times New Roman" w:hAnsi="Times New Roman" w:eastAsia="宋体" w:cs="Times New Roman"/>
                <w:b/>
                <w:bCs/>
                <w:color w:val="000000"/>
                <w:kern w:val="0"/>
                <w:sz w:val="22"/>
                <w:lang w:bidi="ar"/>
              </w:rPr>
              <w:t>804</w:t>
            </w:r>
            <w:r>
              <w:rPr>
                <w:rFonts w:ascii="Times New Roman" w:hAnsi="Times New Roman" w:eastAsia="宋体" w:cs="Times New Roman"/>
                <w:color w:val="000000"/>
                <w:kern w:val="0"/>
                <w:sz w:val="22"/>
                <w:lang w:bidi="ar"/>
              </w:rPr>
              <w:t xml:space="preserve"> </w:t>
            </w:r>
          </w:p>
        </w:tc>
      </w:tr>
      <w:tr>
        <w:tblPrEx>
          <w:tblLayout w:type="fixed"/>
          <w:tblCellMar>
            <w:top w:w="15" w:type="dxa"/>
            <w:left w:w="15" w:type="dxa"/>
            <w:bottom w:w="15" w:type="dxa"/>
            <w:right w:w="15" w:type="dxa"/>
          </w:tblCellMar>
        </w:tblPrEx>
        <w:trPr>
          <w:trHeight w:val="390" w:hRule="atLeast"/>
        </w:trPr>
        <w:tc>
          <w:tcPr>
            <w:tcW w:w="6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1"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b/>
                <w:bCs/>
                <w:color w:val="000000"/>
                <w:kern w:val="0"/>
                <w:sz w:val="20"/>
                <w:szCs w:val="20"/>
                <w:lang w:bidi="ar"/>
              </w:rPr>
              <w:t>财力保障</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11,920 </w:t>
            </w:r>
          </w:p>
        </w:tc>
      </w:tr>
      <w:tr>
        <w:tblPrEx>
          <w:tblLayout w:type="fixed"/>
          <w:tblCellMar>
            <w:top w:w="15" w:type="dxa"/>
            <w:left w:w="15" w:type="dxa"/>
            <w:bottom w:w="15" w:type="dxa"/>
            <w:right w:w="15" w:type="dxa"/>
          </w:tblCellMar>
        </w:tblPrEx>
        <w:trPr>
          <w:trHeight w:val="390" w:hRule="atLeast"/>
        </w:trPr>
        <w:tc>
          <w:tcPr>
            <w:tcW w:w="6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均衡性转移支付支出</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1,564 </w:t>
            </w:r>
          </w:p>
        </w:tc>
      </w:tr>
      <w:tr>
        <w:tblPrEx>
          <w:tblLayout w:type="fixed"/>
          <w:tblCellMar>
            <w:top w:w="15" w:type="dxa"/>
            <w:left w:w="15" w:type="dxa"/>
            <w:bottom w:w="15" w:type="dxa"/>
            <w:right w:w="15" w:type="dxa"/>
          </w:tblCellMar>
        </w:tblPrEx>
        <w:trPr>
          <w:trHeight w:val="390" w:hRule="atLeast"/>
        </w:trPr>
        <w:tc>
          <w:tcPr>
            <w:tcW w:w="6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体制补助支出</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9,851 </w:t>
            </w:r>
          </w:p>
        </w:tc>
      </w:tr>
      <w:tr>
        <w:tblPrEx>
          <w:tblLayout w:type="fixed"/>
          <w:tblCellMar>
            <w:top w:w="15" w:type="dxa"/>
            <w:left w:w="15" w:type="dxa"/>
            <w:bottom w:w="15" w:type="dxa"/>
            <w:right w:w="15" w:type="dxa"/>
          </w:tblCellMar>
        </w:tblPrEx>
        <w:trPr>
          <w:trHeight w:val="390" w:hRule="atLeast"/>
        </w:trPr>
        <w:tc>
          <w:tcPr>
            <w:tcW w:w="6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结算补助支出</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505 </w:t>
            </w:r>
          </w:p>
        </w:tc>
      </w:tr>
      <w:tr>
        <w:tblPrEx>
          <w:tblLayout w:type="fixed"/>
          <w:tblCellMar>
            <w:top w:w="15" w:type="dxa"/>
            <w:left w:w="15" w:type="dxa"/>
            <w:bottom w:w="15" w:type="dxa"/>
            <w:right w:w="15" w:type="dxa"/>
          </w:tblCellMar>
        </w:tblPrEx>
        <w:trPr>
          <w:trHeight w:val="390" w:hRule="atLeast"/>
        </w:trPr>
        <w:tc>
          <w:tcPr>
            <w:tcW w:w="6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1"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b/>
                <w:bCs/>
                <w:color w:val="000000"/>
                <w:kern w:val="0"/>
                <w:sz w:val="20"/>
                <w:szCs w:val="20"/>
                <w:lang w:bidi="ar"/>
              </w:rPr>
              <w:t>专项转移支付</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1,884 </w:t>
            </w:r>
          </w:p>
        </w:tc>
      </w:tr>
      <w:tr>
        <w:tblPrEx>
          <w:tblLayout w:type="fixed"/>
          <w:tblCellMar>
            <w:top w:w="15" w:type="dxa"/>
            <w:left w:w="15" w:type="dxa"/>
            <w:bottom w:w="15" w:type="dxa"/>
            <w:right w:w="15" w:type="dxa"/>
          </w:tblCellMar>
        </w:tblPrEx>
        <w:trPr>
          <w:trHeight w:val="390" w:hRule="atLeast"/>
        </w:trPr>
        <w:tc>
          <w:tcPr>
            <w:tcW w:w="6795" w:type="dxa"/>
            <w:tcBorders>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园区企业管理专项</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38 </w:t>
            </w:r>
          </w:p>
        </w:tc>
      </w:tr>
      <w:tr>
        <w:tblPrEx>
          <w:tblLayout w:type="fixed"/>
          <w:tblCellMar>
            <w:top w:w="15" w:type="dxa"/>
            <w:left w:w="15" w:type="dxa"/>
            <w:bottom w:w="15" w:type="dxa"/>
            <w:right w:w="15" w:type="dxa"/>
          </w:tblCellMar>
        </w:tblPrEx>
        <w:trPr>
          <w:trHeight w:val="390" w:hRule="atLeast"/>
        </w:trPr>
        <w:tc>
          <w:tcPr>
            <w:tcW w:w="6795" w:type="dxa"/>
            <w:tcBorders>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违法建筑整治工作奖补专项</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142 </w:t>
            </w:r>
          </w:p>
        </w:tc>
      </w:tr>
      <w:tr>
        <w:tblPrEx>
          <w:tblLayout w:type="fixed"/>
          <w:tblCellMar>
            <w:top w:w="15" w:type="dxa"/>
            <w:left w:w="15" w:type="dxa"/>
            <w:bottom w:w="15" w:type="dxa"/>
            <w:right w:w="15" w:type="dxa"/>
          </w:tblCellMar>
        </w:tblPrEx>
        <w:trPr>
          <w:trHeight w:val="390" w:hRule="atLeast"/>
        </w:trPr>
        <w:tc>
          <w:tcPr>
            <w:tcW w:w="6795" w:type="dxa"/>
            <w:tcBorders>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ascii="Times New Roman" w:hAnsi="Times New Roman" w:eastAsia="宋体" w:cs="宋体"/>
                <w:color w:val="000000"/>
                <w:sz w:val="20"/>
                <w:szCs w:val="20"/>
              </w:rPr>
            </w:pPr>
            <w:r>
              <w:rPr>
                <w:rFonts w:ascii="Times New Roman" w:hAnsi="Times New Roman" w:eastAsia="宋体" w:cs="Times New Roman"/>
                <w:color w:val="000000"/>
                <w:kern w:val="0"/>
                <w:sz w:val="20"/>
                <w:szCs w:val="20"/>
                <w:lang w:bidi="ar"/>
              </w:rPr>
              <w:t>2022</w:t>
            </w:r>
            <w:r>
              <w:rPr>
                <w:rFonts w:hint="eastAsia" w:ascii="Times New Roman" w:hAnsi="Times New Roman" w:eastAsia="宋体" w:cs="宋体"/>
                <w:color w:val="000000"/>
                <w:kern w:val="0"/>
                <w:sz w:val="20"/>
                <w:szCs w:val="20"/>
                <w:lang w:bidi="ar"/>
              </w:rPr>
              <w:t>年文化馆（站）免费开放项目</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 </w:t>
            </w:r>
          </w:p>
        </w:tc>
      </w:tr>
      <w:tr>
        <w:tblPrEx>
          <w:tblLayout w:type="fixed"/>
          <w:tblCellMar>
            <w:top w:w="15" w:type="dxa"/>
            <w:left w:w="15" w:type="dxa"/>
            <w:bottom w:w="15" w:type="dxa"/>
            <w:right w:w="15" w:type="dxa"/>
          </w:tblCellMar>
        </w:tblPrEx>
        <w:trPr>
          <w:trHeight w:val="390" w:hRule="atLeast"/>
        </w:trPr>
        <w:tc>
          <w:tcPr>
            <w:tcW w:w="6795" w:type="dxa"/>
            <w:tcBorders>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农村人居环境整治项目尾款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129 </w:t>
            </w:r>
          </w:p>
        </w:tc>
      </w:tr>
      <w:tr>
        <w:tblPrEx>
          <w:tblLayout w:type="fixed"/>
          <w:tblCellMar>
            <w:top w:w="15" w:type="dxa"/>
            <w:left w:w="15" w:type="dxa"/>
            <w:bottom w:w="15" w:type="dxa"/>
            <w:right w:w="15" w:type="dxa"/>
          </w:tblCellMar>
        </w:tblPrEx>
        <w:trPr>
          <w:trHeight w:val="375" w:hRule="atLeast"/>
        </w:trPr>
        <w:tc>
          <w:tcPr>
            <w:tcW w:w="6795" w:type="dxa"/>
            <w:tcBorders>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垃圾分类指导员补助资金</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50 </w:t>
            </w:r>
          </w:p>
        </w:tc>
      </w:tr>
      <w:tr>
        <w:tblPrEx>
          <w:tblLayout w:type="fixed"/>
          <w:tblCellMar>
            <w:top w:w="15" w:type="dxa"/>
            <w:left w:w="15" w:type="dxa"/>
            <w:bottom w:w="15" w:type="dxa"/>
            <w:right w:w="15" w:type="dxa"/>
          </w:tblCellMar>
        </w:tblPrEx>
        <w:trPr>
          <w:trHeight w:val="390" w:hRule="atLeast"/>
        </w:trPr>
        <w:tc>
          <w:tcPr>
            <w:tcW w:w="6795" w:type="dxa"/>
            <w:tcBorders>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疫情防控</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198 </w:t>
            </w:r>
          </w:p>
        </w:tc>
      </w:tr>
      <w:tr>
        <w:tblPrEx>
          <w:tblLayout w:type="fixed"/>
          <w:tblCellMar>
            <w:top w:w="15" w:type="dxa"/>
            <w:left w:w="15" w:type="dxa"/>
            <w:bottom w:w="15" w:type="dxa"/>
            <w:right w:w="15" w:type="dxa"/>
          </w:tblCellMar>
        </w:tblPrEx>
        <w:trPr>
          <w:trHeight w:val="390" w:hRule="atLeast"/>
        </w:trPr>
        <w:tc>
          <w:tcPr>
            <w:tcW w:w="6795" w:type="dxa"/>
            <w:tcBorders>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中梁山废弃矿山修复企业拆除奖励</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326 </w:t>
            </w:r>
          </w:p>
        </w:tc>
      </w:tr>
      <w:tr>
        <w:tblPrEx>
          <w:tblLayout w:type="fixed"/>
          <w:tblCellMar>
            <w:top w:w="15" w:type="dxa"/>
            <w:left w:w="15" w:type="dxa"/>
            <w:bottom w:w="15" w:type="dxa"/>
            <w:right w:w="15" w:type="dxa"/>
          </w:tblCellMar>
        </w:tblPrEx>
        <w:trPr>
          <w:trHeight w:val="390" w:hRule="atLeast"/>
        </w:trPr>
        <w:tc>
          <w:tcPr>
            <w:tcW w:w="6795" w:type="dxa"/>
            <w:tcBorders>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建胜镇清澜路公交停车港湾建设项目</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 </w:t>
            </w:r>
          </w:p>
        </w:tc>
      </w:tr>
      <w:tr>
        <w:tblPrEx>
          <w:tblLayout w:type="fixed"/>
          <w:tblCellMar>
            <w:top w:w="15" w:type="dxa"/>
            <w:left w:w="15" w:type="dxa"/>
            <w:bottom w:w="15" w:type="dxa"/>
            <w:right w:w="15" w:type="dxa"/>
          </w:tblCellMar>
        </w:tblPrEx>
        <w:trPr>
          <w:trHeight w:val="390" w:hRule="atLeast"/>
        </w:trPr>
        <w:tc>
          <w:tcPr>
            <w:tcW w:w="6795" w:type="dxa"/>
            <w:tcBorders>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新成立白居寺社区、建路社区开办经费</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 </w:t>
            </w:r>
          </w:p>
        </w:tc>
      </w:tr>
      <w:tr>
        <w:tblPrEx>
          <w:tblLayout w:type="fixed"/>
          <w:tblCellMar>
            <w:top w:w="15" w:type="dxa"/>
            <w:left w:w="15" w:type="dxa"/>
            <w:bottom w:w="15" w:type="dxa"/>
            <w:right w:w="15" w:type="dxa"/>
          </w:tblCellMar>
        </w:tblPrEx>
        <w:trPr>
          <w:trHeight w:val="428" w:hRule="atLeast"/>
        </w:trPr>
        <w:tc>
          <w:tcPr>
            <w:tcW w:w="6795" w:type="dxa"/>
            <w:tcBorders>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社区党群服务中心规范化智能化建设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65 </w:t>
            </w:r>
          </w:p>
        </w:tc>
      </w:tr>
      <w:tr>
        <w:tblPrEx>
          <w:tblLayout w:type="fixed"/>
          <w:tblCellMar>
            <w:top w:w="15" w:type="dxa"/>
            <w:left w:w="15" w:type="dxa"/>
            <w:bottom w:w="15" w:type="dxa"/>
            <w:right w:w="15" w:type="dxa"/>
          </w:tblCellMar>
        </w:tblPrEx>
        <w:trPr>
          <w:trHeight w:val="390" w:hRule="atLeast"/>
        </w:trPr>
        <w:tc>
          <w:tcPr>
            <w:tcW w:w="6795" w:type="dxa"/>
            <w:tcBorders>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百佳园社区文化广场文化景观建设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 </w:t>
            </w:r>
          </w:p>
        </w:tc>
      </w:tr>
      <w:tr>
        <w:tblPrEx>
          <w:tblLayout w:type="fixed"/>
          <w:tblCellMar>
            <w:top w:w="15" w:type="dxa"/>
            <w:left w:w="15" w:type="dxa"/>
            <w:bottom w:w="15" w:type="dxa"/>
            <w:right w:w="15" w:type="dxa"/>
          </w:tblCellMar>
        </w:tblPrEx>
        <w:trPr>
          <w:trHeight w:val="390" w:hRule="atLeast"/>
        </w:trPr>
        <w:tc>
          <w:tcPr>
            <w:tcW w:w="6795" w:type="dxa"/>
            <w:tcBorders>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农村厕所革命</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88 </w:t>
            </w:r>
          </w:p>
        </w:tc>
      </w:tr>
      <w:tr>
        <w:tblPrEx>
          <w:tblLayout w:type="fixed"/>
          <w:tblCellMar>
            <w:top w:w="15" w:type="dxa"/>
            <w:left w:w="15" w:type="dxa"/>
            <w:bottom w:w="15" w:type="dxa"/>
            <w:right w:w="15" w:type="dxa"/>
          </w:tblCellMar>
        </w:tblPrEx>
        <w:trPr>
          <w:trHeight w:val="390" w:hRule="atLeast"/>
        </w:trPr>
        <w:tc>
          <w:tcPr>
            <w:tcW w:w="6795" w:type="dxa"/>
            <w:tcBorders>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渝财基〔</w:t>
            </w:r>
            <w:r>
              <w:rPr>
                <w:rFonts w:ascii="Times New Roman" w:hAnsi="Times New Roman" w:eastAsia="宋体" w:cs="Times New Roman"/>
                <w:color w:val="000000"/>
                <w:kern w:val="0"/>
                <w:sz w:val="20"/>
                <w:szCs w:val="20"/>
                <w:lang w:bidi="ar"/>
              </w:rPr>
              <w:t>2021</w:t>
            </w:r>
            <w:r>
              <w:rPr>
                <w:rFonts w:hint="eastAsia" w:ascii="Times New Roman" w:hAnsi="Times New Roman" w:eastAsia="宋体" w:cs="宋体"/>
                <w:color w:val="000000"/>
                <w:kern w:val="0"/>
                <w:sz w:val="20"/>
                <w:szCs w:val="20"/>
                <w:lang w:bidi="ar"/>
              </w:rPr>
              <w:t>〕</w:t>
            </w:r>
            <w:r>
              <w:rPr>
                <w:rFonts w:ascii="Times New Roman" w:hAnsi="Times New Roman" w:eastAsia="宋体" w:cs="Times New Roman"/>
                <w:color w:val="000000"/>
                <w:kern w:val="0"/>
                <w:sz w:val="20"/>
                <w:szCs w:val="20"/>
                <w:lang w:bidi="ar"/>
              </w:rPr>
              <w:t>10</w:t>
            </w:r>
            <w:r>
              <w:rPr>
                <w:rFonts w:hint="eastAsia" w:ascii="Times New Roman" w:hAnsi="Times New Roman" w:eastAsia="宋体" w:cs="宋体"/>
                <w:color w:val="000000"/>
                <w:kern w:val="0"/>
                <w:sz w:val="20"/>
                <w:szCs w:val="20"/>
                <w:lang w:bidi="ar"/>
              </w:rPr>
              <w:t>号，村（社区）便民服务中心建设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55 </w:t>
            </w:r>
          </w:p>
        </w:tc>
      </w:tr>
      <w:tr>
        <w:tblPrEx>
          <w:tblLayout w:type="fixed"/>
          <w:tblCellMar>
            <w:top w:w="15" w:type="dxa"/>
            <w:left w:w="15" w:type="dxa"/>
            <w:bottom w:w="15" w:type="dxa"/>
            <w:right w:w="15" w:type="dxa"/>
          </w:tblCellMar>
        </w:tblPrEx>
        <w:trPr>
          <w:trHeight w:val="390" w:hRule="atLeast"/>
        </w:trPr>
        <w:tc>
          <w:tcPr>
            <w:tcW w:w="6795" w:type="dxa"/>
            <w:tcBorders>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渝财教〔</w:t>
            </w:r>
            <w:r>
              <w:rPr>
                <w:rFonts w:ascii="Times New Roman" w:hAnsi="Times New Roman" w:eastAsia="宋体" w:cs="Times New Roman"/>
                <w:color w:val="000000"/>
                <w:kern w:val="0"/>
                <w:sz w:val="20"/>
                <w:szCs w:val="20"/>
                <w:lang w:bidi="ar"/>
              </w:rPr>
              <w:t>2021</w:t>
            </w:r>
            <w:r>
              <w:rPr>
                <w:rFonts w:hint="eastAsia" w:ascii="Times New Roman" w:hAnsi="Times New Roman" w:eastAsia="宋体" w:cs="宋体"/>
                <w:color w:val="000000"/>
                <w:kern w:val="0"/>
                <w:sz w:val="20"/>
                <w:szCs w:val="20"/>
                <w:lang w:bidi="ar"/>
              </w:rPr>
              <w:t>〕</w:t>
            </w:r>
            <w:r>
              <w:rPr>
                <w:rFonts w:ascii="Times New Roman" w:hAnsi="Times New Roman" w:eastAsia="宋体" w:cs="Times New Roman"/>
                <w:color w:val="000000"/>
                <w:kern w:val="0"/>
                <w:sz w:val="20"/>
                <w:szCs w:val="20"/>
                <w:lang w:bidi="ar"/>
              </w:rPr>
              <w:t>197</w:t>
            </w:r>
            <w:r>
              <w:rPr>
                <w:rFonts w:hint="eastAsia" w:ascii="Times New Roman" w:hAnsi="Times New Roman" w:eastAsia="宋体" w:cs="宋体"/>
                <w:color w:val="000000"/>
                <w:kern w:val="0"/>
                <w:sz w:val="20"/>
                <w:szCs w:val="20"/>
                <w:lang w:bidi="ar"/>
              </w:rPr>
              <w:t>号，</w:t>
            </w:r>
            <w:r>
              <w:rPr>
                <w:rFonts w:ascii="Times New Roman" w:hAnsi="Times New Roman" w:eastAsia="宋体" w:cs="Times New Roman"/>
                <w:color w:val="000000"/>
                <w:kern w:val="0"/>
                <w:sz w:val="20"/>
                <w:szCs w:val="20"/>
                <w:lang w:bidi="ar"/>
              </w:rPr>
              <w:t>2022</w:t>
            </w:r>
            <w:r>
              <w:rPr>
                <w:rFonts w:hint="eastAsia" w:ascii="Times New Roman" w:hAnsi="Times New Roman" w:eastAsia="宋体" w:cs="宋体"/>
                <w:color w:val="000000"/>
                <w:kern w:val="0"/>
                <w:sz w:val="20"/>
                <w:szCs w:val="20"/>
                <w:lang w:bidi="ar"/>
              </w:rPr>
              <w:t>年文化馆（站）免费开放项目</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 </w:t>
            </w:r>
          </w:p>
        </w:tc>
      </w:tr>
      <w:tr>
        <w:tblPrEx>
          <w:tblLayout w:type="fixed"/>
          <w:tblCellMar>
            <w:top w:w="15" w:type="dxa"/>
            <w:left w:w="15" w:type="dxa"/>
            <w:bottom w:w="15" w:type="dxa"/>
            <w:right w:w="15" w:type="dxa"/>
          </w:tblCellMar>
        </w:tblPrEx>
        <w:trPr>
          <w:trHeight w:val="390" w:hRule="atLeast"/>
        </w:trPr>
        <w:tc>
          <w:tcPr>
            <w:tcW w:w="6795" w:type="dxa"/>
            <w:tcBorders>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渝财行政〔</w:t>
            </w:r>
            <w:r>
              <w:rPr>
                <w:rFonts w:ascii="Times New Roman" w:hAnsi="Times New Roman" w:eastAsia="宋体" w:cs="Times New Roman"/>
                <w:color w:val="000000"/>
                <w:kern w:val="0"/>
                <w:sz w:val="20"/>
                <w:szCs w:val="20"/>
                <w:lang w:bidi="ar"/>
              </w:rPr>
              <w:t>2021</w:t>
            </w:r>
            <w:r>
              <w:rPr>
                <w:rFonts w:hint="eastAsia" w:ascii="Times New Roman" w:hAnsi="Times New Roman" w:eastAsia="宋体" w:cs="宋体"/>
                <w:color w:val="000000"/>
                <w:kern w:val="0"/>
                <w:sz w:val="20"/>
                <w:szCs w:val="20"/>
                <w:lang w:bidi="ar"/>
              </w:rPr>
              <w:t>〕</w:t>
            </w:r>
            <w:r>
              <w:rPr>
                <w:rFonts w:ascii="Times New Roman" w:hAnsi="Times New Roman" w:eastAsia="宋体" w:cs="Times New Roman"/>
                <w:color w:val="000000"/>
                <w:kern w:val="0"/>
                <w:sz w:val="20"/>
                <w:szCs w:val="20"/>
                <w:lang w:bidi="ar"/>
              </w:rPr>
              <w:t>145</w:t>
            </w:r>
            <w:r>
              <w:rPr>
                <w:rFonts w:hint="eastAsia" w:ascii="Times New Roman" w:hAnsi="Times New Roman" w:eastAsia="宋体" w:cs="宋体"/>
                <w:color w:val="000000"/>
                <w:kern w:val="0"/>
                <w:sz w:val="20"/>
                <w:szCs w:val="20"/>
                <w:lang w:bidi="ar"/>
              </w:rPr>
              <w:t>号，地质灾害应急抢险经费</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33 </w:t>
            </w:r>
          </w:p>
        </w:tc>
      </w:tr>
      <w:tr>
        <w:tblPrEx>
          <w:tblLayout w:type="fixed"/>
          <w:tblCellMar>
            <w:top w:w="15" w:type="dxa"/>
            <w:left w:w="15" w:type="dxa"/>
            <w:bottom w:w="15" w:type="dxa"/>
            <w:right w:w="15" w:type="dxa"/>
          </w:tblCellMar>
        </w:tblPrEx>
        <w:trPr>
          <w:trHeight w:val="390" w:hRule="atLeast"/>
        </w:trPr>
        <w:tc>
          <w:tcPr>
            <w:tcW w:w="6795" w:type="dxa"/>
            <w:tcBorders>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渝财建〔</w:t>
            </w:r>
            <w:r>
              <w:rPr>
                <w:rFonts w:ascii="Times New Roman" w:hAnsi="Times New Roman" w:eastAsia="宋体" w:cs="Times New Roman"/>
                <w:color w:val="000000"/>
                <w:kern w:val="0"/>
                <w:sz w:val="20"/>
                <w:szCs w:val="20"/>
                <w:lang w:bidi="ar"/>
              </w:rPr>
              <w:t>2022</w:t>
            </w:r>
            <w:r>
              <w:rPr>
                <w:rFonts w:hint="eastAsia" w:ascii="Times New Roman" w:hAnsi="Times New Roman" w:eastAsia="宋体" w:cs="宋体"/>
                <w:color w:val="000000"/>
                <w:kern w:val="0"/>
                <w:sz w:val="20"/>
                <w:szCs w:val="20"/>
                <w:lang w:bidi="ar"/>
              </w:rPr>
              <w:t>〕</w:t>
            </w:r>
            <w:r>
              <w:rPr>
                <w:rFonts w:ascii="Times New Roman" w:hAnsi="Times New Roman" w:eastAsia="宋体" w:cs="Times New Roman"/>
                <w:color w:val="000000"/>
                <w:kern w:val="0"/>
                <w:sz w:val="20"/>
                <w:szCs w:val="20"/>
                <w:lang w:bidi="ar"/>
              </w:rPr>
              <w:t>19</w:t>
            </w:r>
            <w:r>
              <w:rPr>
                <w:rFonts w:hint="eastAsia" w:ascii="Times New Roman" w:hAnsi="Times New Roman" w:eastAsia="宋体" w:cs="宋体"/>
                <w:color w:val="000000"/>
                <w:kern w:val="0"/>
                <w:sz w:val="20"/>
                <w:szCs w:val="20"/>
                <w:lang w:bidi="ar"/>
              </w:rPr>
              <w:t>号，大渡口区跳磴金鳌</w:t>
            </w:r>
            <w:r>
              <w:rPr>
                <w:rFonts w:ascii="Times New Roman" w:hAnsi="Times New Roman" w:eastAsia="宋体" w:cs="Times New Roman"/>
                <w:color w:val="000000"/>
                <w:kern w:val="0"/>
                <w:sz w:val="20"/>
                <w:szCs w:val="20"/>
                <w:lang w:bidi="ar"/>
              </w:rPr>
              <w:t>5</w:t>
            </w:r>
            <w:r>
              <w:rPr>
                <w:rFonts w:hint="eastAsia" w:ascii="Times New Roman" w:hAnsi="Times New Roman" w:eastAsia="宋体" w:cs="宋体"/>
                <w:color w:val="000000"/>
                <w:kern w:val="0"/>
                <w:sz w:val="20"/>
                <w:szCs w:val="20"/>
                <w:lang w:bidi="ar"/>
              </w:rPr>
              <w:t>人制足球场地设施建设项目</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 </w:t>
            </w:r>
          </w:p>
        </w:tc>
      </w:tr>
      <w:tr>
        <w:tblPrEx>
          <w:tblLayout w:type="fixed"/>
          <w:tblCellMar>
            <w:top w:w="15" w:type="dxa"/>
            <w:left w:w="15" w:type="dxa"/>
            <w:bottom w:w="15" w:type="dxa"/>
            <w:right w:w="15" w:type="dxa"/>
          </w:tblCellMar>
        </w:tblPrEx>
        <w:trPr>
          <w:trHeight w:val="390" w:hRule="atLeast"/>
        </w:trPr>
        <w:tc>
          <w:tcPr>
            <w:tcW w:w="6795" w:type="dxa"/>
            <w:tcBorders>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渝财建〔</w:t>
            </w:r>
            <w:r>
              <w:rPr>
                <w:rFonts w:ascii="Times New Roman" w:hAnsi="Times New Roman" w:eastAsia="宋体" w:cs="Times New Roman"/>
                <w:color w:val="000000"/>
                <w:kern w:val="0"/>
                <w:sz w:val="20"/>
                <w:szCs w:val="20"/>
                <w:lang w:bidi="ar"/>
              </w:rPr>
              <w:t>2022</w:t>
            </w:r>
            <w:r>
              <w:rPr>
                <w:rFonts w:hint="eastAsia" w:ascii="Times New Roman" w:hAnsi="Times New Roman" w:eastAsia="宋体" w:cs="宋体"/>
                <w:color w:val="000000"/>
                <w:kern w:val="0"/>
                <w:sz w:val="20"/>
                <w:szCs w:val="20"/>
                <w:lang w:bidi="ar"/>
              </w:rPr>
              <w:t>〕</w:t>
            </w:r>
            <w:r>
              <w:rPr>
                <w:rFonts w:ascii="Times New Roman" w:hAnsi="Times New Roman" w:eastAsia="宋体" w:cs="Times New Roman"/>
                <w:color w:val="000000"/>
                <w:kern w:val="0"/>
                <w:sz w:val="20"/>
                <w:szCs w:val="20"/>
                <w:lang w:bidi="ar"/>
              </w:rPr>
              <w:t>19</w:t>
            </w:r>
            <w:r>
              <w:rPr>
                <w:rFonts w:hint="eastAsia" w:ascii="Times New Roman" w:hAnsi="Times New Roman" w:eastAsia="宋体" w:cs="宋体"/>
                <w:color w:val="000000"/>
                <w:kern w:val="0"/>
                <w:sz w:val="20"/>
                <w:szCs w:val="20"/>
                <w:lang w:bidi="ar"/>
              </w:rPr>
              <w:t>号，大渡口区跳磴蓝沁苑</w:t>
            </w:r>
            <w:r>
              <w:rPr>
                <w:rFonts w:ascii="Times New Roman" w:hAnsi="Times New Roman" w:eastAsia="宋体" w:cs="Times New Roman"/>
                <w:color w:val="000000"/>
                <w:kern w:val="0"/>
                <w:sz w:val="20"/>
                <w:szCs w:val="20"/>
                <w:lang w:bidi="ar"/>
              </w:rPr>
              <w:t>5</w:t>
            </w:r>
            <w:r>
              <w:rPr>
                <w:rFonts w:hint="eastAsia" w:ascii="Times New Roman" w:hAnsi="Times New Roman" w:eastAsia="宋体" w:cs="宋体"/>
                <w:color w:val="000000"/>
                <w:kern w:val="0"/>
                <w:sz w:val="20"/>
                <w:szCs w:val="20"/>
                <w:lang w:bidi="ar"/>
              </w:rPr>
              <w:t>人制足球场地设施建设项目</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30 </w:t>
            </w:r>
          </w:p>
        </w:tc>
      </w:tr>
      <w:tr>
        <w:tblPrEx>
          <w:tblLayout w:type="fixed"/>
          <w:tblCellMar>
            <w:top w:w="15" w:type="dxa"/>
            <w:left w:w="15" w:type="dxa"/>
            <w:bottom w:w="15" w:type="dxa"/>
            <w:right w:w="15" w:type="dxa"/>
          </w:tblCellMar>
        </w:tblPrEx>
        <w:trPr>
          <w:trHeight w:val="390" w:hRule="atLeast"/>
        </w:trPr>
        <w:tc>
          <w:tcPr>
            <w:tcW w:w="6795" w:type="dxa"/>
            <w:tcBorders>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渝财农〔</w:t>
            </w:r>
            <w:r>
              <w:rPr>
                <w:rFonts w:ascii="Times New Roman" w:hAnsi="Times New Roman" w:eastAsia="宋体" w:cs="Times New Roman"/>
                <w:color w:val="000000"/>
                <w:kern w:val="0"/>
                <w:sz w:val="20"/>
                <w:szCs w:val="20"/>
                <w:lang w:bidi="ar"/>
              </w:rPr>
              <w:t>2021</w:t>
            </w:r>
            <w:r>
              <w:rPr>
                <w:rFonts w:hint="eastAsia" w:ascii="Times New Roman" w:hAnsi="Times New Roman" w:eastAsia="宋体" w:cs="宋体"/>
                <w:color w:val="000000"/>
                <w:kern w:val="0"/>
                <w:sz w:val="20"/>
                <w:szCs w:val="20"/>
                <w:lang w:bidi="ar"/>
              </w:rPr>
              <w:t>〕</w:t>
            </w:r>
            <w:r>
              <w:rPr>
                <w:rFonts w:ascii="Times New Roman" w:hAnsi="Times New Roman" w:eastAsia="宋体" w:cs="Times New Roman"/>
                <w:color w:val="000000"/>
                <w:kern w:val="0"/>
                <w:sz w:val="20"/>
                <w:szCs w:val="20"/>
                <w:lang w:bidi="ar"/>
              </w:rPr>
              <w:t>123</w:t>
            </w:r>
            <w:r>
              <w:rPr>
                <w:rFonts w:hint="eastAsia" w:ascii="Times New Roman" w:hAnsi="Times New Roman" w:eastAsia="宋体" w:cs="宋体"/>
                <w:color w:val="000000"/>
                <w:kern w:val="0"/>
                <w:sz w:val="20"/>
                <w:szCs w:val="20"/>
                <w:lang w:bidi="ar"/>
              </w:rPr>
              <w:t>号，农村厕所革命</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57 </w:t>
            </w:r>
          </w:p>
        </w:tc>
      </w:tr>
      <w:tr>
        <w:tblPrEx>
          <w:tblLayout w:type="fixed"/>
          <w:tblCellMar>
            <w:top w:w="15" w:type="dxa"/>
            <w:left w:w="15" w:type="dxa"/>
            <w:bottom w:w="15" w:type="dxa"/>
            <w:right w:w="15" w:type="dxa"/>
          </w:tblCellMar>
        </w:tblPrEx>
        <w:trPr>
          <w:trHeight w:val="390" w:hRule="atLeast"/>
        </w:trPr>
        <w:tc>
          <w:tcPr>
            <w:tcW w:w="6795" w:type="dxa"/>
            <w:tcBorders>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渡财预〔</w:t>
            </w:r>
            <w:r>
              <w:rPr>
                <w:rFonts w:ascii="Times New Roman" w:hAnsi="Times New Roman" w:eastAsia="宋体" w:cs="Times New Roman"/>
                <w:color w:val="000000"/>
                <w:kern w:val="0"/>
                <w:sz w:val="20"/>
                <w:szCs w:val="20"/>
                <w:lang w:bidi="ar"/>
              </w:rPr>
              <w:t>2022</w:t>
            </w:r>
            <w:r>
              <w:rPr>
                <w:rFonts w:hint="eastAsia" w:ascii="Times New Roman" w:hAnsi="Times New Roman" w:eastAsia="宋体" w:cs="宋体"/>
                <w:color w:val="000000"/>
                <w:kern w:val="0"/>
                <w:sz w:val="20"/>
                <w:szCs w:val="20"/>
                <w:lang w:bidi="ar"/>
              </w:rPr>
              <w:t>〕</w:t>
            </w:r>
            <w:r>
              <w:rPr>
                <w:rFonts w:ascii="Times New Roman" w:hAnsi="Times New Roman" w:eastAsia="宋体" w:cs="Times New Roman"/>
                <w:color w:val="000000"/>
                <w:kern w:val="0"/>
                <w:sz w:val="20"/>
                <w:szCs w:val="20"/>
                <w:lang w:bidi="ar"/>
              </w:rPr>
              <w:t>54</w:t>
            </w:r>
            <w:r>
              <w:rPr>
                <w:rFonts w:hint="eastAsia" w:ascii="Times New Roman" w:hAnsi="Times New Roman" w:eastAsia="宋体" w:cs="宋体"/>
                <w:color w:val="000000"/>
                <w:kern w:val="0"/>
                <w:sz w:val="20"/>
                <w:szCs w:val="20"/>
                <w:lang w:bidi="ar"/>
              </w:rPr>
              <w:t>号，基层治理（平安及法治建设）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59 </w:t>
            </w:r>
          </w:p>
        </w:tc>
      </w:tr>
      <w:tr>
        <w:tblPrEx>
          <w:tblLayout w:type="fixed"/>
          <w:tblCellMar>
            <w:top w:w="15" w:type="dxa"/>
            <w:left w:w="15" w:type="dxa"/>
            <w:bottom w:w="15" w:type="dxa"/>
            <w:right w:w="15" w:type="dxa"/>
          </w:tblCellMar>
        </w:tblPrEx>
        <w:trPr>
          <w:trHeight w:val="390" w:hRule="atLeast"/>
        </w:trPr>
        <w:tc>
          <w:tcPr>
            <w:tcW w:w="6795" w:type="dxa"/>
            <w:tcBorders>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渡财产业〔</w:t>
            </w:r>
            <w:r>
              <w:rPr>
                <w:rFonts w:ascii="Times New Roman" w:hAnsi="Times New Roman" w:eastAsia="宋体" w:cs="Times New Roman"/>
                <w:color w:val="000000"/>
                <w:kern w:val="0"/>
                <w:sz w:val="20"/>
                <w:szCs w:val="20"/>
                <w:lang w:bidi="ar"/>
              </w:rPr>
              <w:t>2022</w:t>
            </w:r>
            <w:r>
              <w:rPr>
                <w:rFonts w:hint="eastAsia" w:ascii="Times New Roman" w:hAnsi="Times New Roman" w:eastAsia="宋体" w:cs="宋体"/>
                <w:color w:val="000000"/>
                <w:kern w:val="0"/>
                <w:sz w:val="20"/>
                <w:szCs w:val="20"/>
                <w:lang w:bidi="ar"/>
              </w:rPr>
              <w:t>〕</w:t>
            </w:r>
            <w:r>
              <w:rPr>
                <w:rFonts w:ascii="Times New Roman" w:hAnsi="Times New Roman" w:eastAsia="宋体" w:cs="Times New Roman"/>
                <w:color w:val="000000"/>
                <w:kern w:val="0"/>
                <w:sz w:val="20"/>
                <w:szCs w:val="20"/>
                <w:lang w:bidi="ar"/>
              </w:rPr>
              <w:t>48</w:t>
            </w:r>
            <w:r>
              <w:rPr>
                <w:rFonts w:hint="eastAsia" w:ascii="Times New Roman" w:hAnsi="Times New Roman" w:eastAsia="宋体" w:cs="宋体"/>
                <w:color w:val="000000"/>
                <w:kern w:val="0"/>
                <w:sz w:val="20"/>
                <w:szCs w:val="20"/>
                <w:lang w:bidi="ar"/>
              </w:rPr>
              <w:t>号，乡村振兴驻乡驻村干部工作经费</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 </w:t>
            </w:r>
          </w:p>
        </w:tc>
      </w:tr>
      <w:tr>
        <w:tblPrEx>
          <w:tblLayout w:type="fixed"/>
          <w:tblCellMar>
            <w:top w:w="15" w:type="dxa"/>
            <w:left w:w="15" w:type="dxa"/>
            <w:bottom w:w="15" w:type="dxa"/>
            <w:right w:w="15" w:type="dxa"/>
          </w:tblCellMar>
        </w:tblPrEx>
        <w:trPr>
          <w:trHeight w:val="390" w:hRule="atLeast"/>
        </w:trPr>
        <w:tc>
          <w:tcPr>
            <w:tcW w:w="6795" w:type="dxa"/>
            <w:tcBorders>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渝财农（</w:t>
            </w:r>
            <w:r>
              <w:rPr>
                <w:rFonts w:ascii="Times New Roman" w:hAnsi="Times New Roman" w:eastAsia="宋体" w:cs="Times New Roman"/>
                <w:color w:val="000000"/>
                <w:kern w:val="0"/>
                <w:sz w:val="20"/>
                <w:szCs w:val="20"/>
                <w:lang w:bidi="ar"/>
              </w:rPr>
              <w:t>2022</w:t>
            </w:r>
            <w:r>
              <w:rPr>
                <w:rFonts w:hint="eastAsia" w:ascii="Times New Roman" w:hAnsi="Times New Roman" w:eastAsia="宋体" w:cs="宋体"/>
                <w:color w:val="000000"/>
                <w:kern w:val="0"/>
                <w:sz w:val="20"/>
                <w:szCs w:val="20"/>
                <w:lang w:bidi="ar"/>
              </w:rPr>
              <w:t>）</w:t>
            </w:r>
            <w:r>
              <w:rPr>
                <w:rFonts w:ascii="Times New Roman" w:hAnsi="Times New Roman" w:eastAsia="宋体" w:cs="Times New Roman"/>
                <w:color w:val="000000"/>
                <w:kern w:val="0"/>
                <w:sz w:val="20"/>
                <w:szCs w:val="20"/>
                <w:lang w:bidi="ar"/>
              </w:rPr>
              <w:t>106</w:t>
            </w:r>
            <w:r>
              <w:rPr>
                <w:rFonts w:hint="eastAsia" w:ascii="Times New Roman" w:hAnsi="Times New Roman" w:eastAsia="宋体" w:cs="宋体"/>
                <w:color w:val="000000"/>
                <w:kern w:val="0"/>
                <w:sz w:val="20"/>
                <w:szCs w:val="20"/>
                <w:lang w:bidi="ar"/>
              </w:rPr>
              <w:t>号，</w:t>
            </w:r>
            <w:r>
              <w:rPr>
                <w:rFonts w:ascii="Times New Roman" w:hAnsi="Times New Roman" w:eastAsia="宋体" w:cs="Times New Roman"/>
                <w:color w:val="000000"/>
                <w:kern w:val="0"/>
                <w:sz w:val="20"/>
                <w:szCs w:val="20"/>
                <w:lang w:bidi="ar"/>
              </w:rPr>
              <w:t>2022</w:t>
            </w:r>
            <w:r>
              <w:rPr>
                <w:rFonts w:hint="eastAsia" w:ascii="Times New Roman" w:hAnsi="Times New Roman" w:eastAsia="宋体" w:cs="宋体"/>
                <w:color w:val="000000"/>
                <w:kern w:val="0"/>
                <w:sz w:val="20"/>
                <w:szCs w:val="20"/>
                <w:lang w:bidi="ar"/>
              </w:rPr>
              <w:t>年市级农村综合改革转移支付资金（跳磴镇拱桥村新合村蜂窝坝村</w:t>
            </w:r>
            <w:r>
              <w:rPr>
                <w:rFonts w:ascii="Times New Roman" w:hAnsi="Times New Roman" w:eastAsia="宋体" w:cs="Times New Roman"/>
                <w:color w:val="000000"/>
                <w:kern w:val="0"/>
                <w:sz w:val="20"/>
                <w:szCs w:val="20"/>
                <w:lang w:bidi="ar"/>
              </w:rPr>
              <w:t>2022</w:t>
            </w:r>
            <w:r>
              <w:rPr>
                <w:rFonts w:hint="eastAsia" w:ascii="Times New Roman" w:hAnsi="Times New Roman" w:eastAsia="宋体" w:cs="宋体"/>
                <w:color w:val="000000"/>
                <w:kern w:val="0"/>
                <w:sz w:val="20"/>
                <w:szCs w:val="20"/>
                <w:lang w:bidi="ar"/>
              </w:rPr>
              <w:t>年路灯安装项目）</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 </w:t>
            </w:r>
          </w:p>
        </w:tc>
      </w:tr>
      <w:tr>
        <w:tblPrEx>
          <w:tblLayout w:type="fixed"/>
          <w:tblCellMar>
            <w:top w:w="15" w:type="dxa"/>
            <w:left w:w="15" w:type="dxa"/>
            <w:bottom w:w="15" w:type="dxa"/>
            <w:right w:w="15" w:type="dxa"/>
          </w:tblCellMar>
        </w:tblPrEx>
        <w:trPr>
          <w:trHeight w:val="390" w:hRule="atLeast"/>
        </w:trPr>
        <w:tc>
          <w:tcPr>
            <w:tcW w:w="6795" w:type="dxa"/>
            <w:tcBorders>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渝财农〔</w:t>
            </w:r>
            <w:r>
              <w:rPr>
                <w:rFonts w:ascii="Times New Roman" w:hAnsi="Times New Roman" w:eastAsia="宋体" w:cs="Times New Roman"/>
                <w:color w:val="000000"/>
                <w:kern w:val="0"/>
                <w:sz w:val="20"/>
                <w:szCs w:val="20"/>
                <w:lang w:bidi="ar"/>
              </w:rPr>
              <w:t>2020</w:t>
            </w:r>
            <w:r>
              <w:rPr>
                <w:rFonts w:hint="eastAsia" w:ascii="Times New Roman" w:hAnsi="Times New Roman" w:eastAsia="宋体" w:cs="宋体"/>
                <w:color w:val="000000"/>
                <w:kern w:val="0"/>
                <w:sz w:val="20"/>
                <w:szCs w:val="20"/>
                <w:lang w:bidi="ar"/>
              </w:rPr>
              <w:t>〕</w:t>
            </w:r>
            <w:r>
              <w:rPr>
                <w:rFonts w:ascii="Times New Roman" w:hAnsi="Times New Roman" w:eastAsia="宋体" w:cs="Times New Roman"/>
                <w:color w:val="000000"/>
                <w:kern w:val="0"/>
                <w:sz w:val="20"/>
                <w:szCs w:val="20"/>
                <w:lang w:bidi="ar"/>
              </w:rPr>
              <w:t>137</w:t>
            </w:r>
            <w:r>
              <w:rPr>
                <w:rFonts w:hint="eastAsia" w:ascii="Times New Roman" w:hAnsi="Times New Roman" w:eastAsia="宋体" w:cs="宋体"/>
                <w:color w:val="000000"/>
                <w:kern w:val="0"/>
                <w:sz w:val="20"/>
                <w:szCs w:val="20"/>
                <w:lang w:bidi="ar"/>
              </w:rPr>
              <w:t>号，</w:t>
            </w:r>
            <w:r>
              <w:rPr>
                <w:rFonts w:ascii="Times New Roman" w:hAnsi="Times New Roman" w:eastAsia="宋体" w:cs="Times New Roman"/>
                <w:color w:val="000000"/>
                <w:kern w:val="0"/>
                <w:sz w:val="20"/>
                <w:szCs w:val="20"/>
                <w:lang w:bidi="ar"/>
              </w:rPr>
              <w:t>2021</w:t>
            </w:r>
            <w:r>
              <w:rPr>
                <w:rFonts w:hint="eastAsia" w:ascii="Times New Roman" w:hAnsi="Times New Roman" w:eastAsia="宋体" w:cs="宋体"/>
                <w:color w:val="000000"/>
                <w:kern w:val="0"/>
                <w:sz w:val="20"/>
                <w:szCs w:val="20"/>
                <w:lang w:bidi="ar"/>
              </w:rPr>
              <w:t>年农村综合改革转移支付预算（环金鳌山片区人居环境整治示范点提升—“小微生特”宜居村庄）</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 </w:t>
            </w:r>
          </w:p>
        </w:tc>
      </w:tr>
      <w:tr>
        <w:tblPrEx>
          <w:tblLayout w:type="fixed"/>
          <w:tblCellMar>
            <w:top w:w="15" w:type="dxa"/>
            <w:left w:w="15" w:type="dxa"/>
            <w:bottom w:w="15" w:type="dxa"/>
            <w:right w:w="15" w:type="dxa"/>
          </w:tblCellMar>
        </w:tblPrEx>
        <w:trPr>
          <w:trHeight w:val="480" w:hRule="atLeast"/>
        </w:trPr>
        <w:tc>
          <w:tcPr>
            <w:tcW w:w="6795" w:type="dxa"/>
            <w:tcBorders>
              <w:left w:val="single" w:color="000000" w:sz="4" w:space="0"/>
              <w:bottom w:val="single" w:color="auto" w:sz="4" w:space="0"/>
              <w:right w:val="single" w:color="000000" w:sz="4" w:space="0"/>
            </w:tcBorders>
            <w:shd w:val="clear" w:color="auto" w:fill="auto"/>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渝财农〔</w:t>
            </w:r>
            <w:r>
              <w:rPr>
                <w:rFonts w:ascii="Times New Roman" w:hAnsi="Times New Roman" w:eastAsia="宋体" w:cs="Times New Roman"/>
                <w:color w:val="000000"/>
                <w:kern w:val="0"/>
                <w:sz w:val="20"/>
                <w:szCs w:val="20"/>
                <w:lang w:bidi="ar"/>
              </w:rPr>
              <w:t>2020</w:t>
            </w:r>
            <w:r>
              <w:rPr>
                <w:rFonts w:hint="eastAsia" w:ascii="Times New Roman" w:hAnsi="Times New Roman" w:eastAsia="宋体" w:cs="宋体"/>
                <w:color w:val="000000"/>
                <w:kern w:val="0"/>
                <w:sz w:val="20"/>
                <w:szCs w:val="20"/>
                <w:lang w:bidi="ar"/>
              </w:rPr>
              <w:t>〕</w:t>
            </w:r>
            <w:r>
              <w:rPr>
                <w:rFonts w:ascii="Times New Roman" w:hAnsi="Times New Roman" w:eastAsia="宋体" w:cs="Times New Roman"/>
                <w:color w:val="000000"/>
                <w:kern w:val="0"/>
                <w:sz w:val="20"/>
                <w:szCs w:val="20"/>
                <w:lang w:bidi="ar"/>
              </w:rPr>
              <w:t>137</w:t>
            </w:r>
            <w:r>
              <w:rPr>
                <w:rFonts w:hint="eastAsia" w:ascii="Times New Roman" w:hAnsi="Times New Roman" w:eastAsia="宋体" w:cs="宋体"/>
                <w:color w:val="000000"/>
                <w:kern w:val="0"/>
                <w:sz w:val="20"/>
                <w:szCs w:val="20"/>
                <w:lang w:bidi="ar"/>
              </w:rPr>
              <w:t>号，</w:t>
            </w:r>
            <w:r>
              <w:rPr>
                <w:rFonts w:ascii="Times New Roman" w:hAnsi="Times New Roman" w:eastAsia="宋体" w:cs="Times New Roman"/>
                <w:color w:val="000000"/>
                <w:kern w:val="0"/>
                <w:sz w:val="20"/>
                <w:szCs w:val="20"/>
                <w:lang w:bidi="ar"/>
              </w:rPr>
              <w:t>2021</w:t>
            </w:r>
            <w:r>
              <w:rPr>
                <w:rFonts w:hint="eastAsia" w:ascii="Times New Roman" w:hAnsi="Times New Roman" w:eastAsia="宋体" w:cs="宋体"/>
                <w:color w:val="000000"/>
                <w:kern w:val="0"/>
                <w:sz w:val="20"/>
                <w:szCs w:val="20"/>
                <w:lang w:bidi="ar"/>
              </w:rPr>
              <w:t>年农村综合改革转移支付预算（村社入户便道）</w:t>
            </w:r>
          </w:p>
        </w:tc>
        <w:tc>
          <w:tcPr>
            <w:tcW w:w="223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right"/>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 </w:t>
            </w:r>
          </w:p>
        </w:tc>
      </w:tr>
      <w:tr>
        <w:tblPrEx>
          <w:tblLayout w:type="fixed"/>
          <w:tblCellMar>
            <w:top w:w="15" w:type="dxa"/>
            <w:left w:w="15" w:type="dxa"/>
            <w:bottom w:w="15" w:type="dxa"/>
            <w:right w:w="15" w:type="dxa"/>
          </w:tblCellMar>
        </w:tblPrEx>
        <w:trPr>
          <w:trHeight w:val="480" w:hRule="atLeast"/>
        </w:trPr>
        <w:tc>
          <w:tcPr>
            <w:tcW w:w="6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渝财农〔</w:t>
            </w:r>
            <w:r>
              <w:rPr>
                <w:rFonts w:ascii="Times New Roman" w:hAnsi="Times New Roman" w:eastAsia="宋体" w:cs="Times New Roman"/>
                <w:color w:val="000000"/>
                <w:kern w:val="0"/>
                <w:sz w:val="20"/>
                <w:szCs w:val="20"/>
                <w:lang w:bidi="ar"/>
              </w:rPr>
              <w:t>2020</w:t>
            </w:r>
            <w:r>
              <w:rPr>
                <w:rFonts w:hint="eastAsia" w:ascii="Times New Roman" w:hAnsi="Times New Roman" w:eastAsia="宋体" w:cs="宋体"/>
                <w:color w:val="000000"/>
                <w:kern w:val="0"/>
                <w:sz w:val="20"/>
                <w:szCs w:val="20"/>
                <w:lang w:bidi="ar"/>
              </w:rPr>
              <w:t>〕</w:t>
            </w:r>
            <w:r>
              <w:rPr>
                <w:rFonts w:ascii="Times New Roman" w:hAnsi="Times New Roman" w:eastAsia="宋体" w:cs="Times New Roman"/>
                <w:color w:val="000000"/>
                <w:kern w:val="0"/>
                <w:sz w:val="20"/>
                <w:szCs w:val="20"/>
                <w:lang w:bidi="ar"/>
              </w:rPr>
              <w:t>137</w:t>
            </w:r>
            <w:r>
              <w:rPr>
                <w:rFonts w:hint="eastAsia" w:ascii="Times New Roman" w:hAnsi="Times New Roman" w:eastAsia="宋体" w:cs="宋体"/>
                <w:color w:val="000000"/>
                <w:kern w:val="0"/>
                <w:sz w:val="20"/>
                <w:szCs w:val="20"/>
                <w:lang w:bidi="ar"/>
              </w:rPr>
              <w:t>号，</w:t>
            </w:r>
            <w:r>
              <w:rPr>
                <w:rFonts w:ascii="Times New Roman" w:hAnsi="Times New Roman" w:eastAsia="宋体" w:cs="Times New Roman"/>
                <w:color w:val="000000"/>
                <w:kern w:val="0"/>
                <w:sz w:val="20"/>
                <w:szCs w:val="20"/>
                <w:lang w:bidi="ar"/>
              </w:rPr>
              <w:t>2021</w:t>
            </w:r>
            <w:r>
              <w:rPr>
                <w:rFonts w:hint="eastAsia" w:ascii="Times New Roman" w:hAnsi="Times New Roman" w:eastAsia="宋体" w:cs="宋体"/>
                <w:color w:val="000000"/>
                <w:kern w:val="0"/>
                <w:sz w:val="20"/>
                <w:szCs w:val="20"/>
                <w:lang w:bidi="ar"/>
              </w:rPr>
              <w:t>年农村综合改革转移支付预算（村庄清洁行动“三清一改”工程）</w:t>
            </w:r>
          </w:p>
        </w:tc>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27 </w:t>
            </w:r>
          </w:p>
        </w:tc>
      </w:tr>
      <w:tr>
        <w:tblPrEx>
          <w:tblLayout w:type="fixed"/>
          <w:tblCellMar>
            <w:top w:w="15" w:type="dxa"/>
            <w:left w:w="15" w:type="dxa"/>
            <w:bottom w:w="15" w:type="dxa"/>
            <w:right w:w="15" w:type="dxa"/>
          </w:tblCellMar>
        </w:tblPrEx>
        <w:trPr>
          <w:trHeight w:val="480" w:hRule="atLeast"/>
        </w:trPr>
        <w:tc>
          <w:tcPr>
            <w:tcW w:w="6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00" w:firstLineChars="200"/>
              <w:jc w:val="left"/>
              <w:textAlignment w:val="center"/>
              <w:rPr>
                <w:rFonts w:hint="eastAsia" w:ascii="Times New Roman" w:hAnsi="Times New Roman" w:eastAsia="宋体" w:cs="宋体"/>
                <w:color w:val="000000"/>
                <w:kern w:val="0"/>
                <w:sz w:val="20"/>
                <w:szCs w:val="20"/>
                <w:lang w:bidi="ar"/>
              </w:rPr>
            </w:pPr>
            <w:r>
              <w:rPr>
                <w:rFonts w:hint="eastAsia" w:ascii="Times New Roman" w:hAnsi="Times New Roman" w:eastAsia="宋体" w:cs="宋体"/>
                <w:color w:val="000000"/>
                <w:kern w:val="0"/>
                <w:sz w:val="20"/>
                <w:szCs w:val="20"/>
                <w:lang w:val="en-US" w:eastAsia="zh-CN" w:bidi="ar"/>
              </w:rPr>
              <w:t>渝财预〔2020〕49号,2020年洪水内涝灾后重建项目（双河村灾后重建）</w:t>
            </w:r>
          </w:p>
        </w:tc>
        <w:tc>
          <w:tcPr>
            <w:tcW w:w="2235"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right"/>
              <w:textAlignment w:val="bottom"/>
              <w:rPr>
                <w:rFonts w:ascii="Times New Roman" w:hAnsi="Times New Roman" w:eastAsia="宋体" w:cs="Times New Roman"/>
                <w:color w:val="000000"/>
                <w:kern w:val="0"/>
                <w:sz w:val="20"/>
                <w:szCs w:val="20"/>
                <w:lang w:bidi="ar"/>
              </w:rPr>
            </w:pPr>
            <w:r>
              <w:rPr>
                <w:rFonts w:hint="default" w:ascii="Times New Roman" w:hAnsi="Times New Roman" w:eastAsia="宋体" w:cs="Times New Roman"/>
                <w:i w:val="0"/>
                <w:color w:val="000000"/>
                <w:kern w:val="0"/>
                <w:sz w:val="20"/>
                <w:szCs w:val="20"/>
                <w:u w:val="none"/>
                <w:lang w:val="en-US" w:eastAsia="zh-CN" w:bidi="ar"/>
              </w:rPr>
              <w:t xml:space="preserve">255 </w:t>
            </w:r>
          </w:p>
        </w:tc>
      </w:tr>
      <w:tr>
        <w:tblPrEx>
          <w:tblLayout w:type="fixed"/>
          <w:tblCellMar>
            <w:top w:w="15" w:type="dxa"/>
            <w:left w:w="15" w:type="dxa"/>
            <w:bottom w:w="15" w:type="dxa"/>
            <w:right w:w="15" w:type="dxa"/>
          </w:tblCellMar>
        </w:tblPrEx>
        <w:trPr>
          <w:trHeight w:val="480" w:hRule="atLeast"/>
        </w:trPr>
        <w:tc>
          <w:tcPr>
            <w:tcW w:w="6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00" w:firstLineChars="200"/>
              <w:jc w:val="left"/>
              <w:textAlignment w:val="center"/>
              <w:rPr>
                <w:rFonts w:hint="eastAsia" w:ascii="Times New Roman" w:hAnsi="Times New Roman" w:eastAsia="宋体" w:cs="宋体"/>
                <w:color w:val="000000"/>
                <w:kern w:val="0"/>
                <w:sz w:val="20"/>
                <w:szCs w:val="20"/>
                <w:lang w:bidi="ar"/>
              </w:rPr>
            </w:pPr>
            <w:r>
              <w:rPr>
                <w:rFonts w:hint="eastAsia" w:ascii="Times New Roman" w:hAnsi="Times New Roman" w:eastAsia="宋体" w:cs="宋体"/>
                <w:color w:val="000000"/>
                <w:kern w:val="0"/>
                <w:sz w:val="20"/>
                <w:szCs w:val="20"/>
                <w:lang w:val="en-US" w:eastAsia="zh-CN" w:bidi="ar"/>
              </w:rPr>
              <w:t>渝财预〔2020〕49号,2020年洪水内涝灾后重建项目（白沙沱社区灾后重建）</w:t>
            </w:r>
          </w:p>
        </w:tc>
        <w:tc>
          <w:tcPr>
            <w:tcW w:w="2235"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right"/>
              <w:textAlignment w:val="bottom"/>
              <w:rPr>
                <w:rFonts w:ascii="Times New Roman" w:hAnsi="Times New Roman" w:eastAsia="宋体" w:cs="Times New Roman"/>
                <w:color w:val="000000"/>
                <w:kern w:val="0"/>
                <w:sz w:val="20"/>
                <w:szCs w:val="20"/>
                <w:lang w:bidi="ar"/>
              </w:rPr>
            </w:pPr>
            <w:r>
              <w:rPr>
                <w:rFonts w:hint="default" w:ascii="Times New Roman" w:hAnsi="Times New Roman" w:eastAsia="宋体" w:cs="Times New Roman"/>
                <w:i w:val="0"/>
                <w:color w:val="000000"/>
                <w:kern w:val="0"/>
                <w:sz w:val="20"/>
                <w:szCs w:val="20"/>
                <w:u w:val="none"/>
                <w:lang w:val="en-US" w:eastAsia="zh-CN" w:bidi="ar"/>
              </w:rPr>
              <w:t xml:space="preserve">135 </w:t>
            </w:r>
          </w:p>
        </w:tc>
      </w:tr>
      <w:tr>
        <w:tblPrEx>
          <w:tblLayout w:type="fixed"/>
          <w:tblCellMar>
            <w:top w:w="15" w:type="dxa"/>
            <w:left w:w="15" w:type="dxa"/>
            <w:bottom w:w="15" w:type="dxa"/>
            <w:right w:w="15" w:type="dxa"/>
          </w:tblCellMar>
        </w:tblPrEx>
        <w:trPr>
          <w:trHeight w:val="480" w:hRule="atLeast"/>
        </w:trPr>
        <w:tc>
          <w:tcPr>
            <w:tcW w:w="6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00" w:firstLineChars="200"/>
              <w:jc w:val="left"/>
              <w:textAlignment w:val="center"/>
              <w:rPr>
                <w:rFonts w:hint="eastAsia" w:ascii="Times New Roman" w:hAnsi="Times New Roman" w:eastAsia="宋体" w:cs="宋体"/>
                <w:color w:val="000000"/>
                <w:kern w:val="0"/>
                <w:sz w:val="20"/>
                <w:szCs w:val="20"/>
                <w:lang w:bidi="ar"/>
              </w:rPr>
            </w:pPr>
            <w:r>
              <w:rPr>
                <w:rFonts w:hint="eastAsia" w:ascii="Times New Roman" w:hAnsi="Times New Roman" w:eastAsia="宋体" w:cs="宋体"/>
                <w:color w:val="000000"/>
                <w:kern w:val="0"/>
                <w:sz w:val="20"/>
                <w:szCs w:val="20"/>
                <w:lang w:val="en-US" w:eastAsia="zh-CN" w:bidi="ar"/>
              </w:rPr>
              <w:t>渝财农〔2020〕137号，2021年农村综合改革转移支付预算（农村生活垃圾收运处置体系建设示范补助）</w:t>
            </w:r>
          </w:p>
        </w:tc>
        <w:tc>
          <w:tcPr>
            <w:tcW w:w="2235"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right"/>
              <w:textAlignment w:val="bottom"/>
              <w:rPr>
                <w:rFonts w:ascii="Times New Roman" w:hAnsi="Times New Roman" w:eastAsia="宋体" w:cs="Times New Roman"/>
                <w:color w:val="000000"/>
                <w:kern w:val="0"/>
                <w:sz w:val="20"/>
                <w:szCs w:val="20"/>
                <w:lang w:bidi="ar"/>
              </w:rPr>
            </w:pPr>
            <w:r>
              <w:rPr>
                <w:rFonts w:hint="default" w:ascii="Times New Roman" w:hAnsi="Times New Roman" w:eastAsia="宋体" w:cs="Times New Roman"/>
                <w:i w:val="0"/>
                <w:color w:val="000000"/>
                <w:kern w:val="0"/>
                <w:sz w:val="20"/>
                <w:szCs w:val="20"/>
                <w:u w:val="none"/>
                <w:lang w:val="en-US" w:eastAsia="zh-CN" w:bidi="ar"/>
              </w:rPr>
              <w:t xml:space="preserve">4 </w:t>
            </w:r>
          </w:p>
        </w:tc>
      </w:tr>
      <w:tr>
        <w:tblPrEx>
          <w:tblLayout w:type="fixed"/>
          <w:tblCellMar>
            <w:top w:w="15" w:type="dxa"/>
            <w:left w:w="15" w:type="dxa"/>
            <w:bottom w:w="15" w:type="dxa"/>
            <w:right w:w="15" w:type="dxa"/>
          </w:tblCellMar>
        </w:tblPrEx>
        <w:trPr>
          <w:trHeight w:val="480" w:hRule="atLeast"/>
        </w:trPr>
        <w:tc>
          <w:tcPr>
            <w:tcW w:w="6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00" w:firstLineChars="200"/>
              <w:jc w:val="left"/>
              <w:textAlignment w:val="center"/>
              <w:rPr>
                <w:rFonts w:hint="eastAsia" w:ascii="Times New Roman" w:hAnsi="Times New Roman" w:eastAsia="宋体" w:cs="宋体"/>
                <w:color w:val="000000"/>
                <w:kern w:val="0"/>
                <w:sz w:val="20"/>
                <w:szCs w:val="20"/>
                <w:lang w:bidi="ar"/>
              </w:rPr>
            </w:pPr>
            <w:r>
              <w:rPr>
                <w:rFonts w:hint="eastAsia" w:ascii="Times New Roman" w:hAnsi="Times New Roman" w:eastAsia="宋体" w:cs="宋体"/>
                <w:color w:val="000000"/>
                <w:kern w:val="0"/>
                <w:sz w:val="20"/>
                <w:szCs w:val="20"/>
                <w:lang w:val="en-US" w:eastAsia="zh-CN" w:bidi="ar"/>
              </w:rPr>
              <w:t>渝财农〔2020〕137号，2021年农村综合改革转移支付预算（村庄清洁行动“三清一改”工程）</w:t>
            </w:r>
          </w:p>
        </w:tc>
        <w:tc>
          <w:tcPr>
            <w:tcW w:w="2235"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right"/>
              <w:textAlignment w:val="bottom"/>
              <w:rPr>
                <w:rFonts w:ascii="Times New Roman" w:hAnsi="Times New Roman" w:eastAsia="宋体" w:cs="Times New Roman"/>
                <w:color w:val="000000"/>
                <w:kern w:val="0"/>
                <w:sz w:val="20"/>
                <w:szCs w:val="20"/>
                <w:lang w:bidi="ar"/>
              </w:rPr>
            </w:pPr>
            <w:r>
              <w:rPr>
                <w:rFonts w:hint="default" w:ascii="Times New Roman" w:hAnsi="Times New Roman" w:eastAsia="宋体" w:cs="Times New Roman"/>
                <w:i w:val="0"/>
                <w:color w:val="000000"/>
                <w:kern w:val="0"/>
                <w:sz w:val="20"/>
                <w:szCs w:val="20"/>
                <w:u w:val="none"/>
                <w:lang w:val="en-US" w:eastAsia="zh-CN" w:bidi="ar"/>
              </w:rPr>
              <w:t xml:space="preserve">38 </w:t>
            </w:r>
          </w:p>
        </w:tc>
      </w:tr>
      <w:tr>
        <w:tblPrEx>
          <w:tblLayout w:type="fixed"/>
          <w:tblCellMar>
            <w:top w:w="15" w:type="dxa"/>
            <w:left w:w="15" w:type="dxa"/>
            <w:bottom w:w="15" w:type="dxa"/>
            <w:right w:w="15" w:type="dxa"/>
          </w:tblCellMar>
        </w:tblPrEx>
        <w:trPr>
          <w:trHeight w:val="480" w:hRule="atLeast"/>
        </w:trPr>
        <w:tc>
          <w:tcPr>
            <w:tcW w:w="6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00" w:firstLineChars="200"/>
              <w:jc w:val="left"/>
              <w:textAlignment w:val="center"/>
              <w:rPr>
                <w:rFonts w:hint="eastAsia" w:ascii="Times New Roman" w:hAnsi="Times New Roman" w:eastAsia="宋体" w:cs="宋体"/>
                <w:color w:val="000000"/>
                <w:kern w:val="0"/>
                <w:sz w:val="20"/>
                <w:szCs w:val="20"/>
                <w:lang w:bidi="ar"/>
              </w:rPr>
            </w:pPr>
            <w:r>
              <w:rPr>
                <w:rFonts w:hint="eastAsia" w:ascii="Times New Roman" w:hAnsi="Times New Roman" w:eastAsia="宋体" w:cs="宋体"/>
                <w:color w:val="000000"/>
                <w:kern w:val="0"/>
                <w:sz w:val="20"/>
                <w:szCs w:val="20"/>
                <w:lang w:val="en-US" w:eastAsia="zh-CN" w:bidi="ar"/>
              </w:rPr>
              <w:t>渝财农〔2020〕137号，2021年农村综合改革转移支付预算（扶持村级集体经济发展）</w:t>
            </w:r>
          </w:p>
        </w:tc>
        <w:tc>
          <w:tcPr>
            <w:tcW w:w="2235"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right"/>
              <w:textAlignment w:val="bottom"/>
              <w:rPr>
                <w:rFonts w:ascii="Times New Roman" w:hAnsi="Times New Roman" w:eastAsia="宋体" w:cs="Times New Roman"/>
                <w:color w:val="000000"/>
                <w:kern w:val="0"/>
                <w:sz w:val="20"/>
                <w:szCs w:val="20"/>
                <w:lang w:bidi="ar"/>
              </w:rPr>
            </w:pPr>
            <w:r>
              <w:rPr>
                <w:rFonts w:hint="default" w:ascii="Times New Roman" w:hAnsi="Times New Roman" w:eastAsia="宋体" w:cs="Times New Roman"/>
                <w:i w:val="0"/>
                <w:color w:val="000000"/>
                <w:kern w:val="0"/>
                <w:sz w:val="20"/>
                <w:szCs w:val="20"/>
                <w:u w:val="none"/>
                <w:lang w:val="en-US" w:eastAsia="zh-CN" w:bidi="ar"/>
              </w:rPr>
              <w:t xml:space="preserve">9 </w:t>
            </w:r>
          </w:p>
        </w:tc>
      </w:tr>
      <w:tr>
        <w:tblPrEx>
          <w:tblLayout w:type="fixed"/>
          <w:tblCellMar>
            <w:top w:w="15" w:type="dxa"/>
            <w:left w:w="15" w:type="dxa"/>
            <w:bottom w:w="15" w:type="dxa"/>
            <w:right w:w="15" w:type="dxa"/>
          </w:tblCellMar>
        </w:tblPrEx>
        <w:trPr>
          <w:trHeight w:val="480" w:hRule="atLeast"/>
        </w:trPr>
        <w:tc>
          <w:tcPr>
            <w:tcW w:w="6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00" w:firstLineChars="200"/>
              <w:jc w:val="left"/>
              <w:textAlignment w:val="center"/>
              <w:rPr>
                <w:rFonts w:hint="eastAsia" w:ascii="Times New Roman" w:hAnsi="Times New Roman" w:eastAsia="宋体" w:cs="宋体"/>
                <w:color w:val="000000"/>
                <w:kern w:val="0"/>
                <w:sz w:val="20"/>
                <w:szCs w:val="20"/>
                <w:lang w:bidi="ar"/>
              </w:rPr>
            </w:pPr>
            <w:r>
              <w:rPr>
                <w:rFonts w:hint="eastAsia" w:ascii="Times New Roman" w:hAnsi="Times New Roman" w:eastAsia="宋体" w:cs="宋体"/>
                <w:color w:val="000000"/>
                <w:kern w:val="0"/>
                <w:sz w:val="20"/>
                <w:szCs w:val="20"/>
                <w:lang w:val="en-US" w:eastAsia="zh-CN" w:bidi="ar"/>
              </w:rPr>
              <w:t>渝财基〔2021〕10号，市容秩序整治</w:t>
            </w:r>
          </w:p>
        </w:tc>
        <w:tc>
          <w:tcPr>
            <w:tcW w:w="2235"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right"/>
              <w:textAlignment w:val="bottom"/>
              <w:rPr>
                <w:rFonts w:ascii="Times New Roman" w:hAnsi="Times New Roman" w:eastAsia="宋体" w:cs="Times New Roman"/>
                <w:color w:val="000000"/>
                <w:kern w:val="0"/>
                <w:sz w:val="20"/>
                <w:szCs w:val="20"/>
                <w:lang w:bidi="ar"/>
              </w:rPr>
            </w:pPr>
            <w:r>
              <w:rPr>
                <w:rFonts w:hint="default" w:ascii="Times New Roman" w:hAnsi="Times New Roman" w:eastAsia="宋体" w:cs="Times New Roman"/>
                <w:i w:val="0"/>
                <w:color w:val="000000"/>
                <w:kern w:val="0"/>
                <w:sz w:val="20"/>
                <w:szCs w:val="20"/>
                <w:u w:val="none"/>
                <w:lang w:val="en-US" w:eastAsia="zh-CN" w:bidi="ar"/>
              </w:rPr>
              <w:t xml:space="preserve">56 </w:t>
            </w:r>
          </w:p>
        </w:tc>
      </w:tr>
    </w:tbl>
    <w:p>
      <w:pPr>
        <w:widowControl/>
        <w:spacing w:line="580" w:lineRule="exact"/>
        <w:jc w:val="center"/>
        <w:rPr>
          <w:rFonts w:ascii="Times New Roman" w:hAnsi="Times New Roman" w:eastAsia="方正仿宋_GBK"/>
          <w:lang w:val="zh-CN"/>
        </w:rPr>
      </w:pPr>
    </w:p>
    <w:p>
      <w:pPr>
        <w:widowControl/>
        <w:spacing w:line="580" w:lineRule="exact"/>
        <w:jc w:val="center"/>
        <w:rPr>
          <w:rFonts w:ascii="Times New Roman" w:hAnsi="Times New Roman" w:eastAsia="方正仿宋_GBK"/>
          <w:lang w:val="zh-CN"/>
        </w:rPr>
      </w:pPr>
    </w:p>
    <w:p>
      <w:pPr>
        <w:widowControl/>
        <w:spacing w:line="580" w:lineRule="exact"/>
        <w:jc w:val="center"/>
        <w:rPr>
          <w:rFonts w:ascii="Times New Roman" w:hAnsi="Times New Roman" w:eastAsia="方正仿宋_GBK"/>
          <w:lang w:val="zh-CN"/>
        </w:rPr>
      </w:pPr>
    </w:p>
    <w:p>
      <w:pPr>
        <w:widowControl/>
        <w:spacing w:line="580" w:lineRule="exact"/>
        <w:jc w:val="center"/>
        <w:rPr>
          <w:rFonts w:ascii="Times New Roman" w:hAnsi="Times New Roman" w:eastAsia="方正仿宋_GBK"/>
          <w:lang w:val="zh-CN"/>
        </w:rPr>
      </w:pPr>
    </w:p>
    <w:p>
      <w:pPr>
        <w:widowControl/>
        <w:jc w:val="left"/>
        <w:rPr>
          <w:rFonts w:ascii="Times New Roman" w:hAnsi="Times New Roman" w:eastAsia="方正黑体_GBK" w:cs="方正黑体_GBK"/>
          <w:color w:val="000000"/>
          <w:kern w:val="0"/>
          <w:sz w:val="28"/>
          <w:szCs w:val="28"/>
        </w:rPr>
      </w:pPr>
      <w:r>
        <w:rPr>
          <w:rFonts w:ascii="Times New Roman" w:hAnsi="Times New Roman" w:eastAsia="方正黑体_GBK" w:cs="方正黑体_GBK"/>
          <w:color w:val="000000"/>
          <w:kern w:val="0"/>
          <w:sz w:val="28"/>
          <w:szCs w:val="28"/>
        </w:rPr>
        <w:br w:type="page"/>
      </w:r>
    </w:p>
    <w:p>
      <w:pPr>
        <w:spacing w:line="400" w:lineRule="exac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8</w:t>
      </w:r>
    </w:p>
    <w:p>
      <w:pPr>
        <w:widowControl/>
        <w:jc w:val="center"/>
        <w:textAlignment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2022</w:t>
      </w:r>
      <w:r>
        <w:rPr>
          <w:rFonts w:hint="eastAsia" w:ascii="Times New Roman" w:hAnsi="Times New Roman" w:eastAsia="方正小标宋_GBK" w:cs="Times New Roman"/>
          <w:kern w:val="0"/>
          <w:sz w:val="44"/>
          <w:szCs w:val="44"/>
        </w:rPr>
        <w:t>年全区政府性基金预算收支执行表</w:t>
      </w:r>
    </w:p>
    <w:p>
      <w:pPr>
        <w:widowControl/>
        <w:jc w:val="right"/>
        <w:textAlignment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单位：万元</w:t>
      </w:r>
    </w:p>
    <w:tbl>
      <w:tblPr>
        <w:tblStyle w:val="10"/>
        <w:tblW w:w="9123" w:type="dxa"/>
        <w:tblInd w:w="0" w:type="dxa"/>
        <w:tblLayout w:type="fixed"/>
        <w:tblCellMar>
          <w:top w:w="0" w:type="dxa"/>
          <w:left w:w="108" w:type="dxa"/>
          <w:bottom w:w="0" w:type="dxa"/>
          <w:right w:w="108" w:type="dxa"/>
        </w:tblCellMar>
      </w:tblPr>
      <w:tblGrid>
        <w:gridCol w:w="2945"/>
        <w:gridCol w:w="1163"/>
        <w:gridCol w:w="1262"/>
        <w:gridCol w:w="1100"/>
        <w:gridCol w:w="1263"/>
        <w:gridCol w:w="1390"/>
      </w:tblGrid>
      <w:tr>
        <w:tblPrEx>
          <w:tblLayout w:type="fixed"/>
          <w:tblCellMar>
            <w:top w:w="0" w:type="dxa"/>
            <w:left w:w="108" w:type="dxa"/>
            <w:bottom w:w="0" w:type="dxa"/>
            <w:right w:w="108" w:type="dxa"/>
          </w:tblCellMar>
        </w:tblPrEx>
        <w:trPr>
          <w:trHeight w:val="397" w:hRule="atLeast"/>
        </w:trPr>
        <w:tc>
          <w:tcPr>
            <w:tcW w:w="2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收      入</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预算数</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调整</w:t>
            </w:r>
            <w:r>
              <w:rPr>
                <w:rFonts w:hint="eastAsia" w:ascii="Times New Roman" w:hAnsi="Times New Roman" w:eastAsia="黑体" w:cs="黑体"/>
                <w:color w:val="000000"/>
                <w:kern w:val="0"/>
                <w:sz w:val="22"/>
                <w:lang w:bidi="ar"/>
              </w:rPr>
              <w:br w:type="textWrapping"/>
            </w:r>
            <w:r>
              <w:rPr>
                <w:rFonts w:hint="eastAsia" w:ascii="Times New Roman" w:hAnsi="Times New Roman" w:eastAsia="黑体" w:cs="黑体"/>
                <w:color w:val="000000"/>
                <w:kern w:val="0"/>
                <w:sz w:val="22"/>
                <w:lang w:bidi="ar"/>
              </w:rPr>
              <w:t>预算数</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执行数</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执行数</w:t>
            </w:r>
            <w:r>
              <w:rPr>
                <w:rFonts w:hint="eastAsia" w:ascii="Times New Roman" w:hAnsi="Times New Roman" w:eastAsia="黑体" w:cs="黑体"/>
                <w:color w:val="000000"/>
                <w:kern w:val="0"/>
                <w:sz w:val="22"/>
                <w:lang w:bidi="ar"/>
              </w:rPr>
              <w:br w:type="textWrapping"/>
            </w:r>
            <w:r>
              <w:rPr>
                <w:rFonts w:hint="eastAsia" w:ascii="Times New Roman" w:hAnsi="Times New Roman" w:eastAsia="黑体" w:cs="黑体"/>
                <w:color w:val="000000"/>
                <w:kern w:val="0"/>
                <w:sz w:val="22"/>
                <w:lang w:bidi="ar"/>
              </w:rPr>
              <w:t>为调整</w:t>
            </w:r>
            <w:r>
              <w:rPr>
                <w:rFonts w:hint="eastAsia" w:ascii="Times New Roman" w:hAnsi="Times New Roman" w:eastAsia="黑体" w:cs="黑体"/>
                <w:color w:val="000000"/>
                <w:kern w:val="0"/>
                <w:sz w:val="22"/>
                <w:lang w:bidi="ar"/>
              </w:rPr>
              <w:br w:type="textWrapping"/>
            </w:r>
            <w:r>
              <w:rPr>
                <w:rFonts w:hint="eastAsia" w:ascii="Times New Roman" w:hAnsi="Times New Roman" w:eastAsia="黑体" w:cs="黑体"/>
                <w:color w:val="000000"/>
                <w:kern w:val="0"/>
                <w:sz w:val="22"/>
                <w:lang w:bidi="ar"/>
              </w:rPr>
              <w:t>预算数的%</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kern w:val="0"/>
                <w:sz w:val="22"/>
                <w:lang w:bidi="ar"/>
              </w:rPr>
            </w:pPr>
            <w:r>
              <w:rPr>
                <w:rFonts w:hint="eastAsia" w:ascii="Times New Roman" w:hAnsi="Times New Roman" w:eastAsia="黑体" w:cs="黑体"/>
                <w:color w:val="000000"/>
                <w:kern w:val="0"/>
                <w:sz w:val="22"/>
                <w:lang w:bidi="ar"/>
              </w:rPr>
              <w:t>执行数</w:t>
            </w:r>
          </w:p>
          <w:p>
            <w:pPr>
              <w:widowControl/>
              <w:jc w:val="center"/>
              <w:textAlignment w:val="center"/>
              <w:rPr>
                <w:rFonts w:ascii="Times New Roman" w:hAnsi="Times New Roman" w:eastAsia="黑体" w:cs="黑体"/>
                <w:color w:val="000000"/>
                <w:kern w:val="0"/>
                <w:sz w:val="22"/>
                <w:lang w:bidi="ar"/>
              </w:rPr>
            </w:pPr>
            <w:r>
              <w:rPr>
                <w:rFonts w:hint="eastAsia" w:ascii="Times New Roman" w:hAnsi="Times New Roman" w:eastAsia="黑体" w:cs="黑体"/>
                <w:color w:val="000000"/>
                <w:kern w:val="0"/>
                <w:sz w:val="22"/>
                <w:lang w:bidi="ar"/>
              </w:rPr>
              <w:t>为上年</w:t>
            </w:r>
          </w:p>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决算数的%</w:t>
            </w:r>
          </w:p>
        </w:tc>
      </w:tr>
      <w:tr>
        <w:tblPrEx>
          <w:tblLayout w:type="fixed"/>
          <w:tblCellMar>
            <w:top w:w="0" w:type="dxa"/>
            <w:left w:w="108" w:type="dxa"/>
            <w:bottom w:w="0" w:type="dxa"/>
            <w:right w:w="108" w:type="dxa"/>
          </w:tblCellMar>
        </w:tblPrEx>
        <w:trPr>
          <w:trHeight w:val="425" w:hRule="atLeast"/>
        </w:trPr>
        <w:tc>
          <w:tcPr>
            <w:tcW w:w="2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总  计</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631,944 </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629,228 </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705,324 </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b/>
                <w:bCs/>
                <w:color w:val="000000"/>
                <w:sz w:val="20"/>
                <w:szCs w:val="20"/>
              </w:rPr>
            </w:pP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b/>
                <w:bCs/>
                <w:color w:val="000000"/>
                <w:sz w:val="20"/>
                <w:szCs w:val="20"/>
              </w:rPr>
            </w:pPr>
          </w:p>
        </w:tc>
      </w:tr>
      <w:tr>
        <w:tblPrEx>
          <w:tblLayout w:type="fixed"/>
          <w:tblCellMar>
            <w:top w:w="0" w:type="dxa"/>
            <w:left w:w="108" w:type="dxa"/>
            <w:bottom w:w="0" w:type="dxa"/>
            <w:right w:w="108" w:type="dxa"/>
          </w:tblCellMar>
        </w:tblPrEx>
        <w:trPr>
          <w:trHeight w:val="425" w:hRule="atLeast"/>
        </w:trPr>
        <w:tc>
          <w:tcPr>
            <w:tcW w:w="2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本级收入合计</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b/>
                <w:bCs/>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b/>
                <w:bCs/>
                <w:color w:val="000000"/>
                <w:sz w:val="20"/>
                <w:szCs w:val="20"/>
              </w:rPr>
            </w:pP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b/>
                <w:bCs/>
                <w:color w:val="000000"/>
                <w:sz w:val="20"/>
                <w:szCs w:val="20"/>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b/>
                <w:bCs/>
                <w:color w:val="000000"/>
                <w:sz w:val="20"/>
                <w:szCs w:val="20"/>
              </w:rPr>
            </w:pP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b/>
                <w:bCs/>
                <w:color w:val="000000"/>
                <w:sz w:val="20"/>
                <w:szCs w:val="20"/>
              </w:rPr>
            </w:pPr>
          </w:p>
        </w:tc>
      </w:tr>
      <w:tr>
        <w:tblPrEx>
          <w:tblLayout w:type="fixed"/>
          <w:tblCellMar>
            <w:top w:w="0" w:type="dxa"/>
            <w:left w:w="108" w:type="dxa"/>
            <w:bottom w:w="0" w:type="dxa"/>
            <w:right w:w="108" w:type="dxa"/>
          </w:tblCellMar>
        </w:tblPrEx>
        <w:trPr>
          <w:trHeight w:val="425" w:hRule="atLeast"/>
        </w:trPr>
        <w:tc>
          <w:tcPr>
            <w:tcW w:w="2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一、农网还贷资金收入</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25" w:hRule="atLeast"/>
        </w:trPr>
        <w:tc>
          <w:tcPr>
            <w:tcW w:w="2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二、港口建设费收入</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25" w:hRule="atLeast"/>
        </w:trPr>
        <w:tc>
          <w:tcPr>
            <w:tcW w:w="2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三、国家电影事业发展专项资金收入</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25" w:hRule="atLeast"/>
        </w:trPr>
        <w:tc>
          <w:tcPr>
            <w:tcW w:w="2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四、城市公用事业附加收入</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25" w:hRule="atLeast"/>
        </w:trPr>
        <w:tc>
          <w:tcPr>
            <w:tcW w:w="2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五、国有土地收益基金收入</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25" w:hRule="atLeast"/>
        </w:trPr>
        <w:tc>
          <w:tcPr>
            <w:tcW w:w="2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六、农业土地开发资金收入</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25" w:hRule="atLeast"/>
        </w:trPr>
        <w:tc>
          <w:tcPr>
            <w:tcW w:w="2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七、国有土地使用权出让收入</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25" w:hRule="atLeast"/>
        </w:trPr>
        <w:tc>
          <w:tcPr>
            <w:tcW w:w="2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八、大中型水库库区基金收入</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25" w:hRule="atLeast"/>
        </w:trPr>
        <w:tc>
          <w:tcPr>
            <w:tcW w:w="2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九、彩票公益金收入</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25" w:hRule="atLeast"/>
        </w:trPr>
        <w:tc>
          <w:tcPr>
            <w:tcW w:w="2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十、小型水库移民扶助基金收入</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25" w:hRule="atLeast"/>
        </w:trPr>
        <w:tc>
          <w:tcPr>
            <w:tcW w:w="2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十一、污水处理费收入</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25" w:hRule="atLeast"/>
        </w:trPr>
        <w:tc>
          <w:tcPr>
            <w:tcW w:w="2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十二、彩票发行机构和彩票销售机构的业务费用</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25" w:hRule="atLeast"/>
        </w:trPr>
        <w:tc>
          <w:tcPr>
            <w:tcW w:w="2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十三、城市基础设施配套费收入</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25" w:hRule="atLeast"/>
        </w:trPr>
        <w:tc>
          <w:tcPr>
            <w:tcW w:w="2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转移性收入合计</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631,944 </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629,228 </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705,324 </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b/>
                <w:bCs/>
                <w:color w:val="000000"/>
                <w:sz w:val="20"/>
                <w:szCs w:val="20"/>
              </w:rPr>
            </w:pP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25" w:hRule="atLeast"/>
        </w:trPr>
        <w:tc>
          <w:tcPr>
            <w:tcW w:w="2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一、上级补助收入</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302,350 </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302,350 </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378,446 </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25" w:hRule="atLeast"/>
        </w:trPr>
        <w:tc>
          <w:tcPr>
            <w:tcW w:w="2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二、调入资金</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4,715 </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25" w:hRule="atLeast"/>
        </w:trPr>
        <w:tc>
          <w:tcPr>
            <w:tcW w:w="2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三、债务转贷收入 </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84,000 </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86,000 </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86,000 </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25" w:hRule="atLeast"/>
        </w:trPr>
        <w:tc>
          <w:tcPr>
            <w:tcW w:w="2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专项债券转贷收入(新增）</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2,000 </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2,000 </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25" w:hRule="atLeast"/>
        </w:trPr>
        <w:tc>
          <w:tcPr>
            <w:tcW w:w="2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专项债券转贷收入(再融资）</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84,000 </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84,000 </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84,000 </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25" w:hRule="atLeast"/>
        </w:trPr>
        <w:tc>
          <w:tcPr>
            <w:tcW w:w="2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四、上年结转</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240,879 </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240,878 </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240,878 </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ascii="Times New Roman" w:hAnsi="Times New Roman" w:eastAsia="宋体" w:cs="Times New Roman"/>
                <w:color w:val="000000"/>
                <w:sz w:val="20"/>
                <w:szCs w:val="20"/>
              </w:rPr>
            </w:pPr>
          </w:p>
        </w:tc>
      </w:tr>
    </w:tbl>
    <w:p>
      <w:pPr>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br w:type="page"/>
      </w:r>
    </w:p>
    <w:p>
      <w:pPr>
        <w:spacing w:line="400" w:lineRule="exac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续表</w:t>
      </w:r>
      <w:r>
        <w:rPr>
          <w:rFonts w:ascii="Times New Roman" w:hAnsi="Times New Roman" w:eastAsia="方正黑体_GBK" w:cs="Times New Roman"/>
          <w:kern w:val="0"/>
          <w:sz w:val="28"/>
          <w:szCs w:val="28"/>
        </w:rPr>
        <w:t>8</w:t>
      </w:r>
    </w:p>
    <w:p>
      <w:pPr>
        <w:widowControl/>
        <w:jc w:val="center"/>
        <w:textAlignment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2022</w:t>
      </w:r>
      <w:r>
        <w:rPr>
          <w:rFonts w:hint="eastAsia" w:ascii="Times New Roman" w:hAnsi="Times New Roman" w:eastAsia="方正小标宋_GBK" w:cs="Times New Roman"/>
          <w:kern w:val="0"/>
          <w:sz w:val="44"/>
          <w:szCs w:val="44"/>
        </w:rPr>
        <w:t>年全区政府性基金预算收支执行表</w:t>
      </w:r>
    </w:p>
    <w:p>
      <w:pPr>
        <w:widowControl/>
        <w:jc w:val="right"/>
        <w:textAlignment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单位：万元</w:t>
      </w:r>
    </w:p>
    <w:tbl>
      <w:tblPr>
        <w:tblStyle w:val="10"/>
        <w:tblW w:w="9072" w:type="dxa"/>
        <w:tblInd w:w="91" w:type="dxa"/>
        <w:tblLayout w:type="fixed"/>
        <w:tblCellMar>
          <w:top w:w="0" w:type="dxa"/>
          <w:left w:w="108" w:type="dxa"/>
          <w:bottom w:w="0" w:type="dxa"/>
          <w:right w:w="108" w:type="dxa"/>
        </w:tblCellMar>
      </w:tblPr>
      <w:tblGrid>
        <w:gridCol w:w="2985"/>
        <w:gridCol w:w="1187"/>
        <w:gridCol w:w="1263"/>
        <w:gridCol w:w="1087"/>
        <w:gridCol w:w="1250"/>
        <w:gridCol w:w="1300"/>
      </w:tblGrid>
      <w:tr>
        <w:tblPrEx>
          <w:tblLayout w:type="fixed"/>
          <w:tblCellMar>
            <w:top w:w="0" w:type="dxa"/>
            <w:left w:w="108" w:type="dxa"/>
            <w:bottom w:w="0" w:type="dxa"/>
            <w:right w:w="108" w:type="dxa"/>
          </w:tblCellMar>
        </w:tblPrEx>
        <w:trPr>
          <w:trHeight w:val="397" w:hRule="atLeast"/>
        </w:trPr>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支      出</w:t>
            </w: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预算数</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调整</w:t>
            </w:r>
            <w:r>
              <w:rPr>
                <w:rFonts w:hint="eastAsia" w:ascii="Times New Roman" w:hAnsi="Times New Roman" w:eastAsia="黑体" w:cs="黑体"/>
                <w:color w:val="000000"/>
                <w:kern w:val="0"/>
                <w:sz w:val="22"/>
                <w:lang w:bidi="ar"/>
              </w:rPr>
              <w:br w:type="textWrapping"/>
            </w:r>
            <w:r>
              <w:rPr>
                <w:rFonts w:hint="eastAsia" w:ascii="Times New Roman" w:hAnsi="Times New Roman" w:eastAsia="黑体" w:cs="黑体"/>
                <w:color w:val="000000"/>
                <w:kern w:val="0"/>
                <w:sz w:val="22"/>
                <w:lang w:bidi="ar"/>
              </w:rPr>
              <w:t>预算数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执行数</w:t>
            </w:r>
          </w:p>
        </w:tc>
        <w:tc>
          <w:tcPr>
            <w:tcW w:w="1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执行数</w:t>
            </w:r>
            <w:r>
              <w:rPr>
                <w:rFonts w:hint="eastAsia" w:ascii="Times New Roman" w:hAnsi="Times New Roman" w:eastAsia="黑体" w:cs="黑体"/>
                <w:color w:val="000000"/>
                <w:kern w:val="0"/>
                <w:sz w:val="22"/>
                <w:lang w:bidi="ar"/>
              </w:rPr>
              <w:br w:type="textWrapping"/>
            </w:r>
            <w:r>
              <w:rPr>
                <w:rFonts w:hint="eastAsia" w:ascii="Times New Roman" w:hAnsi="Times New Roman" w:eastAsia="黑体" w:cs="黑体"/>
                <w:color w:val="000000"/>
                <w:kern w:val="0"/>
                <w:sz w:val="22"/>
                <w:lang w:bidi="ar"/>
              </w:rPr>
              <w:t>为调整</w:t>
            </w:r>
            <w:r>
              <w:rPr>
                <w:rFonts w:hint="eastAsia" w:ascii="Times New Roman" w:hAnsi="Times New Roman" w:eastAsia="黑体" w:cs="黑体"/>
                <w:color w:val="000000"/>
                <w:kern w:val="0"/>
                <w:sz w:val="22"/>
                <w:lang w:bidi="ar"/>
              </w:rPr>
              <w:br w:type="textWrapping"/>
            </w:r>
            <w:r>
              <w:rPr>
                <w:rFonts w:hint="eastAsia" w:ascii="Times New Roman" w:hAnsi="Times New Roman" w:eastAsia="黑体" w:cs="黑体"/>
                <w:color w:val="000000"/>
                <w:kern w:val="0"/>
                <w:sz w:val="22"/>
                <w:lang w:bidi="ar"/>
              </w:rPr>
              <w:t>预算数的%</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kern w:val="0"/>
                <w:sz w:val="22"/>
                <w:lang w:bidi="ar"/>
              </w:rPr>
            </w:pPr>
            <w:r>
              <w:rPr>
                <w:rFonts w:hint="eastAsia" w:ascii="Times New Roman" w:hAnsi="Times New Roman" w:eastAsia="黑体" w:cs="黑体"/>
                <w:color w:val="000000"/>
                <w:kern w:val="0"/>
                <w:sz w:val="22"/>
                <w:lang w:bidi="ar"/>
              </w:rPr>
              <w:t>执行数</w:t>
            </w:r>
          </w:p>
          <w:p>
            <w:pPr>
              <w:widowControl/>
              <w:jc w:val="center"/>
              <w:textAlignment w:val="center"/>
              <w:rPr>
                <w:rFonts w:ascii="Times New Roman" w:hAnsi="Times New Roman" w:eastAsia="黑体" w:cs="黑体"/>
                <w:color w:val="000000"/>
                <w:kern w:val="0"/>
                <w:sz w:val="22"/>
                <w:lang w:bidi="ar"/>
              </w:rPr>
            </w:pPr>
            <w:r>
              <w:rPr>
                <w:rFonts w:hint="eastAsia" w:ascii="Times New Roman" w:hAnsi="Times New Roman" w:eastAsia="黑体" w:cs="黑体"/>
                <w:color w:val="000000"/>
                <w:kern w:val="0"/>
                <w:sz w:val="22"/>
                <w:lang w:bidi="ar"/>
              </w:rPr>
              <w:t>为上年</w:t>
            </w:r>
          </w:p>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决算数的%</w:t>
            </w:r>
          </w:p>
        </w:tc>
      </w:tr>
      <w:tr>
        <w:tblPrEx>
          <w:tblLayout w:type="fixed"/>
          <w:tblCellMar>
            <w:top w:w="0" w:type="dxa"/>
            <w:left w:w="108" w:type="dxa"/>
            <w:bottom w:w="0" w:type="dxa"/>
            <w:right w:w="108" w:type="dxa"/>
          </w:tblCellMar>
        </w:tblPrEx>
        <w:trPr>
          <w:trHeight w:val="42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总  计</w:t>
            </w: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631,944 </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629,228 </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705,324 </w:t>
            </w:r>
          </w:p>
        </w:tc>
        <w:tc>
          <w:tcPr>
            <w:tcW w:w="1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b/>
                <w:bCs/>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b/>
                <w:bCs/>
                <w:color w:val="000000"/>
                <w:sz w:val="20"/>
                <w:szCs w:val="20"/>
              </w:rPr>
            </w:pPr>
          </w:p>
        </w:tc>
      </w:tr>
      <w:tr>
        <w:tblPrEx>
          <w:tblLayout w:type="fixed"/>
          <w:tblCellMar>
            <w:top w:w="0" w:type="dxa"/>
            <w:left w:w="108" w:type="dxa"/>
            <w:bottom w:w="0" w:type="dxa"/>
            <w:right w:w="108" w:type="dxa"/>
          </w:tblCellMar>
        </w:tblPrEx>
        <w:trPr>
          <w:trHeight w:val="42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本级支出合计</w:t>
            </w: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478,514 </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458,491 </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403,212 </w:t>
            </w:r>
          </w:p>
        </w:tc>
        <w:tc>
          <w:tcPr>
            <w:tcW w:w="1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87.9%</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100.7%</w:t>
            </w:r>
          </w:p>
        </w:tc>
      </w:tr>
      <w:tr>
        <w:tblPrEx>
          <w:tblLayout w:type="fixed"/>
          <w:tblCellMar>
            <w:top w:w="0" w:type="dxa"/>
            <w:left w:w="108" w:type="dxa"/>
            <w:bottom w:w="0" w:type="dxa"/>
            <w:right w:w="108" w:type="dxa"/>
          </w:tblCellMar>
        </w:tblPrEx>
        <w:trPr>
          <w:trHeight w:val="42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一、文化旅游体育与传媒支出</w:t>
            </w: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2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二、社会保障和就业支出</w:t>
            </w: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101 </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101 </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12 </w:t>
            </w:r>
          </w:p>
        </w:tc>
        <w:tc>
          <w:tcPr>
            <w:tcW w:w="1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11.9%</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80.0%</w:t>
            </w:r>
          </w:p>
        </w:tc>
      </w:tr>
      <w:tr>
        <w:tblPrEx>
          <w:tblLayout w:type="fixed"/>
          <w:tblCellMar>
            <w:top w:w="0" w:type="dxa"/>
            <w:left w:w="108" w:type="dxa"/>
            <w:bottom w:w="0" w:type="dxa"/>
            <w:right w:w="108" w:type="dxa"/>
          </w:tblCellMar>
        </w:tblPrEx>
        <w:trPr>
          <w:trHeight w:val="42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三、城乡社区支出</w:t>
            </w: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460,529 </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437,876 </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385,425 </w:t>
            </w:r>
          </w:p>
        </w:tc>
        <w:tc>
          <w:tcPr>
            <w:tcW w:w="1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88.0%</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109</w:t>
            </w:r>
            <w:r>
              <w:rPr>
                <w:rFonts w:hint="eastAsia" w:ascii="Times New Roman" w:hAnsi="Times New Roman" w:eastAsia="宋体" w:cs="Times New Roman"/>
                <w:color w:val="000000"/>
                <w:kern w:val="0"/>
                <w:sz w:val="20"/>
                <w:szCs w:val="20"/>
                <w:lang w:bidi="ar"/>
              </w:rPr>
              <w:t>.</w:t>
            </w:r>
            <w:r>
              <w:rPr>
                <w:rFonts w:ascii="Times New Roman" w:hAnsi="Times New Roman" w:eastAsia="宋体" w:cs="Times New Roman"/>
                <w:color w:val="000000"/>
                <w:kern w:val="0"/>
                <w:sz w:val="20"/>
                <w:szCs w:val="20"/>
                <w:lang w:bidi="ar"/>
              </w:rPr>
              <w:t>2%</w:t>
            </w:r>
          </w:p>
        </w:tc>
      </w:tr>
      <w:tr>
        <w:tblPrEx>
          <w:tblLayout w:type="fixed"/>
          <w:tblCellMar>
            <w:top w:w="0" w:type="dxa"/>
            <w:left w:w="108" w:type="dxa"/>
            <w:bottom w:w="0" w:type="dxa"/>
            <w:right w:w="108" w:type="dxa"/>
          </w:tblCellMar>
        </w:tblPrEx>
        <w:trPr>
          <w:trHeight w:val="42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四、农林水支出</w:t>
            </w: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93 </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93 </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36 </w:t>
            </w:r>
          </w:p>
        </w:tc>
        <w:tc>
          <w:tcPr>
            <w:tcW w:w="1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38.7%</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4.7%</w:t>
            </w:r>
          </w:p>
        </w:tc>
      </w:tr>
      <w:tr>
        <w:tblPrEx>
          <w:tblLayout w:type="fixed"/>
          <w:tblCellMar>
            <w:top w:w="0" w:type="dxa"/>
            <w:left w:w="108" w:type="dxa"/>
            <w:bottom w:w="0" w:type="dxa"/>
            <w:right w:w="108" w:type="dxa"/>
          </w:tblCellMar>
        </w:tblPrEx>
        <w:trPr>
          <w:trHeight w:val="42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五、交通运输支出</w:t>
            </w: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2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六、其他支出</w:t>
            </w: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3,579 </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6,204 </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3,523 </w:t>
            </w:r>
          </w:p>
        </w:tc>
        <w:tc>
          <w:tcPr>
            <w:tcW w:w="1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56.8%</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w:t>
            </w:r>
            <w:r>
              <w:rPr>
                <w:rFonts w:hint="eastAsia" w:ascii="Times New Roman" w:hAnsi="Times New Roman" w:eastAsia="宋体" w:cs="Times New Roman"/>
                <w:color w:val="000000"/>
                <w:kern w:val="0"/>
                <w:sz w:val="20"/>
                <w:szCs w:val="20"/>
                <w:lang w:bidi="ar"/>
              </w:rPr>
              <w:t>.</w:t>
            </w:r>
            <w:r>
              <w:rPr>
                <w:rFonts w:ascii="Times New Roman" w:hAnsi="Times New Roman" w:eastAsia="宋体" w:cs="Times New Roman"/>
                <w:color w:val="000000"/>
                <w:kern w:val="0"/>
                <w:sz w:val="20"/>
                <w:szCs w:val="20"/>
                <w:lang w:bidi="ar"/>
              </w:rPr>
              <w:t>5%</w:t>
            </w:r>
          </w:p>
        </w:tc>
      </w:tr>
      <w:tr>
        <w:tblPrEx>
          <w:tblLayout w:type="fixed"/>
          <w:tblCellMar>
            <w:top w:w="0" w:type="dxa"/>
            <w:left w:w="108" w:type="dxa"/>
            <w:bottom w:w="0" w:type="dxa"/>
            <w:right w:w="108" w:type="dxa"/>
          </w:tblCellMar>
        </w:tblPrEx>
        <w:trPr>
          <w:trHeight w:val="42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七、债务付息支出</w:t>
            </w: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14,212 </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14,212 </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14,212 </w:t>
            </w:r>
          </w:p>
        </w:tc>
        <w:tc>
          <w:tcPr>
            <w:tcW w:w="1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100.0%</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108</w:t>
            </w:r>
            <w:r>
              <w:rPr>
                <w:rFonts w:hint="eastAsia" w:ascii="Times New Roman" w:hAnsi="Times New Roman" w:eastAsia="宋体" w:cs="Times New Roman"/>
                <w:color w:val="000000"/>
                <w:kern w:val="0"/>
                <w:sz w:val="20"/>
                <w:szCs w:val="20"/>
                <w:lang w:bidi="ar"/>
              </w:rPr>
              <w:t>.</w:t>
            </w:r>
            <w:r>
              <w:rPr>
                <w:rFonts w:ascii="Times New Roman" w:hAnsi="Times New Roman" w:eastAsia="宋体" w:cs="Times New Roman"/>
                <w:color w:val="000000"/>
                <w:kern w:val="0"/>
                <w:sz w:val="20"/>
                <w:szCs w:val="20"/>
                <w:lang w:bidi="ar"/>
              </w:rPr>
              <w:t>6%</w:t>
            </w:r>
          </w:p>
        </w:tc>
      </w:tr>
      <w:tr>
        <w:tblPrEx>
          <w:tblLayout w:type="fixed"/>
          <w:tblCellMar>
            <w:top w:w="0" w:type="dxa"/>
            <w:left w:w="108" w:type="dxa"/>
            <w:bottom w:w="0" w:type="dxa"/>
            <w:right w:w="108" w:type="dxa"/>
          </w:tblCellMar>
        </w:tblPrEx>
        <w:trPr>
          <w:trHeight w:val="42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八、债务发行费用支出</w:t>
            </w: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 </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 </w:t>
            </w:r>
          </w:p>
        </w:tc>
        <w:tc>
          <w:tcPr>
            <w:tcW w:w="1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80.0%</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2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宋体"/>
                <w:color w:val="000000"/>
                <w:sz w:val="20"/>
                <w:szCs w:val="20"/>
              </w:rPr>
            </w:pP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2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宋体"/>
                <w:color w:val="000000"/>
                <w:sz w:val="20"/>
                <w:szCs w:val="20"/>
              </w:rPr>
            </w:pP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2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宋体"/>
                <w:color w:val="000000"/>
                <w:sz w:val="20"/>
                <w:szCs w:val="20"/>
              </w:rPr>
            </w:pP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b/>
                <w:bCs/>
                <w:color w:val="000000"/>
                <w:sz w:val="20"/>
                <w:szCs w:val="20"/>
              </w:rPr>
            </w:pPr>
          </w:p>
        </w:tc>
      </w:tr>
      <w:tr>
        <w:tblPrEx>
          <w:tblLayout w:type="fixed"/>
          <w:tblCellMar>
            <w:top w:w="0" w:type="dxa"/>
            <w:left w:w="108" w:type="dxa"/>
            <w:bottom w:w="0" w:type="dxa"/>
            <w:right w:w="108" w:type="dxa"/>
          </w:tblCellMar>
        </w:tblPrEx>
        <w:trPr>
          <w:trHeight w:val="42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宋体"/>
                <w:color w:val="000000"/>
                <w:sz w:val="20"/>
                <w:szCs w:val="20"/>
              </w:rPr>
            </w:pP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b/>
                <w:bCs/>
                <w:color w:val="000000"/>
                <w:sz w:val="20"/>
                <w:szCs w:val="20"/>
              </w:rPr>
            </w:pPr>
          </w:p>
        </w:tc>
      </w:tr>
      <w:tr>
        <w:tblPrEx>
          <w:tblLayout w:type="fixed"/>
          <w:tblCellMar>
            <w:top w:w="0" w:type="dxa"/>
            <w:left w:w="108" w:type="dxa"/>
            <w:bottom w:w="0" w:type="dxa"/>
            <w:right w:w="108" w:type="dxa"/>
          </w:tblCellMar>
        </w:tblPrEx>
        <w:trPr>
          <w:trHeight w:val="42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宋体"/>
                <w:color w:val="000000"/>
                <w:sz w:val="20"/>
                <w:szCs w:val="20"/>
              </w:rPr>
            </w:pP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b/>
                <w:bCs/>
                <w:color w:val="000000"/>
                <w:sz w:val="20"/>
                <w:szCs w:val="20"/>
              </w:rPr>
            </w:pPr>
          </w:p>
        </w:tc>
      </w:tr>
      <w:tr>
        <w:tblPrEx>
          <w:tblLayout w:type="fixed"/>
          <w:tblCellMar>
            <w:top w:w="0" w:type="dxa"/>
            <w:left w:w="108" w:type="dxa"/>
            <w:bottom w:w="0" w:type="dxa"/>
            <w:right w:w="108" w:type="dxa"/>
          </w:tblCellMar>
        </w:tblPrEx>
        <w:trPr>
          <w:trHeight w:val="42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转移性支出合计</w:t>
            </w: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153,430 </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170,737 </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302,112 </w:t>
            </w:r>
          </w:p>
        </w:tc>
        <w:tc>
          <w:tcPr>
            <w:tcW w:w="1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b/>
                <w:bCs/>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宋体"/>
                <w:b/>
                <w:bCs/>
                <w:color w:val="000000"/>
                <w:sz w:val="20"/>
                <w:szCs w:val="20"/>
              </w:rPr>
            </w:pPr>
          </w:p>
        </w:tc>
      </w:tr>
      <w:tr>
        <w:tblPrEx>
          <w:tblLayout w:type="fixed"/>
          <w:tblCellMar>
            <w:top w:w="0" w:type="dxa"/>
            <w:left w:w="108" w:type="dxa"/>
            <w:bottom w:w="0" w:type="dxa"/>
            <w:right w:w="108" w:type="dxa"/>
          </w:tblCellMar>
        </w:tblPrEx>
        <w:trPr>
          <w:trHeight w:val="42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一、上解上级支出</w:t>
            </w: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95 </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95 </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100 </w:t>
            </w:r>
          </w:p>
        </w:tc>
        <w:tc>
          <w:tcPr>
            <w:tcW w:w="1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ascii="Times New Roman" w:hAnsi="Times New Roman" w:eastAsia="宋体" w:cs="宋体"/>
                <w:color w:val="000000"/>
                <w:sz w:val="20"/>
                <w:szCs w:val="20"/>
              </w:rPr>
            </w:pPr>
          </w:p>
        </w:tc>
      </w:tr>
      <w:tr>
        <w:tblPrEx>
          <w:tblLayout w:type="fixed"/>
          <w:tblCellMar>
            <w:top w:w="0" w:type="dxa"/>
            <w:left w:w="108" w:type="dxa"/>
            <w:bottom w:w="0" w:type="dxa"/>
            <w:right w:w="108" w:type="dxa"/>
          </w:tblCellMar>
        </w:tblPrEx>
        <w:trPr>
          <w:trHeight w:val="42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二、调出资金</w:t>
            </w: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67,335 </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84,642 </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85,460 </w:t>
            </w:r>
          </w:p>
        </w:tc>
        <w:tc>
          <w:tcPr>
            <w:tcW w:w="1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ascii="Times New Roman" w:hAnsi="Times New Roman" w:eastAsia="宋体" w:cs="宋体"/>
                <w:color w:val="000000"/>
                <w:sz w:val="20"/>
                <w:szCs w:val="20"/>
              </w:rPr>
            </w:pPr>
          </w:p>
        </w:tc>
      </w:tr>
      <w:tr>
        <w:tblPrEx>
          <w:tblLayout w:type="fixed"/>
          <w:tblCellMar>
            <w:top w:w="0" w:type="dxa"/>
            <w:left w:w="108" w:type="dxa"/>
            <w:bottom w:w="0" w:type="dxa"/>
            <w:right w:w="108" w:type="dxa"/>
          </w:tblCellMar>
        </w:tblPrEx>
        <w:trPr>
          <w:trHeight w:val="42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三、债务还本支出 </w:t>
            </w: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86,000 </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86,000 </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86,000 </w:t>
            </w:r>
          </w:p>
        </w:tc>
        <w:tc>
          <w:tcPr>
            <w:tcW w:w="1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ascii="Times New Roman" w:hAnsi="Times New Roman" w:eastAsia="宋体" w:cs="宋体"/>
                <w:color w:val="000000"/>
                <w:sz w:val="20"/>
                <w:szCs w:val="20"/>
              </w:rPr>
            </w:pPr>
          </w:p>
        </w:tc>
      </w:tr>
      <w:tr>
        <w:tblPrEx>
          <w:tblLayout w:type="fixed"/>
          <w:tblCellMar>
            <w:top w:w="0" w:type="dxa"/>
            <w:left w:w="108" w:type="dxa"/>
            <w:bottom w:w="0" w:type="dxa"/>
            <w:right w:w="108" w:type="dxa"/>
          </w:tblCellMar>
        </w:tblPrEx>
        <w:trPr>
          <w:trHeight w:val="42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债券还本支出（本级财力）</w:t>
            </w: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2,000 </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2,000 </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2,000 </w:t>
            </w:r>
          </w:p>
        </w:tc>
        <w:tc>
          <w:tcPr>
            <w:tcW w:w="1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ascii="Times New Roman" w:hAnsi="Times New Roman" w:eastAsia="宋体" w:cs="宋体"/>
                <w:color w:val="000000"/>
                <w:sz w:val="20"/>
                <w:szCs w:val="20"/>
              </w:rPr>
            </w:pPr>
          </w:p>
        </w:tc>
      </w:tr>
      <w:tr>
        <w:tblPrEx>
          <w:tblLayout w:type="fixed"/>
          <w:tblCellMar>
            <w:top w:w="0" w:type="dxa"/>
            <w:left w:w="108" w:type="dxa"/>
            <w:bottom w:w="0" w:type="dxa"/>
            <w:right w:w="108" w:type="dxa"/>
          </w:tblCellMar>
        </w:tblPrEx>
        <w:trPr>
          <w:trHeight w:val="42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债券还本支出（再融资）</w:t>
            </w: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84,000 </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84,000 </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84,000 </w:t>
            </w:r>
          </w:p>
        </w:tc>
        <w:tc>
          <w:tcPr>
            <w:tcW w:w="1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ascii="Times New Roman" w:hAnsi="Times New Roman" w:eastAsia="宋体" w:cs="宋体"/>
                <w:color w:val="000000"/>
                <w:sz w:val="20"/>
                <w:szCs w:val="20"/>
              </w:rPr>
            </w:pPr>
          </w:p>
        </w:tc>
      </w:tr>
      <w:tr>
        <w:tblPrEx>
          <w:tblLayout w:type="fixed"/>
          <w:tblCellMar>
            <w:top w:w="0" w:type="dxa"/>
            <w:left w:w="108" w:type="dxa"/>
            <w:bottom w:w="0" w:type="dxa"/>
            <w:right w:w="108" w:type="dxa"/>
          </w:tblCellMar>
        </w:tblPrEx>
        <w:trPr>
          <w:trHeight w:val="42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四、结转下年</w:t>
            </w: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130,552 </w:t>
            </w:r>
          </w:p>
        </w:tc>
        <w:tc>
          <w:tcPr>
            <w:tcW w:w="1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right"/>
              <w:rPr>
                <w:rFonts w:ascii="Times New Roman" w:hAnsi="Times New Roman" w:eastAsia="宋体" w:cs="宋体"/>
                <w:color w:val="000000"/>
                <w:sz w:val="20"/>
                <w:szCs w:val="20"/>
              </w:rPr>
            </w:pPr>
          </w:p>
        </w:tc>
      </w:tr>
    </w:tbl>
    <w:p>
      <w:pPr>
        <w:rPr>
          <w:rFonts w:ascii="Times New Roman" w:hAnsi="Times New Roman" w:eastAsia="方正黑体_GBK" w:cs="方正黑体_GBK"/>
          <w:kern w:val="0"/>
          <w:sz w:val="28"/>
          <w:szCs w:val="28"/>
        </w:rPr>
      </w:pPr>
      <w:r>
        <w:rPr>
          <w:rFonts w:ascii="Times New Roman" w:hAnsi="Times New Roman" w:eastAsia="方正黑体_GBK" w:cs="方正黑体_GBK"/>
          <w:kern w:val="0"/>
          <w:sz w:val="28"/>
          <w:szCs w:val="28"/>
        </w:rPr>
        <w:br w:type="page"/>
      </w:r>
    </w:p>
    <w:p>
      <w:pPr>
        <w:spacing w:line="594" w:lineRule="exact"/>
        <w:jc w:val="center"/>
        <w:rPr>
          <w:rFonts w:ascii="Times New Roman" w:hAnsi="Times New Roman" w:eastAsia="方正小标宋_GBK" w:cs="方正小标宋_GBK"/>
          <w:kern w:val="0"/>
          <w:sz w:val="44"/>
          <w:szCs w:val="44"/>
        </w:rPr>
      </w:pPr>
      <w:r>
        <w:rPr>
          <w:rFonts w:hint="eastAsia" w:ascii="Times New Roman" w:hAnsi="Times New Roman" w:eastAsia="方正小标宋_GBK" w:cs="方正小标宋_GBK"/>
          <w:kern w:val="0"/>
          <w:sz w:val="44"/>
          <w:szCs w:val="44"/>
        </w:rPr>
        <w:t>关于</w:t>
      </w:r>
      <w:r>
        <w:rPr>
          <w:rFonts w:ascii="Times New Roman" w:hAnsi="Times New Roman" w:eastAsia="方正小标宋_GBK" w:cs="Times New Roman"/>
          <w:kern w:val="0"/>
          <w:sz w:val="44"/>
          <w:szCs w:val="44"/>
        </w:rPr>
        <w:t>2022</w:t>
      </w:r>
      <w:r>
        <w:rPr>
          <w:rFonts w:hint="eastAsia" w:ascii="Times New Roman" w:hAnsi="Times New Roman" w:eastAsia="方正小标宋_GBK" w:cs="方正小标宋_GBK"/>
          <w:kern w:val="0"/>
          <w:sz w:val="44"/>
          <w:szCs w:val="44"/>
        </w:rPr>
        <w:t>年全区政府性基金预算</w:t>
      </w:r>
    </w:p>
    <w:p>
      <w:pPr>
        <w:spacing w:line="594" w:lineRule="exact"/>
        <w:jc w:val="center"/>
        <w:rPr>
          <w:rFonts w:ascii="Times New Roman" w:hAnsi="Times New Roman" w:eastAsia="方正小标宋_GBK" w:cs="方正小标宋_GBK"/>
          <w:kern w:val="0"/>
          <w:sz w:val="44"/>
          <w:szCs w:val="44"/>
        </w:rPr>
      </w:pPr>
      <w:r>
        <w:rPr>
          <w:rFonts w:hint="eastAsia" w:ascii="Times New Roman" w:hAnsi="Times New Roman" w:eastAsia="方正小标宋_GBK" w:cs="方正小标宋_GBK"/>
          <w:kern w:val="0"/>
          <w:sz w:val="44"/>
          <w:szCs w:val="44"/>
        </w:rPr>
        <w:t>支出执行情况的说明</w:t>
      </w:r>
    </w:p>
    <w:p>
      <w:pPr>
        <w:spacing w:line="594" w:lineRule="exact"/>
        <w:jc w:val="center"/>
        <w:rPr>
          <w:rFonts w:ascii="Times New Roman" w:hAnsi="Times New Roman" w:eastAsia="方正仿宋_GBK" w:cs="Times New Roman"/>
          <w:kern w:val="0"/>
          <w:sz w:val="32"/>
          <w:szCs w:val="32"/>
        </w:rPr>
      </w:pPr>
    </w:p>
    <w:p>
      <w:pPr>
        <w:spacing w:line="594"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政府性基金预算</w:t>
      </w:r>
      <w:r>
        <w:rPr>
          <w:rFonts w:hint="eastAsia" w:ascii="Times New Roman" w:hAnsi="Times New Roman" w:eastAsia="方正仿宋_GBK" w:cs="Times New Roman"/>
          <w:kern w:val="0"/>
          <w:sz w:val="32"/>
          <w:szCs w:val="32"/>
        </w:rPr>
        <w:t>按照“以收定支”的原则管理，根据收入情况相应安排支出。</w:t>
      </w:r>
      <w:r>
        <w:rPr>
          <w:rFonts w:ascii="Times New Roman" w:hAnsi="Times New Roman" w:eastAsia="方正仿宋_GBK" w:cs="Times New Roman"/>
          <w:kern w:val="0"/>
          <w:sz w:val="32"/>
          <w:szCs w:val="32"/>
        </w:rPr>
        <w:t>2021</w:t>
      </w:r>
      <w:r>
        <w:rPr>
          <w:rFonts w:hint="eastAsia" w:ascii="Times New Roman" w:hAnsi="Times New Roman" w:eastAsia="方正仿宋_GBK" w:cs="Times New Roman"/>
          <w:kern w:val="0"/>
          <w:sz w:val="32"/>
          <w:szCs w:val="32"/>
        </w:rPr>
        <w:t>年全区政府性基金预算支出决算数为</w:t>
      </w:r>
      <w:r>
        <w:rPr>
          <w:rFonts w:ascii="Times New Roman" w:hAnsi="Times New Roman" w:eastAsia="方正仿宋_GBK" w:cs="Times New Roman"/>
          <w:kern w:val="0"/>
          <w:sz w:val="32"/>
          <w:szCs w:val="32"/>
        </w:rPr>
        <w:t>400</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087</w:t>
      </w:r>
      <w:r>
        <w:rPr>
          <w:rFonts w:hint="eastAsia" w:ascii="Times New Roman" w:hAnsi="Times New Roman" w:eastAsia="方正仿宋_GBK" w:cs="Times New Roman"/>
          <w:kern w:val="0"/>
          <w:sz w:val="32"/>
          <w:szCs w:val="32"/>
        </w:rPr>
        <w:t>万元，</w:t>
      </w:r>
      <w:r>
        <w:rPr>
          <w:rFonts w:ascii="Times New Roman" w:hAnsi="Times New Roman" w:eastAsia="方正仿宋_GBK" w:cs="Times New Roman"/>
          <w:kern w:val="0"/>
          <w:sz w:val="32"/>
          <w:szCs w:val="32"/>
        </w:rPr>
        <w:t>2022</w:t>
      </w:r>
      <w:r>
        <w:rPr>
          <w:rFonts w:hint="eastAsia" w:ascii="Times New Roman" w:hAnsi="Times New Roman" w:eastAsia="方正仿宋_GBK" w:cs="Times New Roman"/>
          <w:kern w:val="0"/>
          <w:sz w:val="32"/>
          <w:szCs w:val="32"/>
        </w:rPr>
        <w:t>年执行数为</w:t>
      </w:r>
      <w:r>
        <w:rPr>
          <w:rFonts w:ascii="Times New Roman" w:hAnsi="Times New Roman" w:eastAsia="方正仿宋_GBK" w:cs="Times New Roman"/>
          <w:kern w:val="0"/>
          <w:sz w:val="32"/>
          <w:szCs w:val="32"/>
        </w:rPr>
        <w:t>403</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212</w:t>
      </w:r>
      <w:r>
        <w:rPr>
          <w:rFonts w:hint="eastAsia" w:ascii="Times New Roman" w:hAnsi="Times New Roman" w:eastAsia="方正仿宋_GBK" w:cs="Times New Roman"/>
          <w:kern w:val="0"/>
          <w:sz w:val="32"/>
          <w:szCs w:val="32"/>
        </w:rPr>
        <w:t>万元，执行数为上年决算数的</w:t>
      </w:r>
      <w:r>
        <w:rPr>
          <w:rFonts w:ascii="Times New Roman" w:hAnsi="Times New Roman" w:eastAsia="方正仿宋_GBK" w:cs="Times New Roman"/>
          <w:kern w:val="0"/>
          <w:sz w:val="32"/>
          <w:szCs w:val="32"/>
        </w:rPr>
        <w:t>100</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7</w:t>
      </w:r>
      <w:r>
        <w:rPr>
          <w:rFonts w:hint="eastAsia" w:ascii="Times New Roman" w:hAnsi="Times New Roman" w:eastAsia="方正仿宋_GBK" w:cs="Times New Roman"/>
          <w:kern w:val="0"/>
          <w:sz w:val="32"/>
          <w:szCs w:val="32"/>
        </w:rPr>
        <w:t>%。</w:t>
      </w:r>
    </w:p>
    <w:p>
      <w:pPr>
        <w:spacing w:line="594" w:lineRule="exact"/>
        <w:ind w:firstLine="632"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w w:val="99"/>
          <w:kern w:val="0"/>
          <w:sz w:val="32"/>
          <w:szCs w:val="32"/>
        </w:rPr>
        <w:t>社会保障和就业支出执行数为</w:t>
      </w:r>
      <w:r>
        <w:rPr>
          <w:rFonts w:ascii="Times New Roman" w:hAnsi="Times New Roman" w:eastAsia="方正仿宋_GBK" w:cs="Times New Roman"/>
          <w:w w:val="99"/>
          <w:kern w:val="0"/>
          <w:sz w:val="32"/>
          <w:szCs w:val="32"/>
        </w:rPr>
        <w:t>12</w:t>
      </w:r>
      <w:r>
        <w:rPr>
          <w:rFonts w:hint="eastAsia" w:ascii="Times New Roman" w:hAnsi="Times New Roman" w:eastAsia="方正仿宋_GBK" w:cs="Times New Roman"/>
          <w:w w:val="99"/>
          <w:kern w:val="0"/>
          <w:sz w:val="32"/>
          <w:szCs w:val="32"/>
        </w:rPr>
        <w:t>万元，为上年决算数的</w:t>
      </w:r>
      <w:r>
        <w:rPr>
          <w:rFonts w:ascii="Times New Roman" w:hAnsi="Times New Roman" w:eastAsia="方正仿宋_GBK" w:cs="Times New Roman"/>
          <w:w w:val="99"/>
          <w:kern w:val="0"/>
          <w:sz w:val="32"/>
          <w:szCs w:val="32"/>
        </w:rPr>
        <w:t>80</w:t>
      </w:r>
      <w:r>
        <w:rPr>
          <w:rFonts w:hint="eastAsia" w:ascii="Times New Roman" w:hAnsi="Times New Roman" w:eastAsia="方正仿宋_GBK" w:cs="Times New Roman"/>
          <w:w w:val="99"/>
          <w:kern w:val="0"/>
          <w:sz w:val="32"/>
          <w:szCs w:val="32"/>
        </w:rPr>
        <w:t>%，</w:t>
      </w:r>
      <w:r>
        <w:rPr>
          <w:rFonts w:hint="eastAsia" w:ascii="Times New Roman" w:hAnsi="Times New Roman" w:eastAsia="方正仿宋_GBK" w:cs="Times New Roman"/>
          <w:kern w:val="0"/>
          <w:sz w:val="32"/>
          <w:szCs w:val="32"/>
        </w:rPr>
        <w:t>主要是大中型水库移民后期扶持基金安排的支出。</w:t>
      </w:r>
    </w:p>
    <w:p>
      <w:pPr>
        <w:spacing w:line="594" w:lineRule="exact"/>
        <w:ind w:firstLine="632"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w w:val="99"/>
          <w:kern w:val="0"/>
          <w:sz w:val="32"/>
          <w:szCs w:val="32"/>
        </w:rPr>
        <w:t>城乡社区支出执行数为</w:t>
      </w:r>
      <w:r>
        <w:rPr>
          <w:rFonts w:ascii="Times New Roman" w:hAnsi="Times New Roman" w:eastAsia="方正仿宋_GBK" w:cs="Times New Roman"/>
          <w:w w:val="99"/>
          <w:kern w:val="0"/>
          <w:sz w:val="32"/>
          <w:szCs w:val="32"/>
        </w:rPr>
        <w:t>385</w:t>
      </w:r>
      <w:r>
        <w:rPr>
          <w:rFonts w:hint="eastAsia" w:ascii="Times New Roman" w:hAnsi="Times New Roman" w:eastAsia="方正仿宋_GBK" w:cs="Times New Roman"/>
          <w:w w:val="99"/>
          <w:kern w:val="0"/>
          <w:sz w:val="32"/>
          <w:szCs w:val="32"/>
        </w:rPr>
        <w:t>,</w:t>
      </w:r>
      <w:r>
        <w:rPr>
          <w:rFonts w:ascii="Times New Roman" w:hAnsi="Times New Roman" w:eastAsia="方正仿宋_GBK" w:cs="Times New Roman"/>
          <w:w w:val="99"/>
          <w:kern w:val="0"/>
          <w:sz w:val="32"/>
          <w:szCs w:val="32"/>
        </w:rPr>
        <w:t>425</w:t>
      </w:r>
      <w:r>
        <w:rPr>
          <w:rFonts w:hint="eastAsia" w:ascii="Times New Roman" w:hAnsi="Times New Roman" w:eastAsia="方正仿宋_GBK" w:cs="Times New Roman"/>
          <w:w w:val="99"/>
          <w:kern w:val="0"/>
          <w:sz w:val="32"/>
          <w:szCs w:val="32"/>
        </w:rPr>
        <w:t>万元，为上年决算数的</w:t>
      </w:r>
      <w:r>
        <w:rPr>
          <w:rFonts w:ascii="Times New Roman" w:hAnsi="Times New Roman" w:eastAsia="方正仿宋_GBK" w:cs="Times New Roman"/>
          <w:w w:val="99"/>
          <w:kern w:val="0"/>
          <w:sz w:val="32"/>
          <w:szCs w:val="32"/>
        </w:rPr>
        <w:t>109</w:t>
      </w:r>
      <w:r>
        <w:rPr>
          <w:rFonts w:hint="eastAsia" w:ascii="Times New Roman" w:hAnsi="Times New Roman" w:eastAsia="方正仿宋_GBK" w:cs="Times New Roman"/>
          <w:w w:val="99"/>
          <w:kern w:val="0"/>
          <w:sz w:val="32"/>
          <w:szCs w:val="32"/>
        </w:rPr>
        <w:t>.</w:t>
      </w:r>
      <w:r>
        <w:rPr>
          <w:rFonts w:ascii="Times New Roman" w:hAnsi="Times New Roman" w:eastAsia="方正仿宋_GBK" w:cs="Times New Roman"/>
          <w:w w:val="99"/>
          <w:kern w:val="0"/>
          <w:sz w:val="32"/>
          <w:szCs w:val="32"/>
        </w:rPr>
        <w:t>2</w:t>
      </w:r>
      <w:r>
        <w:rPr>
          <w:rFonts w:hint="eastAsia" w:ascii="Times New Roman" w:hAnsi="Times New Roman" w:eastAsia="方正仿宋_GBK" w:cs="Times New Roman"/>
          <w:w w:val="99"/>
          <w:kern w:val="0"/>
          <w:sz w:val="32"/>
          <w:szCs w:val="32"/>
        </w:rPr>
        <w:t>%，</w:t>
      </w:r>
      <w:r>
        <w:rPr>
          <w:rFonts w:hint="eastAsia" w:ascii="Times New Roman" w:hAnsi="Times New Roman" w:eastAsia="方正仿宋_GBK" w:cs="Times New Roman"/>
          <w:kern w:val="0"/>
          <w:sz w:val="32"/>
          <w:szCs w:val="32"/>
        </w:rPr>
        <w:t>主要是国有土地使用权出让、城市基础设施配套费等安排的支出。</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农林水支出执行数为</w:t>
      </w:r>
      <w:r>
        <w:rPr>
          <w:rFonts w:ascii="Times New Roman" w:hAnsi="Times New Roman" w:eastAsia="方正仿宋_GBK" w:cs="Times New Roman"/>
          <w:kern w:val="0"/>
          <w:sz w:val="32"/>
          <w:szCs w:val="32"/>
        </w:rPr>
        <w:t>36</w:t>
      </w:r>
      <w:r>
        <w:rPr>
          <w:rFonts w:hint="eastAsia" w:ascii="Times New Roman" w:hAnsi="Times New Roman" w:eastAsia="方正仿宋_GBK" w:cs="Times New Roman"/>
          <w:kern w:val="0"/>
          <w:sz w:val="32"/>
          <w:szCs w:val="32"/>
        </w:rPr>
        <w:t>万元，为上年决算数的</w:t>
      </w:r>
      <w:r>
        <w:rPr>
          <w:rFonts w:ascii="Times New Roman" w:hAnsi="Times New Roman" w:eastAsia="方正仿宋_GBK" w:cs="Times New Roman"/>
          <w:kern w:val="0"/>
          <w:sz w:val="32"/>
          <w:szCs w:val="32"/>
        </w:rPr>
        <w:t>4</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7</w:t>
      </w:r>
      <w:r>
        <w:rPr>
          <w:rFonts w:hint="eastAsia" w:ascii="Times New Roman" w:hAnsi="Times New Roman" w:eastAsia="方正仿宋_GBK" w:cs="Times New Roman"/>
          <w:kern w:val="0"/>
          <w:sz w:val="32"/>
          <w:szCs w:val="32"/>
        </w:rPr>
        <w:t>%，主要是上年三峡后续工作市级一次性补助资金较高。</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其他支出执行数为</w:t>
      </w:r>
      <w:r>
        <w:rPr>
          <w:rFonts w:ascii="Times New Roman" w:hAnsi="Times New Roman" w:eastAsia="方正仿宋_GBK" w:cs="Times New Roman"/>
          <w:kern w:val="0"/>
          <w:sz w:val="32"/>
          <w:szCs w:val="32"/>
        </w:rPr>
        <w:t>3</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523</w:t>
      </w:r>
      <w:r>
        <w:rPr>
          <w:rFonts w:hint="eastAsia" w:ascii="Times New Roman" w:hAnsi="Times New Roman" w:eastAsia="方正仿宋_GBK" w:cs="Times New Roman"/>
          <w:kern w:val="0"/>
          <w:sz w:val="32"/>
          <w:szCs w:val="32"/>
        </w:rPr>
        <w:t>万元，为上年决算数的</w:t>
      </w:r>
      <w:r>
        <w:rPr>
          <w:rFonts w:ascii="Times New Roman" w:hAnsi="Times New Roman" w:eastAsia="方正仿宋_GBK" w:cs="Times New Roman"/>
          <w:kern w:val="0"/>
          <w:sz w:val="32"/>
          <w:szCs w:val="32"/>
        </w:rPr>
        <w:t>10</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5</w:t>
      </w:r>
      <w:r>
        <w:rPr>
          <w:rFonts w:hint="eastAsia" w:ascii="Times New Roman" w:hAnsi="Times New Roman" w:eastAsia="方正仿宋_GBK" w:cs="Times New Roman"/>
          <w:kern w:val="0"/>
          <w:sz w:val="32"/>
          <w:szCs w:val="32"/>
        </w:rPr>
        <w:t>%，主要是上年新增专项债券额度垫高基数。</w:t>
      </w:r>
    </w:p>
    <w:p>
      <w:pPr>
        <w:spacing w:line="400" w:lineRule="exact"/>
        <w:jc w:val="left"/>
        <w:rPr>
          <w:rFonts w:ascii="Times New Roman" w:hAnsi="Times New Roman" w:eastAsia="方正黑体_GBK" w:cs="方正黑体_GBK"/>
          <w:kern w:val="0"/>
          <w:sz w:val="28"/>
          <w:szCs w:val="28"/>
        </w:rPr>
      </w:pPr>
      <w:r>
        <w:rPr>
          <w:rFonts w:ascii="Times New Roman" w:hAnsi="Times New Roman" w:eastAsia="方正黑体_GBK" w:cs="方正黑体_GBK"/>
          <w:kern w:val="0"/>
          <w:sz w:val="28"/>
          <w:szCs w:val="28"/>
        </w:rPr>
        <w:br w:type="page"/>
      </w: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9</w:t>
      </w:r>
    </w:p>
    <w:p>
      <w:pPr>
        <w:widowControl/>
        <w:jc w:val="center"/>
        <w:textAlignment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2022</w:t>
      </w:r>
      <w:r>
        <w:rPr>
          <w:rFonts w:hint="eastAsia" w:ascii="Times New Roman" w:hAnsi="Times New Roman" w:eastAsia="方正小标宋_GBK" w:cs="Times New Roman"/>
          <w:kern w:val="0"/>
          <w:sz w:val="44"/>
          <w:szCs w:val="44"/>
        </w:rPr>
        <w:t>年区级政府性基金预算支出执行表</w:t>
      </w:r>
    </w:p>
    <w:p>
      <w:pPr>
        <w:jc w:val="right"/>
        <w:rPr>
          <w:rFonts w:ascii="Times New Roman" w:hAnsi="Times New Roman" w:eastAsia="宋体" w:cs="Times New Roman"/>
        </w:rPr>
      </w:pPr>
      <w:r>
        <w:rPr>
          <w:rFonts w:ascii="Times New Roman" w:hAnsi="Times New Roman" w:eastAsia="宋体" w:cs="Times New Roman"/>
        </w:rPr>
        <w:tab/>
      </w:r>
      <w:r>
        <w:rPr>
          <w:rFonts w:ascii="Times New Roman" w:hAnsi="Times New Roman" w:eastAsia="宋体" w:cs="Times New Roman"/>
        </w:rPr>
        <w:tab/>
      </w:r>
      <w:r>
        <w:rPr>
          <w:rFonts w:hint="eastAsia" w:ascii="Times New Roman" w:hAnsi="Times New Roman" w:eastAsia="宋体" w:cs="Times New Roman"/>
        </w:rPr>
        <w:t>单位：万元</w:t>
      </w:r>
    </w:p>
    <w:tbl>
      <w:tblPr>
        <w:tblStyle w:val="10"/>
        <w:tblW w:w="9137" w:type="dxa"/>
        <w:tblInd w:w="93" w:type="dxa"/>
        <w:tblLayout w:type="fixed"/>
        <w:tblCellMar>
          <w:top w:w="0" w:type="dxa"/>
          <w:left w:w="108" w:type="dxa"/>
          <w:bottom w:w="0" w:type="dxa"/>
          <w:right w:w="108" w:type="dxa"/>
        </w:tblCellMar>
      </w:tblPr>
      <w:tblGrid>
        <w:gridCol w:w="1260"/>
        <w:gridCol w:w="5362"/>
        <w:gridCol w:w="2515"/>
      </w:tblGrid>
      <w:tr>
        <w:tblPrEx>
          <w:tblLayout w:type="fixed"/>
          <w:tblCellMar>
            <w:top w:w="0" w:type="dxa"/>
            <w:left w:w="108" w:type="dxa"/>
            <w:bottom w:w="0" w:type="dxa"/>
            <w:right w:w="108" w:type="dxa"/>
          </w:tblCellMar>
        </w:tblPrEx>
        <w:trPr>
          <w:trHeight w:val="340" w:hRule="atLeast"/>
          <w:tblHeader/>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科目编码</w:t>
            </w:r>
          </w:p>
        </w:tc>
        <w:tc>
          <w:tcPr>
            <w:tcW w:w="5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科目名称</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执行数</w:t>
            </w:r>
          </w:p>
        </w:tc>
      </w:tr>
      <w:tr>
        <w:tblPrEx>
          <w:tblLayout w:type="fixed"/>
          <w:tblCellMar>
            <w:top w:w="0" w:type="dxa"/>
            <w:left w:w="108" w:type="dxa"/>
            <w:bottom w:w="0" w:type="dxa"/>
            <w:right w:w="108" w:type="dxa"/>
          </w:tblCellMar>
        </w:tblPrEx>
        <w:trPr>
          <w:trHeight w:val="340" w:hRule="atLeast"/>
        </w:trPr>
        <w:tc>
          <w:tcPr>
            <w:tcW w:w="6622"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本级支出合计</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仿宋_GB2312" w:cs="Times New Roman"/>
                <w:b/>
                <w:bCs/>
                <w:color w:val="000000"/>
                <w:kern w:val="0"/>
                <w:sz w:val="20"/>
                <w:szCs w:val="20"/>
                <w:lang w:bidi="ar"/>
              </w:rPr>
              <w:t xml:space="preserve">402,801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社会保障和就业支出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12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20822</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大中型水库移民后期扶持基金支出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12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2082201</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移民补助</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12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城乡社区支出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385,425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21208</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国有土地使用权出让收入安排的支出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380,273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2120801</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征地和拆迁补偿支出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91,402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2120803</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城市建设支出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4,198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2120804</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农村基础设施建设支出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122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2120814</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农业生产发展支出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10,609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2120815</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农村社会事业支出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1,687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2120816</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农业农村生态环境支出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300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2120899</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其他国有土地使用权出让收入安排的支出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271,955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21213</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城市基础设施配套费安排的支出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5,152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2121301</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城市公共设施</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4,336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2121399</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其他城市基础设施配套费安排的支出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405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农林水支出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36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21367</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三峡水库库区基金支出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21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2136702</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解决移民遗留问题</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1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2136799</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其他三峡水库库区基金支出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20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21369</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国家重大水利工程建设基金安排的支出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15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2136902</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三峡后续工作</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15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229</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其他支出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3,523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22904</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其他政府性基金及对应专项债务收入安排的支出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2,000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2290402</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其他地方自行试点项目收益专项债券收入安排的支出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2,000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22908</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彩票发行销售机构业务费安排的支出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12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2290808</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彩票市场调控资金支出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12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22960</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彩票公益金安排的支出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1,511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2296002</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用于社会福利的彩票公益金支出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701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2296003</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用于体育事业的彩票公益金支出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564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2296004</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用于教育事业的彩票公益金支出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42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2296006</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用于残疾人事业的彩票公益金支出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88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2296013</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用于城乡医疗救助的彩票公益金支出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7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2296099</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用于其他社会公益事业的彩票公益金支出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109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232</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债务付息支出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14,212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23204</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地方政府专项债务付息支出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14,212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2320411</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国有土地使用权出让金债务付息支出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3,414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2320431</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土地储备专项债券付息支出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5,745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2320433</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棚户区改造专项债券付息支出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338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2320498</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其他地方自行试点项目收益专项债券付息支出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4,715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233</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债务发行费用支出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4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23304</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地方政府专项债务发行费用支出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4 </w:t>
            </w:r>
          </w:p>
        </w:tc>
      </w:tr>
      <w:tr>
        <w:tblPrEx>
          <w:tblLayout w:type="fixed"/>
          <w:tblCellMar>
            <w:top w:w="0" w:type="dxa"/>
            <w:left w:w="108" w:type="dxa"/>
            <w:bottom w:w="0" w:type="dxa"/>
            <w:right w:w="108" w:type="dxa"/>
          </w:tblCellMar>
        </w:tblPrEx>
        <w:trPr>
          <w:trHeight w:val="3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2330411</w:t>
            </w:r>
          </w:p>
        </w:tc>
        <w:tc>
          <w:tcPr>
            <w:tcW w:w="536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国有土地使用权出让金债务发行费用支出</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bottom"/>
              <w:rPr>
                <w:rFonts w:ascii="Times New Roman" w:hAnsi="Times New Roman" w:eastAsia="仿宋_GB2312" w:cs="Times New Roman"/>
                <w:color w:val="000000"/>
                <w:sz w:val="20"/>
                <w:szCs w:val="20"/>
              </w:rPr>
            </w:pPr>
            <w:r>
              <w:rPr>
                <w:rFonts w:ascii="Times New Roman" w:hAnsi="Times New Roman" w:eastAsia="宋体" w:cs="Times New Roman"/>
                <w:color w:val="000000"/>
                <w:kern w:val="0"/>
                <w:sz w:val="20"/>
                <w:szCs w:val="20"/>
                <w:lang w:bidi="ar"/>
              </w:rPr>
              <w:t xml:space="preserve">4 </w:t>
            </w:r>
          </w:p>
        </w:tc>
      </w:tr>
    </w:tbl>
    <w:p>
      <w:pPr>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br w:type="page"/>
      </w:r>
    </w:p>
    <w:p>
      <w:pPr>
        <w:tabs>
          <w:tab w:val="left" w:pos="5235"/>
        </w:tabs>
        <w:spacing w:line="400" w:lineRule="exac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10</w:t>
      </w:r>
    </w:p>
    <w:p>
      <w:pPr>
        <w:widowControl/>
        <w:jc w:val="center"/>
        <w:textAlignment w:val="center"/>
        <w:outlineLvl w:val="0"/>
        <w:rPr>
          <w:rFonts w:ascii="Times New Roman" w:hAnsi="Times New Roman" w:eastAsia="方正小标宋_GBK" w:cs="方正小标宋_GBK"/>
          <w:w w:val="95"/>
          <w:kern w:val="0"/>
          <w:sz w:val="44"/>
          <w:szCs w:val="44"/>
        </w:rPr>
      </w:pPr>
      <w:r>
        <w:rPr>
          <w:rFonts w:ascii="Times New Roman" w:hAnsi="Times New Roman" w:eastAsia="方正小标宋_GBK" w:cs="Times New Roman"/>
          <w:w w:val="95"/>
          <w:kern w:val="0"/>
          <w:sz w:val="44"/>
          <w:szCs w:val="44"/>
        </w:rPr>
        <w:t>2022</w:t>
      </w:r>
      <w:r>
        <w:rPr>
          <w:rFonts w:hint="eastAsia" w:ascii="Times New Roman" w:hAnsi="Times New Roman" w:eastAsia="方正小标宋_GBK" w:cs="方正小标宋_GBK"/>
          <w:w w:val="95"/>
          <w:kern w:val="0"/>
          <w:sz w:val="44"/>
          <w:szCs w:val="44"/>
        </w:rPr>
        <w:t>年区级政府性基金预算转移支付收支执行表</w:t>
      </w:r>
    </w:p>
    <w:p>
      <w:pPr>
        <w:widowControl/>
        <w:jc w:val="right"/>
        <w:textAlignment w:val="center"/>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单位：万元</w:t>
      </w:r>
    </w:p>
    <w:tbl>
      <w:tblPr>
        <w:tblStyle w:val="10"/>
        <w:tblW w:w="9124" w:type="dxa"/>
        <w:tblInd w:w="-52" w:type="dxa"/>
        <w:tblLayout w:type="fixed"/>
        <w:tblCellMar>
          <w:top w:w="15" w:type="dxa"/>
          <w:left w:w="15" w:type="dxa"/>
          <w:bottom w:w="15" w:type="dxa"/>
          <w:right w:w="15" w:type="dxa"/>
        </w:tblCellMar>
      </w:tblPr>
      <w:tblGrid>
        <w:gridCol w:w="2888"/>
        <w:gridCol w:w="1700"/>
        <w:gridCol w:w="2725"/>
        <w:gridCol w:w="1811"/>
      </w:tblGrid>
      <w:tr>
        <w:tblPrEx>
          <w:tblLayout w:type="fixed"/>
          <w:tblCellMar>
            <w:top w:w="15" w:type="dxa"/>
            <w:left w:w="15" w:type="dxa"/>
            <w:bottom w:w="15" w:type="dxa"/>
            <w:right w:w="15" w:type="dxa"/>
          </w:tblCellMar>
        </w:tblPrEx>
        <w:trPr>
          <w:trHeight w:val="539" w:hRule="atLeast"/>
        </w:trPr>
        <w:tc>
          <w:tcPr>
            <w:tcW w:w="2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收       入</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执行数</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支        出</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执行数</w:t>
            </w:r>
          </w:p>
        </w:tc>
      </w:tr>
      <w:tr>
        <w:tblPrEx>
          <w:tblLayout w:type="fixed"/>
          <w:tblCellMar>
            <w:top w:w="15" w:type="dxa"/>
            <w:left w:w="15" w:type="dxa"/>
            <w:bottom w:w="15" w:type="dxa"/>
            <w:right w:w="15" w:type="dxa"/>
          </w:tblCellMar>
        </w:tblPrEx>
        <w:trPr>
          <w:trHeight w:val="539" w:hRule="atLeast"/>
        </w:trPr>
        <w:tc>
          <w:tcPr>
            <w:tcW w:w="2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上级补助收入</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2"/>
              </w:rPr>
            </w:pPr>
            <w:r>
              <w:rPr>
                <w:rFonts w:ascii="Times New Roman" w:hAnsi="Times New Roman" w:eastAsia="宋体" w:cs="Times New Roman"/>
                <w:b/>
                <w:bCs/>
                <w:color w:val="000000"/>
                <w:kern w:val="0"/>
                <w:sz w:val="22"/>
                <w:lang w:bidi="ar"/>
              </w:rPr>
              <w:t xml:space="preserve">378,446 </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黑体" w:cs="黑体"/>
                <w:b/>
                <w:bCs/>
                <w:color w:val="000000"/>
                <w:sz w:val="22"/>
              </w:rPr>
            </w:pPr>
            <w:r>
              <w:rPr>
                <w:rFonts w:hint="eastAsia" w:ascii="Times New Roman" w:hAnsi="Times New Roman" w:eastAsia="黑体" w:cs="黑体"/>
                <w:color w:val="000000"/>
                <w:kern w:val="0"/>
                <w:sz w:val="22"/>
                <w:lang w:bidi="ar"/>
              </w:rPr>
              <w:t>补助下级支出</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2"/>
              </w:rPr>
            </w:pPr>
            <w:r>
              <w:rPr>
                <w:rFonts w:ascii="Times New Roman" w:hAnsi="Times New Roman" w:eastAsia="宋体" w:cs="Times New Roman"/>
                <w:b/>
                <w:bCs/>
                <w:color w:val="000000"/>
                <w:kern w:val="0"/>
                <w:sz w:val="22"/>
                <w:lang w:bidi="ar"/>
              </w:rPr>
              <w:t>411</w:t>
            </w:r>
          </w:p>
        </w:tc>
      </w:tr>
      <w:tr>
        <w:tblPrEx>
          <w:tblLayout w:type="fixed"/>
          <w:tblCellMar>
            <w:top w:w="15" w:type="dxa"/>
            <w:left w:w="15" w:type="dxa"/>
            <w:bottom w:w="15" w:type="dxa"/>
            <w:right w:w="15" w:type="dxa"/>
          </w:tblCellMar>
        </w:tblPrEx>
        <w:trPr>
          <w:trHeight w:val="539" w:hRule="atLeast"/>
        </w:trPr>
        <w:tc>
          <w:tcPr>
            <w:tcW w:w="2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大中型水库移民后期扶持基金收入</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58 </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其他城市基础设施配套费安排的支出</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411</w:t>
            </w:r>
          </w:p>
        </w:tc>
      </w:tr>
      <w:tr>
        <w:tblPrEx>
          <w:tblLayout w:type="fixed"/>
          <w:tblCellMar>
            <w:top w:w="15" w:type="dxa"/>
            <w:left w:w="15" w:type="dxa"/>
            <w:bottom w:w="15" w:type="dxa"/>
            <w:right w:w="15" w:type="dxa"/>
          </w:tblCellMar>
        </w:tblPrEx>
        <w:trPr>
          <w:trHeight w:val="539" w:hRule="atLeast"/>
        </w:trPr>
        <w:tc>
          <w:tcPr>
            <w:tcW w:w="2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国有土地使用权出让相关收入</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371,580 </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0"/>
                <w:szCs w:val="20"/>
              </w:rPr>
            </w:pP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2"/>
              </w:rPr>
            </w:pPr>
          </w:p>
        </w:tc>
      </w:tr>
      <w:tr>
        <w:tblPrEx>
          <w:tblLayout w:type="fixed"/>
          <w:tblCellMar>
            <w:top w:w="15" w:type="dxa"/>
            <w:left w:w="15" w:type="dxa"/>
            <w:bottom w:w="15" w:type="dxa"/>
            <w:right w:w="15" w:type="dxa"/>
          </w:tblCellMar>
        </w:tblPrEx>
        <w:trPr>
          <w:trHeight w:val="539" w:hRule="atLeast"/>
        </w:trPr>
        <w:tc>
          <w:tcPr>
            <w:tcW w:w="2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国有土地收益基金相关收入</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宋体"/>
                <w:color w:val="000000"/>
                <w:sz w:val="22"/>
              </w:rPr>
            </w:pP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2"/>
              </w:rPr>
            </w:pPr>
          </w:p>
        </w:tc>
      </w:tr>
      <w:tr>
        <w:tblPrEx>
          <w:tblLayout w:type="fixed"/>
          <w:tblCellMar>
            <w:top w:w="15" w:type="dxa"/>
            <w:left w:w="15" w:type="dxa"/>
            <w:bottom w:w="15" w:type="dxa"/>
            <w:right w:w="15" w:type="dxa"/>
          </w:tblCellMar>
        </w:tblPrEx>
        <w:trPr>
          <w:trHeight w:val="539" w:hRule="atLeast"/>
        </w:trPr>
        <w:tc>
          <w:tcPr>
            <w:tcW w:w="2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城市基础设施配套费相关收入</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4,510 </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0"/>
                <w:szCs w:val="20"/>
              </w:rPr>
            </w:pP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r>
        <w:tblPrEx>
          <w:tblLayout w:type="fixed"/>
          <w:tblCellMar>
            <w:top w:w="15" w:type="dxa"/>
            <w:left w:w="15" w:type="dxa"/>
            <w:bottom w:w="15" w:type="dxa"/>
            <w:right w:w="15" w:type="dxa"/>
          </w:tblCellMar>
        </w:tblPrEx>
        <w:trPr>
          <w:trHeight w:val="539" w:hRule="atLeast"/>
        </w:trPr>
        <w:tc>
          <w:tcPr>
            <w:tcW w:w="2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三峡水库库区基金收入</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32 </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0"/>
                <w:szCs w:val="20"/>
              </w:rPr>
            </w:pP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r>
        <w:tblPrEx>
          <w:tblLayout w:type="fixed"/>
          <w:tblCellMar>
            <w:top w:w="15" w:type="dxa"/>
            <w:left w:w="15" w:type="dxa"/>
            <w:bottom w:w="15" w:type="dxa"/>
            <w:right w:w="15" w:type="dxa"/>
          </w:tblCellMar>
        </w:tblPrEx>
        <w:trPr>
          <w:trHeight w:val="539" w:hRule="atLeast"/>
        </w:trPr>
        <w:tc>
          <w:tcPr>
            <w:tcW w:w="2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国家重大水利工程建设基金相关收入</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 </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0"/>
                <w:szCs w:val="20"/>
              </w:rPr>
            </w:pP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宋体"/>
                <w:color w:val="000000"/>
                <w:sz w:val="20"/>
                <w:szCs w:val="20"/>
              </w:rPr>
            </w:pPr>
          </w:p>
        </w:tc>
      </w:tr>
      <w:tr>
        <w:tblPrEx>
          <w:tblLayout w:type="fixed"/>
          <w:tblCellMar>
            <w:top w:w="15" w:type="dxa"/>
            <w:left w:w="15" w:type="dxa"/>
            <w:bottom w:w="15" w:type="dxa"/>
            <w:right w:w="15" w:type="dxa"/>
          </w:tblCellMar>
        </w:tblPrEx>
        <w:trPr>
          <w:trHeight w:val="539" w:hRule="atLeast"/>
        </w:trPr>
        <w:tc>
          <w:tcPr>
            <w:tcW w:w="2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彩票发行机构和彩票销售机构的业务费用</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宋体"/>
                <w:color w:val="000000"/>
                <w:sz w:val="22"/>
              </w:rPr>
            </w:pP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宋体"/>
                <w:color w:val="000000"/>
                <w:sz w:val="22"/>
              </w:rPr>
            </w:pPr>
          </w:p>
        </w:tc>
      </w:tr>
      <w:tr>
        <w:tblPrEx>
          <w:tblLayout w:type="fixed"/>
          <w:tblCellMar>
            <w:top w:w="15" w:type="dxa"/>
            <w:left w:w="15" w:type="dxa"/>
            <w:bottom w:w="15" w:type="dxa"/>
            <w:right w:w="15" w:type="dxa"/>
          </w:tblCellMar>
        </w:tblPrEx>
        <w:trPr>
          <w:trHeight w:val="539" w:hRule="atLeast"/>
        </w:trPr>
        <w:tc>
          <w:tcPr>
            <w:tcW w:w="2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彩票公益金收入</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2,251 </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0"/>
                <w:szCs w:val="20"/>
              </w:rPr>
            </w:pP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宋体"/>
                <w:color w:val="000000"/>
                <w:sz w:val="20"/>
                <w:szCs w:val="20"/>
              </w:rPr>
            </w:pPr>
          </w:p>
        </w:tc>
      </w:tr>
      <w:tr>
        <w:tblPrEx>
          <w:tblLayout w:type="fixed"/>
          <w:tblCellMar>
            <w:top w:w="15" w:type="dxa"/>
            <w:left w:w="15" w:type="dxa"/>
            <w:bottom w:w="15" w:type="dxa"/>
            <w:right w:w="15" w:type="dxa"/>
          </w:tblCellMar>
        </w:tblPrEx>
        <w:trPr>
          <w:trHeight w:val="539" w:hRule="atLeast"/>
        </w:trPr>
        <w:tc>
          <w:tcPr>
            <w:tcW w:w="2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抗疫特别国债收入</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FF0000"/>
                <w:sz w:val="20"/>
                <w:szCs w:val="20"/>
              </w:rPr>
            </w:pP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FF0000"/>
                <w:sz w:val="20"/>
                <w:szCs w:val="20"/>
              </w:rPr>
            </w:pPr>
          </w:p>
        </w:tc>
      </w:tr>
    </w:tbl>
    <w:p>
      <w:pPr>
        <w:widowControl/>
        <w:jc w:val="left"/>
        <w:textAlignment w:val="center"/>
        <w:rPr>
          <w:rFonts w:ascii="Times New Roman" w:hAnsi="Times New Roman" w:eastAsia="宋体" w:cs="宋体"/>
          <w:color w:val="000000"/>
          <w:kern w:val="0"/>
          <w:sz w:val="20"/>
          <w:szCs w:val="20"/>
          <w:lang w:val="zh-CN"/>
        </w:rPr>
      </w:pPr>
    </w:p>
    <w:p>
      <w:pPr>
        <w:widowControl/>
        <w:spacing w:line="580" w:lineRule="exact"/>
        <w:jc w:val="center"/>
        <w:rPr>
          <w:rFonts w:ascii="Times New Roman" w:hAnsi="Times New Roman" w:eastAsia="方正仿宋_GBK"/>
          <w:lang w:val="zh-CN"/>
        </w:rPr>
      </w:pPr>
    </w:p>
    <w:p>
      <w:pPr>
        <w:widowControl/>
        <w:jc w:val="left"/>
        <w:rPr>
          <w:rFonts w:ascii="Times New Roman" w:hAnsi="Times New Roman" w:eastAsia="方正仿宋_GBK"/>
          <w:lang w:val="zh-CN"/>
        </w:rPr>
      </w:pPr>
      <w:r>
        <w:rPr>
          <w:rFonts w:ascii="Times New Roman" w:hAnsi="Times New Roman" w:eastAsia="方正仿宋_GBK"/>
          <w:lang w:val="zh-CN"/>
        </w:rPr>
        <w:br w:type="page"/>
      </w:r>
    </w:p>
    <w:p>
      <w:pPr>
        <w:tabs>
          <w:tab w:val="left" w:pos="5235"/>
        </w:tabs>
        <w:spacing w:line="400" w:lineRule="exac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11</w:t>
      </w:r>
    </w:p>
    <w:p>
      <w:pPr>
        <w:widowControl/>
        <w:jc w:val="center"/>
        <w:textAlignment w:val="center"/>
        <w:outlineLvl w:val="0"/>
        <w:rPr>
          <w:rFonts w:ascii="Times New Roman" w:hAnsi="Times New Roman" w:eastAsia="方正小标宋_GBK" w:cs="方正小标宋_GBK"/>
          <w:w w:val="95"/>
          <w:kern w:val="0"/>
          <w:sz w:val="44"/>
          <w:szCs w:val="44"/>
        </w:rPr>
      </w:pPr>
      <w:r>
        <w:rPr>
          <w:rFonts w:ascii="Times New Roman" w:hAnsi="Times New Roman" w:eastAsia="方正小标宋_GBK" w:cs="Times New Roman"/>
          <w:w w:val="95"/>
          <w:kern w:val="0"/>
          <w:sz w:val="44"/>
          <w:szCs w:val="44"/>
        </w:rPr>
        <w:t>2022</w:t>
      </w:r>
      <w:r>
        <w:rPr>
          <w:rFonts w:hint="eastAsia" w:ascii="Times New Roman" w:hAnsi="Times New Roman" w:eastAsia="方正小标宋_GBK" w:cs="方正小标宋_GBK"/>
          <w:w w:val="95"/>
          <w:kern w:val="0"/>
          <w:sz w:val="44"/>
          <w:szCs w:val="44"/>
        </w:rPr>
        <w:t>年区级政府性基金预算转移支付支出执行表</w:t>
      </w:r>
    </w:p>
    <w:p>
      <w:pPr>
        <w:widowControl/>
        <w:spacing w:line="600" w:lineRule="exact"/>
        <w:jc w:val="center"/>
        <w:textAlignment w:val="center"/>
        <w:outlineLvl w:val="0"/>
        <w:rPr>
          <w:rFonts w:ascii="Times New Roman" w:hAnsi="Times New Roman" w:eastAsia="方正小标宋_GBK" w:cs="方正小标宋_GBK"/>
          <w:kern w:val="0"/>
          <w:sz w:val="32"/>
          <w:szCs w:val="32"/>
        </w:rPr>
      </w:pPr>
      <w:bookmarkStart w:id="11" w:name="_Toc6541"/>
      <w:r>
        <w:rPr>
          <w:rFonts w:hint="eastAsia" w:ascii="Times New Roman" w:hAnsi="Times New Roman" w:eastAsia="方正小标宋_GBK" w:cs="方正小标宋_GBK"/>
          <w:kern w:val="0"/>
          <w:sz w:val="32"/>
          <w:szCs w:val="32"/>
        </w:rPr>
        <w:t>（分地区）</w:t>
      </w:r>
      <w:bookmarkEnd w:id="11"/>
    </w:p>
    <w:p>
      <w:pPr>
        <w:widowControl/>
        <w:jc w:val="right"/>
        <w:textAlignment w:val="center"/>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单位：万元</w:t>
      </w:r>
    </w:p>
    <w:tbl>
      <w:tblPr>
        <w:tblStyle w:val="10"/>
        <w:tblW w:w="9109" w:type="dxa"/>
        <w:tblInd w:w="0" w:type="dxa"/>
        <w:tblLayout w:type="fixed"/>
        <w:tblCellMar>
          <w:top w:w="0" w:type="dxa"/>
          <w:left w:w="0" w:type="dxa"/>
          <w:bottom w:w="0" w:type="dxa"/>
          <w:right w:w="0" w:type="dxa"/>
        </w:tblCellMar>
      </w:tblPr>
      <w:tblGrid>
        <w:gridCol w:w="3127"/>
        <w:gridCol w:w="5982"/>
      </w:tblGrid>
      <w:tr>
        <w:tblPrEx>
          <w:tblLayout w:type="fixed"/>
          <w:tblCellMar>
            <w:top w:w="0" w:type="dxa"/>
            <w:left w:w="0" w:type="dxa"/>
            <w:bottom w:w="0" w:type="dxa"/>
            <w:right w:w="0" w:type="dxa"/>
          </w:tblCellMar>
        </w:tblPrEx>
        <w:trPr>
          <w:trHeight w:val="660" w:hRule="atLeast"/>
        </w:trPr>
        <w:tc>
          <w:tcPr>
            <w:tcW w:w="31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rPr>
              <w:t>单位名称</w:t>
            </w:r>
          </w:p>
        </w:tc>
        <w:tc>
          <w:tcPr>
            <w:tcW w:w="59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rPr>
              <w:t>执行数</w:t>
            </w:r>
          </w:p>
        </w:tc>
      </w:tr>
      <w:tr>
        <w:tblPrEx>
          <w:tblLayout w:type="fixed"/>
          <w:tblCellMar>
            <w:top w:w="0" w:type="dxa"/>
            <w:left w:w="0" w:type="dxa"/>
            <w:bottom w:w="0" w:type="dxa"/>
            <w:right w:w="0" w:type="dxa"/>
          </w:tblCellMar>
        </w:tblPrEx>
        <w:trPr>
          <w:trHeight w:val="580" w:hRule="atLeast"/>
        </w:trPr>
        <w:tc>
          <w:tcPr>
            <w:tcW w:w="312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rPr>
              <w:t>补助镇合计</w:t>
            </w:r>
          </w:p>
        </w:tc>
        <w:tc>
          <w:tcPr>
            <w:tcW w:w="59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b/>
                <w:bCs/>
                <w:color w:val="000000"/>
                <w:kern w:val="0"/>
                <w:sz w:val="20"/>
                <w:szCs w:val="20"/>
              </w:rPr>
              <w:t xml:space="preserve"> 411</w:t>
            </w:r>
            <w:r>
              <w:rPr>
                <w:rFonts w:ascii="Times New Roman" w:hAnsi="Times New Roman" w:eastAsia="宋体" w:cs="Times New Roman"/>
                <w:color w:val="000000"/>
                <w:kern w:val="0"/>
                <w:sz w:val="20"/>
                <w:szCs w:val="20"/>
              </w:rPr>
              <w:t xml:space="preserve"> </w:t>
            </w:r>
          </w:p>
        </w:tc>
      </w:tr>
      <w:tr>
        <w:tblPrEx>
          <w:tblLayout w:type="fixed"/>
          <w:tblCellMar>
            <w:top w:w="0" w:type="dxa"/>
            <w:left w:w="0" w:type="dxa"/>
            <w:bottom w:w="0" w:type="dxa"/>
            <w:right w:w="0" w:type="dxa"/>
          </w:tblCellMar>
        </w:tblPrEx>
        <w:trPr>
          <w:trHeight w:val="440" w:hRule="atLeast"/>
        </w:trPr>
        <w:tc>
          <w:tcPr>
            <w:tcW w:w="312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rPr>
              <w:t xml:space="preserve">  八桥镇</w:t>
            </w:r>
          </w:p>
        </w:tc>
        <w:tc>
          <w:tcPr>
            <w:tcW w:w="598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宋体" w:cs="Times New Roman"/>
                <w:color w:val="000000"/>
                <w:sz w:val="20"/>
                <w:szCs w:val="20"/>
              </w:rPr>
            </w:pPr>
          </w:p>
        </w:tc>
      </w:tr>
      <w:tr>
        <w:tblPrEx>
          <w:tblLayout w:type="fixed"/>
          <w:tblCellMar>
            <w:top w:w="0" w:type="dxa"/>
            <w:left w:w="0" w:type="dxa"/>
            <w:bottom w:w="0" w:type="dxa"/>
            <w:right w:w="0" w:type="dxa"/>
          </w:tblCellMar>
        </w:tblPrEx>
        <w:trPr>
          <w:trHeight w:val="440" w:hRule="atLeast"/>
        </w:trPr>
        <w:tc>
          <w:tcPr>
            <w:tcW w:w="3127" w:type="dxa"/>
            <w:tcBorders>
              <w:top w:val="single" w:color="000000" w:sz="4" w:space="0"/>
              <w:left w:val="single" w:color="000000" w:sz="4" w:space="0"/>
              <w:bottom w:val="single" w:color="000000" w:sz="4" w:space="0"/>
              <w:right w:val="nil"/>
            </w:tcBorders>
            <w:shd w:val="clear" w:color="auto" w:fill="FFFFFF"/>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rPr>
              <w:t xml:space="preserve">  建胜镇</w:t>
            </w:r>
          </w:p>
        </w:tc>
        <w:tc>
          <w:tcPr>
            <w:tcW w:w="598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宋体" w:cs="Times New Roman"/>
                <w:color w:val="000000"/>
                <w:sz w:val="20"/>
                <w:szCs w:val="20"/>
              </w:rPr>
            </w:pPr>
          </w:p>
        </w:tc>
      </w:tr>
      <w:tr>
        <w:tblPrEx>
          <w:tblLayout w:type="fixed"/>
          <w:tblCellMar>
            <w:top w:w="0" w:type="dxa"/>
            <w:left w:w="0" w:type="dxa"/>
            <w:bottom w:w="0" w:type="dxa"/>
            <w:right w:w="0" w:type="dxa"/>
          </w:tblCellMar>
        </w:tblPrEx>
        <w:trPr>
          <w:trHeight w:val="440" w:hRule="atLeast"/>
        </w:trPr>
        <w:tc>
          <w:tcPr>
            <w:tcW w:w="3127" w:type="dxa"/>
            <w:tcBorders>
              <w:top w:val="single" w:color="000000" w:sz="4" w:space="0"/>
              <w:left w:val="single" w:color="000000" w:sz="4" w:space="0"/>
              <w:bottom w:val="single" w:color="000000" w:sz="4" w:space="0"/>
              <w:right w:val="nil"/>
            </w:tcBorders>
            <w:shd w:val="clear" w:color="auto" w:fill="FFFFFF"/>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rPr>
              <w:t xml:space="preserve">  跳磴镇</w:t>
            </w:r>
          </w:p>
        </w:tc>
        <w:tc>
          <w:tcPr>
            <w:tcW w:w="598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 xml:space="preserve">411 </w:t>
            </w:r>
          </w:p>
        </w:tc>
      </w:tr>
    </w:tbl>
    <w:p>
      <w:pPr>
        <w:widowControl/>
        <w:spacing w:line="580" w:lineRule="exact"/>
        <w:rPr>
          <w:rFonts w:ascii="Times New Roman" w:hAnsi="Times New Roman" w:eastAsia="方正仿宋_GBK"/>
          <w:lang w:val="zh-CN"/>
        </w:rPr>
      </w:pPr>
    </w:p>
    <w:p>
      <w:pPr>
        <w:widowControl/>
        <w:spacing w:line="580" w:lineRule="exact"/>
        <w:jc w:val="center"/>
        <w:rPr>
          <w:rFonts w:ascii="Times New Roman" w:hAnsi="Times New Roman" w:eastAsia="方正仿宋_GBK"/>
          <w:lang w:val="zh-CN"/>
        </w:rPr>
      </w:pPr>
    </w:p>
    <w:p>
      <w:pPr>
        <w:widowControl/>
        <w:spacing w:line="580" w:lineRule="exact"/>
        <w:jc w:val="center"/>
        <w:rPr>
          <w:rFonts w:ascii="Times New Roman" w:hAnsi="Times New Roman" w:eastAsia="方正仿宋_GBK"/>
          <w:lang w:val="zh-CN"/>
        </w:rPr>
      </w:pPr>
    </w:p>
    <w:p>
      <w:pPr>
        <w:widowControl/>
        <w:jc w:val="left"/>
        <w:rPr>
          <w:rFonts w:ascii="Times New Roman" w:hAnsi="Times New Roman" w:eastAsia="方正黑体_GBK" w:cs="方正黑体_GBK"/>
          <w:color w:val="000000"/>
          <w:kern w:val="0"/>
          <w:sz w:val="28"/>
          <w:szCs w:val="28"/>
        </w:rPr>
      </w:pPr>
      <w:r>
        <w:rPr>
          <w:rFonts w:ascii="Times New Roman" w:hAnsi="Times New Roman" w:eastAsia="方正黑体_GBK" w:cs="方正黑体_GBK"/>
          <w:color w:val="000000"/>
          <w:kern w:val="0"/>
          <w:sz w:val="28"/>
          <w:szCs w:val="28"/>
        </w:rPr>
        <w:br w:type="page"/>
      </w:r>
    </w:p>
    <w:p>
      <w:pPr>
        <w:spacing w:line="400" w:lineRule="exac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12</w:t>
      </w:r>
    </w:p>
    <w:p>
      <w:pPr>
        <w:widowControl/>
        <w:jc w:val="center"/>
        <w:textAlignment w:val="center"/>
        <w:outlineLvl w:val="0"/>
        <w:rPr>
          <w:rFonts w:ascii="Times New Roman" w:hAnsi="Times New Roman" w:eastAsia="方正小标宋_GBK" w:cs="方正小标宋_GBK"/>
          <w:w w:val="95"/>
          <w:kern w:val="0"/>
          <w:sz w:val="44"/>
          <w:szCs w:val="44"/>
        </w:rPr>
      </w:pPr>
      <w:r>
        <w:rPr>
          <w:rFonts w:ascii="Times New Roman" w:hAnsi="Times New Roman" w:eastAsia="方正小标宋_GBK" w:cs="Times New Roman"/>
          <w:w w:val="95"/>
          <w:kern w:val="0"/>
          <w:sz w:val="44"/>
          <w:szCs w:val="44"/>
        </w:rPr>
        <w:t>2022</w:t>
      </w:r>
      <w:r>
        <w:rPr>
          <w:rFonts w:hint="eastAsia" w:ascii="Times New Roman" w:hAnsi="Times New Roman" w:eastAsia="方正小标宋_GBK" w:cs="方正小标宋_GBK"/>
          <w:w w:val="95"/>
          <w:kern w:val="0"/>
          <w:sz w:val="44"/>
          <w:szCs w:val="44"/>
        </w:rPr>
        <w:t>年区级政府性基金预算转移支付支出执行表</w:t>
      </w:r>
    </w:p>
    <w:p>
      <w:pPr>
        <w:widowControl/>
        <w:spacing w:line="600" w:lineRule="exact"/>
        <w:jc w:val="center"/>
        <w:textAlignment w:val="center"/>
        <w:outlineLvl w:val="0"/>
        <w:rPr>
          <w:rFonts w:ascii="Times New Roman" w:hAnsi="Times New Roman" w:eastAsia="方正小标宋_GBK" w:cs="方正小标宋_GBK"/>
          <w:kern w:val="0"/>
          <w:sz w:val="32"/>
          <w:szCs w:val="32"/>
        </w:rPr>
      </w:pPr>
      <w:bookmarkStart w:id="12" w:name="_Toc21236"/>
      <w:r>
        <w:rPr>
          <w:rFonts w:hint="eastAsia" w:ascii="Times New Roman" w:hAnsi="Times New Roman" w:eastAsia="方正小标宋_GBK" w:cs="方正小标宋_GBK"/>
          <w:kern w:val="0"/>
          <w:sz w:val="32"/>
          <w:szCs w:val="32"/>
        </w:rPr>
        <w:t>（分项目）</w:t>
      </w:r>
      <w:bookmarkEnd w:id="12"/>
    </w:p>
    <w:p>
      <w:pPr>
        <w:widowControl/>
        <w:jc w:val="righ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rPr>
        <w:t>单位：万元</w:t>
      </w:r>
    </w:p>
    <w:tbl>
      <w:tblPr>
        <w:tblStyle w:val="10"/>
        <w:tblW w:w="9048" w:type="dxa"/>
        <w:tblInd w:w="0" w:type="dxa"/>
        <w:tblLayout w:type="fixed"/>
        <w:tblCellMar>
          <w:top w:w="0" w:type="dxa"/>
          <w:left w:w="0" w:type="dxa"/>
          <w:bottom w:w="0" w:type="dxa"/>
          <w:right w:w="0" w:type="dxa"/>
        </w:tblCellMar>
      </w:tblPr>
      <w:tblGrid>
        <w:gridCol w:w="5814"/>
        <w:gridCol w:w="3234"/>
      </w:tblGrid>
      <w:tr>
        <w:tblPrEx>
          <w:tblLayout w:type="fixed"/>
          <w:tblCellMar>
            <w:top w:w="0" w:type="dxa"/>
            <w:left w:w="0" w:type="dxa"/>
            <w:bottom w:w="0" w:type="dxa"/>
            <w:right w:w="0" w:type="dxa"/>
          </w:tblCellMar>
        </w:tblPrEx>
        <w:trPr>
          <w:trHeight w:val="480" w:hRule="atLeast"/>
        </w:trPr>
        <w:tc>
          <w:tcPr>
            <w:tcW w:w="58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rPr>
              <w:t>项  目</w:t>
            </w:r>
          </w:p>
        </w:tc>
        <w:tc>
          <w:tcPr>
            <w:tcW w:w="32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rPr>
              <w:t>执行数</w:t>
            </w:r>
          </w:p>
        </w:tc>
      </w:tr>
      <w:tr>
        <w:tblPrEx>
          <w:tblLayout w:type="fixed"/>
          <w:tblCellMar>
            <w:top w:w="0" w:type="dxa"/>
            <w:left w:w="0" w:type="dxa"/>
            <w:bottom w:w="0" w:type="dxa"/>
            <w:right w:w="0" w:type="dxa"/>
          </w:tblCellMar>
        </w:tblPrEx>
        <w:trPr>
          <w:trHeight w:val="480" w:hRule="atLeast"/>
        </w:trPr>
        <w:tc>
          <w:tcPr>
            <w:tcW w:w="58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rPr>
              <w:t>补助镇合计</w:t>
            </w:r>
          </w:p>
        </w:tc>
        <w:tc>
          <w:tcPr>
            <w:tcW w:w="32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2"/>
              </w:rPr>
            </w:pPr>
            <w:r>
              <w:rPr>
                <w:rFonts w:ascii="Times New Roman" w:hAnsi="Times New Roman" w:eastAsia="宋体" w:cs="Times New Roman"/>
                <w:b/>
                <w:bCs/>
                <w:color w:val="000000"/>
                <w:kern w:val="0"/>
                <w:sz w:val="22"/>
              </w:rPr>
              <w:t>411</w:t>
            </w:r>
            <w:r>
              <w:rPr>
                <w:rFonts w:ascii="Times New Roman" w:hAnsi="Times New Roman" w:eastAsia="宋体" w:cs="Times New Roman"/>
                <w:color w:val="000000"/>
                <w:kern w:val="0"/>
                <w:sz w:val="22"/>
              </w:rPr>
              <w:t xml:space="preserve"> </w:t>
            </w:r>
          </w:p>
        </w:tc>
      </w:tr>
      <w:tr>
        <w:tblPrEx>
          <w:tblLayout w:type="fixed"/>
          <w:tblCellMar>
            <w:top w:w="0" w:type="dxa"/>
            <w:left w:w="0" w:type="dxa"/>
            <w:bottom w:w="0" w:type="dxa"/>
            <w:right w:w="0" w:type="dxa"/>
          </w:tblCellMar>
        </w:tblPrEx>
        <w:trPr>
          <w:trHeight w:val="480" w:hRule="atLeast"/>
        </w:trPr>
        <w:tc>
          <w:tcPr>
            <w:tcW w:w="581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rPr>
              <w:t xml:space="preserve">  巴蜀美丽庭院示范片（农房品质提升）</w:t>
            </w:r>
          </w:p>
        </w:tc>
        <w:tc>
          <w:tcPr>
            <w:tcW w:w="32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 xml:space="preserve">411 </w:t>
            </w:r>
          </w:p>
        </w:tc>
      </w:tr>
    </w:tbl>
    <w:p>
      <w:pPr>
        <w:widowControl/>
        <w:spacing w:line="580" w:lineRule="exact"/>
        <w:rPr>
          <w:rFonts w:ascii="Times New Roman" w:hAnsi="Times New Roman" w:eastAsia="方正仿宋_GBK"/>
          <w:lang w:val="zh-CN"/>
        </w:rPr>
      </w:pPr>
    </w:p>
    <w:p>
      <w:pPr>
        <w:widowControl/>
        <w:spacing w:line="580" w:lineRule="exact"/>
        <w:rPr>
          <w:rFonts w:ascii="Times New Roman" w:hAnsi="Times New Roman" w:eastAsia="方正仿宋_GBK"/>
          <w:lang w:val="zh-CN"/>
        </w:rPr>
      </w:pPr>
    </w:p>
    <w:p>
      <w:pPr>
        <w:widowControl/>
        <w:spacing w:line="580" w:lineRule="exact"/>
        <w:rPr>
          <w:rFonts w:ascii="Times New Roman" w:hAnsi="Times New Roman" w:eastAsia="方正仿宋_GBK"/>
          <w:lang w:val="zh-CN"/>
        </w:rPr>
      </w:pPr>
    </w:p>
    <w:p>
      <w:pPr>
        <w:widowControl/>
        <w:jc w:val="left"/>
        <w:textAlignment w:val="center"/>
        <w:rPr>
          <w:rFonts w:ascii="Times New Roman" w:hAnsi="Times New Roman" w:eastAsia="方正黑体_GBK" w:cs="方正黑体_GBK"/>
          <w:color w:val="000000"/>
          <w:kern w:val="0"/>
          <w:sz w:val="28"/>
          <w:szCs w:val="28"/>
        </w:rPr>
      </w:pPr>
    </w:p>
    <w:p>
      <w:pPr>
        <w:widowControl/>
        <w:jc w:val="left"/>
        <w:rPr>
          <w:rFonts w:ascii="Times New Roman" w:hAnsi="Times New Roman" w:eastAsia="方正黑体_GBK" w:cs="方正黑体_GBK"/>
          <w:color w:val="000000"/>
          <w:kern w:val="0"/>
          <w:sz w:val="28"/>
          <w:szCs w:val="28"/>
        </w:rPr>
      </w:pPr>
      <w:r>
        <w:rPr>
          <w:rFonts w:ascii="Times New Roman" w:hAnsi="Times New Roman" w:eastAsia="方正黑体_GBK" w:cs="方正黑体_GBK"/>
          <w:color w:val="000000"/>
          <w:kern w:val="0"/>
          <w:sz w:val="28"/>
          <w:szCs w:val="28"/>
        </w:rPr>
        <w:br w:type="page"/>
      </w:r>
    </w:p>
    <w:p>
      <w:pPr>
        <w:spacing w:line="400" w:lineRule="exac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13</w:t>
      </w:r>
    </w:p>
    <w:p>
      <w:pPr>
        <w:widowControl/>
        <w:jc w:val="center"/>
        <w:textAlignment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2022</w:t>
      </w:r>
      <w:r>
        <w:rPr>
          <w:rFonts w:hint="eastAsia" w:ascii="Times New Roman" w:hAnsi="Times New Roman" w:eastAsia="方正小标宋_GBK" w:cs="Times New Roman"/>
          <w:kern w:val="0"/>
          <w:sz w:val="44"/>
          <w:szCs w:val="44"/>
        </w:rPr>
        <w:t>年全区国有资本经营预算收支执行表</w:t>
      </w:r>
    </w:p>
    <w:p>
      <w:pPr>
        <w:widowControl/>
        <w:jc w:val="right"/>
        <w:textAlignment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单位：万元</w:t>
      </w:r>
    </w:p>
    <w:tbl>
      <w:tblPr>
        <w:tblStyle w:val="10"/>
        <w:tblW w:w="9097" w:type="dxa"/>
        <w:tblInd w:w="93" w:type="dxa"/>
        <w:tblLayout w:type="fixed"/>
        <w:tblCellMar>
          <w:top w:w="0" w:type="dxa"/>
          <w:left w:w="108" w:type="dxa"/>
          <w:bottom w:w="0" w:type="dxa"/>
          <w:right w:w="108" w:type="dxa"/>
        </w:tblCellMar>
      </w:tblPr>
      <w:tblGrid>
        <w:gridCol w:w="3023"/>
        <w:gridCol w:w="1274"/>
        <w:gridCol w:w="1150"/>
        <w:gridCol w:w="1125"/>
        <w:gridCol w:w="1225"/>
        <w:gridCol w:w="1300"/>
      </w:tblGrid>
      <w:tr>
        <w:tblPrEx>
          <w:tblLayout w:type="fixed"/>
          <w:tblCellMar>
            <w:top w:w="0" w:type="dxa"/>
            <w:left w:w="108" w:type="dxa"/>
            <w:bottom w:w="0" w:type="dxa"/>
            <w:right w:w="108" w:type="dxa"/>
          </w:tblCellMar>
        </w:tblPrEx>
        <w:trPr>
          <w:trHeight w:val="454" w:hRule="atLeast"/>
        </w:trPr>
        <w:tc>
          <w:tcPr>
            <w:tcW w:w="3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收      入</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预算数</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调整</w:t>
            </w:r>
            <w:r>
              <w:rPr>
                <w:rFonts w:hint="eastAsia" w:ascii="Times New Roman" w:hAnsi="Times New Roman" w:eastAsia="黑体" w:cs="黑体"/>
                <w:color w:val="000000"/>
                <w:kern w:val="0"/>
                <w:sz w:val="22"/>
                <w:lang w:bidi="ar"/>
              </w:rPr>
              <w:br w:type="textWrapping"/>
            </w:r>
            <w:r>
              <w:rPr>
                <w:rFonts w:hint="eastAsia" w:ascii="Times New Roman" w:hAnsi="Times New Roman" w:eastAsia="黑体" w:cs="黑体"/>
                <w:color w:val="000000"/>
                <w:kern w:val="0"/>
                <w:sz w:val="22"/>
                <w:lang w:bidi="ar"/>
              </w:rPr>
              <w:t>预算数</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执行数</w:t>
            </w: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执行数</w:t>
            </w:r>
            <w:r>
              <w:rPr>
                <w:rFonts w:hint="eastAsia" w:ascii="Times New Roman" w:hAnsi="Times New Roman" w:eastAsia="黑体" w:cs="黑体"/>
                <w:color w:val="000000"/>
                <w:kern w:val="0"/>
                <w:sz w:val="22"/>
                <w:lang w:bidi="ar"/>
              </w:rPr>
              <w:br w:type="textWrapping"/>
            </w:r>
            <w:r>
              <w:rPr>
                <w:rFonts w:hint="eastAsia" w:ascii="Times New Roman" w:hAnsi="Times New Roman" w:eastAsia="黑体" w:cs="黑体"/>
                <w:color w:val="000000"/>
                <w:kern w:val="0"/>
                <w:sz w:val="22"/>
                <w:lang w:bidi="ar"/>
              </w:rPr>
              <w:t>为调整</w:t>
            </w:r>
            <w:r>
              <w:rPr>
                <w:rFonts w:hint="eastAsia" w:ascii="Times New Roman" w:hAnsi="Times New Roman" w:eastAsia="黑体" w:cs="黑体"/>
                <w:color w:val="000000"/>
                <w:kern w:val="0"/>
                <w:sz w:val="22"/>
                <w:lang w:bidi="ar"/>
              </w:rPr>
              <w:br w:type="textWrapping"/>
            </w:r>
            <w:r>
              <w:rPr>
                <w:rFonts w:hint="eastAsia" w:ascii="Times New Roman" w:hAnsi="Times New Roman" w:eastAsia="黑体" w:cs="黑体"/>
                <w:color w:val="000000"/>
                <w:kern w:val="0"/>
                <w:sz w:val="22"/>
                <w:lang w:bidi="ar"/>
              </w:rPr>
              <w:t>预算数的%</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kern w:val="0"/>
                <w:sz w:val="22"/>
                <w:lang w:bidi="ar"/>
              </w:rPr>
            </w:pPr>
            <w:r>
              <w:rPr>
                <w:rFonts w:hint="eastAsia" w:ascii="Times New Roman" w:hAnsi="Times New Roman" w:eastAsia="黑体" w:cs="黑体"/>
                <w:color w:val="000000"/>
                <w:kern w:val="0"/>
                <w:sz w:val="22"/>
                <w:lang w:bidi="ar"/>
              </w:rPr>
              <w:t>执行数</w:t>
            </w:r>
          </w:p>
          <w:p>
            <w:pPr>
              <w:widowControl/>
              <w:jc w:val="center"/>
              <w:textAlignment w:val="center"/>
              <w:rPr>
                <w:rFonts w:ascii="Times New Roman" w:hAnsi="Times New Roman" w:eastAsia="黑体" w:cs="黑体"/>
                <w:color w:val="000000"/>
                <w:kern w:val="0"/>
                <w:sz w:val="22"/>
                <w:lang w:bidi="ar"/>
              </w:rPr>
            </w:pPr>
            <w:r>
              <w:rPr>
                <w:rFonts w:hint="eastAsia" w:ascii="Times New Roman" w:hAnsi="Times New Roman" w:eastAsia="黑体" w:cs="黑体"/>
                <w:color w:val="000000"/>
                <w:kern w:val="0"/>
                <w:sz w:val="22"/>
                <w:lang w:bidi="ar"/>
              </w:rPr>
              <w:t>为上年</w:t>
            </w:r>
          </w:p>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决算数的%</w:t>
            </w:r>
          </w:p>
        </w:tc>
      </w:tr>
      <w:tr>
        <w:tblPrEx>
          <w:tblLayout w:type="fixed"/>
          <w:tblCellMar>
            <w:top w:w="0" w:type="dxa"/>
            <w:left w:w="108" w:type="dxa"/>
            <w:bottom w:w="0" w:type="dxa"/>
            <w:right w:w="108" w:type="dxa"/>
          </w:tblCellMar>
        </w:tblPrEx>
        <w:trPr>
          <w:trHeight w:val="454" w:hRule="atLeast"/>
        </w:trPr>
        <w:tc>
          <w:tcPr>
            <w:tcW w:w="3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总  计</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 5,000 </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 5,090 </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 7,384 </w:t>
            </w: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b/>
                <w:bCs/>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54" w:hRule="atLeast"/>
        </w:trPr>
        <w:tc>
          <w:tcPr>
            <w:tcW w:w="3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本级收入合计</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 5,000 </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 5,000 </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 7,294 </w:t>
            </w: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145.9%</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128.2%</w:t>
            </w:r>
          </w:p>
        </w:tc>
      </w:tr>
      <w:tr>
        <w:tblPrEx>
          <w:tblLayout w:type="fixed"/>
          <w:tblCellMar>
            <w:top w:w="0" w:type="dxa"/>
            <w:left w:w="108" w:type="dxa"/>
            <w:bottom w:w="0" w:type="dxa"/>
            <w:right w:w="108" w:type="dxa"/>
          </w:tblCellMar>
        </w:tblPrEx>
        <w:trPr>
          <w:trHeight w:val="454" w:hRule="atLeast"/>
        </w:trPr>
        <w:tc>
          <w:tcPr>
            <w:tcW w:w="3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一、利润收入</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5,000 </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5,000 </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7,294 </w:t>
            </w: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145.9%</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128.2%</w:t>
            </w:r>
          </w:p>
        </w:tc>
      </w:tr>
      <w:tr>
        <w:tblPrEx>
          <w:tblLayout w:type="fixed"/>
          <w:tblCellMar>
            <w:top w:w="0" w:type="dxa"/>
            <w:left w:w="108" w:type="dxa"/>
            <w:bottom w:w="0" w:type="dxa"/>
            <w:right w:w="108" w:type="dxa"/>
          </w:tblCellMar>
        </w:tblPrEx>
        <w:trPr>
          <w:trHeight w:val="454" w:hRule="atLeast"/>
        </w:trPr>
        <w:tc>
          <w:tcPr>
            <w:tcW w:w="3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二、股利、股息收入</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54" w:hRule="atLeast"/>
        </w:trPr>
        <w:tc>
          <w:tcPr>
            <w:tcW w:w="3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三、产权转让收入</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54" w:hRule="atLeast"/>
        </w:trPr>
        <w:tc>
          <w:tcPr>
            <w:tcW w:w="3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宋体"/>
                <w:color w:val="000000"/>
                <w:sz w:val="20"/>
                <w:szCs w:val="20"/>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54" w:hRule="atLeast"/>
        </w:trPr>
        <w:tc>
          <w:tcPr>
            <w:tcW w:w="3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宋体"/>
                <w:color w:val="000000"/>
                <w:sz w:val="20"/>
                <w:szCs w:val="20"/>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54" w:hRule="atLeast"/>
        </w:trPr>
        <w:tc>
          <w:tcPr>
            <w:tcW w:w="3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宋体"/>
                <w:color w:val="000000"/>
                <w:sz w:val="20"/>
                <w:szCs w:val="20"/>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54" w:hRule="atLeast"/>
        </w:trPr>
        <w:tc>
          <w:tcPr>
            <w:tcW w:w="3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宋体"/>
                <w:color w:val="000000"/>
                <w:sz w:val="20"/>
                <w:szCs w:val="20"/>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54" w:hRule="atLeast"/>
        </w:trPr>
        <w:tc>
          <w:tcPr>
            <w:tcW w:w="3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宋体"/>
                <w:color w:val="000000"/>
                <w:sz w:val="20"/>
                <w:szCs w:val="20"/>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54" w:hRule="atLeast"/>
        </w:trPr>
        <w:tc>
          <w:tcPr>
            <w:tcW w:w="3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宋体"/>
                <w:color w:val="000000"/>
                <w:sz w:val="20"/>
                <w:szCs w:val="20"/>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54" w:hRule="atLeast"/>
        </w:trPr>
        <w:tc>
          <w:tcPr>
            <w:tcW w:w="3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宋体"/>
                <w:color w:val="000000"/>
                <w:sz w:val="20"/>
                <w:szCs w:val="20"/>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54" w:hRule="atLeast"/>
        </w:trPr>
        <w:tc>
          <w:tcPr>
            <w:tcW w:w="3023" w:type="dxa"/>
            <w:tcBorders>
              <w:top w:val="single" w:color="000000" w:sz="4" w:space="0"/>
              <w:left w:val="single" w:color="000000" w:sz="4" w:space="0"/>
              <w:bottom w:val="nil"/>
              <w:right w:val="single" w:color="000000" w:sz="4" w:space="0"/>
            </w:tcBorders>
            <w:shd w:val="clear" w:color="auto" w:fill="FFFFFF"/>
            <w:vAlign w:val="bottom"/>
          </w:tcPr>
          <w:p>
            <w:pPr>
              <w:rPr>
                <w:rFonts w:ascii="Times New Roman" w:hAnsi="Times New Roman" w:eastAsia="宋体" w:cs="宋体"/>
                <w:color w:val="000000"/>
                <w:sz w:val="20"/>
                <w:szCs w:val="20"/>
              </w:rPr>
            </w:pPr>
          </w:p>
        </w:tc>
        <w:tc>
          <w:tcPr>
            <w:tcW w:w="1274" w:type="dxa"/>
            <w:tcBorders>
              <w:top w:val="single" w:color="000000" w:sz="4" w:space="0"/>
              <w:left w:val="single" w:color="000000" w:sz="4" w:space="0"/>
              <w:bottom w:val="nil"/>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50" w:type="dxa"/>
            <w:tcBorders>
              <w:top w:val="single" w:color="000000" w:sz="4" w:space="0"/>
              <w:left w:val="single" w:color="000000" w:sz="4" w:space="0"/>
              <w:bottom w:val="nil"/>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25" w:type="dxa"/>
            <w:tcBorders>
              <w:top w:val="single" w:color="000000" w:sz="4" w:space="0"/>
              <w:left w:val="single" w:color="000000" w:sz="4" w:space="0"/>
              <w:bottom w:val="nil"/>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25" w:type="dxa"/>
            <w:tcBorders>
              <w:top w:val="single" w:color="000000" w:sz="4" w:space="0"/>
              <w:left w:val="single" w:color="000000" w:sz="4" w:space="0"/>
              <w:bottom w:val="nil"/>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00" w:type="dxa"/>
            <w:tcBorders>
              <w:top w:val="single" w:color="000000" w:sz="4" w:space="0"/>
              <w:left w:val="single" w:color="000000" w:sz="4" w:space="0"/>
              <w:bottom w:val="nil"/>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54" w:hRule="atLeast"/>
        </w:trPr>
        <w:tc>
          <w:tcPr>
            <w:tcW w:w="3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转移性收入合计</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   </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 90 </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 90 </w:t>
            </w: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b/>
                <w:bCs/>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b/>
                <w:bCs/>
                <w:color w:val="000000"/>
                <w:sz w:val="20"/>
                <w:szCs w:val="20"/>
              </w:rPr>
            </w:pPr>
          </w:p>
        </w:tc>
      </w:tr>
      <w:tr>
        <w:tblPrEx>
          <w:tblLayout w:type="fixed"/>
          <w:tblCellMar>
            <w:top w:w="0" w:type="dxa"/>
            <w:left w:w="108" w:type="dxa"/>
            <w:bottom w:w="0" w:type="dxa"/>
            <w:right w:w="108" w:type="dxa"/>
          </w:tblCellMar>
        </w:tblPrEx>
        <w:trPr>
          <w:trHeight w:val="454" w:hRule="atLeast"/>
        </w:trPr>
        <w:tc>
          <w:tcPr>
            <w:tcW w:w="3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一、上级补助收入</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b/>
                <w:bCs/>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b/>
                <w:bCs/>
                <w:color w:val="000000"/>
                <w:sz w:val="20"/>
                <w:szCs w:val="20"/>
              </w:rPr>
            </w:pPr>
          </w:p>
        </w:tc>
      </w:tr>
      <w:tr>
        <w:tblPrEx>
          <w:tblLayout w:type="fixed"/>
          <w:tblCellMar>
            <w:top w:w="0" w:type="dxa"/>
            <w:left w:w="108" w:type="dxa"/>
            <w:bottom w:w="0" w:type="dxa"/>
            <w:right w:w="108" w:type="dxa"/>
          </w:tblCellMar>
        </w:tblPrEx>
        <w:trPr>
          <w:trHeight w:val="454" w:hRule="atLeast"/>
        </w:trPr>
        <w:tc>
          <w:tcPr>
            <w:tcW w:w="3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二、上年结转</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90 </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90 </w:t>
            </w: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bl>
    <w:p>
      <w:pPr>
        <w:widowControl/>
        <w:spacing w:line="580" w:lineRule="exact"/>
        <w:rPr>
          <w:rFonts w:ascii="Times New Roman" w:hAnsi="Times New Roman" w:eastAsia="方正仿宋_GBK"/>
          <w:lang w:val="zh-CN"/>
        </w:rPr>
      </w:pPr>
    </w:p>
    <w:p>
      <w:pPr>
        <w:widowControl/>
        <w:jc w:val="left"/>
        <w:rPr>
          <w:rFonts w:ascii="Times New Roman" w:hAnsi="Times New Roman" w:eastAsia="方正黑体_GBK" w:cs="方正黑体_GBK"/>
          <w:color w:val="000000"/>
          <w:kern w:val="0"/>
          <w:sz w:val="28"/>
          <w:szCs w:val="28"/>
        </w:rPr>
      </w:pPr>
      <w:r>
        <w:rPr>
          <w:rFonts w:ascii="Times New Roman" w:hAnsi="Times New Roman" w:eastAsia="方正黑体_GBK" w:cs="方正黑体_GBK"/>
          <w:color w:val="000000"/>
          <w:kern w:val="0"/>
          <w:sz w:val="28"/>
          <w:szCs w:val="28"/>
        </w:rPr>
        <w:br w:type="page"/>
      </w:r>
    </w:p>
    <w:p>
      <w:pPr>
        <w:spacing w:line="400" w:lineRule="exac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续表</w:t>
      </w:r>
      <w:r>
        <w:rPr>
          <w:rFonts w:ascii="Times New Roman" w:hAnsi="Times New Roman" w:eastAsia="方正黑体_GBK" w:cs="Times New Roman"/>
          <w:kern w:val="0"/>
          <w:sz w:val="28"/>
          <w:szCs w:val="28"/>
        </w:rPr>
        <w:t>13</w:t>
      </w:r>
    </w:p>
    <w:p>
      <w:pPr>
        <w:widowControl/>
        <w:jc w:val="center"/>
        <w:textAlignment w:val="center"/>
        <w:rPr>
          <w:rFonts w:ascii="Times New Roman" w:hAnsi="Times New Roman" w:eastAsia="方正小标宋_GBK" w:cs="方正小标宋_GBK"/>
          <w:kern w:val="0"/>
          <w:sz w:val="44"/>
          <w:szCs w:val="44"/>
        </w:rPr>
      </w:pPr>
      <w:r>
        <w:rPr>
          <w:rFonts w:ascii="Times New Roman" w:hAnsi="Times New Roman" w:eastAsia="方正小标宋_GBK" w:cs="Times New Roman"/>
          <w:kern w:val="0"/>
          <w:sz w:val="44"/>
          <w:szCs w:val="44"/>
        </w:rPr>
        <w:t>2022</w:t>
      </w:r>
      <w:r>
        <w:rPr>
          <w:rFonts w:hint="eastAsia" w:ascii="Times New Roman" w:hAnsi="Times New Roman" w:eastAsia="方正小标宋_GBK" w:cs="方正小标宋_GBK"/>
          <w:kern w:val="0"/>
          <w:sz w:val="44"/>
          <w:szCs w:val="44"/>
        </w:rPr>
        <w:t>年全区国有资本经营预算收支执行表</w:t>
      </w:r>
    </w:p>
    <w:p>
      <w:pPr>
        <w:ind w:right="-105" w:rightChars="-50"/>
        <w:jc w:val="right"/>
        <w:rPr>
          <w:rFonts w:ascii="Times New Roman" w:hAnsi="Times New Roman" w:eastAsia="宋体" w:cs="Times New Roman"/>
        </w:rPr>
      </w:pPr>
      <w:r>
        <w:rPr>
          <w:rFonts w:hint="eastAsia" w:ascii="Times New Roman" w:hAnsi="Times New Roman" w:eastAsia="宋体" w:cs="Times New Roman"/>
        </w:rPr>
        <w:t>单位：万元</w:t>
      </w:r>
    </w:p>
    <w:tbl>
      <w:tblPr>
        <w:tblStyle w:val="10"/>
        <w:tblW w:w="9107" w:type="dxa"/>
        <w:jc w:val="center"/>
        <w:tblInd w:w="0" w:type="dxa"/>
        <w:tblLayout w:type="fixed"/>
        <w:tblCellMar>
          <w:top w:w="0" w:type="dxa"/>
          <w:left w:w="108" w:type="dxa"/>
          <w:bottom w:w="0" w:type="dxa"/>
          <w:right w:w="108" w:type="dxa"/>
        </w:tblCellMar>
      </w:tblPr>
      <w:tblGrid>
        <w:gridCol w:w="3045"/>
        <w:gridCol w:w="1274"/>
        <w:gridCol w:w="1175"/>
        <w:gridCol w:w="1088"/>
        <w:gridCol w:w="1212"/>
        <w:gridCol w:w="1313"/>
      </w:tblGrid>
      <w:tr>
        <w:tblPrEx>
          <w:tblLayout w:type="fixed"/>
          <w:tblCellMar>
            <w:top w:w="0" w:type="dxa"/>
            <w:left w:w="108" w:type="dxa"/>
            <w:bottom w:w="0" w:type="dxa"/>
            <w:right w:w="108" w:type="dxa"/>
          </w:tblCellMar>
        </w:tblPrEx>
        <w:trPr>
          <w:trHeight w:val="810" w:hRule="atLeast"/>
          <w:jc w:val="center"/>
        </w:trPr>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支      出</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预算数</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调整</w:t>
            </w:r>
            <w:r>
              <w:rPr>
                <w:rFonts w:hint="eastAsia" w:ascii="Times New Roman" w:hAnsi="Times New Roman" w:eastAsia="黑体" w:cs="黑体"/>
                <w:color w:val="000000"/>
                <w:kern w:val="0"/>
                <w:sz w:val="22"/>
                <w:lang w:bidi="ar"/>
              </w:rPr>
              <w:br w:type="textWrapping"/>
            </w:r>
            <w:r>
              <w:rPr>
                <w:rFonts w:hint="eastAsia" w:ascii="Times New Roman" w:hAnsi="Times New Roman" w:eastAsia="黑体" w:cs="黑体"/>
                <w:color w:val="000000"/>
                <w:kern w:val="0"/>
                <w:sz w:val="22"/>
                <w:lang w:bidi="ar"/>
              </w:rPr>
              <w:t>预算数</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执行数</w:t>
            </w: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执行数</w:t>
            </w:r>
            <w:r>
              <w:rPr>
                <w:rFonts w:hint="eastAsia" w:ascii="Times New Roman" w:hAnsi="Times New Roman" w:eastAsia="黑体" w:cs="黑体"/>
                <w:color w:val="000000"/>
                <w:kern w:val="0"/>
                <w:sz w:val="22"/>
                <w:lang w:bidi="ar"/>
              </w:rPr>
              <w:br w:type="textWrapping"/>
            </w:r>
            <w:r>
              <w:rPr>
                <w:rFonts w:hint="eastAsia" w:ascii="Times New Roman" w:hAnsi="Times New Roman" w:eastAsia="黑体" w:cs="黑体"/>
                <w:color w:val="000000"/>
                <w:kern w:val="0"/>
                <w:sz w:val="22"/>
                <w:lang w:bidi="ar"/>
              </w:rPr>
              <w:t>为调整</w:t>
            </w:r>
            <w:r>
              <w:rPr>
                <w:rFonts w:hint="eastAsia" w:ascii="Times New Roman" w:hAnsi="Times New Roman" w:eastAsia="黑体" w:cs="黑体"/>
                <w:color w:val="000000"/>
                <w:kern w:val="0"/>
                <w:sz w:val="22"/>
                <w:lang w:bidi="ar"/>
              </w:rPr>
              <w:br w:type="textWrapping"/>
            </w:r>
            <w:r>
              <w:rPr>
                <w:rFonts w:hint="eastAsia" w:ascii="Times New Roman" w:hAnsi="Times New Roman" w:eastAsia="黑体" w:cs="黑体"/>
                <w:color w:val="000000"/>
                <w:kern w:val="0"/>
                <w:sz w:val="22"/>
                <w:lang w:bidi="ar"/>
              </w:rPr>
              <w:t>预算数的%</w:t>
            </w:r>
          </w:p>
        </w:tc>
        <w:tc>
          <w:tcPr>
            <w:tcW w:w="1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kern w:val="0"/>
                <w:sz w:val="22"/>
                <w:lang w:bidi="ar"/>
              </w:rPr>
            </w:pPr>
            <w:r>
              <w:rPr>
                <w:rFonts w:hint="eastAsia" w:ascii="Times New Roman" w:hAnsi="Times New Roman" w:eastAsia="黑体" w:cs="黑体"/>
                <w:color w:val="000000"/>
                <w:kern w:val="0"/>
                <w:sz w:val="22"/>
                <w:lang w:bidi="ar"/>
              </w:rPr>
              <w:t>执行数</w:t>
            </w:r>
          </w:p>
          <w:p>
            <w:pPr>
              <w:widowControl/>
              <w:jc w:val="center"/>
              <w:textAlignment w:val="center"/>
              <w:rPr>
                <w:rFonts w:ascii="Times New Roman" w:hAnsi="Times New Roman" w:eastAsia="黑体" w:cs="黑体"/>
                <w:color w:val="000000"/>
                <w:kern w:val="0"/>
                <w:sz w:val="22"/>
                <w:lang w:bidi="ar"/>
              </w:rPr>
            </w:pPr>
            <w:r>
              <w:rPr>
                <w:rFonts w:hint="eastAsia" w:ascii="Times New Roman" w:hAnsi="Times New Roman" w:eastAsia="黑体" w:cs="黑体"/>
                <w:color w:val="000000"/>
                <w:kern w:val="0"/>
                <w:sz w:val="22"/>
                <w:lang w:bidi="ar"/>
              </w:rPr>
              <w:t>为上年</w:t>
            </w:r>
          </w:p>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决算数的%</w:t>
            </w:r>
          </w:p>
        </w:tc>
      </w:tr>
      <w:tr>
        <w:tblPrEx>
          <w:tblLayout w:type="fixed"/>
          <w:tblCellMar>
            <w:top w:w="0" w:type="dxa"/>
            <w:left w:w="108" w:type="dxa"/>
            <w:bottom w:w="0" w:type="dxa"/>
            <w:right w:w="108" w:type="dxa"/>
          </w:tblCellMar>
        </w:tblPrEx>
        <w:trPr>
          <w:trHeight w:val="480" w:hRule="atLeast"/>
          <w:jc w:val="center"/>
        </w:trPr>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总  计</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5,000 </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5,090 </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7,384 </w:t>
            </w: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b/>
                <w:bCs/>
                <w:color w:val="000000"/>
                <w:sz w:val="20"/>
                <w:szCs w:val="20"/>
              </w:rPr>
            </w:pPr>
          </w:p>
        </w:tc>
        <w:tc>
          <w:tcPr>
            <w:tcW w:w="1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b/>
                <w:bCs/>
                <w:color w:val="000000"/>
                <w:sz w:val="20"/>
                <w:szCs w:val="20"/>
              </w:rPr>
            </w:pPr>
          </w:p>
        </w:tc>
      </w:tr>
      <w:tr>
        <w:tblPrEx>
          <w:tblLayout w:type="fixed"/>
          <w:tblCellMar>
            <w:top w:w="0" w:type="dxa"/>
            <w:left w:w="108" w:type="dxa"/>
            <w:bottom w:w="0" w:type="dxa"/>
            <w:right w:w="108" w:type="dxa"/>
          </w:tblCellMar>
        </w:tblPrEx>
        <w:trPr>
          <w:trHeight w:val="480" w:hRule="atLeast"/>
          <w:jc w:val="center"/>
        </w:trPr>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本级支出合计</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5,000 </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5,000 </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1,800 </w:t>
            </w: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36.0%</w:t>
            </w:r>
          </w:p>
        </w:tc>
        <w:tc>
          <w:tcPr>
            <w:tcW w:w="1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52.9%</w:t>
            </w:r>
          </w:p>
        </w:tc>
      </w:tr>
      <w:tr>
        <w:tblPrEx>
          <w:tblLayout w:type="fixed"/>
          <w:tblCellMar>
            <w:top w:w="0" w:type="dxa"/>
            <w:left w:w="108" w:type="dxa"/>
            <w:bottom w:w="0" w:type="dxa"/>
            <w:right w:w="108" w:type="dxa"/>
          </w:tblCellMar>
        </w:tblPrEx>
        <w:trPr>
          <w:trHeight w:val="450" w:hRule="atLeast"/>
          <w:jc w:val="center"/>
        </w:trPr>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一、解决历史遗留问题及改革成本支出</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b/>
                <w:bCs/>
                <w:color w:val="000000"/>
                <w:sz w:val="20"/>
                <w:szCs w:val="20"/>
              </w:rPr>
            </w:pPr>
          </w:p>
        </w:tc>
      </w:tr>
      <w:tr>
        <w:tblPrEx>
          <w:tblLayout w:type="fixed"/>
          <w:tblCellMar>
            <w:top w:w="0" w:type="dxa"/>
            <w:left w:w="108" w:type="dxa"/>
            <w:bottom w:w="0" w:type="dxa"/>
            <w:right w:w="108" w:type="dxa"/>
          </w:tblCellMar>
        </w:tblPrEx>
        <w:trPr>
          <w:trHeight w:val="450" w:hRule="atLeast"/>
          <w:jc w:val="center"/>
        </w:trPr>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“三供一业”移交补助支出</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b/>
                <w:bCs/>
                <w:color w:val="000000"/>
                <w:sz w:val="20"/>
                <w:szCs w:val="20"/>
              </w:rPr>
            </w:pPr>
          </w:p>
        </w:tc>
      </w:tr>
      <w:tr>
        <w:tblPrEx>
          <w:tblLayout w:type="fixed"/>
          <w:tblCellMar>
            <w:top w:w="0" w:type="dxa"/>
            <w:left w:w="108" w:type="dxa"/>
            <w:bottom w:w="0" w:type="dxa"/>
            <w:right w:w="108" w:type="dxa"/>
          </w:tblCellMar>
        </w:tblPrEx>
        <w:trPr>
          <w:trHeight w:val="450" w:hRule="atLeast"/>
          <w:jc w:val="center"/>
        </w:trPr>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国有企业退休人员社会化管理补助支出</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b/>
                <w:bCs/>
                <w:color w:val="000000"/>
                <w:sz w:val="20"/>
                <w:szCs w:val="20"/>
              </w:rPr>
            </w:pPr>
          </w:p>
        </w:tc>
      </w:tr>
      <w:tr>
        <w:tblPrEx>
          <w:tblLayout w:type="fixed"/>
          <w:tblCellMar>
            <w:top w:w="0" w:type="dxa"/>
            <w:left w:w="108" w:type="dxa"/>
            <w:bottom w:w="0" w:type="dxa"/>
            <w:right w:w="108" w:type="dxa"/>
          </w:tblCellMar>
        </w:tblPrEx>
        <w:trPr>
          <w:trHeight w:val="450" w:hRule="atLeast"/>
          <w:jc w:val="center"/>
        </w:trPr>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其他解决历史遗留问题及改革成本支出</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50" w:hRule="atLeast"/>
          <w:jc w:val="center"/>
        </w:trPr>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二、国有企业资本金注入</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5,000 </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5,000 </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1,800 </w:t>
            </w: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36.0%</w:t>
            </w:r>
          </w:p>
        </w:tc>
        <w:tc>
          <w:tcPr>
            <w:tcW w:w="1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52.9%</w:t>
            </w:r>
          </w:p>
        </w:tc>
      </w:tr>
      <w:tr>
        <w:tblPrEx>
          <w:tblLayout w:type="fixed"/>
          <w:tblCellMar>
            <w:top w:w="0" w:type="dxa"/>
            <w:left w:w="108" w:type="dxa"/>
            <w:bottom w:w="0" w:type="dxa"/>
            <w:right w:w="108" w:type="dxa"/>
          </w:tblCellMar>
        </w:tblPrEx>
        <w:trPr>
          <w:trHeight w:val="450" w:hRule="atLeast"/>
          <w:jc w:val="center"/>
        </w:trPr>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支持科技进步支出</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50" w:hRule="atLeast"/>
          <w:jc w:val="center"/>
        </w:trPr>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其他国有企业资本金注入</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5,000 </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5,000 </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1,800 </w:t>
            </w: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36.0%</w:t>
            </w:r>
          </w:p>
        </w:tc>
        <w:tc>
          <w:tcPr>
            <w:tcW w:w="1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52.9%</w:t>
            </w:r>
          </w:p>
        </w:tc>
      </w:tr>
      <w:tr>
        <w:tblPrEx>
          <w:tblLayout w:type="fixed"/>
          <w:tblCellMar>
            <w:top w:w="0" w:type="dxa"/>
            <w:left w:w="108" w:type="dxa"/>
            <w:bottom w:w="0" w:type="dxa"/>
            <w:right w:w="108" w:type="dxa"/>
          </w:tblCellMar>
        </w:tblPrEx>
        <w:trPr>
          <w:trHeight w:val="450" w:hRule="atLeast"/>
          <w:jc w:val="center"/>
        </w:trPr>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三、金融国有资本经营预算支出</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50" w:hRule="atLeast"/>
          <w:jc w:val="center"/>
        </w:trPr>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其他金融国有资本经营预算支出</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50" w:hRule="atLeast"/>
          <w:jc w:val="center"/>
        </w:trPr>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四、其他国有资本经营预算支出</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50" w:hRule="atLeast"/>
          <w:jc w:val="center"/>
        </w:trPr>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其他国有资本经营预算支出</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b/>
                <w:bCs/>
                <w:color w:val="000000"/>
                <w:sz w:val="20"/>
                <w:szCs w:val="20"/>
              </w:rPr>
            </w:pPr>
          </w:p>
        </w:tc>
      </w:tr>
      <w:tr>
        <w:tblPrEx>
          <w:tblLayout w:type="fixed"/>
          <w:tblCellMar>
            <w:top w:w="0" w:type="dxa"/>
            <w:left w:w="108" w:type="dxa"/>
            <w:bottom w:w="0" w:type="dxa"/>
            <w:right w:w="108" w:type="dxa"/>
          </w:tblCellMar>
        </w:tblPrEx>
        <w:trPr>
          <w:trHeight w:val="450" w:hRule="atLeast"/>
          <w:jc w:val="center"/>
        </w:trPr>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转移性支出合计</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b/>
                <w:bCs/>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90 </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5,584 </w:t>
            </w: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p>
        </w:tc>
        <w:tc>
          <w:tcPr>
            <w:tcW w:w="1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p>
        </w:tc>
      </w:tr>
      <w:tr>
        <w:tblPrEx>
          <w:tblLayout w:type="fixed"/>
          <w:tblCellMar>
            <w:top w:w="0" w:type="dxa"/>
            <w:left w:w="108" w:type="dxa"/>
            <w:bottom w:w="0" w:type="dxa"/>
            <w:right w:w="108" w:type="dxa"/>
          </w:tblCellMar>
        </w:tblPrEx>
        <w:trPr>
          <w:trHeight w:val="450" w:hRule="atLeast"/>
          <w:jc w:val="center"/>
        </w:trPr>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一、调出资金</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90 </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5,584 </w:t>
            </w: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p>
        </w:tc>
        <w:tc>
          <w:tcPr>
            <w:tcW w:w="1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p>
        </w:tc>
      </w:tr>
      <w:tr>
        <w:tblPrEx>
          <w:tblLayout w:type="fixed"/>
          <w:tblCellMar>
            <w:top w:w="0" w:type="dxa"/>
            <w:left w:w="108" w:type="dxa"/>
            <w:bottom w:w="0" w:type="dxa"/>
            <w:right w:w="108" w:type="dxa"/>
          </w:tblCellMar>
        </w:tblPrEx>
        <w:trPr>
          <w:trHeight w:val="450" w:hRule="atLeast"/>
          <w:jc w:val="center"/>
        </w:trPr>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二、结转下年</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宋体" w:cs="Times New Roman"/>
                <w:color w:val="000000"/>
                <w:sz w:val="20"/>
                <w:szCs w:val="20"/>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p>
        </w:tc>
        <w:tc>
          <w:tcPr>
            <w:tcW w:w="1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p>
        </w:tc>
      </w:tr>
    </w:tbl>
    <w:p>
      <w:pPr>
        <w:rPr>
          <w:rFonts w:ascii="Times New Roman" w:hAnsi="Times New Roman" w:eastAsia="方正仿宋_GBK"/>
          <w:lang w:val="zh-CN"/>
        </w:rPr>
      </w:pPr>
    </w:p>
    <w:p>
      <w:pP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br w:type="page"/>
      </w:r>
    </w:p>
    <w:p>
      <w:pPr>
        <w:widowControl/>
        <w:spacing w:line="594"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w:t>
      </w:r>
      <w:r>
        <w:rPr>
          <w:rFonts w:ascii="Times New Roman" w:hAnsi="Times New Roman" w:eastAsia="方正小标宋_GBK" w:cs="Times New Roman"/>
          <w:sz w:val="44"/>
          <w:szCs w:val="44"/>
        </w:rPr>
        <w:t>2022</w:t>
      </w:r>
      <w:r>
        <w:rPr>
          <w:rFonts w:hint="eastAsia" w:ascii="Times New Roman" w:hAnsi="Times New Roman" w:eastAsia="方正小标宋_GBK" w:cs="方正小标宋_GBK"/>
          <w:sz w:val="44"/>
          <w:szCs w:val="44"/>
        </w:rPr>
        <w:t>年全区国有资本经营预算</w:t>
      </w:r>
    </w:p>
    <w:p>
      <w:pPr>
        <w:widowControl/>
        <w:spacing w:line="594"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收支执行情况的说明</w:t>
      </w:r>
    </w:p>
    <w:p>
      <w:pPr>
        <w:widowControl/>
        <w:spacing w:line="594" w:lineRule="exact"/>
        <w:jc w:val="left"/>
        <w:rPr>
          <w:rFonts w:ascii="Times New Roman" w:hAnsi="Times New Roman" w:eastAsia="方正仿宋_GBK" w:cs="Times New Roman"/>
          <w:sz w:val="32"/>
          <w:szCs w:val="32"/>
        </w:rPr>
      </w:pP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2021</w:t>
      </w:r>
      <w:r>
        <w:rPr>
          <w:rFonts w:hint="eastAsia" w:ascii="Times New Roman" w:hAnsi="Times New Roman" w:eastAsia="方正仿宋_GBK" w:cs="Times New Roman"/>
          <w:sz w:val="32"/>
          <w:szCs w:val="32"/>
        </w:rPr>
        <w:t>年全区国有资本经营预算本级收入决算数为</w:t>
      </w: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688</w:t>
      </w:r>
      <w:r>
        <w:rPr>
          <w:rFonts w:hint="eastAsia" w:ascii="Times New Roman" w:hAnsi="Times New Roman" w:eastAsia="方正仿宋_GBK" w:cs="Times New Roman"/>
          <w:sz w:val="32"/>
          <w:szCs w:val="32"/>
        </w:rPr>
        <w:t>万元，</w:t>
      </w:r>
      <w:r>
        <w:rPr>
          <w:rFonts w:ascii="Times New Roman" w:hAnsi="Times New Roman" w:eastAsia="方正仿宋_GBK" w:cs="Times New Roman"/>
          <w:sz w:val="32"/>
          <w:szCs w:val="32"/>
        </w:rPr>
        <w:t>2022</w:t>
      </w:r>
      <w:r>
        <w:rPr>
          <w:rFonts w:hint="eastAsia" w:ascii="Times New Roman" w:hAnsi="Times New Roman" w:eastAsia="方正仿宋_GBK" w:cs="Times New Roman"/>
          <w:sz w:val="32"/>
          <w:szCs w:val="32"/>
        </w:rPr>
        <w:t>年执行数为</w:t>
      </w:r>
      <w:r>
        <w:rPr>
          <w:rFonts w:ascii="Times New Roman" w:hAnsi="Times New Roman" w:eastAsia="方正仿宋_GBK" w:cs="Times New Roman"/>
          <w:sz w:val="32"/>
          <w:szCs w:val="32"/>
        </w:rPr>
        <w:t>7</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294</w:t>
      </w:r>
      <w:r>
        <w:rPr>
          <w:rFonts w:hint="eastAsia" w:ascii="Times New Roman" w:hAnsi="Times New Roman" w:eastAsia="方正仿宋_GBK" w:cs="Times New Roman"/>
          <w:sz w:val="32"/>
          <w:szCs w:val="32"/>
        </w:rPr>
        <w:t>万元，执行数为上年决算数的</w:t>
      </w:r>
      <w:r>
        <w:rPr>
          <w:rFonts w:ascii="Times New Roman" w:hAnsi="Times New Roman" w:eastAsia="方正仿宋_GBK" w:cs="Times New Roman"/>
          <w:sz w:val="32"/>
          <w:szCs w:val="32"/>
        </w:rPr>
        <w:t>128</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%，主要是区属国有企业上缴利润增加。</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2021</w:t>
      </w:r>
      <w:r>
        <w:rPr>
          <w:rFonts w:hint="eastAsia" w:ascii="Times New Roman" w:hAnsi="Times New Roman" w:eastAsia="方正仿宋_GBK" w:cs="Times New Roman"/>
          <w:sz w:val="32"/>
          <w:szCs w:val="32"/>
        </w:rPr>
        <w:t>年全区国有资本经营预算本级支出决算数为</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400</w:t>
      </w:r>
      <w:r>
        <w:rPr>
          <w:rFonts w:hint="eastAsia" w:ascii="Times New Roman" w:hAnsi="Times New Roman" w:eastAsia="方正仿宋_GBK" w:cs="Times New Roman"/>
          <w:sz w:val="32"/>
          <w:szCs w:val="32"/>
        </w:rPr>
        <w:t>万元，</w:t>
      </w:r>
      <w:r>
        <w:rPr>
          <w:rFonts w:ascii="Times New Roman" w:hAnsi="Times New Roman" w:eastAsia="方正仿宋_GBK" w:cs="Times New Roman"/>
          <w:sz w:val="32"/>
          <w:szCs w:val="32"/>
        </w:rPr>
        <w:t>2022</w:t>
      </w:r>
      <w:r>
        <w:rPr>
          <w:rFonts w:hint="eastAsia" w:ascii="Times New Roman" w:hAnsi="Times New Roman" w:eastAsia="方正仿宋_GBK" w:cs="Times New Roman"/>
          <w:sz w:val="32"/>
          <w:szCs w:val="32"/>
        </w:rPr>
        <w:t>年执行数为</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800</w:t>
      </w:r>
      <w:r>
        <w:rPr>
          <w:rFonts w:hint="eastAsia" w:ascii="Times New Roman" w:hAnsi="Times New Roman" w:eastAsia="方正仿宋_GBK" w:cs="Times New Roman"/>
          <w:sz w:val="32"/>
          <w:szCs w:val="32"/>
        </w:rPr>
        <w:t>万元，执行数为上年决算数的</w:t>
      </w:r>
      <w:r>
        <w:rPr>
          <w:rFonts w:ascii="Times New Roman" w:hAnsi="Times New Roman" w:eastAsia="方正仿宋_GBK" w:cs="Times New Roman"/>
          <w:sz w:val="32"/>
          <w:szCs w:val="32"/>
        </w:rPr>
        <w:t>52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9</w:t>
      </w:r>
      <w:r>
        <w:rPr>
          <w:rFonts w:hint="eastAsia" w:ascii="Times New Roman" w:hAnsi="Times New Roman" w:eastAsia="方正仿宋_GBK" w:cs="Times New Roman"/>
          <w:sz w:val="32"/>
          <w:szCs w:val="32"/>
        </w:rPr>
        <w:t>%，主要是安排新晟发公司注册资本金</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800</w:t>
      </w:r>
      <w:r>
        <w:rPr>
          <w:rFonts w:hint="eastAsia" w:ascii="Times New Roman" w:hAnsi="Times New Roman" w:eastAsia="方正仿宋_GBK" w:cs="Times New Roman"/>
          <w:sz w:val="32"/>
          <w:szCs w:val="32"/>
        </w:rPr>
        <w:t>万元。</w:t>
      </w:r>
    </w:p>
    <w:p>
      <w:pPr>
        <w:widowControl/>
        <w:spacing w:line="594" w:lineRule="exact"/>
        <w:ind w:firstLine="640" w:firstLineChars="200"/>
        <w:jc w:val="left"/>
        <w:rPr>
          <w:rFonts w:ascii="Times New Roman" w:hAnsi="Times New Roman" w:eastAsia="方正仿宋_GBK" w:cs="Times New Roman"/>
          <w:sz w:val="32"/>
          <w:szCs w:val="32"/>
          <w:lang w:val="zh-CN"/>
        </w:rPr>
      </w:pPr>
    </w:p>
    <w:p>
      <w:pPr>
        <w:widowControl/>
        <w:spacing w:line="594" w:lineRule="exact"/>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br w:type="page"/>
      </w:r>
    </w:p>
    <w:p>
      <w:pPr>
        <w:spacing w:line="400" w:lineRule="exact"/>
        <w:rPr>
          <w:rFonts w:ascii="Times New Roman" w:hAnsi="Times New Roman" w:eastAsia="方正黑体_GBK" w:cs="方正黑体_GBK"/>
          <w:kern w:val="0"/>
          <w:sz w:val="32"/>
          <w:szCs w:val="32"/>
        </w:rPr>
      </w:pPr>
      <w:r>
        <w:rPr>
          <w:rFonts w:hint="eastAsia" w:ascii="Times New Roman" w:hAnsi="Times New Roman" w:eastAsia="方正黑体_GBK" w:cs="方正黑体_GBK"/>
          <w:kern w:val="0"/>
          <w:sz w:val="32"/>
          <w:szCs w:val="32"/>
        </w:rPr>
        <w:t>表</w:t>
      </w:r>
      <w:r>
        <w:rPr>
          <w:rFonts w:ascii="Times New Roman" w:hAnsi="Times New Roman" w:eastAsia="方正黑体_GBK" w:cs="Times New Roman"/>
          <w:kern w:val="0"/>
          <w:sz w:val="32"/>
          <w:szCs w:val="32"/>
        </w:rPr>
        <w:t>14</w:t>
      </w:r>
    </w:p>
    <w:p>
      <w:pPr>
        <w:widowControl/>
        <w:jc w:val="center"/>
        <w:textAlignment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2022</w:t>
      </w:r>
      <w:r>
        <w:rPr>
          <w:rFonts w:hint="eastAsia" w:ascii="Times New Roman" w:hAnsi="Times New Roman" w:eastAsia="方正小标宋_GBK" w:cs="Times New Roman"/>
          <w:kern w:val="0"/>
          <w:sz w:val="44"/>
          <w:szCs w:val="44"/>
        </w:rPr>
        <w:t>年全区社会保险基金预算收支执行表</w:t>
      </w:r>
    </w:p>
    <w:p>
      <w:pPr>
        <w:jc w:val="right"/>
        <w:rPr>
          <w:rFonts w:ascii="Times New Roman" w:hAnsi="Times New Roman" w:cstheme="minorEastAsia"/>
          <w:kern w:val="0"/>
          <w:szCs w:val="21"/>
        </w:rPr>
      </w:pPr>
      <w:r>
        <w:rPr>
          <w:rFonts w:hint="eastAsia" w:ascii="Times New Roman" w:hAnsi="Times New Roman" w:cstheme="minorEastAsia"/>
          <w:szCs w:val="21"/>
        </w:rPr>
        <w:t>单位：万元</w:t>
      </w:r>
    </w:p>
    <w:tbl>
      <w:tblPr>
        <w:tblStyle w:val="10"/>
        <w:tblW w:w="9152" w:type="dxa"/>
        <w:jc w:val="center"/>
        <w:tblInd w:w="0" w:type="dxa"/>
        <w:tblLayout w:type="fixed"/>
        <w:tblCellMar>
          <w:top w:w="0" w:type="dxa"/>
          <w:left w:w="0" w:type="dxa"/>
          <w:bottom w:w="0" w:type="dxa"/>
          <w:right w:w="0" w:type="dxa"/>
        </w:tblCellMar>
      </w:tblPr>
      <w:tblGrid>
        <w:gridCol w:w="2039"/>
        <w:gridCol w:w="744"/>
        <w:gridCol w:w="744"/>
        <w:gridCol w:w="1205"/>
        <w:gridCol w:w="1912"/>
        <w:gridCol w:w="744"/>
        <w:gridCol w:w="744"/>
        <w:gridCol w:w="1020"/>
      </w:tblGrid>
      <w:tr>
        <w:tblPrEx>
          <w:tblLayout w:type="fixed"/>
          <w:tblCellMar>
            <w:top w:w="0" w:type="dxa"/>
            <w:left w:w="0" w:type="dxa"/>
            <w:bottom w:w="0" w:type="dxa"/>
            <w:right w:w="0" w:type="dxa"/>
          </w:tblCellMar>
        </w:tblPrEx>
        <w:trPr>
          <w:trHeight w:val="567" w:hRule="atLeast"/>
          <w:jc w:val="center"/>
        </w:trPr>
        <w:tc>
          <w:tcPr>
            <w:tcW w:w="203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eastAsia="方正黑体_GBK" w:cs="方正黑体_GBK"/>
                <w:color w:val="000000"/>
                <w:sz w:val="22"/>
              </w:rPr>
            </w:pPr>
            <w:r>
              <w:rPr>
                <w:rFonts w:hint="eastAsia" w:ascii="Times New Roman" w:hAnsi="Times New Roman" w:eastAsia="方正黑体_GBK" w:cs="方正黑体_GBK"/>
                <w:color w:val="000000"/>
                <w:kern w:val="0"/>
                <w:sz w:val="22"/>
              </w:rPr>
              <w:t>收      入</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eastAsia="方正黑体_GBK" w:cs="方正黑体_GBK"/>
                <w:color w:val="000000"/>
                <w:sz w:val="22"/>
              </w:rPr>
            </w:pPr>
            <w:r>
              <w:rPr>
                <w:rFonts w:hint="eastAsia" w:ascii="Times New Roman" w:hAnsi="Times New Roman" w:eastAsia="方正黑体_GBK" w:cs="方正黑体_GBK"/>
                <w:color w:val="000000"/>
                <w:kern w:val="0"/>
                <w:sz w:val="22"/>
              </w:rPr>
              <w:t>预算数</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eastAsia="方正黑体_GBK" w:cs="方正黑体_GBK"/>
                <w:color w:val="000000"/>
                <w:sz w:val="22"/>
              </w:rPr>
            </w:pPr>
            <w:r>
              <w:rPr>
                <w:rFonts w:hint="eastAsia" w:ascii="Times New Roman" w:hAnsi="Times New Roman" w:eastAsia="方正黑体_GBK" w:cs="方正黑体_GBK"/>
                <w:color w:val="000000"/>
                <w:kern w:val="0"/>
                <w:sz w:val="22"/>
              </w:rPr>
              <w:t>执行数</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eastAsia="黑体" w:cs="黑体"/>
                <w:color w:val="000000"/>
                <w:kern w:val="0"/>
                <w:sz w:val="22"/>
                <w:lang w:bidi="ar"/>
              </w:rPr>
            </w:pPr>
            <w:r>
              <w:rPr>
                <w:rFonts w:hint="eastAsia" w:ascii="Times New Roman" w:hAnsi="Times New Roman" w:eastAsia="黑体" w:cs="黑体"/>
                <w:color w:val="000000"/>
                <w:kern w:val="0"/>
                <w:sz w:val="22"/>
                <w:lang w:bidi="ar"/>
              </w:rPr>
              <w:t>执行数</w:t>
            </w:r>
          </w:p>
          <w:p>
            <w:pPr>
              <w:widowControl/>
              <w:jc w:val="center"/>
              <w:textAlignment w:val="center"/>
              <w:rPr>
                <w:rFonts w:ascii="Times New Roman" w:hAnsi="Times New Roman" w:eastAsia="黑体" w:cs="黑体"/>
                <w:color w:val="000000"/>
                <w:kern w:val="0"/>
                <w:sz w:val="22"/>
                <w:lang w:bidi="ar"/>
              </w:rPr>
            </w:pPr>
            <w:r>
              <w:rPr>
                <w:rFonts w:hint="eastAsia" w:ascii="Times New Roman" w:hAnsi="Times New Roman" w:eastAsia="黑体" w:cs="黑体"/>
                <w:color w:val="000000"/>
                <w:kern w:val="0"/>
                <w:sz w:val="22"/>
                <w:lang w:bidi="ar"/>
              </w:rPr>
              <w:t>为上年</w:t>
            </w:r>
          </w:p>
          <w:p>
            <w:pPr>
              <w:widowControl/>
              <w:jc w:val="center"/>
              <w:textAlignment w:val="center"/>
              <w:rPr>
                <w:rFonts w:ascii="Times New Roman" w:hAnsi="Times New Roman" w:eastAsia="方正黑体_GBK" w:cs="方正黑体_GBK"/>
                <w:color w:val="000000"/>
                <w:sz w:val="22"/>
              </w:rPr>
            </w:pPr>
            <w:r>
              <w:rPr>
                <w:rFonts w:hint="eastAsia" w:ascii="Times New Roman" w:hAnsi="Times New Roman" w:eastAsia="黑体" w:cs="黑体"/>
                <w:color w:val="000000"/>
                <w:kern w:val="0"/>
                <w:sz w:val="22"/>
                <w:lang w:bidi="ar"/>
              </w:rPr>
              <w:t>决算数的%</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eastAsia="方正黑体_GBK" w:cs="方正黑体_GBK"/>
                <w:color w:val="000000"/>
                <w:sz w:val="22"/>
              </w:rPr>
            </w:pPr>
            <w:r>
              <w:rPr>
                <w:rFonts w:hint="eastAsia" w:ascii="Times New Roman" w:hAnsi="Times New Roman" w:eastAsia="方正黑体_GBK" w:cs="方正黑体_GBK"/>
                <w:color w:val="000000"/>
                <w:kern w:val="0"/>
                <w:sz w:val="22"/>
              </w:rPr>
              <w:t>支       出</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eastAsia="方正黑体_GBK" w:cs="方正黑体_GBK"/>
                <w:color w:val="000000"/>
                <w:sz w:val="22"/>
              </w:rPr>
            </w:pPr>
            <w:r>
              <w:rPr>
                <w:rFonts w:hint="eastAsia" w:ascii="Times New Roman" w:hAnsi="Times New Roman" w:eastAsia="方正黑体_GBK" w:cs="方正黑体_GBK"/>
                <w:color w:val="000000"/>
                <w:kern w:val="0"/>
                <w:sz w:val="22"/>
              </w:rPr>
              <w:t>预算数</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eastAsia="方正黑体_GBK" w:cs="方正黑体_GBK"/>
                <w:color w:val="000000"/>
                <w:sz w:val="22"/>
              </w:rPr>
            </w:pPr>
            <w:r>
              <w:rPr>
                <w:rFonts w:hint="eastAsia" w:ascii="Times New Roman" w:hAnsi="Times New Roman" w:eastAsia="方正黑体_GBK" w:cs="方正黑体_GBK"/>
                <w:color w:val="000000"/>
                <w:kern w:val="0"/>
                <w:sz w:val="22"/>
              </w:rPr>
              <w:t>执行数</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eastAsia="黑体" w:cs="黑体"/>
                <w:color w:val="000000"/>
                <w:kern w:val="0"/>
                <w:sz w:val="22"/>
                <w:lang w:bidi="ar"/>
              </w:rPr>
            </w:pPr>
            <w:r>
              <w:rPr>
                <w:rFonts w:hint="eastAsia" w:ascii="Times New Roman" w:hAnsi="Times New Roman" w:eastAsia="黑体" w:cs="黑体"/>
                <w:color w:val="000000"/>
                <w:kern w:val="0"/>
                <w:sz w:val="22"/>
                <w:lang w:bidi="ar"/>
              </w:rPr>
              <w:t>执行数</w:t>
            </w:r>
          </w:p>
          <w:p>
            <w:pPr>
              <w:widowControl/>
              <w:jc w:val="center"/>
              <w:textAlignment w:val="center"/>
              <w:rPr>
                <w:rFonts w:ascii="Times New Roman" w:hAnsi="Times New Roman" w:eastAsia="黑体" w:cs="黑体"/>
                <w:color w:val="000000"/>
                <w:kern w:val="0"/>
                <w:sz w:val="22"/>
                <w:lang w:bidi="ar"/>
              </w:rPr>
            </w:pPr>
            <w:r>
              <w:rPr>
                <w:rFonts w:hint="eastAsia" w:ascii="Times New Roman" w:hAnsi="Times New Roman" w:eastAsia="黑体" w:cs="黑体"/>
                <w:color w:val="000000"/>
                <w:kern w:val="0"/>
                <w:sz w:val="22"/>
                <w:lang w:bidi="ar"/>
              </w:rPr>
              <w:t>为上年</w:t>
            </w:r>
          </w:p>
          <w:p>
            <w:pPr>
              <w:widowControl/>
              <w:jc w:val="center"/>
              <w:textAlignment w:val="center"/>
              <w:rPr>
                <w:rFonts w:ascii="Times New Roman" w:hAnsi="Times New Roman" w:eastAsia="方正黑体_GBK" w:cs="方正黑体_GBK"/>
                <w:color w:val="000000"/>
                <w:sz w:val="22"/>
              </w:rPr>
            </w:pPr>
            <w:r>
              <w:rPr>
                <w:rFonts w:hint="eastAsia" w:ascii="Times New Roman" w:hAnsi="Times New Roman" w:eastAsia="黑体" w:cs="黑体"/>
                <w:color w:val="000000"/>
                <w:kern w:val="0"/>
                <w:sz w:val="22"/>
                <w:lang w:bidi="ar"/>
              </w:rPr>
              <w:t>决算数的%</w:t>
            </w:r>
          </w:p>
        </w:tc>
      </w:tr>
      <w:tr>
        <w:tblPrEx>
          <w:tblLayout w:type="fixed"/>
          <w:tblCellMar>
            <w:top w:w="0" w:type="dxa"/>
            <w:left w:w="0" w:type="dxa"/>
            <w:bottom w:w="0" w:type="dxa"/>
            <w:right w:w="0" w:type="dxa"/>
          </w:tblCellMar>
        </w:tblPrEx>
        <w:trPr>
          <w:trHeight w:val="567" w:hRule="atLeast"/>
          <w:jc w:val="center"/>
        </w:trPr>
        <w:tc>
          <w:tcPr>
            <w:tcW w:w="203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eastAsia="方正黑体_GBK" w:cs="方正黑体_GBK"/>
                <w:color w:val="000000"/>
                <w:sz w:val="20"/>
                <w:szCs w:val="20"/>
              </w:rPr>
            </w:pPr>
            <w:r>
              <w:rPr>
                <w:rFonts w:hint="eastAsia" w:ascii="Times New Roman" w:hAnsi="Times New Roman" w:eastAsia="方正黑体_GBK" w:cs="方正黑体_GBK"/>
                <w:color w:val="000000"/>
                <w:kern w:val="0"/>
                <w:sz w:val="20"/>
                <w:szCs w:val="20"/>
              </w:rPr>
              <w:t>总  计</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方正黑体_GBK" w:cs="方正黑体_GBK"/>
                <w:b/>
                <w:color w:val="000000"/>
                <w:sz w:val="20"/>
                <w:szCs w:val="20"/>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right"/>
              <w:rPr>
                <w:rFonts w:ascii="Times New Roman" w:hAnsi="Times New Roman" w:eastAsia="方正黑体_GBK" w:cs="方正黑体_GBK"/>
                <w:b/>
                <w:color w:val="000000"/>
                <w:sz w:val="20"/>
                <w:szCs w:val="20"/>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方正黑体_GBK" w:cs="方正黑体_GBK"/>
                <w:b/>
                <w:color w:val="000000"/>
                <w:sz w:val="20"/>
                <w:szCs w:val="20"/>
              </w:rPr>
            </w:pP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eastAsia="方正黑体_GBK" w:cs="方正黑体_GBK"/>
                <w:color w:val="000000"/>
                <w:sz w:val="20"/>
                <w:szCs w:val="20"/>
              </w:rPr>
            </w:pPr>
            <w:r>
              <w:rPr>
                <w:rFonts w:hint="eastAsia" w:ascii="Times New Roman" w:hAnsi="Times New Roman" w:eastAsia="方正黑体_GBK" w:cs="方正黑体_GBK"/>
                <w:color w:val="000000"/>
                <w:kern w:val="0"/>
                <w:sz w:val="20"/>
                <w:szCs w:val="20"/>
              </w:rPr>
              <w:t>总  计</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方正黑体_GBK" w:cs="方正黑体_GBK"/>
                <w:b/>
                <w:color w:val="000000"/>
                <w:sz w:val="32"/>
                <w:szCs w:val="32"/>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right"/>
              <w:rPr>
                <w:rFonts w:ascii="Times New Roman" w:hAnsi="Times New Roman" w:eastAsia="方正仿宋_GBK" w:cs="Times New Roman"/>
                <w:b/>
                <w:color w:val="000000"/>
                <w:sz w:val="32"/>
                <w:szCs w:val="32"/>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方正仿宋_GBK" w:cs="Times New Roman"/>
                <w:b/>
                <w:color w:val="000000"/>
                <w:sz w:val="32"/>
                <w:szCs w:val="32"/>
              </w:rPr>
            </w:pPr>
          </w:p>
        </w:tc>
      </w:tr>
      <w:tr>
        <w:tblPrEx>
          <w:tblLayout w:type="fixed"/>
          <w:tblCellMar>
            <w:top w:w="0" w:type="dxa"/>
            <w:left w:w="0" w:type="dxa"/>
            <w:bottom w:w="0" w:type="dxa"/>
            <w:right w:w="0" w:type="dxa"/>
          </w:tblCellMar>
        </w:tblPrEx>
        <w:trPr>
          <w:trHeight w:val="567" w:hRule="atLeast"/>
          <w:jc w:val="center"/>
        </w:trPr>
        <w:tc>
          <w:tcPr>
            <w:tcW w:w="203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cstheme="minorEastAsia"/>
                <w:color w:val="000000"/>
                <w:sz w:val="20"/>
                <w:szCs w:val="20"/>
              </w:rPr>
            </w:pPr>
            <w:r>
              <w:rPr>
                <w:rFonts w:hint="eastAsia" w:ascii="Times New Roman" w:hAnsi="Times New Roman" w:cstheme="minorEastAsia"/>
                <w:color w:val="000000"/>
                <w:kern w:val="0"/>
                <w:sz w:val="20"/>
                <w:szCs w:val="20"/>
              </w:rPr>
              <w:t>全区收入合计</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cstheme="minorEastAsia"/>
                <w:b/>
                <w:color w:val="000000"/>
                <w:sz w:val="20"/>
                <w:szCs w:val="20"/>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right"/>
              <w:rPr>
                <w:rFonts w:ascii="Times New Roman" w:hAnsi="Times New Roman" w:cstheme="minorEastAsia"/>
                <w:b/>
                <w:color w:val="000000"/>
                <w:sz w:val="20"/>
                <w:szCs w:val="20"/>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cstheme="minorEastAsia"/>
                <w:b/>
                <w:color w:val="000000"/>
                <w:sz w:val="20"/>
                <w:szCs w:val="20"/>
              </w:rPr>
            </w:pP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cstheme="minorEastAsia"/>
                <w:color w:val="000000"/>
                <w:sz w:val="20"/>
                <w:szCs w:val="20"/>
              </w:rPr>
            </w:pPr>
            <w:r>
              <w:rPr>
                <w:rFonts w:hint="eastAsia" w:ascii="Times New Roman" w:hAnsi="Times New Roman" w:cstheme="minorEastAsia"/>
                <w:color w:val="000000"/>
                <w:kern w:val="0"/>
                <w:sz w:val="20"/>
                <w:szCs w:val="20"/>
              </w:rPr>
              <w:t>全区支出合计</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方正仿宋_GBK" w:cs="Times New Roman"/>
                <w:b/>
                <w:color w:val="000000"/>
                <w:sz w:val="32"/>
                <w:szCs w:val="32"/>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right"/>
              <w:rPr>
                <w:rFonts w:ascii="Times New Roman" w:hAnsi="Times New Roman" w:eastAsia="方正仿宋_GBK" w:cs="Times New Roman"/>
                <w:b/>
                <w:color w:val="000000"/>
                <w:sz w:val="32"/>
                <w:szCs w:val="32"/>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方正仿宋_GBK" w:cs="Times New Roman"/>
                <w:b/>
                <w:color w:val="000000"/>
                <w:sz w:val="32"/>
                <w:szCs w:val="32"/>
              </w:rPr>
            </w:pPr>
          </w:p>
        </w:tc>
      </w:tr>
      <w:tr>
        <w:tblPrEx>
          <w:tblLayout w:type="fixed"/>
          <w:tblCellMar>
            <w:top w:w="0" w:type="dxa"/>
            <w:left w:w="0" w:type="dxa"/>
            <w:bottom w:w="0" w:type="dxa"/>
            <w:right w:w="0" w:type="dxa"/>
          </w:tblCellMar>
        </w:tblPrEx>
        <w:trPr>
          <w:trHeight w:val="567" w:hRule="atLeast"/>
          <w:jc w:val="center"/>
        </w:trPr>
        <w:tc>
          <w:tcPr>
            <w:tcW w:w="203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cstheme="minorEastAsia"/>
                <w:color w:val="000000"/>
                <w:sz w:val="20"/>
                <w:szCs w:val="20"/>
              </w:rPr>
            </w:pPr>
            <w:r>
              <w:rPr>
                <w:rFonts w:hint="eastAsia" w:ascii="Times New Roman" w:hAnsi="Times New Roman" w:cstheme="minorEastAsia"/>
                <w:color w:val="000000"/>
                <w:kern w:val="0"/>
                <w:sz w:val="20"/>
                <w:szCs w:val="20"/>
              </w:rPr>
              <w:t>一、基本养老保险基金收入</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cstheme="minorEastAsia"/>
                <w:color w:val="000000"/>
                <w:sz w:val="20"/>
                <w:szCs w:val="20"/>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right"/>
              <w:rPr>
                <w:rFonts w:ascii="Times New Roman" w:hAnsi="Times New Roman" w:cstheme="minorEastAsia"/>
                <w:color w:val="000000"/>
                <w:sz w:val="20"/>
                <w:szCs w:val="20"/>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cstheme="minorEastAsia"/>
                <w:color w:val="000000"/>
                <w:sz w:val="20"/>
                <w:szCs w:val="20"/>
              </w:rPr>
            </w:pP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cstheme="minorEastAsia"/>
                <w:color w:val="000000"/>
                <w:sz w:val="20"/>
                <w:szCs w:val="20"/>
              </w:rPr>
            </w:pPr>
            <w:r>
              <w:rPr>
                <w:rFonts w:hint="eastAsia" w:ascii="Times New Roman" w:hAnsi="Times New Roman" w:cstheme="minorEastAsia"/>
                <w:color w:val="000000"/>
                <w:kern w:val="0"/>
                <w:sz w:val="20"/>
                <w:szCs w:val="20"/>
              </w:rPr>
              <w:t>一、基本养老保险基金支出</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方正仿宋_GBK" w:cs="Times New Roman"/>
                <w:color w:val="000000"/>
                <w:sz w:val="32"/>
                <w:szCs w:val="32"/>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right"/>
              <w:rPr>
                <w:rFonts w:ascii="Times New Roman" w:hAnsi="Times New Roman" w:eastAsia="方正仿宋_GBK" w:cs="Times New Roman"/>
                <w:color w:val="000000"/>
                <w:sz w:val="32"/>
                <w:szCs w:val="32"/>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方正仿宋_GBK" w:cs="Times New Roman"/>
                <w:color w:val="000000"/>
                <w:sz w:val="32"/>
                <w:szCs w:val="32"/>
              </w:rPr>
            </w:pPr>
          </w:p>
        </w:tc>
      </w:tr>
      <w:tr>
        <w:tblPrEx>
          <w:tblLayout w:type="fixed"/>
          <w:tblCellMar>
            <w:top w:w="0" w:type="dxa"/>
            <w:left w:w="0" w:type="dxa"/>
            <w:bottom w:w="0" w:type="dxa"/>
            <w:right w:w="0" w:type="dxa"/>
          </w:tblCellMar>
        </w:tblPrEx>
        <w:trPr>
          <w:trHeight w:val="567" w:hRule="atLeast"/>
          <w:jc w:val="center"/>
        </w:trPr>
        <w:tc>
          <w:tcPr>
            <w:tcW w:w="203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cstheme="minorEastAsia"/>
                <w:color w:val="000000"/>
                <w:sz w:val="20"/>
                <w:szCs w:val="20"/>
              </w:rPr>
            </w:pPr>
            <w:r>
              <w:rPr>
                <w:rFonts w:hint="eastAsia" w:ascii="Times New Roman" w:hAnsi="Times New Roman" w:cstheme="minorEastAsia"/>
                <w:color w:val="000000"/>
                <w:kern w:val="0"/>
                <w:sz w:val="20"/>
                <w:szCs w:val="20"/>
              </w:rPr>
              <w:t>城镇企业职工基本养老保险基金</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cstheme="minorEastAsia"/>
                <w:color w:val="000000"/>
                <w:sz w:val="20"/>
                <w:szCs w:val="20"/>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right"/>
              <w:rPr>
                <w:rFonts w:ascii="Times New Roman" w:hAnsi="Times New Roman" w:cstheme="minorEastAsia"/>
                <w:color w:val="000000"/>
                <w:sz w:val="20"/>
                <w:szCs w:val="20"/>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cstheme="minorEastAsia"/>
                <w:color w:val="000000"/>
                <w:sz w:val="20"/>
                <w:szCs w:val="20"/>
              </w:rPr>
            </w:pP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cstheme="minorEastAsia"/>
                <w:color w:val="000000"/>
                <w:sz w:val="20"/>
                <w:szCs w:val="20"/>
              </w:rPr>
            </w:pPr>
            <w:r>
              <w:rPr>
                <w:rFonts w:hint="eastAsia" w:ascii="Times New Roman" w:hAnsi="Times New Roman" w:cstheme="minorEastAsia"/>
                <w:color w:val="000000"/>
                <w:kern w:val="0"/>
                <w:sz w:val="20"/>
                <w:szCs w:val="20"/>
              </w:rPr>
              <w:t>城镇企业职工基本养老保险基金</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方正仿宋_GBK" w:cs="Times New Roman"/>
                <w:color w:val="000000"/>
                <w:sz w:val="32"/>
                <w:szCs w:val="32"/>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right"/>
              <w:rPr>
                <w:rFonts w:ascii="Times New Roman" w:hAnsi="Times New Roman" w:eastAsia="方正仿宋_GBK" w:cs="Times New Roman"/>
                <w:color w:val="000000"/>
                <w:sz w:val="32"/>
                <w:szCs w:val="32"/>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方正仿宋_GBK" w:cs="Times New Roman"/>
                <w:color w:val="000000"/>
                <w:sz w:val="32"/>
                <w:szCs w:val="32"/>
              </w:rPr>
            </w:pPr>
          </w:p>
        </w:tc>
      </w:tr>
      <w:tr>
        <w:tblPrEx>
          <w:tblLayout w:type="fixed"/>
          <w:tblCellMar>
            <w:top w:w="0" w:type="dxa"/>
            <w:left w:w="0" w:type="dxa"/>
            <w:bottom w:w="0" w:type="dxa"/>
            <w:right w:w="0" w:type="dxa"/>
          </w:tblCellMar>
        </w:tblPrEx>
        <w:trPr>
          <w:trHeight w:val="567" w:hRule="atLeast"/>
          <w:jc w:val="center"/>
        </w:trPr>
        <w:tc>
          <w:tcPr>
            <w:tcW w:w="203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cstheme="minorEastAsia"/>
                <w:color w:val="000000"/>
                <w:sz w:val="20"/>
                <w:szCs w:val="20"/>
              </w:rPr>
            </w:pPr>
            <w:r>
              <w:rPr>
                <w:rFonts w:hint="eastAsia" w:ascii="Times New Roman" w:hAnsi="Times New Roman" w:cstheme="minorEastAsia"/>
                <w:color w:val="000000"/>
                <w:kern w:val="0"/>
                <w:sz w:val="20"/>
                <w:szCs w:val="20"/>
              </w:rPr>
              <w:t>城乡居民社会养老保险基金</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cstheme="minorEastAsia"/>
                <w:color w:val="000000"/>
                <w:sz w:val="20"/>
                <w:szCs w:val="20"/>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right"/>
              <w:rPr>
                <w:rFonts w:ascii="Times New Roman" w:hAnsi="Times New Roman" w:cstheme="minorEastAsia"/>
                <w:color w:val="000000"/>
                <w:sz w:val="20"/>
                <w:szCs w:val="20"/>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cstheme="minorEastAsia"/>
                <w:color w:val="000000"/>
                <w:sz w:val="20"/>
                <w:szCs w:val="20"/>
              </w:rPr>
            </w:pP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cstheme="minorEastAsia"/>
                <w:color w:val="000000"/>
                <w:sz w:val="20"/>
                <w:szCs w:val="20"/>
              </w:rPr>
            </w:pPr>
            <w:r>
              <w:rPr>
                <w:rFonts w:hint="eastAsia" w:ascii="Times New Roman" w:hAnsi="Times New Roman" w:cstheme="minorEastAsia"/>
                <w:color w:val="000000"/>
                <w:kern w:val="0"/>
                <w:sz w:val="20"/>
                <w:szCs w:val="20"/>
              </w:rPr>
              <w:t>城乡居民社会养老保险基金</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方正仿宋_GBK" w:cs="Times New Roman"/>
                <w:color w:val="000000"/>
                <w:sz w:val="32"/>
                <w:szCs w:val="32"/>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right"/>
              <w:rPr>
                <w:rFonts w:ascii="Times New Roman" w:hAnsi="Times New Roman" w:eastAsia="方正仿宋_GBK" w:cs="Times New Roman"/>
                <w:color w:val="000000"/>
                <w:sz w:val="32"/>
                <w:szCs w:val="32"/>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方正仿宋_GBK" w:cs="Times New Roman"/>
                <w:color w:val="000000"/>
                <w:sz w:val="32"/>
                <w:szCs w:val="32"/>
              </w:rPr>
            </w:pPr>
          </w:p>
        </w:tc>
      </w:tr>
      <w:tr>
        <w:tblPrEx>
          <w:tblLayout w:type="fixed"/>
          <w:tblCellMar>
            <w:top w:w="0" w:type="dxa"/>
            <w:left w:w="0" w:type="dxa"/>
            <w:bottom w:w="0" w:type="dxa"/>
            <w:right w:w="0" w:type="dxa"/>
          </w:tblCellMar>
        </w:tblPrEx>
        <w:trPr>
          <w:trHeight w:val="567" w:hRule="atLeast"/>
          <w:jc w:val="center"/>
        </w:trPr>
        <w:tc>
          <w:tcPr>
            <w:tcW w:w="203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cstheme="minorEastAsia"/>
                <w:color w:val="000000"/>
                <w:sz w:val="20"/>
                <w:szCs w:val="20"/>
              </w:rPr>
            </w:pPr>
            <w:r>
              <w:rPr>
                <w:rFonts w:hint="eastAsia" w:ascii="Times New Roman" w:hAnsi="Times New Roman" w:cstheme="minorEastAsia"/>
                <w:color w:val="000000"/>
                <w:kern w:val="0"/>
                <w:sz w:val="20"/>
                <w:szCs w:val="20"/>
              </w:rPr>
              <w:t>机关事业养老保险基金</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cstheme="minorEastAsia"/>
                <w:color w:val="000000"/>
                <w:sz w:val="20"/>
                <w:szCs w:val="20"/>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right"/>
              <w:rPr>
                <w:rFonts w:ascii="Times New Roman" w:hAnsi="Times New Roman" w:cstheme="minorEastAsia"/>
                <w:color w:val="000000"/>
                <w:sz w:val="20"/>
                <w:szCs w:val="20"/>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cstheme="minorEastAsia"/>
                <w:color w:val="000000"/>
                <w:sz w:val="20"/>
                <w:szCs w:val="20"/>
              </w:rPr>
            </w:pP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cstheme="minorEastAsia"/>
                <w:color w:val="000000"/>
                <w:sz w:val="20"/>
                <w:szCs w:val="20"/>
              </w:rPr>
            </w:pPr>
            <w:r>
              <w:rPr>
                <w:rFonts w:hint="eastAsia" w:ascii="Times New Roman" w:hAnsi="Times New Roman" w:cstheme="minorEastAsia"/>
                <w:color w:val="000000"/>
                <w:kern w:val="0"/>
                <w:sz w:val="20"/>
                <w:szCs w:val="20"/>
              </w:rPr>
              <w:t>机关事业养老保险基金</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方正仿宋_GBK" w:cs="Times New Roman"/>
                <w:color w:val="000000"/>
                <w:sz w:val="32"/>
                <w:szCs w:val="32"/>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right"/>
              <w:rPr>
                <w:rFonts w:ascii="Times New Roman" w:hAnsi="Times New Roman" w:eastAsia="方正仿宋_GBK" w:cs="Times New Roman"/>
                <w:color w:val="000000"/>
                <w:sz w:val="32"/>
                <w:szCs w:val="32"/>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方正仿宋_GBK" w:cs="Times New Roman"/>
                <w:color w:val="000000"/>
                <w:sz w:val="32"/>
                <w:szCs w:val="32"/>
              </w:rPr>
            </w:pPr>
          </w:p>
        </w:tc>
      </w:tr>
      <w:tr>
        <w:tblPrEx>
          <w:tblLayout w:type="fixed"/>
          <w:tblCellMar>
            <w:top w:w="0" w:type="dxa"/>
            <w:left w:w="0" w:type="dxa"/>
            <w:bottom w:w="0" w:type="dxa"/>
            <w:right w:w="0" w:type="dxa"/>
          </w:tblCellMar>
        </w:tblPrEx>
        <w:trPr>
          <w:trHeight w:val="567" w:hRule="atLeast"/>
          <w:jc w:val="center"/>
        </w:trPr>
        <w:tc>
          <w:tcPr>
            <w:tcW w:w="203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cstheme="minorEastAsia"/>
                <w:color w:val="000000"/>
                <w:sz w:val="20"/>
                <w:szCs w:val="20"/>
              </w:rPr>
            </w:pPr>
            <w:r>
              <w:rPr>
                <w:rFonts w:hint="eastAsia" w:ascii="Times New Roman" w:hAnsi="Times New Roman" w:cstheme="minorEastAsia"/>
                <w:color w:val="000000"/>
                <w:kern w:val="0"/>
                <w:sz w:val="20"/>
                <w:szCs w:val="20"/>
              </w:rPr>
              <w:t>二、基本医疗保险基金收入</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cstheme="minorEastAsia"/>
                <w:color w:val="000000"/>
                <w:sz w:val="20"/>
                <w:szCs w:val="20"/>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right"/>
              <w:rPr>
                <w:rFonts w:ascii="Times New Roman" w:hAnsi="Times New Roman" w:cstheme="minorEastAsia"/>
                <w:color w:val="000000"/>
                <w:sz w:val="20"/>
                <w:szCs w:val="20"/>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cstheme="minorEastAsia"/>
                <w:color w:val="000000"/>
                <w:sz w:val="20"/>
                <w:szCs w:val="20"/>
              </w:rPr>
            </w:pP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cstheme="minorEastAsia"/>
                <w:color w:val="000000"/>
                <w:sz w:val="20"/>
                <w:szCs w:val="20"/>
              </w:rPr>
            </w:pPr>
            <w:r>
              <w:rPr>
                <w:rFonts w:hint="eastAsia" w:ascii="Times New Roman" w:hAnsi="Times New Roman" w:cstheme="minorEastAsia"/>
                <w:color w:val="000000"/>
                <w:kern w:val="0"/>
                <w:sz w:val="20"/>
                <w:szCs w:val="20"/>
              </w:rPr>
              <w:t>二、基本医疗保险基金支出</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方正仿宋_GBK" w:cs="Times New Roman"/>
                <w:color w:val="000000"/>
                <w:sz w:val="32"/>
                <w:szCs w:val="32"/>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right"/>
              <w:rPr>
                <w:rFonts w:ascii="Times New Roman" w:hAnsi="Times New Roman" w:eastAsia="方正仿宋_GBK" w:cs="Times New Roman"/>
                <w:color w:val="000000"/>
                <w:sz w:val="32"/>
                <w:szCs w:val="32"/>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方正仿宋_GBK" w:cs="Times New Roman"/>
                <w:color w:val="000000"/>
                <w:sz w:val="32"/>
                <w:szCs w:val="32"/>
              </w:rPr>
            </w:pPr>
          </w:p>
        </w:tc>
      </w:tr>
      <w:tr>
        <w:tblPrEx>
          <w:tblLayout w:type="fixed"/>
          <w:tblCellMar>
            <w:top w:w="0" w:type="dxa"/>
            <w:left w:w="0" w:type="dxa"/>
            <w:bottom w:w="0" w:type="dxa"/>
            <w:right w:w="0" w:type="dxa"/>
          </w:tblCellMar>
        </w:tblPrEx>
        <w:trPr>
          <w:trHeight w:val="567" w:hRule="atLeast"/>
          <w:jc w:val="center"/>
        </w:trPr>
        <w:tc>
          <w:tcPr>
            <w:tcW w:w="203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cstheme="minorEastAsia"/>
                <w:color w:val="000000"/>
                <w:sz w:val="20"/>
                <w:szCs w:val="20"/>
              </w:rPr>
            </w:pPr>
            <w:r>
              <w:rPr>
                <w:rFonts w:hint="eastAsia" w:ascii="Times New Roman" w:hAnsi="Times New Roman" w:cstheme="minorEastAsia"/>
                <w:color w:val="000000"/>
                <w:kern w:val="0"/>
                <w:sz w:val="20"/>
                <w:szCs w:val="20"/>
              </w:rPr>
              <w:t>城镇职工基本医疗保险基金</w:t>
            </w:r>
            <w:r>
              <w:rPr>
                <w:rFonts w:hint="eastAsia" w:ascii="Times New Roman" w:hAnsi="Times New Roman" w:cstheme="minorEastAsia"/>
                <w:color w:val="000000"/>
                <w:kern w:val="0"/>
                <w:sz w:val="20"/>
                <w:szCs w:val="20"/>
              </w:rPr>
              <w:br w:type="textWrapping"/>
            </w:r>
            <w:r>
              <w:rPr>
                <w:rFonts w:hint="eastAsia" w:ascii="Times New Roman" w:hAnsi="Times New Roman" w:cstheme="minorEastAsia"/>
                <w:color w:val="000000"/>
                <w:kern w:val="0"/>
                <w:sz w:val="20"/>
                <w:szCs w:val="20"/>
              </w:rPr>
              <w:t>（含生育保险）</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cstheme="minorEastAsia"/>
                <w:color w:val="000000"/>
                <w:sz w:val="20"/>
                <w:szCs w:val="20"/>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right"/>
              <w:rPr>
                <w:rFonts w:ascii="Times New Roman" w:hAnsi="Times New Roman" w:cstheme="minorEastAsia"/>
                <w:color w:val="000000"/>
                <w:sz w:val="20"/>
                <w:szCs w:val="20"/>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cstheme="minorEastAsia"/>
                <w:color w:val="000000"/>
                <w:sz w:val="20"/>
                <w:szCs w:val="20"/>
              </w:rPr>
            </w:pP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cstheme="minorEastAsia"/>
                <w:color w:val="000000"/>
                <w:sz w:val="20"/>
                <w:szCs w:val="20"/>
              </w:rPr>
            </w:pPr>
            <w:r>
              <w:rPr>
                <w:rFonts w:hint="eastAsia" w:ascii="Times New Roman" w:hAnsi="Times New Roman" w:cstheme="minorEastAsia"/>
                <w:color w:val="000000"/>
                <w:kern w:val="0"/>
                <w:sz w:val="20"/>
                <w:szCs w:val="20"/>
              </w:rPr>
              <w:t>城镇职工基本医疗保险基金（含生育保险）</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方正仿宋_GBK" w:cs="Times New Roman"/>
                <w:color w:val="000000"/>
                <w:sz w:val="32"/>
                <w:szCs w:val="32"/>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right"/>
              <w:rPr>
                <w:rFonts w:ascii="Times New Roman" w:hAnsi="Times New Roman" w:eastAsia="方正仿宋_GBK" w:cs="Times New Roman"/>
                <w:color w:val="000000"/>
                <w:sz w:val="32"/>
                <w:szCs w:val="32"/>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方正仿宋_GBK" w:cs="Times New Roman"/>
                <w:color w:val="000000"/>
                <w:sz w:val="32"/>
                <w:szCs w:val="32"/>
              </w:rPr>
            </w:pPr>
          </w:p>
        </w:tc>
      </w:tr>
      <w:tr>
        <w:tblPrEx>
          <w:tblLayout w:type="fixed"/>
          <w:tblCellMar>
            <w:top w:w="0" w:type="dxa"/>
            <w:left w:w="0" w:type="dxa"/>
            <w:bottom w:w="0" w:type="dxa"/>
            <w:right w:w="0" w:type="dxa"/>
          </w:tblCellMar>
        </w:tblPrEx>
        <w:trPr>
          <w:trHeight w:val="567" w:hRule="atLeast"/>
          <w:jc w:val="center"/>
        </w:trPr>
        <w:tc>
          <w:tcPr>
            <w:tcW w:w="203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cstheme="minorEastAsia"/>
                <w:color w:val="000000"/>
                <w:sz w:val="20"/>
                <w:szCs w:val="20"/>
              </w:rPr>
            </w:pPr>
            <w:r>
              <w:rPr>
                <w:rFonts w:hint="eastAsia" w:ascii="Times New Roman" w:hAnsi="Times New Roman" w:cstheme="minorEastAsia"/>
                <w:color w:val="000000"/>
                <w:kern w:val="0"/>
                <w:sz w:val="20"/>
                <w:szCs w:val="20"/>
              </w:rPr>
              <w:t>城乡居民合作医疗保险基金</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cstheme="minorEastAsia"/>
                <w:color w:val="000000"/>
                <w:sz w:val="20"/>
                <w:szCs w:val="20"/>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right"/>
              <w:rPr>
                <w:rFonts w:ascii="Times New Roman" w:hAnsi="Times New Roman" w:cstheme="minorEastAsia"/>
                <w:color w:val="000000"/>
                <w:sz w:val="20"/>
                <w:szCs w:val="20"/>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cstheme="minorEastAsia"/>
                <w:color w:val="000000"/>
                <w:sz w:val="20"/>
                <w:szCs w:val="20"/>
              </w:rPr>
            </w:pP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cstheme="minorEastAsia"/>
                <w:color w:val="000000"/>
                <w:sz w:val="20"/>
                <w:szCs w:val="20"/>
              </w:rPr>
            </w:pPr>
            <w:r>
              <w:rPr>
                <w:rFonts w:hint="eastAsia" w:ascii="Times New Roman" w:hAnsi="Times New Roman" w:cstheme="minorEastAsia"/>
                <w:color w:val="000000"/>
                <w:kern w:val="0"/>
                <w:sz w:val="20"/>
                <w:szCs w:val="20"/>
              </w:rPr>
              <w:t>城乡居民合作医疗保险基金</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方正仿宋_GBK" w:cs="Times New Roman"/>
                <w:color w:val="000000"/>
                <w:sz w:val="32"/>
                <w:szCs w:val="32"/>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right"/>
              <w:rPr>
                <w:rFonts w:ascii="Times New Roman" w:hAnsi="Times New Roman" w:eastAsia="方正仿宋_GBK" w:cs="Times New Roman"/>
                <w:color w:val="000000"/>
                <w:sz w:val="32"/>
                <w:szCs w:val="32"/>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方正仿宋_GBK" w:cs="Times New Roman"/>
                <w:color w:val="000000"/>
                <w:sz w:val="32"/>
                <w:szCs w:val="32"/>
              </w:rPr>
            </w:pPr>
          </w:p>
        </w:tc>
      </w:tr>
      <w:tr>
        <w:tblPrEx>
          <w:tblLayout w:type="fixed"/>
          <w:tblCellMar>
            <w:top w:w="0" w:type="dxa"/>
            <w:left w:w="0" w:type="dxa"/>
            <w:bottom w:w="0" w:type="dxa"/>
            <w:right w:w="0" w:type="dxa"/>
          </w:tblCellMar>
        </w:tblPrEx>
        <w:trPr>
          <w:trHeight w:val="567" w:hRule="atLeast"/>
          <w:jc w:val="center"/>
        </w:trPr>
        <w:tc>
          <w:tcPr>
            <w:tcW w:w="203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cstheme="minorEastAsia"/>
                <w:color w:val="000000"/>
                <w:sz w:val="20"/>
                <w:szCs w:val="20"/>
              </w:rPr>
            </w:pPr>
            <w:r>
              <w:rPr>
                <w:rFonts w:hint="eastAsia" w:ascii="Times New Roman" w:hAnsi="Times New Roman" w:cstheme="minorEastAsia"/>
                <w:color w:val="000000"/>
                <w:kern w:val="0"/>
                <w:sz w:val="20"/>
                <w:szCs w:val="20"/>
              </w:rPr>
              <w:t>三、失业保险基金收入</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cstheme="minorEastAsia"/>
                <w:color w:val="000000"/>
                <w:sz w:val="20"/>
                <w:szCs w:val="20"/>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right"/>
              <w:rPr>
                <w:rFonts w:ascii="Times New Roman" w:hAnsi="Times New Roman" w:cstheme="minorEastAsia"/>
                <w:color w:val="000000"/>
                <w:sz w:val="20"/>
                <w:szCs w:val="20"/>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cstheme="minorEastAsia"/>
                <w:color w:val="000000"/>
                <w:sz w:val="20"/>
                <w:szCs w:val="20"/>
              </w:rPr>
            </w:pP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cstheme="minorEastAsia"/>
                <w:color w:val="000000"/>
                <w:sz w:val="20"/>
                <w:szCs w:val="20"/>
              </w:rPr>
            </w:pPr>
            <w:r>
              <w:rPr>
                <w:rFonts w:hint="eastAsia" w:ascii="Times New Roman" w:hAnsi="Times New Roman" w:cstheme="minorEastAsia"/>
                <w:color w:val="000000"/>
                <w:kern w:val="0"/>
                <w:sz w:val="20"/>
                <w:szCs w:val="20"/>
              </w:rPr>
              <w:t>三、失业保险基金支出</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方正仿宋_GBK" w:cs="Times New Roman"/>
                <w:color w:val="000000"/>
                <w:sz w:val="32"/>
                <w:szCs w:val="32"/>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right"/>
              <w:rPr>
                <w:rFonts w:ascii="Times New Roman" w:hAnsi="Times New Roman" w:eastAsia="方正仿宋_GBK" w:cs="Times New Roman"/>
                <w:color w:val="000000"/>
                <w:sz w:val="32"/>
                <w:szCs w:val="32"/>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方正仿宋_GBK" w:cs="Times New Roman"/>
                <w:color w:val="000000"/>
                <w:sz w:val="32"/>
                <w:szCs w:val="32"/>
              </w:rPr>
            </w:pPr>
          </w:p>
        </w:tc>
      </w:tr>
      <w:tr>
        <w:tblPrEx>
          <w:tblLayout w:type="fixed"/>
          <w:tblCellMar>
            <w:top w:w="0" w:type="dxa"/>
            <w:left w:w="0" w:type="dxa"/>
            <w:bottom w:w="0" w:type="dxa"/>
            <w:right w:w="0" w:type="dxa"/>
          </w:tblCellMar>
        </w:tblPrEx>
        <w:trPr>
          <w:trHeight w:val="567" w:hRule="atLeast"/>
          <w:jc w:val="center"/>
        </w:trPr>
        <w:tc>
          <w:tcPr>
            <w:tcW w:w="203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cstheme="minorEastAsia"/>
                <w:color w:val="000000"/>
                <w:sz w:val="20"/>
                <w:szCs w:val="20"/>
              </w:rPr>
            </w:pPr>
            <w:r>
              <w:rPr>
                <w:rFonts w:hint="eastAsia" w:ascii="Times New Roman" w:hAnsi="Times New Roman" w:cstheme="minorEastAsia"/>
                <w:color w:val="000000"/>
                <w:kern w:val="0"/>
                <w:sz w:val="20"/>
                <w:szCs w:val="20"/>
              </w:rPr>
              <w:t>四、工伤保险基金收入</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cstheme="minorEastAsia"/>
                <w:color w:val="000000"/>
                <w:sz w:val="20"/>
                <w:szCs w:val="20"/>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right"/>
              <w:rPr>
                <w:rFonts w:ascii="Times New Roman" w:hAnsi="Times New Roman" w:cstheme="minorEastAsia"/>
                <w:color w:val="000000"/>
                <w:sz w:val="20"/>
                <w:szCs w:val="20"/>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cstheme="minorEastAsia"/>
                <w:color w:val="000000"/>
                <w:sz w:val="20"/>
                <w:szCs w:val="20"/>
              </w:rPr>
            </w:pP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cstheme="minorEastAsia"/>
                <w:color w:val="000000"/>
                <w:sz w:val="20"/>
                <w:szCs w:val="20"/>
              </w:rPr>
            </w:pPr>
            <w:r>
              <w:rPr>
                <w:rFonts w:hint="eastAsia" w:ascii="Times New Roman" w:hAnsi="Times New Roman" w:cstheme="minorEastAsia"/>
                <w:color w:val="000000"/>
                <w:kern w:val="0"/>
                <w:sz w:val="20"/>
                <w:szCs w:val="20"/>
              </w:rPr>
              <w:t>四、工伤保险基金支出</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方正仿宋_GBK" w:cs="Times New Roman"/>
                <w:color w:val="000000"/>
                <w:sz w:val="32"/>
                <w:szCs w:val="32"/>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right"/>
              <w:rPr>
                <w:rFonts w:ascii="Times New Roman" w:hAnsi="Times New Roman" w:eastAsia="方正仿宋_GBK" w:cs="Times New Roman"/>
                <w:color w:val="000000"/>
                <w:sz w:val="32"/>
                <w:szCs w:val="32"/>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方正仿宋_GBK" w:cs="Times New Roman"/>
                <w:color w:val="000000"/>
                <w:sz w:val="32"/>
                <w:szCs w:val="32"/>
              </w:rPr>
            </w:pPr>
          </w:p>
        </w:tc>
      </w:tr>
      <w:tr>
        <w:tblPrEx>
          <w:tblLayout w:type="fixed"/>
          <w:tblCellMar>
            <w:top w:w="0" w:type="dxa"/>
            <w:left w:w="0" w:type="dxa"/>
            <w:bottom w:w="0" w:type="dxa"/>
            <w:right w:w="0" w:type="dxa"/>
          </w:tblCellMar>
        </w:tblPrEx>
        <w:trPr>
          <w:trHeight w:val="567" w:hRule="atLeast"/>
          <w:jc w:val="center"/>
        </w:trPr>
        <w:tc>
          <w:tcPr>
            <w:tcW w:w="203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cstheme="minorEastAsia"/>
                <w:color w:val="000000"/>
                <w:sz w:val="20"/>
                <w:szCs w:val="20"/>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cstheme="minorEastAsia"/>
                <w:color w:val="000000"/>
                <w:sz w:val="20"/>
                <w:szCs w:val="20"/>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cstheme="minorEastAsia"/>
                <w:color w:val="000000"/>
                <w:sz w:val="20"/>
                <w:szCs w:val="20"/>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cstheme="minorEastAsia"/>
                <w:color w:val="000000"/>
                <w:sz w:val="20"/>
                <w:szCs w:val="20"/>
              </w:rPr>
            </w:pP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cstheme="minorEastAsia"/>
                <w:color w:val="000000"/>
                <w:sz w:val="20"/>
                <w:szCs w:val="20"/>
              </w:rPr>
            </w:pPr>
            <w:r>
              <w:rPr>
                <w:rFonts w:hint="eastAsia" w:ascii="Times New Roman" w:hAnsi="Times New Roman" w:cstheme="minorEastAsia"/>
                <w:color w:val="000000"/>
                <w:kern w:val="0"/>
                <w:sz w:val="20"/>
                <w:szCs w:val="20"/>
              </w:rPr>
              <w:t>本年收支结余</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eastAsia="方正仿宋_GBK" w:cs="Times New Roman"/>
                <w:color w:val="000000"/>
                <w:sz w:val="32"/>
                <w:szCs w:val="32"/>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eastAsia="方正仿宋_GBK" w:cs="Times New Roman"/>
                <w:color w:val="000000"/>
                <w:sz w:val="32"/>
                <w:szCs w:val="32"/>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eastAsia="方正仿宋_GBK" w:cs="Times New Roman"/>
                <w:color w:val="000000"/>
                <w:sz w:val="32"/>
                <w:szCs w:val="32"/>
              </w:rPr>
            </w:pPr>
          </w:p>
        </w:tc>
      </w:tr>
    </w:tbl>
    <w:p>
      <w:pPr>
        <w:spacing w:before="120" w:beforeLines="50"/>
        <w:jc w:val="left"/>
        <w:rPr>
          <w:rFonts w:ascii="Times New Roman" w:hAnsi="Times New Roman" w:eastAsia="宋体" w:cs="宋体"/>
          <w:color w:val="000000"/>
          <w:sz w:val="18"/>
          <w:szCs w:val="18"/>
        </w:rPr>
      </w:pPr>
      <w:r>
        <w:rPr>
          <w:rFonts w:ascii="Times New Roman" w:hAnsi="Times New Roman" w:eastAsia="宋体" w:cs="宋体"/>
          <w:color w:val="000000"/>
          <w:sz w:val="18"/>
          <w:szCs w:val="18"/>
        </w:rPr>
        <w:t>注：社保基金收支预算由市级统筹，区级此表无数据。</w:t>
      </w:r>
    </w:p>
    <w:p>
      <w:pPr>
        <w:widowControl/>
        <w:jc w:val="left"/>
        <w:textAlignment w:val="center"/>
        <w:rPr>
          <w:rFonts w:ascii="Times New Roman" w:hAnsi="Times New Roman" w:eastAsia="方正仿宋_GBK" w:cs="Times New Roman"/>
          <w:sz w:val="32"/>
          <w:szCs w:val="32"/>
          <w:lang w:val="zh-CN"/>
        </w:rPr>
      </w:pPr>
    </w:p>
    <w:p>
      <w:pPr>
        <w:widowControl/>
        <w:jc w:val="left"/>
        <w:textAlignment w:val="center"/>
        <w:rPr>
          <w:rFonts w:ascii="Times New Roman" w:hAnsi="Times New Roman" w:eastAsia="方正仿宋_GBK" w:cs="Times New Roman"/>
          <w:sz w:val="32"/>
          <w:szCs w:val="32"/>
          <w:lang w:val="zh-CN"/>
        </w:rPr>
      </w:pPr>
      <w:r>
        <w:rPr>
          <w:rFonts w:hint="eastAsia" w:ascii="Times New Roman" w:hAnsi="Times New Roman" w:eastAsia="方正仿宋_GBK" w:cs="Times New Roman"/>
          <w:sz w:val="32"/>
          <w:szCs w:val="32"/>
          <w:lang w:val="zh-CN"/>
        </w:rPr>
        <w:br w:type="page"/>
      </w:r>
    </w:p>
    <w:p>
      <w:pPr>
        <w:widowControl/>
        <w:spacing w:line="400" w:lineRule="exact"/>
        <w:jc w:val="left"/>
        <w:textAlignment w:val="center"/>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lang w:val="zh-CN"/>
        </w:rPr>
        <w:t>表</w:t>
      </w:r>
      <w:r>
        <w:rPr>
          <w:rFonts w:ascii="Times New Roman" w:hAnsi="Times New Roman" w:eastAsia="方正黑体_GBK" w:cs="Times New Roman"/>
          <w:sz w:val="32"/>
          <w:szCs w:val="32"/>
        </w:rPr>
        <w:t>15</w:t>
      </w:r>
    </w:p>
    <w:p>
      <w:pPr>
        <w:widowControl/>
        <w:jc w:val="center"/>
        <w:textAlignment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2023</w:t>
      </w:r>
      <w:r>
        <w:rPr>
          <w:rFonts w:hint="eastAsia" w:ascii="Times New Roman" w:hAnsi="Times New Roman" w:eastAsia="方正小标宋_GBK" w:cs="Times New Roman"/>
          <w:kern w:val="0"/>
          <w:sz w:val="44"/>
          <w:szCs w:val="44"/>
        </w:rPr>
        <w:t>年全区一般公共预算收支预算表</w:t>
      </w:r>
    </w:p>
    <w:p>
      <w:pPr>
        <w:widowControl/>
        <w:jc w:val="right"/>
        <w:textAlignment w:val="center"/>
        <w:rPr>
          <w:rFonts w:ascii="Times New Roman" w:hAnsi="Times New Roman" w:eastAsia="方正仿宋_GBK" w:cs="Times New Roman"/>
          <w:sz w:val="32"/>
          <w:szCs w:val="32"/>
        </w:rPr>
      </w:pPr>
      <w:r>
        <w:rPr>
          <w:rFonts w:hint="eastAsia" w:ascii="Times New Roman" w:hAnsi="Times New Roman" w:cstheme="minorEastAsia"/>
          <w:szCs w:val="21"/>
        </w:rPr>
        <w:t>单位：万元</w:t>
      </w:r>
    </w:p>
    <w:tbl>
      <w:tblPr>
        <w:tblStyle w:val="10"/>
        <w:tblW w:w="9162" w:type="dxa"/>
        <w:jc w:val="center"/>
        <w:tblInd w:w="0" w:type="dxa"/>
        <w:tblLayout w:type="fixed"/>
        <w:tblCellMar>
          <w:top w:w="0" w:type="dxa"/>
          <w:left w:w="108" w:type="dxa"/>
          <w:bottom w:w="0" w:type="dxa"/>
          <w:right w:w="108" w:type="dxa"/>
        </w:tblCellMar>
      </w:tblPr>
      <w:tblGrid>
        <w:gridCol w:w="2556"/>
        <w:gridCol w:w="925"/>
        <w:gridCol w:w="1075"/>
        <w:gridCol w:w="2625"/>
        <w:gridCol w:w="900"/>
        <w:gridCol w:w="1081"/>
      </w:tblGrid>
      <w:tr>
        <w:tblPrEx>
          <w:tblLayout w:type="fixed"/>
          <w:tblCellMar>
            <w:top w:w="0" w:type="dxa"/>
            <w:left w:w="108" w:type="dxa"/>
            <w:bottom w:w="0" w:type="dxa"/>
            <w:right w:w="108" w:type="dxa"/>
          </w:tblCellMar>
        </w:tblPrEx>
        <w:trPr>
          <w:trHeight w:val="283"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收      入</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预算数</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预算数为上年执行数的%</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支      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预算数</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kern w:val="0"/>
                <w:sz w:val="22"/>
                <w:lang w:bidi="ar"/>
              </w:rPr>
            </w:pPr>
            <w:r>
              <w:rPr>
                <w:rFonts w:hint="eastAsia" w:ascii="Times New Roman" w:hAnsi="Times New Roman" w:eastAsia="黑体" w:cs="黑体"/>
                <w:color w:val="000000"/>
                <w:kern w:val="0"/>
                <w:sz w:val="22"/>
                <w:lang w:bidi="ar"/>
              </w:rPr>
              <w:t>预算数</w:t>
            </w:r>
          </w:p>
          <w:p>
            <w:pPr>
              <w:widowControl/>
              <w:jc w:val="center"/>
              <w:textAlignment w:val="center"/>
              <w:rPr>
                <w:rFonts w:ascii="Times New Roman" w:hAnsi="Times New Roman" w:eastAsia="黑体" w:cs="黑体"/>
                <w:color w:val="000000"/>
                <w:kern w:val="0"/>
                <w:sz w:val="22"/>
                <w:lang w:bidi="ar"/>
              </w:rPr>
            </w:pPr>
            <w:r>
              <w:rPr>
                <w:rFonts w:hint="eastAsia" w:ascii="Times New Roman" w:hAnsi="Times New Roman" w:eastAsia="黑体" w:cs="黑体"/>
                <w:color w:val="000000"/>
                <w:kern w:val="0"/>
                <w:sz w:val="22"/>
                <w:lang w:bidi="ar"/>
              </w:rPr>
              <w:t>为上年</w:t>
            </w:r>
          </w:p>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预算数的%</w:t>
            </w:r>
          </w:p>
        </w:tc>
      </w:tr>
      <w:tr>
        <w:tblPrEx>
          <w:tblLayout w:type="fixed"/>
          <w:tblCellMar>
            <w:top w:w="0" w:type="dxa"/>
            <w:left w:w="108" w:type="dxa"/>
            <w:bottom w:w="0" w:type="dxa"/>
            <w:right w:w="108" w:type="dxa"/>
          </w:tblCellMar>
        </w:tblPrEx>
        <w:trPr>
          <w:trHeight w:val="283"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总  计</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432,245 </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b/>
                <w:bCs/>
                <w:color w:val="000000"/>
                <w:sz w:val="20"/>
                <w:szCs w:val="20"/>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总  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432,245 </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宋体"/>
                <w:b/>
                <w:bCs/>
                <w:color w:val="000000"/>
                <w:sz w:val="20"/>
                <w:szCs w:val="20"/>
              </w:rPr>
            </w:pPr>
          </w:p>
        </w:tc>
      </w:tr>
      <w:tr>
        <w:tblPrEx>
          <w:tblLayout w:type="fixed"/>
          <w:tblCellMar>
            <w:top w:w="0" w:type="dxa"/>
            <w:left w:w="108" w:type="dxa"/>
            <w:bottom w:w="0" w:type="dxa"/>
            <w:right w:w="108" w:type="dxa"/>
          </w:tblCellMar>
        </w:tblPrEx>
        <w:trPr>
          <w:trHeight w:val="283"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本级收入合计</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196,043 </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106.50%</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本级支出合计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411,948 </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111.2%</w:t>
            </w:r>
          </w:p>
        </w:tc>
      </w:tr>
      <w:tr>
        <w:tblPrEx>
          <w:tblLayout w:type="fixed"/>
          <w:tblCellMar>
            <w:top w:w="0" w:type="dxa"/>
            <w:left w:w="108" w:type="dxa"/>
            <w:bottom w:w="0" w:type="dxa"/>
            <w:right w:w="108" w:type="dxa"/>
          </w:tblCellMar>
        </w:tblPrEx>
        <w:trPr>
          <w:trHeight w:val="283"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一、税收收入</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167,000 </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112.0%</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一、一般公共服务支出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66,860 </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120.6%</w:t>
            </w:r>
          </w:p>
        </w:tc>
      </w:tr>
      <w:tr>
        <w:tblPrEx>
          <w:tblLayout w:type="fixed"/>
          <w:tblCellMar>
            <w:top w:w="0" w:type="dxa"/>
            <w:left w:w="108" w:type="dxa"/>
            <w:bottom w:w="0" w:type="dxa"/>
            <w:right w:w="108" w:type="dxa"/>
          </w:tblCellMar>
        </w:tblPrEx>
        <w:trPr>
          <w:trHeight w:val="283"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增值税</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36,750 </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89.2%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二、国防支出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1,488 </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175.6%</w:t>
            </w:r>
          </w:p>
        </w:tc>
      </w:tr>
      <w:tr>
        <w:tblPrEx>
          <w:tblLayout w:type="fixed"/>
          <w:tblCellMar>
            <w:top w:w="0" w:type="dxa"/>
            <w:left w:w="108" w:type="dxa"/>
            <w:bottom w:w="0" w:type="dxa"/>
            <w:right w:w="108" w:type="dxa"/>
          </w:tblCellMar>
        </w:tblPrEx>
        <w:trPr>
          <w:trHeight w:val="283"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企业所得税</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18,880 </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82.5%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三、公共安全支出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35,984 </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115.4%</w:t>
            </w:r>
          </w:p>
        </w:tc>
      </w:tr>
      <w:tr>
        <w:tblPrEx>
          <w:tblLayout w:type="fixed"/>
          <w:tblCellMar>
            <w:top w:w="0" w:type="dxa"/>
            <w:left w:w="108" w:type="dxa"/>
            <w:bottom w:w="0" w:type="dxa"/>
            <w:right w:w="108" w:type="dxa"/>
          </w:tblCellMar>
        </w:tblPrEx>
        <w:trPr>
          <w:trHeight w:val="283"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个人所得税</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4,960 </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99.8%</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四、教育支出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70,488 </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101.5%</w:t>
            </w:r>
          </w:p>
        </w:tc>
      </w:tr>
      <w:tr>
        <w:tblPrEx>
          <w:tblLayout w:type="fixed"/>
          <w:tblCellMar>
            <w:top w:w="0" w:type="dxa"/>
            <w:left w:w="108" w:type="dxa"/>
            <w:bottom w:w="0" w:type="dxa"/>
            <w:right w:w="108" w:type="dxa"/>
          </w:tblCellMar>
        </w:tblPrEx>
        <w:trPr>
          <w:trHeight w:val="283"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资源税</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30 </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93.8%</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五、科学技术支出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4,828 </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129.6%</w:t>
            </w:r>
          </w:p>
        </w:tc>
      </w:tr>
      <w:tr>
        <w:tblPrEx>
          <w:tblLayout w:type="fixed"/>
          <w:tblCellMar>
            <w:top w:w="0" w:type="dxa"/>
            <w:left w:w="108" w:type="dxa"/>
            <w:bottom w:w="0" w:type="dxa"/>
            <w:right w:w="108" w:type="dxa"/>
          </w:tblCellMar>
        </w:tblPrEx>
        <w:trPr>
          <w:trHeight w:val="283"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城市维护建设税</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6,000 </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85.7%</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六、文化旅游体育与传媒支出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6,579 </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123.4%</w:t>
            </w:r>
          </w:p>
        </w:tc>
      </w:tr>
      <w:tr>
        <w:tblPrEx>
          <w:tblLayout w:type="fixed"/>
          <w:tblCellMar>
            <w:top w:w="0" w:type="dxa"/>
            <w:left w:w="108" w:type="dxa"/>
            <w:bottom w:w="0" w:type="dxa"/>
            <w:right w:w="108" w:type="dxa"/>
          </w:tblCellMar>
        </w:tblPrEx>
        <w:trPr>
          <w:trHeight w:val="283"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房产税</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6,000 </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106.3%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七、社会保障和就业支出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46,711 </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113.0%</w:t>
            </w:r>
          </w:p>
        </w:tc>
      </w:tr>
      <w:tr>
        <w:tblPrEx>
          <w:tblLayout w:type="fixed"/>
          <w:tblCellMar>
            <w:top w:w="0" w:type="dxa"/>
            <w:left w:w="108" w:type="dxa"/>
            <w:bottom w:w="0" w:type="dxa"/>
            <w:right w:w="108" w:type="dxa"/>
          </w:tblCellMar>
        </w:tblPrEx>
        <w:trPr>
          <w:trHeight w:val="283"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印花税</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5,000 </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96.8%</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八、卫生健康支出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29,722 </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128.9%</w:t>
            </w:r>
          </w:p>
        </w:tc>
      </w:tr>
      <w:tr>
        <w:tblPrEx>
          <w:tblLayout w:type="fixed"/>
          <w:tblCellMar>
            <w:top w:w="0" w:type="dxa"/>
            <w:left w:w="108" w:type="dxa"/>
            <w:bottom w:w="0" w:type="dxa"/>
            <w:right w:w="108" w:type="dxa"/>
          </w:tblCellMar>
        </w:tblPrEx>
        <w:trPr>
          <w:trHeight w:val="283"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城镇土地使用税</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17,900 </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100.3%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九、节能环保支出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7,862 </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52.8%</w:t>
            </w:r>
          </w:p>
        </w:tc>
      </w:tr>
      <w:tr>
        <w:tblPrEx>
          <w:tblLayout w:type="fixed"/>
          <w:tblCellMar>
            <w:top w:w="0" w:type="dxa"/>
            <w:left w:w="108" w:type="dxa"/>
            <w:bottom w:w="0" w:type="dxa"/>
            <w:right w:w="108" w:type="dxa"/>
          </w:tblCellMar>
        </w:tblPrEx>
        <w:trPr>
          <w:trHeight w:val="283"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土地增值税</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7,400 </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39.1%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十、城乡社区支出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49,426 </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109.1%</w:t>
            </w:r>
          </w:p>
        </w:tc>
      </w:tr>
      <w:tr>
        <w:tblPrEx>
          <w:tblLayout w:type="fixed"/>
          <w:tblCellMar>
            <w:top w:w="0" w:type="dxa"/>
            <w:left w:w="108" w:type="dxa"/>
            <w:bottom w:w="0" w:type="dxa"/>
            <w:right w:w="108" w:type="dxa"/>
          </w:tblCellMar>
        </w:tblPrEx>
        <w:trPr>
          <w:trHeight w:val="283"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耕地占用税</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100 </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w:t>
            </w:r>
            <w:r>
              <w:rPr>
                <w:rFonts w:hint="eastAsia" w:ascii="Times New Roman" w:hAnsi="Times New Roman" w:eastAsia="宋体" w:cs="Times New Roman"/>
                <w:color w:val="000000"/>
                <w:kern w:val="0"/>
                <w:sz w:val="20"/>
                <w:szCs w:val="20"/>
                <w:lang w:bidi="ar"/>
              </w:rPr>
              <w:t>,</w:t>
            </w:r>
            <w:r>
              <w:rPr>
                <w:rFonts w:ascii="Times New Roman" w:hAnsi="Times New Roman" w:eastAsia="宋体" w:cs="Times New Roman"/>
                <w:color w:val="000000"/>
                <w:kern w:val="0"/>
                <w:sz w:val="20"/>
                <w:szCs w:val="20"/>
                <w:lang w:bidi="ar"/>
              </w:rPr>
              <w:t>111.1%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十一、农林水支出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13,267 </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130.9%</w:t>
            </w:r>
          </w:p>
        </w:tc>
      </w:tr>
      <w:tr>
        <w:tblPrEx>
          <w:tblLayout w:type="fixed"/>
          <w:tblCellMar>
            <w:top w:w="0" w:type="dxa"/>
            <w:left w:w="108" w:type="dxa"/>
            <w:bottom w:w="0" w:type="dxa"/>
            <w:right w:w="108" w:type="dxa"/>
          </w:tblCellMar>
        </w:tblPrEx>
        <w:trPr>
          <w:trHeight w:val="283"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契税</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63,840 </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253.1%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十二、交通运输支出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2,845 </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96.2%</w:t>
            </w:r>
          </w:p>
        </w:tc>
      </w:tr>
      <w:tr>
        <w:tblPrEx>
          <w:tblLayout w:type="fixed"/>
          <w:tblCellMar>
            <w:top w:w="0" w:type="dxa"/>
            <w:left w:w="108" w:type="dxa"/>
            <w:bottom w:w="0" w:type="dxa"/>
            <w:right w:w="108" w:type="dxa"/>
          </w:tblCellMar>
        </w:tblPrEx>
        <w:trPr>
          <w:trHeight w:val="283"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环境保护税</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140 </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73.3%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十三、资源勘探工业信息等支出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3,786 </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61.2%</w:t>
            </w:r>
          </w:p>
        </w:tc>
      </w:tr>
      <w:tr>
        <w:tblPrEx>
          <w:tblLayout w:type="fixed"/>
          <w:tblCellMar>
            <w:top w:w="0" w:type="dxa"/>
            <w:left w:w="108" w:type="dxa"/>
            <w:bottom w:w="0" w:type="dxa"/>
            <w:right w:w="108" w:type="dxa"/>
          </w:tblCellMar>
        </w:tblPrEx>
        <w:trPr>
          <w:trHeight w:val="283"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其他税收收入</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十四、商业服务业等支出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1,531 </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77.8%</w:t>
            </w:r>
          </w:p>
        </w:tc>
      </w:tr>
      <w:tr>
        <w:tblPrEx>
          <w:tblLayout w:type="fixed"/>
          <w:tblCellMar>
            <w:top w:w="0" w:type="dxa"/>
            <w:left w:w="108" w:type="dxa"/>
            <w:bottom w:w="0" w:type="dxa"/>
            <w:right w:w="108" w:type="dxa"/>
          </w:tblCellMar>
        </w:tblPrEx>
        <w:trPr>
          <w:trHeight w:val="283"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宋体"/>
                <w:color w:val="000000"/>
                <w:sz w:val="20"/>
                <w:szCs w:val="20"/>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十五、自然资源海洋气象等支出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1,046 </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111.1%</w:t>
            </w:r>
          </w:p>
        </w:tc>
      </w:tr>
      <w:tr>
        <w:tblPrEx>
          <w:tblLayout w:type="fixed"/>
          <w:tblCellMar>
            <w:top w:w="0" w:type="dxa"/>
            <w:left w:w="108" w:type="dxa"/>
            <w:bottom w:w="0" w:type="dxa"/>
            <w:right w:w="108" w:type="dxa"/>
          </w:tblCellMar>
        </w:tblPrEx>
        <w:trPr>
          <w:trHeight w:val="283"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二、非税收入</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29,043 </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83.1%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十六、住房保障支出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17,310 </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113.2%</w:t>
            </w:r>
          </w:p>
        </w:tc>
      </w:tr>
      <w:tr>
        <w:tblPrEx>
          <w:tblLayout w:type="fixed"/>
          <w:tblCellMar>
            <w:top w:w="0" w:type="dxa"/>
            <w:left w:w="108" w:type="dxa"/>
            <w:bottom w:w="0" w:type="dxa"/>
            <w:right w:w="108" w:type="dxa"/>
          </w:tblCellMar>
        </w:tblPrEx>
        <w:trPr>
          <w:trHeight w:val="283"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专项收入</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6,275 </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92.4%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十七、灾害防治及应急管理支出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6,461 </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99.6%</w:t>
            </w:r>
          </w:p>
        </w:tc>
      </w:tr>
      <w:tr>
        <w:tblPrEx>
          <w:tblLayout w:type="fixed"/>
          <w:tblCellMar>
            <w:top w:w="0" w:type="dxa"/>
            <w:left w:w="108" w:type="dxa"/>
            <w:bottom w:w="0" w:type="dxa"/>
            <w:right w:w="108" w:type="dxa"/>
          </w:tblCellMar>
        </w:tblPrEx>
        <w:trPr>
          <w:trHeight w:val="283"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行政事业性收费收入</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245 </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31.7%</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十八、预备费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5,000 </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125.0%</w:t>
            </w:r>
          </w:p>
        </w:tc>
      </w:tr>
      <w:tr>
        <w:tblPrEx>
          <w:tblLayout w:type="fixed"/>
          <w:tblCellMar>
            <w:top w:w="0" w:type="dxa"/>
            <w:left w:w="108" w:type="dxa"/>
            <w:bottom w:w="0" w:type="dxa"/>
            <w:right w:w="108" w:type="dxa"/>
          </w:tblCellMar>
        </w:tblPrEx>
        <w:trPr>
          <w:trHeight w:val="283"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罚没收入</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14,2</w:t>
            </w:r>
            <w:r>
              <w:rPr>
                <w:rFonts w:hint="eastAsia" w:ascii="Times New Roman" w:hAnsi="Times New Roman" w:eastAsia="宋体" w:cs="Times New Roman"/>
                <w:color w:val="000000"/>
                <w:kern w:val="0"/>
                <w:sz w:val="20"/>
                <w:szCs w:val="20"/>
                <w:lang w:val="en-US" w:eastAsia="zh-CN" w:bidi="ar"/>
              </w:rPr>
              <w:t>50</w:t>
            </w:r>
            <w:r>
              <w:rPr>
                <w:rFonts w:ascii="Times New Roman" w:hAnsi="Times New Roman" w:eastAsia="宋体" w:cs="Times New Roman"/>
                <w:color w:val="000000"/>
                <w:kern w:val="0"/>
                <w:sz w:val="20"/>
                <w:szCs w:val="20"/>
                <w:lang w:bidi="ar"/>
              </w:rPr>
              <w:t xml:space="preserve"> </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51</w:t>
            </w:r>
            <w:r>
              <w:rPr>
                <w:rFonts w:hint="eastAsia" w:ascii="Times New Roman" w:hAnsi="Times New Roman" w:eastAsia="宋体" w:cs="Times New Roman"/>
                <w:color w:val="000000"/>
                <w:kern w:val="0"/>
                <w:sz w:val="20"/>
                <w:szCs w:val="20"/>
                <w:lang w:val="en-US" w:eastAsia="zh-CN" w:bidi="ar"/>
              </w:rPr>
              <w:t>7</w:t>
            </w:r>
            <w:r>
              <w:rPr>
                <w:rFonts w:hint="eastAsia" w:ascii="Times New Roman" w:hAnsi="Times New Roman" w:eastAsia="宋体" w:cs="Times New Roman"/>
                <w:color w:val="000000"/>
                <w:kern w:val="0"/>
                <w:sz w:val="20"/>
                <w:szCs w:val="20"/>
                <w:lang w:bidi="ar"/>
              </w:rPr>
              <w:t>.</w:t>
            </w:r>
            <w:r>
              <w:rPr>
                <w:rFonts w:hint="eastAsia" w:ascii="Times New Roman" w:hAnsi="Times New Roman" w:eastAsia="宋体" w:cs="Times New Roman"/>
                <w:color w:val="000000"/>
                <w:kern w:val="0"/>
                <w:sz w:val="20"/>
                <w:szCs w:val="20"/>
                <w:lang w:val="en-US" w:eastAsia="zh-CN" w:bidi="ar"/>
              </w:rPr>
              <w:t>1</w:t>
            </w:r>
            <w:r>
              <w:rPr>
                <w:rFonts w:ascii="Times New Roman" w:hAnsi="Times New Roman" w:eastAsia="宋体" w:cs="Times New Roman"/>
                <w:color w:val="000000"/>
                <w:kern w:val="0"/>
                <w:sz w:val="20"/>
                <w:szCs w:val="20"/>
                <w:lang w:bidi="ar"/>
              </w:rPr>
              <w:t>%</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十九、其他支出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21,540 </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179.5%</w:t>
            </w:r>
          </w:p>
        </w:tc>
      </w:tr>
      <w:tr>
        <w:tblPrEx>
          <w:tblLayout w:type="fixed"/>
          <w:tblCellMar>
            <w:top w:w="0" w:type="dxa"/>
            <w:left w:w="108" w:type="dxa"/>
            <w:bottom w:w="0" w:type="dxa"/>
            <w:right w:w="108" w:type="dxa"/>
          </w:tblCellMar>
        </w:tblPrEx>
        <w:trPr>
          <w:trHeight w:val="283"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国有资源（资产）有偿使用收入</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8</w:t>
            </w:r>
            <w:r>
              <w:rPr>
                <w:rFonts w:hint="eastAsia" w:ascii="Times New Roman" w:hAnsi="Times New Roman" w:eastAsia="宋体" w:cs="Times New Roman"/>
                <w:color w:val="000000"/>
                <w:kern w:val="0"/>
                <w:sz w:val="20"/>
                <w:szCs w:val="20"/>
                <w:lang w:bidi="ar"/>
              </w:rPr>
              <w:t>,</w:t>
            </w:r>
            <w:r>
              <w:rPr>
                <w:rFonts w:ascii="Times New Roman" w:hAnsi="Times New Roman" w:eastAsia="宋体" w:cs="Times New Roman"/>
                <w:color w:val="000000"/>
                <w:kern w:val="0"/>
                <w:sz w:val="20"/>
                <w:szCs w:val="20"/>
                <w:lang w:bidi="ar"/>
              </w:rPr>
              <w:t>1</w:t>
            </w:r>
            <w:r>
              <w:rPr>
                <w:rFonts w:hint="eastAsia" w:ascii="Times New Roman" w:hAnsi="Times New Roman" w:eastAsia="宋体" w:cs="Times New Roman"/>
                <w:color w:val="000000"/>
                <w:kern w:val="0"/>
                <w:sz w:val="20"/>
                <w:szCs w:val="20"/>
                <w:lang w:val="en-US" w:eastAsia="zh-CN" w:bidi="ar"/>
              </w:rPr>
              <w:t>15</w:t>
            </w:r>
            <w:r>
              <w:rPr>
                <w:rFonts w:ascii="Times New Roman" w:hAnsi="Times New Roman" w:eastAsia="宋体" w:cs="Times New Roman"/>
                <w:color w:val="000000"/>
                <w:kern w:val="0"/>
                <w:sz w:val="20"/>
                <w:szCs w:val="20"/>
                <w:lang w:bidi="ar"/>
              </w:rPr>
              <w:t xml:space="preserve"> </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33.</w:t>
            </w:r>
            <w:r>
              <w:rPr>
                <w:rFonts w:hint="eastAsia" w:ascii="Times New Roman" w:hAnsi="Times New Roman" w:eastAsia="宋体" w:cs="Times New Roman"/>
                <w:color w:val="000000"/>
                <w:kern w:val="0"/>
                <w:sz w:val="20"/>
                <w:szCs w:val="20"/>
                <w:lang w:val="en-US" w:eastAsia="zh-CN" w:bidi="ar"/>
              </w:rPr>
              <w:t>5</w:t>
            </w:r>
            <w:r>
              <w:rPr>
                <w:rFonts w:ascii="Times New Roman" w:hAnsi="Times New Roman" w:eastAsia="宋体" w:cs="Times New Roman"/>
                <w:color w:val="000000"/>
                <w:kern w:val="0"/>
                <w:sz w:val="20"/>
                <w:szCs w:val="20"/>
                <w:lang w:bidi="ar"/>
              </w:rPr>
              <w:t>%</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二十、债务付息支出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19,211 </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96.1%</w:t>
            </w:r>
          </w:p>
        </w:tc>
      </w:tr>
      <w:tr>
        <w:tblPrEx>
          <w:tblLayout w:type="fixed"/>
          <w:tblCellMar>
            <w:top w:w="0" w:type="dxa"/>
            <w:left w:w="108" w:type="dxa"/>
            <w:bottom w:w="0" w:type="dxa"/>
            <w:right w:w="108" w:type="dxa"/>
          </w:tblCellMar>
        </w:tblPrEx>
        <w:trPr>
          <w:trHeight w:val="283"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其他收入</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w:t>
            </w:r>
            <w:r>
              <w:rPr>
                <w:rFonts w:hint="eastAsia" w:ascii="Times New Roman" w:hAnsi="Times New Roman" w:eastAsia="宋体" w:cs="Times New Roman"/>
                <w:color w:val="000000"/>
                <w:kern w:val="0"/>
                <w:sz w:val="20"/>
                <w:szCs w:val="20"/>
                <w:lang w:val="en-US" w:eastAsia="zh-CN" w:bidi="ar"/>
              </w:rPr>
              <w:t>58</w:t>
            </w:r>
            <w:r>
              <w:rPr>
                <w:rFonts w:ascii="Times New Roman" w:hAnsi="Times New Roman" w:eastAsia="宋体" w:cs="Times New Roman"/>
                <w:color w:val="000000"/>
                <w:kern w:val="0"/>
                <w:sz w:val="20"/>
                <w:szCs w:val="20"/>
                <w:lang w:bidi="ar"/>
              </w:rPr>
              <w:t xml:space="preserve"> </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w:t>
            </w:r>
            <w:r>
              <w:rPr>
                <w:rFonts w:hint="eastAsia" w:ascii="Times New Roman" w:hAnsi="Times New Roman" w:eastAsia="宋体" w:cs="Times New Roman"/>
                <w:color w:val="000000"/>
                <w:kern w:val="0"/>
                <w:sz w:val="20"/>
                <w:szCs w:val="20"/>
                <w:lang w:val="en-US" w:eastAsia="zh-CN" w:bidi="ar"/>
              </w:rPr>
              <w:t>7</w:t>
            </w:r>
            <w:r>
              <w:rPr>
                <w:rFonts w:hint="eastAsia" w:ascii="Times New Roman" w:hAnsi="Times New Roman" w:eastAsia="宋体" w:cs="Times New Roman"/>
                <w:color w:val="000000"/>
                <w:kern w:val="0"/>
                <w:sz w:val="20"/>
                <w:szCs w:val="20"/>
                <w:lang w:bidi="ar"/>
              </w:rPr>
              <w:t>.</w:t>
            </w:r>
            <w:r>
              <w:rPr>
                <w:rFonts w:hint="eastAsia" w:ascii="Times New Roman" w:hAnsi="Times New Roman" w:eastAsia="宋体" w:cs="Times New Roman"/>
                <w:color w:val="000000"/>
                <w:kern w:val="0"/>
                <w:sz w:val="20"/>
                <w:szCs w:val="20"/>
                <w:lang w:val="en-US" w:eastAsia="zh-CN" w:bidi="ar"/>
              </w:rPr>
              <w:t>6</w:t>
            </w:r>
            <w:r>
              <w:rPr>
                <w:rFonts w:ascii="Times New Roman" w:hAnsi="Times New Roman" w:eastAsia="宋体" w:cs="Times New Roman"/>
                <w:color w:val="000000"/>
                <w:kern w:val="0"/>
                <w:sz w:val="20"/>
                <w:szCs w:val="20"/>
                <w:lang w:bidi="ar"/>
              </w:rPr>
              <w:t>%</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二十一、债务发行费用支出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50.0%</w:t>
            </w:r>
          </w:p>
        </w:tc>
      </w:tr>
      <w:tr>
        <w:tblPrEx>
          <w:tblLayout w:type="fixed"/>
          <w:tblCellMar>
            <w:top w:w="0" w:type="dxa"/>
            <w:left w:w="108" w:type="dxa"/>
            <w:bottom w:w="0" w:type="dxa"/>
            <w:right w:w="108" w:type="dxa"/>
          </w:tblCellMar>
        </w:tblPrEx>
        <w:trPr>
          <w:trHeight w:val="349"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转移性收入合计</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236,202 </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b/>
                <w:bCs/>
                <w:color w:val="000000"/>
                <w:sz w:val="20"/>
                <w:szCs w:val="20"/>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转移性支出合计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 20,297 </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b/>
                <w:bCs/>
                <w:color w:val="000000"/>
                <w:sz w:val="20"/>
                <w:szCs w:val="20"/>
              </w:rPr>
            </w:pPr>
          </w:p>
        </w:tc>
      </w:tr>
      <w:tr>
        <w:tblPrEx>
          <w:tblLayout w:type="fixed"/>
          <w:tblCellMar>
            <w:top w:w="0" w:type="dxa"/>
            <w:left w:w="108" w:type="dxa"/>
            <w:bottom w:w="0" w:type="dxa"/>
            <w:right w:w="108" w:type="dxa"/>
          </w:tblCellMar>
        </w:tblPrEx>
        <w:trPr>
          <w:trHeight w:val="283"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一、上级补助收入</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67,708 </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b/>
                <w:bCs/>
                <w:color w:val="000000"/>
                <w:sz w:val="20"/>
                <w:szCs w:val="20"/>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一、上解上级支出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19,297 </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283"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二、债务转贷收入</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二、债务还本支出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1,000 </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283"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三、动用预算稳定调节基金</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45,731 </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三、安排预算稳定调节基金</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283"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四、调入资金</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91,755 </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四、调出资金</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283" w:hRule="atLeast"/>
          <w:jc w:val="center"/>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五、上年结转</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31,008 </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五、结转下年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r>
    </w:tbl>
    <w:p>
      <w:pPr>
        <w:widowControl/>
        <w:spacing w:before="120" w:beforeLines="50"/>
        <w:jc w:val="left"/>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注：</w:t>
      </w:r>
      <w:r>
        <w:rPr>
          <w:rFonts w:ascii="Times New Roman" w:hAnsi="Times New Roman" w:eastAsia="宋体" w:cs="Times New Roman"/>
          <w:color w:val="000000"/>
          <w:kern w:val="0"/>
          <w:sz w:val="18"/>
          <w:szCs w:val="18"/>
        </w:rPr>
        <w:t>1</w:t>
      </w:r>
      <w:r>
        <w:rPr>
          <w:rFonts w:hint="eastAsia" w:ascii="Times New Roman" w:hAnsi="Times New Roman" w:eastAsia="宋体" w:cs="宋体"/>
          <w:color w:val="000000"/>
          <w:kern w:val="0"/>
          <w:sz w:val="18"/>
          <w:szCs w:val="18"/>
        </w:rPr>
        <w:t>.本表直观反映</w:t>
      </w:r>
      <w:r>
        <w:rPr>
          <w:rFonts w:ascii="Times New Roman" w:hAnsi="Times New Roman" w:eastAsia="宋体" w:cs="Times New Roman"/>
          <w:color w:val="000000"/>
          <w:kern w:val="0"/>
          <w:sz w:val="18"/>
          <w:szCs w:val="18"/>
        </w:rPr>
        <w:t>2023</w:t>
      </w:r>
      <w:r>
        <w:rPr>
          <w:rFonts w:hint="eastAsia" w:ascii="Times New Roman" w:hAnsi="Times New Roman" w:eastAsia="宋体" w:cs="宋体"/>
          <w:color w:val="000000"/>
          <w:kern w:val="0"/>
          <w:sz w:val="18"/>
          <w:szCs w:val="18"/>
        </w:rPr>
        <w:t>年一般公共预算收入与支出的平衡关系。</w:t>
      </w:r>
      <w:r>
        <w:rPr>
          <w:rFonts w:hint="eastAsia" w:ascii="Times New Roman" w:hAnsi="Times New Roman" w:eastAsia="宋体" w:cs="宋体"/>
          <w:color w:val="000000"/>
          <w:kern w:val="0"/>
          <w:sz w:val="18"/>
          <w:szCs w:val="18"/>
        </w:rPr>
        <w:br w:type="textWrapping"/>
      </w:r>
      <w:r>
        <w:rPr>
          <w:rFonts w:hint="eastAsia" w:ascii="Times New Roman" w:hAnsi="Times New Roman" w:eastAsia="宋体" w:cs="宋体"/>
          <w:color w:val="000000"/>
          <w:kern w:val="0"/>
          <w:sz w:val="18"/>
          <w:szCs w:val="18"/>
        </w:rPr>
        <w:t xml:space="preserve">    </w:t>
      </w:r>
      <w:r>
        <w:rPr>
          <w:rFonts w:ascii="Times New Roman" w:hAnsi="Times New Roman" w:eastAsia="宋体" w:cs="Times New Roman"/>
          <w:color w:val="000000"/>
          <w:kern w:val="0"/>
          <w:sz w:val="18"/>
          <w:szCs w:val="18"/>
        </w:rPr>
        <w:t>2</w:t>
      </w:r>
      <w:r>
        <w:rPr>
          <w:rFonts w:hint="eastAsia" w:ascii="Times New Roman" w:hAnsi="Times New Roman" w:eastAsia="宋体" w:cs="宋体"/>
          <w:color w:val="000000"/>
          <w:kern w:val="0"/>
          <w:sz w:val="18"/>
          <w:szCs w:val="18"/>
        </w:rPr>
        <w:t>.收入总计（本级收入合计+转移性收入合计）=支出总计（本级支出合计+转移性支出合计）。</w:t>
      </w:r>
    </w:p>
    <w:p>
      <w:pPr>
        <w:spacing w:line="594" w:lineRule="exact"/>
        <w:jc w:val="center"/>
        <w:rPr>
          <w:rFonts w:ascii="Times New Roman" w:hAnsi="Times New Roman" w:eastAsia="方正小标宋_GBK" w:cs="方正小标宋_GBK"/>
          <w:kern w:val="0"/>
          <w:sz w:val="44"/>
          <w:szCs w:val="44"/>
        </w:rPr>
      </w:pPr>
      <w:r>
        <w:rPr>
          <w:rFonts w:hint="eastAsia" w:ascii="Times New Roman" w:hAnsi="Times New Roman" w:eastAsia="方正小标宋_GBK" w:cs="方正小标宋_GBK"/>
          <w:kern w:val="0"/>
          <w:sz w:val="44"/>
          <w:szCs w:val="44"/>
        </w:rPr>
        <w:t>关于</w:t>
      </w:r>
      <w:r>
        <w:rPr>
          <w:rFonts w:ascii="Times New Roman" w:hAnsi="Times New Roman" w:eastAsia="方正小标宋_GBK" w:cs="Times New Roman"/>
          <w:kern w:val="0"/>
          <w:sz w:val="44"/>
          <w:szCs w:val="44"/>
        </w:rPr>
        <w:t>2023</w:t>
      </w:r>
      <w:r>
        <w:rPr>
          <w:rFonts w:hint="eastAsia" w:ascii="Times New Roman" w:hAnsi="Times New Roman" w:eastAsia="方正小标宋_GBK" w:cs="方正小标宋_GBK"/>
          <w:kern w:val="0"/>
          <w:sz w:val="44"/>
          <w:szCs w:val="44"/>
        </w:rPr>
        <w:t>年全区税收收入</w:t>
      </w:r>
    </w:p>
    <w:p>
      <w:pPr>
        <w:spacing w:line="594" w:lineRule="exact"/>
        <w:jc w:val="center"/>
        <w:rPr>
          <w:rFonts w:ascii="Times New Roman" w:hAnsi="Times New Roman" w:eastAsia="方正小标宋_GBK" w:cs="方正小标宋_GBK"/>
          <w:kern w:val="0"/>
          <w:sz w:val="44"/>
          <w:szCs w:val="44"/>
        </w:rPr>
      </w:pPr>
      <w:r>
        <w:rPr>
          <w:rFonts w:hint="eastAsia" w:ascii="Times New Roman" w:hAnsi="Times New Roman" w:eastAsia="方正小标宋_GBK" w:cs="方正小标宋_GBK"/>
          <w:kern w:val="0"/>
          <w:sz w:val="44"/>
          <w:szCs w:val="44"/>
        </w:rPr>
        <w:t>预算情况的说明</w:t>
      </w:r>
    </w:p>
    <w:p>
      <w:pPr>
        <w:spacing w:line="594" w:lineRule="exact"/>
        <w:jc w:val="center"/>
        <w:rPr>
          <w:rFonts w:ascii="Times New Roman" w:hAnsi="Times New Roman" w:eastAsia="方正黑体_GBK" w:cs="方正黑体_GBK"/>
          <w:kern w:val="0"/>
          <w:sz w:val="28"/>
          <w:szCs w:val="28"/>
        </w:rPr>
      </w:pPr>
    </w:p>
    <w:p>
      <w:pPr>
        <w:spacing w:line="594"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2022</w:t>
      </w:r>
      <w:r>
        <w:rPr>
          <w:rFonts w:hint="eastAsia" w:ascii="Times New Roman" w:hAnsi="Times New Roman" w:eastAsia="方正仿宋_GBK" w:cs="Times New Roman"/>
          <w:kern w:val="0"/>
          <w:sz w:val="32"/>
          <w:szCs w:val="32"/>
        </w:rPr>
        <w:t>全区一般公共预算本级收入执行数为</w:t>
      </w:r>
      <w:r>
        <w:rPr>
          <w:rFonts w:ascii="Times New Roman" w:hAnsi="Times New Roman" w:eastAsia="方正仿宋_GBK" w:cs="Times New Roman"/>
          <w:kern w:val="0"/>
          <w:sz w:val="32"/>
          <w:szCs w:val="32"/>
        </w:rPr>
        <w:t>184</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079</w:t>
      </w:r>
      <w:r>
        <w:rPr>
          <w:rFonts w:hint="eastAsia" w:ascii="Times New Roman" w:hAnsi="Times New Roman" w:eastAsia="方正仿宋_GBK" w:cs="Times New Roman"/>
          <w:kern w:val="0"/>
          <w:sz w:val="32"/>
          <w:szCs w:val="32"/>
        </w:rPr>
        <w:t>万元，</w:t>
      </w:r>
      <w:r>
        <w:rPr>
          <w:rFonts w:ascii="Times New Roman" w:hAnsi="Times New Roman" w:eastAsia="方正仿宋_GBK" w:cs="Times New Roman"/>
          <w:kern w:val="0"/>
          <w:sz w:val="32"/>
          <w:szCs w:val="32"/>
        </w:rPr>
        <w:t>2023</w:t>
      </w:r>
      <w:r>
        <w:rPr>
          <w:rFonts w:hint="eastAsia" w:ascii="Times New Roman" w:hAnsi="Times New Roman" w:eastAsia="方正仿宋_GBK" w:cs="Times New Roman"/>
          <w:kern w:val="0"/>
          <w:sz w:val="32"/>
          <w:szCs w:val="32"/>
        </w:rPr>
        <w:t>年预算数为</w:t>
      </w:r>
      <w:r>
        <w:rPr>
          <w:rFonts w:ascii="Times New Roman" w:hAnsi="Times New Roman" w:eastAsia="方正仿宋_GBK" w:cs="Times New Roman"/>
          <w:kern w:val="0"/>
          <w:sz w:val="32"/>
          <w:szCs w:val="32"/>
        </w:rPr>
        <w:t>196</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043</w:t>
      </w:r>
      <w:r>
        <w:rPr>
          <w:rFonts w:hint="eastAsia" w:ascii="Times New Roman" w:hAnsi="Times New Roman" w:eastAsia="方正仿宋_GBK" w:cs="Times New Roman"/>
          <w:kern w:val="0"/>
          <w:sz w:val="32"/>
          <w:szCs w:val="32"/>
        </w:rPr>
        <w:t>万元，预算数为上年执行数的</w:t>
      </w:r>
      <w:r>
        <w:rPr>
          <w:rFonts w:ascii="Times New Roman" w:hAnsi="Times New Roman" w:eastAsia="方正仿宋_GBK" w:cs="Times New Roman"/>
          <w:kern w:val="0"/>
          <w:sz w:val="32"/>
          <w:szCs w:val="32"/>
        </w:rPr>
        <w:t>106</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5</w:t>
      </w:r>
      <w:r>
        <w:rPr>
          <w:rFonts w:hint="eastAsia" w:ascii="Times New Roman" w:hAnsi="Times New Roman" w:eastAsia="方正仿宋_GBK" w:cs="Times New Roman"/>
          <w:kern w:val="0"/>
          <w:sz w:val="32"/>
          <w:szCs w:val="32"/>
        </w:rPr>
        <w:t>%。其中，税收收入</w:t>
      </w:r>
      <w:r>
        <w:rPr>
          <w:rFonts w:ascii="Times New Roman" w:hAnsi="Times New Roman" w:eastAsia="方正仿宋_GBK" w:cs="Times New Roman"/>
          <w:kern w:val="0"/>
          <w:sz w:val="32"/>
          <w:szCs w:val="32"/>
        </w:rPr>
        <w:t>167</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000</w:t>
      </w:r>
      <w:r>
        <w:rPr>
          <w:rFonts w:hint="eastAsia" w:ascii="Times New Roman" w:hAnsi="Times New Roman" w:eastAsia="方正仿宋_GBK" w:cs="Times New Roman"/>
          <w:kern w:val="0"/>
          <w:sz w:val="32"/>
          <w:szCs w:val="32"/>
        </w:rPr>
        <w:t>万元，为上年执行数的</w:t>
      </w:r>
      <w:r>
        <w:rPr>
          <w:rFonts w:ascii="Times New Roman" w:hAnsi="Times New Roman" w:eastAsia="方正仿宋_GBK" w:cs="Times New Roman"/>
          <w:kern w:val="0"/>
          <w:sz w:val="32"/>
          <w:szCs w:val="32"/>
        </w:rPr>
        <w:t>112</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0</w:t>
      </w:r>
      <w:r>
        <w:rPr>
          <w:rFonts w:hint="eastAsia" w:ascii="Times New Roman" w:hAnsi="Times New Roman" w:eastAsia="方正仿宋_GBK" w:cs="Times New Roman"/>
          <w:kern w:val="0"/>
          <w:sz w:val="32"/>
          <w:szCs w:val="32"/>
        </w:rPr>
        <w:t>%；非税收入</w:t>
      </w:r>
      <w:r>
        <w:rPr>
          <w:rFonts w:ascii="Times New Roman" w:hAnsi="Times New Roman" w:eastAsia="方正仿宋_GBK" w:cs="Times New Roman"/>
          <w:kern w:val="0"/>
          <w:sz w:val="32"/>
          <w:szCs w:val="32"/>
        </w:rPr>
        <w:t>29</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403</w:t>
      </w:r>
      <w:r>
        <w:rPr>
          <w:rFonts w:hint="eastAsia" w:ascii="Times New Roman" w:hAnsi="Times New Roman" w:eastAsia="方正仿宋_GBK" w:cs="Times New Roman"/>
          <w:kern w:val="0"/>
          <w:sz w:val="32"/>
          <w:szCs w:val="32"/>
        </w:rPr>
        <w:t>万元，为上年执行数的</w:t>
      </w:r>
      <w:r>
        <w:rPr>
          <w:rFonts w:ascii="Times New Roman" w:hAnsi="Times New Roman" w:eastAsia="方正仿宋_GBK" w:cs="Times New Roman"/>
          <w:kern w:val="0"/>
          <w:sz w:val="32"/>
          <w:szCs w:val="32"/>
        </w:rPr>
        <w:t>83</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增值税收入预算数为</w:t>
      </w:r>
      <w:r>
        <w:rPr>
          <w:rFonts w:ascii="Times New Roman" w:hAnsi="Times New Roman" w:eastAsia="方正仿宋_GBK" w:cs="Times New Roman"/>
          <w:kern w:val="0"/>
          <w:sz w:val="32"/>
          <w:szCs w:val="32"/>
        </w:rPr>
        <w:t>36</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750</w:t>
      </w:r>
      <w:r>
        <w:rPr>
          <w:rFonts w:hint="eastAsia" w:ascii="Times New Roman" w:hAnsi="Times New Roman" w:eastAsia="方正仿宋_GBK" w:cs="Times New Roman"/>
          <w:kern w:val="0"/>
          <w:sz w:val="32"/>
          <w:szCs w:val="32"/>
        </w:rPr>
        <w:t>万元，为上年执行数的</w:t>
      </w:r>
      <w:r>
        <w:rPr>
          <w:rFonts w:ascii="Times New Roman" w:hAnsi="Times New Roman" w:eastAsia="方正仿宋_GBK" w:cs="Times New Roman"/>
          <w:kern w:val="0"/>
          <w:sz w:val="32"/>
          <w:szCs w:val="32"/>
        </w:rPr>
        <w:t>89</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2</w:t>
      </w:r>
      <w:r>
        <w:rPr>
          <w:rFonts w:hint="eastAsia" w:ascii="Times New Roman" w:hAnsi="Times New Roman" w:eastAsia="方正仿宋_GBK" w:cs="Times New Roman"/>
          <w:kern w:val="0"/>
          <w:sz w:val="32"/>
          <w:szCs w:val="32"/>
        </w:rPr>
        <w:t>%，主要是预计部分重点企业出现减收。</w:t>
      </w:r>
    </w:p>
    <w:p>
      <w:pPr>
        <w:spacing w:line="594" w:lineRule="exact"/>
        <w:ind w:firstLine="632"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w w:val="99"/>
          <w:kern w:val="0"/>
          <w:sz w:val="32"/>
          <w:szCs w:val="32"/>
        </w:rPr>
        <w:t>企业所得税收入预算数为</w:t>
      </w:r>
      <w:r>
        <w:rPr>
          <w:rFonts w:ascii="Times New Roman" w:hAnsi="Times New Roman" w:eastAsia="方正仿宋_GBK" w:cs="Times New Roman"/>
          <w:w w:val="99"/>
          <w:kern w:val="0"/>
          <w:sz w:val="32"/>
          <w:szCs w:val="32"/>
        </w:rPr>
        <w:t>18</w:t>
      </w:r>
      <w:r>
        <w:rPr>
          <w:rFonts w:hint="eastAsia" w:ascii="Times New Roman" w:hAnsi="Times New Roman" w:eastAsia="方正仿宋_GBK" w:cs="Times New Roman"/>
          <w:w w:val="99"/>
          <w:kern w:val="0"/>
          <w:sz w:val="32"/>
          <w:szCs w:val="32"/>
        </w:rPr>
        <w:t>,</w:t>
      </w:r>
      <w:r>
        <w:rPr>
          <w:rFonts w:ascii="Times New Roman" w:hAnsi="Times New Roman" w:eastAsia="方正仿宋_GBK" w:cs="Times New Roman"/>
          <w:w w:val="99"/>
          <w:kern w:val="0"/>
          <w:sz w:val="32"/>
          <w:szCs w:val="32"/>
        </w:rPr>
        <w:t>880</w:t>
      </w:r>
      <w:r>
        <w:rPr>
          <w:rFonts w:hint="eastAsia" w:ascii="Times New Roman" w:hAnsi="Times New Roman" w:eastAsia="方正仿宋_GBK" w:cs="Times New Roman"/>
          <w:w w:val="99"/>
          <w:kern w:val="0"/>
          <w:sz w:val="32"/>
          <w:szCs w:val="32"/>
        </w:rPr>
        <w:t>万元，为上年执行数的</w:t>
      </w:r>
      <w:r>
        <w:rPr>
          <w:rFonts w:ascii="Times New Roman" w:hAnsi="Times New Roman" w:eastAsia="方正仿宋_GBK" w:cs="Times New Roman"/>
          <w:w w:val="99"/>
          <w:kern w:val="0"/>
          <w:sz w:val="32"/>
          <w:szCs w:val="32"/>
        </w:rPr>
        <w:t>82</w:t>
      </w:r>
      <w:r>
        <w:rPr>
          <w:rFonts w:hint="eastAsia" w:ascii="Times New Roman" w:hAnsi="Times New Roman" w:eastAsia="方正仿宋_GBK" w:cs="Times New Roman"/>
          <w:w w:val="99"/>
          <w:kern w:val="0"/>
          <w:sz w:val="32"/>
          <w:szCs w:val="32"/>
        </w:rPr>
        <w:t>.</w:t>
      </w:r>
      <w:r>
        <w:rPr>
          <w:rFonts w:ascii="Times New Roman" w:hAnsi="Times New Roman" w:eastAsia="方正仿宋_GBK" w:cs="Times New Roman"/>
          <w:w w:val="99"/>
          <w:kern w:val="0"/>
          <w:sz w:val="32"/>
          <w:szCs w:val="32"/>
        </w:rPr>
        <w:t>5</w:t>
      </w:r>
      <w:r>
        <w:rPr>
          <w:rFonts w:hint="eastAsia" w:ascii="Times New Roman" w:hAnsi="Times New Roman" w:eastAsia="方正仿宋_GBK" w:cs="Times New Roman"/>
          <w:w w:val="99"/>
          <w:kern w:val="0"/>
          <w:sz w:val="32"/>
          <w:szCs w:val="32"/>
        </w:rPr>
        <w:t>%，</w:t>
      </w:r>
      <w:r>
        <w:rPr>
          <w:rFonts w:hint="eastAsia" w:ascii="Times New Roman" w:hAnsi="Times New Roman" w:eastAsia="方正仿宋_GBK" w:cs="Times New Roman"/>
          <w:kern w:val="0"/>
          <w:sz w:val="32"/>
          <w:szCs w:val="32"/>
        </w:rPr>
        <w:t>主要是预计部分重点企业出现减收。</w:t>
      </w:r>
    </w:p>
    <w:p>
      <w:pPr>
        <w:spacing w:line="594" w:lineRule="exact"/>
        <w:ind w:firstLine="632"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w w:val="99"/>
          <w:kern w:val="0"/>
          <w:sz w:val="32"/>
          <w:szCs w:val="32"/>
        </w:rPr>
        <w:t>个人所得税收入预算数为</w:t>
      </w:r>
      <w:r>
        <w:rPr>
          <w:rFonts w:ascii="Times New Roman" w:hAnsi="Times New Roman" w:eastAsia="方正仿宋_GBK" w:cs="Times New Roman"/>
          <w:w w:val="99"/>
          <w:kern w:val="0"/>
          <w:sz w:val="32"/>
          <w:szCs w:val="32"/>
        </w:rPr>
        <w:t>4</w:t>
      </w:r>
      <w:r>
        <w:rPr>
          <w:rFonts w:hint="eastAsia" w:ascii="Times New Roman" w:hAnsi="Times New Roman" w:eastAsia="方正仿宋_GBK" w:cs="Times New Roman"/>
          <w:w w:val="99"/>
          <w:kern w:val="0"/>
          <w:sz w:val="32"/>
          <w:szCs w:val="32"/>
        </w:rPr>
        <w:t>,</w:t>
      </w:r>
      <w:r>
        <w:rPr>
          <w:rFonts w:ascii="Times New Roman" w:hAnsi="Times New Roman" w:eastAsia="方正仿宋_GBK" w:cs="Times New Roman"/>
          <w:w w:val="99"/>
          <w:kern w:val="0"/>
          <w:sz w:val="32"/>
          <w:szCs w:val="32"/>
        </w:rPr>
        <w:t>960</w:t>
      </w:r>
      <w:r>
        <w:rPr>
          <w:rFonts w:hint="eastAsia" w:ascii="Times New Roman" w:hAnsi="Times New Roman" w:eastAsia="方正仿宋_GBK" w:cs="Times New Roman"/>
          <w:w w:val="99"/>
          <w:kern w:val="0"/>
          <w:sz w:val="32"/>
          <w:szCs w:val="32"/>
        </w:rPr>
        <w:t>万元，为上年执行数的</w:t>
      </w:r>
      <w:r>
        <w:rPr>
          <w:rFonts w:ascii="Times New Roman" w:hAnsi="Times New Roman" w:eastAsia="方正仿宋_GBK" w:cs="Times New Roman"/>
          <w:w w:val="99"/>
          <w:kern w:val="0"/>
          <w:sz w:val="32"/>
          <w:szCs w:val="32"/>
        </w:rPr>
        <w:t>99</w:t>
      </w:r>
      <w:r>
        <w:rPr>
          <w:rFonts w:hint="eastAsia" w:ascii="Times New Roman" w:hAnsi="Times New Roman" w:eastAsia="方正仿宋_GBK" w:cs="Times New Roman"/>
          <w:w w:val="99"/>
          <w:kern w:val="0"/>
          <w:sz w:val="32"/>
          <w:szCs w:val="32"/>
        </w:rPr>
        <w:t>.</w:t>
      </w:r>
      <w:r>
        <w:rPr>
          <w:rFonts w:ascii="Times New Roman" w:hAnsi="Times New Roman" w:eastAsia="方正仿宋_GBK" w:cs="Times New Roman"/>
          <w:w w:val="99"/>
          <w:kern w:val="0"/>
          <w:sz w:val="32"/>
          <w:szCs w:val="32"/>
        </w:rPr>
        <w:t>8</w:t>
      </w:r>
      <w:r>
        <w:rPr>
          <w:rFonts w:hint="eastAsia" w:ascii="Times New Roman" w:hAnsi="Times New Roman" w:eastAsia="方正仿宋_GBK" w:cs="Times New Roman"/>
          <w:w w:val="99"/>
          <w:kern w:val="0"/>
          <w:sz w:val="32"/>
          <w:szCs w:val="32"/>
        </w:rPr>
        <w:t>%，</w:t>
      </w:r>
      <w:r>
        <w:rPr>
          <w:rFonts w:hint="eastAsia" w:ascii="Times New Roman" w:hAnsi="Times New Roman" w:eastAsia="方正仿宋_GBK" w:cs="Times New Roman"/>
          <w:kern w:val="0"/>
          <w:sz w:val="32"/>
          <w:szCs w:val="32"/>
        </w:rPr>
        <w:t>主要是预计部分重点企业分红减少，正常波动。</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资源税收入预算数为</w:t>
      </w:r>
      <w:r>
        <w:rPr>
          <w:rFonts w:ascii="Times New Roman" w:hAnsi="Times New Roman" w:eastAsia="方正仿宋_GBK" w:cs="Times New Roman"/>
          <w:kern w:val="0"/>
          <w:sz w:val="32"/>
          <w:szCs w:val="32"/>
        </w:rPr>
        <w:t>30</w:t>
      </w:r>
      <w:r>
        <w:rPr>
          <w:rFonts w:hint="eastAsia" w:ascii="Times New Roman" w:hAnsi="Times New Roman" w:eastAsia="方正仿宋_GBK" w:cs="Times New Roman"/>
          <w:kern w:val="0"/>
          <w:sz w:val="32"/>
          <w:szCs w:val="32"/>
        </w:rPr>
        <w:t>万元，为上年执行数的</w:t>
      </w:r>
      <w:r>
        <w:rPr>
          <w:rFonts w:ascii="Times New Roman" w:hAnsi="Times New Roman" w:eastAsia="方正仿宋_GBK" w:cs="Times New Roman"/>
          <w:kern w:val="0"/>
          <w:sz w:val="32"/>
          <w:szCs w:val="32"/>
        </w:rPr>
        <w:t>93</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8</w:t>
      </w:r>
      <w:r>
        <w:rPr>
          <w:rFonts w:hint="eastAsia" w:ascii="Times New Roman" w:hAnsi="Times New Roman" w:eastAsia="方正仿宋_GBK" w:cs="Times New Roman"/>
          <w:kern w:val="0"/>
          <w:sz w:val="32"/>
          <w:szCs w:val="32"/>
        </w:rPr>
        <w:t>%，主要是金额较小，正常波动。</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城市维护建设税收入预算数为</w:t>
      </w:r>
      <w:r>
        <w:rPr>
          <w:rFonts w:ascii="Times New Roman" w:hAnsi="Times New Roman" w:eastAsia="方正仿宋_GBK" w:cs="Times New Roman"/>
          <w:kern w:val="0"/>
          <w:sz w:val="32"/>
          <w:szCs w:val="32"/>
        </w:rPr>
        <w:t>6</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000</w:t>
      </w:r>
      <w:r>
        <w:rPr>
          <w:rFonts w:hint="eastAsia" w:ascii="Times New Roman" w:hAnsi="Times New Roman" w:eastAsia="方正仿宋_GBK" w:cs="Times New Roman"/>
          <w:kern w:val="0"/>
          <w:sz w:val="32"/>
          <w:szCs w:val="32"/>
        </w:rPr>
        <w:t>万元，为上年执行数的</w:t>
      </w:r>
      <w:r>
        <w:rPr>
          <w:rFonts w:ascii="Times New Roman" w:hAnsi="Times New Roman" w:eastAsia="方正仿宋_GBK" w:cs="Times New Roman"/>
          <w:kern w:val="0"/>
          <w:sz w:val="32"/>
          <w:szCs w:val="32"/>
        </w:rPr>
        <w:t>85</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7</w:t>
      </w:r>
      <w:r>
        <w:rPr>
          <w:rFonts w:hint="eastAsia" w:ascii="Times New Roman" w:hAnsi="Times New Roman" w:eastAsia="方正仿宋_GBK" w:cs="Times New Roman"/>
          <w:kern w:val="0"/>
          <w:sz w:val="32"/>
          <w:szCs w:val="32"/>
        </w:rPr>
        <w:t>%，主要是预计增值税下降，以此为计征依据的城市维护建设税也相应下降。</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房产税收入预算数为</w:t>
      </w:r>
      <w:r>
        <w:rPr>
          <w:rFonts w:ascii="Times New Roman" w:hAnsi="Times New Roman" w:eastAsia="方正仿宋_GBK" w:cs="Times New Roman"/>
          <w:kern w:val="0"/>
          <w:sz w:val="32"/>
          <w:szCs w:val="32"/>
        </w:rPr>
        <w:t>6</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000</w:t>
      </w:r>
      <w:r>
        <w:rPr>
          <w:rFonts w:hint="eastAsia" w:ascii="Times New Roman" w:hAnsi="Times New Roman" w:eastAsia="方正仿宋_GBK" w:cs="Times New Roman"/>
          <w:kern w:val="0"/>
          <w:sz w:val="32"/>
          <w:szCs w:val="32"/>
        </w:rPr>
        <w:t>万元，为上年执行数的</w:t>
      </w:r>
      <w:r>
        <w:rPr>
          <w:rFonts w:ascii="Times New Roman" w:hAnsi="Times New Roman" w:eastAsia="方正仿宋_GBK" w:cs="Times New Roman"/>
          <w:kern w:val="0"/>
          <w:sz w:val="32"/>
          <w:szCs w:val="32"/>
        </w:rPr>
        <w:t>106</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3</w:t>
      </w:r>
      <w:r>
        <w:rPr>
          <w:rFonts w:hint="eastAsia" w:ascii="Times New Roman" w:hAnsi="Times New Roman" w:eastAsia="方正仿宋_GBK" w:cs="Times New Roman"/>
          <w:kern w:val="0"/>
          <w:sz w:val="32"/>
          <w:szCs w:val="32"/>
        </w:rPr>
        <w:t>%，我区该税源波动较小，较为稳定。</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印花税收入预算数为</w:t>
      </w:r>
      <w:r>
        <w:rPr>
          <w:rFonts w:ascii="Times New Roman" w:hAnsi="Times New Roman" w:eastAsia="方正仿宋_GBK" w:cs="Times New Roman"/>
          <w:kern w:val="0"/>
          <w:sz w:val="32"/>
          <w:szCs w:val="32"/>
        </w:rPr>
        <w:t>5</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000</w:t>
      </w:r>
      <w:r>
        <w:rPr>
          <w:rFonts w:hint="eastAsia" w:ascii="Times New Roman" w:hAnsi="Times New Roman" w:eastAsia="方正仿宋_GBK" w:cs="Times New Roman"/>
          <w:kern w:val="0"/>
          <w:sz w:val="32"/>
          <w:szCs w:val="32"/>
        </w:rPr>
        <w:t>万元，为上年执行数的</w:t>
      </w:r>
      <w:r>
        <w:rPr>
          <w:rFonts w:ascii="Times New Roman" w:hAnsi="Times New Roman" w:eastAsia="方正仿宋_GBK" w:cs="Times New Roman"/>
          <w:kern w:val="0"/>
          <w:sz w:val="32"/>
          <w:szCs w:val="32"/>
        </w:rPr>
        <w:t>96</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8</w:t>
      </w:r>
      <w:r>
        <w:rPr>
          <w:rFonts w:hint="eastAsia" w:ascii="Times New Roman" w:hAnsi="Times New Roman" w:eastAsia="方正仿宋_GBK" w:cs="Times New Roman"/>
          <w:kern w:val="0"/>
          <w:sz w:val="32"/>
          <w:szCs w:val="32"/>
        </w:rPr>
        <w:t>%，主要是受市场主体经济运行影响。</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城镇土地使用税收入预算数为</w:t>
      </w:r>
      <w:r>
        <w:rPr>
          <w:rFonts w:ascii="Times New Roman" w:hAnsi="Times New Roman" w:eastAsia="方正仿宋_GBK" w:cs="Times New Roman"/>
          <w:kern w:val="0"/>
          <w:sz w:val="32"/>
          <w:szCs w:val="32"/>
        </w:rPr>
        <w:t>17</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900</w:t>
      </w:r>
      <w:r>
        <w:rPr>
          <w:rFonts w:hint="eastAsia" w:ascii="Times New Roman" w:hAnsi="Times New Roman" w:eastAsia="方正仿宋_GBK" w:cs="Times New Roman"/>
          <w:kern w:val="0"/>
          <w:sz w:val="32"/>
          <w:szCs w:val="32"/>
        </w:rPr>
        <w:t>万元，为上年执行数的</w:t>
      </w:r>
      <w:r>
        <w:rPr>
          <w:rFonts w:ascii="Times New Roman" w:hAnsi="Times New Roman" w:eastAsia="方正仿宋_GBK" w:cs="Times New Roman"/>
          <w:kern w:val="0"/>
          <w:sz w:val="32"/>
          <w:szCs w:val="32"/>
        </w:rPr>
        <w:t>100</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3</w:t>
      </w:r>
      <w:r>
        <w:rPr>
          <w:rFonts w:hint="eastAsia" w:ascii="Times New Roman" w:hAnsi="Times New Roman" w:eastAsia="方正仿宋_GBK" w:cs="Times New Roman"/>
          <w:kern w:val="0"/>
          <w:sz w:val="32"/>
          <w:szCs w:val="32"/>
        </w:rPr>
        <w:t>%，我区该税源波动较小，较为稳定。</w:t>
      </w:r>
    </w:p>
    <w:p>
      <w:pPr>
        <w:spacing w:line="594" w:lineRule="exact"/>
        <w:ind w:firstLine="632"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w w:val="99"/>
          <w:kern w:val="0"/>
          <w:sz w:val="32"/>
          <w:szCs w:val="32"/>
        </w:rPr>
        <w:t>土地增值税收入预算数为</w:t>
      </w:r>
      <w:r>
        <w:rPr>
          <w:rFonts w:ascii="Times New Roman" w:hAnsi="Times New Roman" w:eastAsia="方正仿宋_GBK" w:cs="Times New Roman"/>
          <w:w w:val="99"/>
          <w:kern w:val="0"/>
          <w:sz w:val="32"/>
          <w:szCs w:val="32"/>
        </w:rPr>
        <w:t>7</w:t>
      </w:r>
      <w:r>
        <w:rPr>
          <w:rFonts w:hint="eastAsia" w:ascii="Times New Roman" w:hAnsi="Times New Roman" w:eastAsia="方正仿宋_GBK" w:cs="Times New Roman"/>
          <w:w w:val="99"/>
          <w:kern w:val="0"/>
          <w:sz w:val="32"/>
          <w:szCs w:val="32"/>
        </w:rPr>
        <w:t>,</w:t>
      </w:r>
      <w:r>
        <w:rPr>
          <w:rFonts w:ascii="Times New Roman" w:hAnsi="Times New Roman" w:eastAsia="方正仿宋_GBK" w:cs="Times New Roman"/>
          <w:w w:val="99"/>
          <w:kern w:val="0"/>
          <w:sz w:val="32"/>
          <w:szCs w:val="32"/>
        </w:rPr>
        <w:t>400</w:t>
      </w:r>
      <w:r>
        <w:rPr>
          <w:rFonts w:hint="eastAsia" w:ascii="Times New Roman" w:hAnsi="Times New Roman" w:eastAsia="方正仿宋_GBK" w:cs="Times New Roman"/>
          <w:w w:val="99"/>
          <w:kern w:val="0"/>
          <w:sz w:val="32"/>
          <w:szCs w:val="32"/>
        </w:rPr>
        <w:t>万元，为上年执行数的</w:t>
      </w:r>
      <w:r>
        <w:rPr>
          <w:rFonts w:ascii="Times New Roman" w:hAnsi="Times New Roman" w:eastAsia="方正仿宋_GBK" w:cs="Times New Roman"/>
          <w:w w:val="99"/>
          <w:kern w:val="0"/>
          <w:sz w:val="32"/>
          <w:szCs w:val="32"/>
        </w:rPr>
        <w:t>39</w:t>
      </w:r>
      <w:r>
        <w:rPr>
          <w:rFonts w:hint="eastAsia" w:ascii="Times New Roman" w:hAnsi="Times New Roman" w:eastAsia="方正仿宋_GBK" w:cs="Times New Roman"/>
          <w:w w:val="99"/>
          <w:kern w:val="0"/>
          <w:sz w:val="32"/>
          <w:szCs w:val="32"/>
        </w:rPr>
        <w:t>.</w:t>
      </w:r>
      <w:r>
        <w:rPr>
          <w:rFonts w:ascii="Times New Roman" w:hAnsi="Times New Roman" w:eastAsia="方正仿宋_GBK" w:cs="Times New Roman"/>
          <w:w w:val="99"/>
          <w:kern w:val="0"/>
          <w:sz w:val="32"/>
          <w:szCs w:val="32"/>
        </w:rPr>
        <w:t>1</w:t>
      </w:r>
      <w:r>
        <w:rPr>
          <w:rFonts w:hint="eastAsia" w:ascii="Times New Roman" w:hAnsi="Times New Roman" w:eastAsia="方正仿宋_GBK" w:cs="Times New Roman"/>
          <w:w w:val="99"/>
          <w:kern w:val="0"/>
          <w:sz w:val="32"/>
          <w:szCs w:val="32"/>
        </w:rPr>
        <w:t>%，主</w:t>
      </w:r>
      <w:r>
        <w:rPr>
          <w:rFonts w:hint="eastAsia" w:ascii="Times New Roman" w:hAnsi="Times New Roman" w:eastAsia="方正仿宋_GBK" w:cs="Times New Roman"/>
          <w:kern w:val="0"/>
          <w:sz w:val="32"/>
          <w:szCs w:val="32"/>
        </w:rPr>
        <w:t>要是受上年一次性入库垫高基数影响。</w:t>
      </w:r>
    </w:p>
    <w:p>
      <w:pPr>
        <w:spacing w:line="594" w:lineRule="exact"/>
        <w:ind w:firstLine="626"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w w:val="98"/>
          <w:kern w:val="0"/>
          <w:sz w:val="32"/>
          <w:szCs w:val="32"/>
        </w:rPr>
        <w:t>耕地占用税收入预算数为</w:t>
      </w:r>
      <w:r>
        <w:rPr>
          <w:rFonts w:ascii="Times New Roman" w:hAnsi="Times New Roman" w:eastAsia="方正仿宋_GBK" w:cs="Times New Roman"/>
          <w:w w:val="98"/>
          <w:kern w:val="0"/>
          <w:sz w:val="32"/>
          <w:szCs w:val="32"/>
        </w:rPr>
        <w:t>100</w:t>
      </w:r>
      <w:r>
        <w:rPr>
          <w:rFonts w:hint="eastAsia" w:ascii="Times New Roman" w:hAnsi="Times New Roman" w:eastAsia="方正仿宋_GBK" w:cs="Times New Roman"/>
          <w:w w:val="98"/>
          <w:kern w:val="0"/>
          <w:sz w:val="32"/>
          <w:szCs w:val="32"/>
        </w:rPr>
        <w:t>万元，为上年执行数的</w:t>
      </w:r>
      <w:r>
        <w:rPr>
          <w:rFonts w:ascii="Times New Roman" w:hAnsi="Times New Roman" w:eastAsia="方正仿宋_GBK" w:cs="Times New Roman"/>
          <w:w w:val="98"/>
          <w:kern w:val="0"/>
          <w:sz w:val="32"/>
          <w:szCs w:val="32"/>
        </w:rPr>
        <w:t>1</w:t>
      </w:r>
      <w:r>
        <w:rPr>
          <w:rFonts w:hint="eastAsia" w:ascii="Times New Roman" w:hAnsi="Times New Roman" w:eastAsia="方正仿宋_GBK" w:cs="Times New Roman"/>
          <w:w w:val="98"/>
          <w:kern w:val="0"/>
          <w:sz w:val="32"/>
          <w:szCs w:val="32"/>
        </w:rPr>
        <w:t>,</w:t>
      </w:r>
      <w:r>
        <w:rPr>
          <w:rFonts w:ascii="Times New Roman" w:hAnsi="Times New Roman" w:eastAsia="方正仿宋_GBK" w:cs="Times New Roman"/>
          <w:w w:val="98"/>
          <w:kern w:val="0"/>
          <w:sz w:val="32"/>
          <w:szCs w:val="32"/>
        </w:rPr>
        <w:t>111</w:t>
      </w:r>
      <w:r>
        <w:rPr>
          <w:rFonts w:hint="eastAsia" w:ascii="Times New Roman" w:hAnsi="Times New Roman" w:eastAsia="方正仿宋_GBK" w:cs="Times New Roman"/>
          <w:w w:val="98"/>
          <w:kern w:val="0"/>
          <w:sz w:val="32"/>
          <w:szCs w:val="32"/>
        </w:rPr>
        <w:t>.</w:t>
      </w:r>
      <w:r>
        <w:rPr>
          <w:rFonts w:ascii="Times New Roman" w:hAnsi="Times New Roman" w:eastAsia="方正仿宋_GBK" w:cs="Times New Roman"/>
          <w:w w:val="98"/>
          <w:kern w:val="0"/>
          <w:sz w:val="32"/>
          <w:szCs w:val="32"/>
        </w:rPr>
        <w:t>1</w:t>
      </w:r>
      <w:r>
        <w:rPr>
          <w:rFonts w:hint="eastAsia" w:ascii="Times New Roman" w:hAnsi="Times New Roman" w:eastAsia="方正仿宋_GBK" w:cs="Times New Roman"/>
          <w:w w:val="98"/>
          <w:kern w:val="0"/>
          <w:sz w:val="32"/>
          <w:szCs w:val="32"/>
        </w:rPr>
        <w:t>%，</w:t>
      </w:r>
      <w:r>
        <w:rPr>
          <w:rFonts w:hint="eastAsia" w:ascii="Times New Roman" w:hAnsi="Times New Roman" w:eastAsia="方正仿宋_GBK" w:cs="Times New Roman"/>
          <w:kern w:val="0"/>
          <w:sz w:val="32"/>
          <w:szCs w:val="32"/>
        </w:rPr>
        <w:t>主要是上年金额较小，基数较低。</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契税收入预算数为</w:t>
      </w:r>
      <w:r>
        <w:rPr>
          <w:rFonts w:ascii="Times New Roman" w:hAnsi="Times New Roman" w:eastAsia="方正仿宋_GBK" w:cs="Times New Roman"/>
          <w:kern w:val="0"/>
          <w:sz w:val="32"/>
          <w:szCs w:val="32"/>
        </w:rPr>
        <w:t>63</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840</w:t>
      </w:r>
      <w:r>
        <w:rPr>
          <w:rFonts w:hint="eastAsia" w:ascii="Times New Roman" w:hAnsi="Times New Roman" w:eastAsia="方正仿宋_GBK" w:cs="Times New Roman"/>
          <w:kern w:val="0"/>
          <w:sz w:val="32"/>
          <w:szCs w:val="32"/>
        </w:rPr>
        <w:t>万元，为上年执行数的</w:t>
      </w:r>
      <w:r>
        <w:rPr>
          <w:rFonts w:ascii="Times New Roman" w:hAnsi="Times New Roman" w:eastAsia="方正仿宋_GBK" w:cs="Times New Roman"/>
          <w:kern w:val="0"/>
          <w:sz w:val="32"/>
          <w:szCs w:val="32"/>
        </w:rPr>
        <w:t>253</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%，主要是预计房地产市场回暖，房屋交易契税小幅增长，同时预估土地交易契税实现增收。</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环境保护税收入预算数为</w:t>
      </w:r>
      <w:r>
        <w:rPr>
          <w:rFonts w:ascii="Times New Roman" w:hAnsi="Times New Roman" w:eastAsia="方正仿宋_GBK" w:cs="Times New Roman"/>
          <w:kern w:val="0"/>
          <w:sz w:val="32"/>
          <w:szCs w:val="32"/>
        </w:rPr>
        <w:t>140</w:t>
      </w:r>
      <w:r>
        <w:rPr>
          <w:rFonts w:hint="eastAsia" w:ascii="Times New Roman" w:hAnsi="Times New Roman" w:eastAsia="方正仿宋_GBK" w:cs="Times New Roman"/>
          <w:kern w:val="0"/>
          <w:sz w:val="32"/>
          <w:szCs w:val="32"/>
        </w:rPr>
        <w:t>万元，为上年执行数的</w:t>
      </w:r>
      <w:r>
        <w:rPr>
          <w:rFonts w:ascii="Times New Roman" w:hAnsi="Times New Roman" w:eastAsia="方正仿宋_GBK" w:cs="Times New Roman"/>
          <w:kern w:val="0"/>
          <w:sz w:val="32"/>
          <w:szCs w:val="32"/>
        </w:rPr>
        <w:t>73</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3</w:t>
      </w:r>
      <w:r>
        <w:rPr>
          <w:rFonts w:hint="eastAsia" w:ascii="Times New Roman" w:hAnsi="Times New Roman" w:eastAsia="方正仿宋_GBK" w:cs="Times New Roman"/>
          <w:kern w:val="0"/>
          <w:sz w:val="32"/>
          <w:szCs w:val="32"/>
        </w:rPr>
        <w:t>%，主要是金额较小，个别企业略有波动。</w:t>
      </w:r>
    </w:p>
    <w:p>
      <w:pPr>
        <w:jc w:val="center"/>
        <w:rPr>
          <w:rFonts w:ascii="Times New Roman" w:hAnsi="Times New Roman" w:eastAsia="方正小标宋_GBK" w:cs="方正小标宋_GBK"/>
          <w:kern w:val="0"/>
          <w:sz w:val="44"/>
          <w:szCs w:val="44"/>
        </w:rPr>
      </w:pPr>
    </w:p>
    <w:p>
      <w:pPr>
        <w:jc w:val="center"/>
        <w:rPr>
          <w:rFonts w:ascii="Times New Roman" w:hAnsi="Times New Roman" w:eastAsia="方正小标宋_GBK" w:cs="方正小标宋_GBK"/>
          <w:kern w:val="0"/>
          <w:sz w:val="44"/>
          <w:szCs w:val="44"/>
        </w:rPr>
      </w:pPr>
    </w:p>
    <w:p>
      <w:pPr>
        <w:jc w:val="center"/>
        <w:rPr>
          <w:rFonts w:ascii="Times New Roman" w:hAnsi="Times New Roman" w:eastAsia="方正小标宋_GBK" w:cs="方正小标宋_GBK"/>
          <w:kern w:val="0"/>
          <w:sz w:val="44"/>
          <w:szCs w:val="44"/>
        </w:rPr>
      </w:pPr>
    </w:p>
    <w:p>
      <w:pPr>
        <w:widowControl/>
        <w:jc w:val="left"/>
        <w:rPr>
          <w:rFonts w:ascii="Times New Roman" w:hAnsi="Times New Roman" w:eastAsia="方正小标宋_GBK" w:cs="方正小标宋_GBK"/>
          <w:kern w:val="0"/>
          <w:sz w:val="44"/>
          <w:szCs w:val="44"/>
        </w:rPr>
      </w:pPr>
      <w:r>
        <w:rPr>
          <w:rFonts w:ascii="Times New Roman" w:hAnsi="Times New Roman" w:eastAsia="方正小标宋_GBK" w:cs="方正小标宋_GBK"/>
          <w:kern w:val="0"/>
          <w:sz w:val="44"/>
          <w:szCs w:val="44"/>
        </w:rPr>
        <w:br w:type="page"/>
      </w:r>
    </w:p>
    <w:p>
      <w:pPr>
        <w:spacing w:line="594" w:lineRule="exact"/>
        <w:jc w:val="center"/>
        <w:rPr>
          <w:rFonts w:ascii="Times New Roman" w:hAnsi="Times New Roman" w:eastAsia="方正小标宋_GBK" w:cs="方正小标宋_GBK"/>
          <w:kern w:val="0"/>
          <w:sz w:val="44"/>
          <w:szCs w:val="44"/>
        </w:rPr>
      </w:pPr>
      <w:r>
        <w:rPr>
          <w:rFonts w:hint="eastAsia" w:ascii="Times New Roman" w:hAnsi="Times New Roman" w:eastAsia="方正小标宋_GBK" w:cs="方正小标宋_GBK"/>
          <w:kern w:val="0"/>
          <w:sz w:val="44"/>
          <w:szCs w:val="44"/>
        </w:rPr>
        <w:t>关于</w:t>
      </w:r>
      <w:r>
        <w:rPr>
          <w:rFonts w:ascii="Times New Roman" w:hAnsi="Times New Roman" w:eastAsia="方正小标宋_GBK" w:cs="Times New Roman"/>
          <w:kern w:val="0"/>
          <w:sz w:val="44"/>
          <w:szCs w:val="44"/>
        </w:rPr>
        <w:t>2023</w:t>
      </w:r>
      <w:r>
        <w:rPr>
          <w:rFonts w:hint="eastAsia" w:ascii="Times New Roman" w:hAnsi="Times New Roman" w:eastAsia="方正小标宋_GBK" w:cs="方正小标宋_GBK"/>
          <w:kern w:val="0"/>
          <w:sz w:val="44"/>
          <w:szCs w:val="44"/>
        </w:rPr>
        <w:t>年全区一般公共预算</w:t>
      </w:r>
    </w:p>
    <w:p>
      <w:pPr>
        <w:spacing w:line="594" w:lineRule="exact"/>
        <w:jc w:val="center"/>
        <w:rPr>
          <w:rFonts w:ascii="Times New Roman" w:hAnsi="Times New Roman" w:eastAsia="方正小标宋_GBK" w:cs="方正小标宋_GBK"/>
          <w:kern w:val="0"/>
          <w:sz w:val="44"/>
          <w:szCs w:val="44"/>
        </w:rPr>
      </w:pPr>
      <w:r>
        <w:rPr>
          <w:rFonts w:hint="eastAsia" w:ascii="Times New Roman" w:hAnsi="Times New Roman" w:eastAsia="方正小标宋_GBK" w:cs="方正小标宋_GBK"/>
          <w:kern w:val="0"/>
          <w:sz w:val="44"/>
          <w:szCs w:val="44"/>
        </w:rPr>
        <w:t>支出预算情况的说明</w:t>
      </w:r>
    </w:p>
    <w:p>
      <w:pPr>
        <w:spacing w:line="594" w:lineRule="exact"/>
        <w:jc w:val="center"/>
        <w:rPr>
          <w:rFonts w:ascii="Times New Roman" w:hAnsi="Times New Roman" w:eastAsia="方正小标宋_GBK" w:cs="方正小标宋_GBK"/>
          <w:kern w:val="0"/>
          <w:sz w:val="32"/>
          <w:szCs w:val="32"/>
        </w:rPr>
      </w:pPr>
    </w:p>
    <w:p>
      <w:pPr>
        <w:spacing w:line="594"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2022</w:t>
      </w:r>
      <w:r>
        <w:rPr>
          <w:rFonts w:hint="eastAsia" w:ascii="Times New Roman" w:hAnsi="Times New Roman" w:eastAsia="方正仿宋_GBK" w:cs="Times New Roman"/>
          <w:kern w:val="0"/>
          <w:sz w:val="32"/>
          <w:szCs w:val="32"/>
        </w:rPr>
        <w:t>全区</w:t>
      </w:r>
      <w:r>
        <w:rPr>
          <w:rFonts w:ascii="Times New Roman" w:hAnsi="Times New Roman" w:eastAsia="方正仿宋_GBK" w:cs="Times New Roman"/>
          <w:kern w:val="0"/>
          <w:sz w:val="32"/>
          <w:szCs w:val="32"/>
        </w:rPr>
        <w:t>一般公共预算</w:t>
      </w:r>
      <w:r>
        <w:rPr>
          <w:rFonts w:hint="eastAsia" w:ascii="Times New Roman" w:hAnsi="Times New Roman" w:eastAsia="方正仿宋_GBK" w:cs="Times New Roman"/>
          <w:kern w:val="0"/>
          <w:sz w:val="32"/>
          <w:szCs w:val="32"/>
        </w:rPr>
        <w:t>本级</w:t>
      </w:r>
      <w:r>
        <w:rPr>
          <w:rFonts w:ascii="Times New Roman" w:hAnsi="Times New Roman" w:eastAsia="方正仿宋_GBK" w:cs="Times New Roman"/>
          <w:kern w:val="0"/>
          <w:sz w:val="32"/>
          <w:szCs w:val="32"/>
        </w:rPr>
        <w:t>支出</w:t>
      </w:r>
      <w:r>
        <w:rPr>
          <w:rFonts w:hint="eastAsia" w:ascii="Times New Roman" w:hAnsi="Times New Roman" w:eastAsia="方正仿宋_GBK" w:cs="Times New Roman"/>
          <w:kern w:val="0"/>
          <w:sz w:val="32"/>
          <w:szCs w:val="32"/>
        </w:rPr>
        <w:t>预算</w:t>
      </w:r>
      <w:r>
        <w:rPr>
          <w:rFonts w:ascii="Times New Roman" w:hAnsi="Times New Roman" w:eastAsia="方正仿宋_GBK" w:cs="Times New Roman"/>
          <w:kern w:val="0"/>
          <w:sz w:val="32"/>
          <w:szCs w:val="32"/>
        </w:rPr>
        <w:t>数为370</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604万元</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2023</w:t>
      </w:r>
      <w:r>
        <w:rPr>
          <w:rFonts w:hint="eastAsia" w:ascii="Times New Roman" w:hAnsi="Times New Roman" w:eastAsia="方正仿宋_GBK" w:cs="Times New Roman"/>
          <w:kern w:val="0"/>
          <w:sz w:val="32"/>
          <w:szCs w:val="32"/>
        </w:rPr>
        <w:t>年预算数为</w:t>
      </w:r>
      <w:r>
        <w:rPr>
          <w:rFonts w:ascii="Times New Roman" w:hAnsi="Times New Roman" w:eastAsia="方正仿宋_GBK" w:cs="Times New Roman"/>
          <w:kern w:val="0"/>
          <w:sz w:val="32"/>
          <w:szCs w:val="32"/>
        </w:rPr>
        <w:t>411</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948</w:t>
      </w:r>
      <w:r>
        <w:rPr>
          <w:rFonts w:hint="eastAsia" w:ascii="Times New Roman" w:hAnsi="Times New Roman" w:eastAsia="方正仿宋_GBK" w:cs="Times New Roman"/>
          <w:kern w:val="0"/>
          <w:sz w:val="32"/>
          <w:szCs w:val="32"/>
        </w:rPr>
        <w:t>万元，预算数为上年预算数的</w:t>
      </w:r>
      <w:r>
        <w:rPr>
          <w:rFonts w:ascii="Times New Roman" w:hAnsi="Times New Roman" w:eastAsia="方正仿宋_GBK" w:cs="Times New Roman"/>
          <w:kern w:val="0"/>
          <w:sz w:val="32"/>
          <w:szCs w:val="32"/>
        </w:rPr>
        <w:t>111</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2</w:t>
      </w:r>
      <w:r>
        <w:rPr>
          <w:rFonts w:hint="eastAsia" w:ascii="Times New Roman" w:hAnsi="Times New Roman" w:eastAsia="方正仿宋_GBK" w:cs="Times New Roman"/>
          <w:kern w:val="0"/>
          <w:sz w:val="32"/>
          <w:szCs w:val="32"/>
        </w:rPr>
        <w:t>%。</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一般公共服务支出预算数为</w:t>
      </w:r>
      <w:r>
        <w:rPr>
          <w:rFonts w:ascii="Times New Roman" w:hAnsi="Times New Roman" w:eastAsia="方正仿宋_GBK" w:cs="Times New Roman"/>
          <w:kern w:val="0"/>
          <w:sz w:val="32"/>
          <w:szCs w:val="32"/>
        </w:rPr>
        <w:t>66</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860</w:t>
      </w:r>
      <w:r>
        <w:rPr>
          <w:rFonts w:hint="eastAsia" w:ascii="Times New Roman" w:hAnsi="Times New Roman" w:eastAsia="方正仿宋_GBK" w:cs="Times New Roman"/>
          <w:kern w:val="0"/>
          <w:sz w:val="32"/>
          <w:szCs w:val="32"/>
        </w:rPr>
        <w:t>万元，为上年预算数的</w:t>
      </w:r>
      <w:r>
        <w:rPr>
          <w:rFonts w:ascii="Times New Roman" w:hAnsi="Times New Roman" w:eastAsia="方正仿宋_GBK" w:cs="Times New Roman"/>
          <w:kern w:val="0"/>
          <w:sz w:val="32"/>
          <w:szCs w:val="32"/>
        </w:rPr>
        <w:t>120</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6</w:t>
      </w:r>
      <w:r>
        <w:rPr>
          <w:rFonts w:hint="eastAsia" w:ascii="Times New Roman" w:hAnsi="Times New Roman" w:eastAsia="方正仿宋_GBK" w:cs="Times New Roman"/>
          <w:kern w:val="0"/>
          <w:sz w:val="32"/>
          <w:szCs w:val="32"/>
        </w:rPr>
        <w:t>%，主要是产业发展扶持资金增加。</w:t>
      </w:r>
    </w:p>
    <w:p>
      <w:pPr>
        <w:spacing w:line="594" w:lineRule="exact"/>
        <w:ind w:firstLine="632"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w w:val="99"/>
          <w:kern w:val="0"/>
          <w:sz w:val="32"/>
          <w:szCs w:val="32"/>
        </w:rPr>
        <w:t>公共安全支出预算数为</w:t>
      </w:r>
      <w:r>
        <w:rPr>
          <w:rFonts w:ascii="Times New Roman" w:hAnsi="Times New Roman" w:eastAsia="方正仿宋_GBK" w:cs="Times New Roman"/>
          <w:w w:val="99"/>
          <w:kern w:val="0"/>
          <w:sz w:val="32"/>
          <w:szCs w:val="32"/>
        </w:rPr>
        <w:t>35</w:t>
      </w:r>
      <w:r>
        <w:rPr>
          <w:rFonts w:hint="eastAsia" w:ascii="Times New Roman" w:hAnsi="Times New Roman" w:eastAsia="方正仿宋_GBK" w:cs="Times New Roman"/>
          <w:w w:val="99"/>
          <w:kern w:val="0"/>
          <w:sz w:val="32"/>
          <w:szCs w:val="32"/>
        </w:rPr>
        <w:t>,</w:t>
      </w:r>
      <w:r>
        <w:rPr>
          <w:rFonts w:ascii="Times New Roman" w:hAnsi="Times New Roman" w:eastAsia="方正仿宋_GBK" w:cs="Times New Roman"/>
          <w:w w:val="99"/>
          <w:kern w:val="0"/>
          <w:sz w:val="32"/>
          <w:szCs w:val="32"/>
        </w:rPr>
        <w:t>984</w:t>
      </w:r>
      <w:r>
        <w:rPr>
          <w:rFonts w:hint="eastAsia" w:ascii="Times New Roman" w:hAnsi="Times New Roman" w:eastAsia="方正仿宋_GBK" w:cs="Times New Roman"/>
          <w:w w:val="99"/>
          <w:kern w:val="0"/>
          <w:sz w:val="32"/>
          <w:szCs w:val="32"/>
        </w:rPr>
        <w:t>万元，为上年预算数的</w:t>
      </w:r>
      <w:r>
        <w:rPr>
          <w:rFonts w:ascii="Times New Roman" w:hAnsi="Times New Roman" w:eastAsia="方正仿宋_GBK" w:cs="Times New Roman"/>
          <w:w w:val="99"/>
          <w:kern w:val="0"/>
          <w:sz w:val="32"/>
          <w:szCs w:val="32"/>
        </w:rPr>
        <w:t>115</w:t>
      </w:r>
      <w:r>
        <w:rPr>
          <w:rFonts w:hint="eastAsia" w:ascii="Times New Roman" w:hAnsi="Times New Roman" w:eastAsia="方正仿宋_GBK" w:cs="Times New Roman"/>
          <w:w w:val="99"/>
          <w:kern w:val="0"/>
          <w:sz w:val="32"/>
          <w:szCs w:val="32"/>
        </w:rPr>
        <w:t>.</w:t>
      </w:r>
      <w:r>
        <w:rPr>
          <w:rFonts w:ascii="Times New Roman" w:hAnsi="Times New Roman" w:eastAsia="方正仿宋_GBK" w:cs="Times New Roman"/>
          <w:w w:val="99"/>
          <w:kern w:val="0"/>
          <w:sz w:val="32"/>
          <w:szCs w:val="32"/>
        </w:rPr>
        <w:t>4</w:t>
      </w:r>
      <w:r>
        <w:rPr>
          <w:rFonts w:hint="eastAsia" w:ascii="Times New Roman" w:hAnsi="Times New Roman" w:eastAsia="方正仿宋_GBK" w:cs="Times New Roman"/>
          <w:w w:val="99"/>
          <w:kern w:val="0"/>
          <w:sz w:val="32"/>
          <w:szCs w:val="32"/>
        </w:rPr>
        <w:t>%，</w:t>
      </w:r>
      <w:r>
        <w:rPr>
          <w:rFonts w:hint="eastAsia" w:ascii="Times New Roman" w:hAnsi="Times New Roman" w:eastAsia="方正仿宋_GBK" w:cs="Times New Roman"/>
          <w:kern w:val="0"/>
          <w:sz w:val="32"/>
          <w:szCs w:val="32"/>
        </w:rPr>
        <w:t>主要是清算以前年度绩效考核资金。</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教育支出预算数为</w:t>
      </w:r>
      <w:r>
        <w:rPr>
          <w:rFonts w:ascii="Times New Roman" w:hAnsi="Times New Roman" w:eastAsia="方正仿宋_GBK" w:cs="Times New Roman"/>
          <w:kern w:val="0"/>
          <w:sz w:val="32"/>
          <w:szCs w:val="32"/>
        </w:rPr>
        <w:t>70</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488</w:t>
      </w:r>
      <w:r>
        <w:rPr>
          <w:rFonts w:hint="eastAsia" w:ascii="Times New Roman" w:hAnsi="Times New Roman" w:eastAsia="方正仿宋_GBK" w:cs="Times New Roman"/>
          <w:kern w:val="0"/>
          <w:sz w:val="32"/>
          <w:szCs w:val="32"/>
        </w:rPr>
        <w:t>万元，为上年预算数的</w:t>
      </w:r>
      <w:r>
        <w:rPr>
          <w:rFonts w:ascii="Times New Roman" w:hAnsi="Times New Roman" w:eastAsia="方正仿宋_GBK" w:cs="Times New Roman"/>
          <w:kern w:val="0"/>
          <w:sz w:val="32"/>
          <w:szCs w:val="32"/>
        </w:rPr>
        <w:t>101</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5</w:t>
      </w:r>
      <w:r>
        <w:rPr>
          <w:rFonts w:hint="eastAsia" w:ascii="Times New Roman" w:hAnsi="Times New Roman" w:eastAsia="方正仿宋_GBK" w:cs="Times New Roman"/>
          <w:kern w:val="0"/>
          <w:sz w:val="32"/>
          <w:szCs w:val="32"/>
        </w:rPr>
        <w:t>%。</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科学技术支出预算数</w:t>
      </w:r>
      <w:r>
        <w:rPr>
          <w:rFonts w:ascii="Times New Roman" w:hAnsi="Times New Roman" w:eastAsia="方正仿宋_GBK" w:cs="Times New Roman"/>
          <w:kern w:val="0"/>
          <w:sz w:val="32"/>
          <w:szCs w:val="32"/>
        </w:rPr>
        <w:t>4</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828</w:t>
      </w:r>
      <w:r>
        <w:rPr>
          <w:rFonts w:hint="eastAsia" w:ascii="Times New Roman" w:hAnsi="Times New Roman" w:eastAsia="方正仿宋_GBK" w:cs="Times New Roman"/>
          <w:kern w:val="0"/>
          <w:sz w:val="32"/>
          <w:szCs w:val="32"/>
        </w:rPr>
        <w:t>万元，为上年预算数的</w:t>
      </w:r>
      <w:r>
        <w:rPr>
          <w:rFonts w:ascii="Times New Roman" w:hAnsi="Times New Roman" w:eastAsia="方正仿宋_GBK" w:cs="Times New Roman"/>
          <w:kern w:val="0"/>
          <w:sz w:val="32"/>
          <w:szCs w:val="32"/>
        </w:rPr>
        <w:t>129</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6</w:t>
      </w:r>
      <w:r>
        <w:rPr>
          <w:rFonts w:hint="eastAsia" w:ascii="Times New Roman" w:hAnsi="Times New Roman" w:eastAsia="方正仿宋_GBK" w:cs="Times New Roman"/>
          <w:kern w:val="0"/>
          <w:sz w:val="32"/>
          <w:szCs w:val="32"/>
        </w:rPr>
        <w:t>%，主要是加大对科技发展专项支持力度等。</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文化旅游体育与传媒支出预算数</w:t>
      </w:r>
      <w:r>
        <w:rPr>
          <w:rFonts w:ascii="Times New Roman" w:hAnsi="Times New Roman" w:eastAsia="方正仿宋_GBK" w:cs="Times New Roman"/>
          <w:kern w:val="0"/>
          <w:sz w:val="32"/>
          <w:szCs w:val="32"/>
        </w:rPr>
        <w:t>6</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579</w:t>
      </w:r>
      <w:r>
        <w:rPr>
          <w:rFonts w:hint="eastAsia" w:ascii="Times New Roman" w:hAnsi="Times New Roman" w:eastAsia="方正仿宋_GBK" w:cs="Times New Roman"/>
          <w:kern w:val="0"/>
          <w:sz w:val="32"/>
          <w:szCs w:val="32"/>
        </w:rPr>
        <w:t>万元，为上年预算数的</w:t>
      </w:r>
      <w:r>
        <w:rPr>
          <w:rFonts w:ascii="Times New Roman" w:hAnsi="Times New Roman" w:eastAsia="方正仿宋_GBK" w:cs="Times New Roman"/>
          <w:kern w:val="0"/>
          <w:sz w:val="32"/>
          <w:szCs w:val="32"/>
        </w:rPr>
        <w:t>123</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4</w:t>
      </w:r>
      <w:r>
        <w:rPr>
          <w:rFonts w:hint="eastAsia" w:ascii="Times New Roman" w:hAnsi="Times New Roman" w:eastAsia="方正仿宋_GBK" w:cs="Times New Roman"/>
          <w:kern w:val="0"/>
          <w:sz w:val="32"/>
          <w:szCs w:val="32"/>
        </w:rPr>
        <w:t>%，主要是李雪芮全民健身中心建设。</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社会保障和就业支出预算数</w:t>
      </w:r>
      <w:r>
        <w:rPr>
          <w:rFonts w:ascii="Times New Roman" w:hAnsi="Times New Roman" w:eastAsia="方正仿宋_GBK" w:cs="Times New Roman"/>
          <w:kern w:val="0"/>
          <w:sz w:val="32"/>
          <w:szCs w:val="32"/>
        </w:rPr>
        <w:t>46</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711</w:t>
      </w:r>
      <w:r>
        <w:rPr>
          <w:rFonts w:hint="eastAsia" w:ascii="Times New Roman" w:hAnsi="Times New Roman" w:eastAsia="方正仿宋_GBK" w:cs="Times New Roman"/>
          <w:kern w:val="0"/>
          <w:sz w:val="32"/>
          <w:szCs w:val="32"/>
        </w:rPr>
        <w:t>万元，为上年预算数的</w:t>
      </w:r>
      <w:r>
        <w:rPr>
          <w:rFonts w:ascii="Times New Roman" w:hAnsi="Times New Roman" w:eastAsia="方正仿宋_GBK" w:cs="Times New Roman"/>
          <w:kern w:val="0"/>
          <w:sz w:val="32"/>
          <w:szCs w:val="32"/>
        </w:rPr>
        <w:t>113</w:t>
      </w:r>
      <w:r>
        <w:rPr>
          <w:rFonts w:hint="eastAsia" w:ascii="Times New Roman" w:hAnsi="Times New Roman" w:eastAsia="方正仿宋_GBK" w:cs="Times New Roman"/>
          <w:kern w:val="0"/>
          <w:sz w:val="32"/>
          <w:szCs w:val="32"/>
        </w:rPr>
        <w:t>%，主要是提高困难群众、优抚对象等补助标准。</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卫生健康支出预算数</w:t>
      </w:r>
      <w:r>
        <w:rPr>
          <w:rFonts w:ascii="Times New Roman" w:hAnsi="Times New Roman" w:eastAsia="方正仿宋_GBK" w:cs="Times New Roman"/>
          <w:kern w:val="0"/>
          <w:sz w:val="32"/>
          <w:szCs w:val="32"/>
        </w:rPr>
        <w:t>29</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722</w:t>
      </w:r>
      <w:r>
        <w:rPr>
          <w:rFonts w:hint="eastAsia" w:ascii="Times New Roman" w:hAnsi="Times New Roman" w:eastAsia="方正仿宋_GBK" w:cs="Times New Roman"/>
          <w:kern w:val="0"/>
          <w:sz w:val="32"/>
          <w:szCs w:val="32"/>
        </w:rPr>
        <w:t>万元，为上年预算数的</w:t>
      </w:r>
      <w:r>
        <w:rPr>
          <w:rFonts w:ascii="Times New Roman" w:hAnsi="Times New Roman" w:eastAsia="方正仿宋_GBK" w:cs="Times New Roman"/>
          <w:kern w:val="0"/>
          <w:sz w:val="32"/>
          <w:szCs w:val="32"/>
        </w:rPr>
        <w:t>128</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9</w:t>
      </w:r>
      <w:r>
        <w:rPr>
          <w:rFonts w:hint="eastAsia" w:ascii="Times New Roman" w:hAnsi="Times New Roman" w:eastAsia="方正仿宋_GBK" w:cs="Times New Roman"/>
          <w:kern w:val="0"/>
          <w:sz w:val="32"/>
          <w:szCs w:val="32"/>
        </w:rPr>
        <w:t>%，主要是结算</w:t>
      </w:r>
      <w:r>
        <w:rPr>
          <w:rFonts w:ascii="Times New Roman" w:hAnsi="Times New Roman" w:eastAsia="方正仿宋_GBK" w:cs="Times New Roman"/>
          <w:kern w:val="0"/>
          <w:sz w:val="32"/>
          <w:szCs w:val="32"/>
        </w:rPr>
        <w:t>2022</w:t>
      </w:r>
      <w:r>
        <w:rPr>
          <w:rFonts w:hint="eastAsia" w:ascii="Times New Roman" w:hAnsi="Times New Roman" w:eastAsia="方正仿宋_GBK" w:cs="Times New Roman"/>
          <w:kern w:val="0"/>
          <w:sz w:val="32"/>
          <w:szCs w:val="32"/>
        </w:rPr>
        <w:t>年疫情防控</w:t>
      </w:r>
      <w:r>
        <w:rPr>
          <w:rFonts w:hint="eastAsia" w:ascii="Times New Roman" w:hAnsi="Times New Roman" w:eastAsia="方正仿宋_GBK" w:cs="Times New Roman"/>
          <w:kern w:val="0"/>
          <w:sz w:val="32"/>
          <w:szCs w:val="32"/>
          <w:lang w:eastAsia="zh-CN"/>
        </w:rPr>
        <w:t>经费</w:t>
      </w:r>
      <w:r>
        <w:rPr>
          <w:rFonts w:hint="eastAsia" w:ascii="Times New Roman" w:hAnsi="Times New Roman" w:eastAsia="方正仿宋_GBK" w:cs="Times New Roman"/>
          <w:kern w:val="0"/>
          <w:sz w:val="32"/>
          <w:szCs w:val="32"/>
        </w:rPr>
        <w:t>。</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节能环保支出预算数</w:t>
      </w:r>
      <w:r>
        <w:rPr>
          <w:rFonts w:ascii="Times New Roman" w:hAnsi="Times New Roman" w:eastAsia="方正仿宋_GBK" w:cs="Times New Roman"/>
          <w:kern w:val="0"/>
          <w:sz w:val="32"/>
          <w:szCs w:val="32"/>
        </w:rPr>
        <w:t>7</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862</w:t>
      </w:r>
      <w:r>
        <w:rPr>
          <w:rFonts w:hint="eastAsia" w:ascii="Times New Roman" w:hAnsi="Times New Roman" w:eastAsia="方正仿宋_GBK" w:cs="Times New Roman"/>
          <w:kern w:val="0"/>
          <w:sz w:val="32"/>
          <w:szCs w:val="32"/>
        </w:rPr>
        <w:t>万元，为上年预算数的</w:t>
      </w:r>
      <w:r>
        <w:rPr>
          <w:rFonts w:ascii="Times New Roman" w:hAnsi="Times New Roman" w:eastAsia="方正仿宋_GBK" w:cs="Times New Roman"/>
          <w:kern w:val="0"/>
          <w:sz w:val="32"/>
          <w:szCs w:val="32"/>
        </w:rPr>
        <w:t>52</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8</w:t>
      </w:r>
      <w:r>
        <w:rPr>
          <w:rFonts w:hint="eastAsia" w:ascii="Times New Roman" w:hAnsi="Times New Roman" w:eastAsia="方正仿宋_GBK" w:cs="Times New Roman"/>
          <w:kern w:val="0"/>
          <w:sz w:val="32"/>
          <w:szCs w:val="32"/>
        </w:rPr>
        <w:t>%，主要是上年生态环境“以奖促治”市级补助资金垫高基数。</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城乡社区支出预算数</w:t>
      </w:r>
      <w:r>
        <w:rPr>
          <w:rFonts w:ascii="Times New Roman" w:hAnsi="Times New Roman" w:eastAsia="方正仿宋_GBK" w:cs="Times New Roman"/>
          <w:kern w:val="0"/>
          <w:sz w:val="32"/>
          <w:szCs w:val="32"/>
        </w:rPr>
        <w:t>49</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426</w:t>
      </w:r>
      <w:r>
        <w:rPr>
          <w:rFonts w:hint="eastAsia" w:ascii="Times New Roman" w:hAnsi="Times New Roman" w:eastAsia="方正仿宋_GBK" w:cs="Times New Roman"/>
          <w:kern w:val="0"/>
          <w:sz w:val="32"/>
          <w:szCs w:val="32"/>
        </w:rPr>
        <w:t>万元，为上年预算数的</w:t>
      </w:r>
      <w:r>
        <w:rPr>
          <w:rFonts w:ascii="Times New Roman" w:hAnsi="Times New Roman" w:eastAsia="方正仿宋_GBK" w:cs="Times New Roman"/>
          <w:kern w:val="0"/>
          <w:sz w:val="32"/>
          <w:szCs w:val="32"/>
        </w:rPr>
        <w:t>109</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农林水支出预算数</w:t>
      </w:r>
      <w:r>
        <w:rPr>
          <w:rFonts w:ascii="Times New Roman" w:hAnsi="Times New Roman" w:eastAsia="方正仿宋_GBK" w:cs="Times New Roman"/>
          <w:kern w:val="0"/>
          <w:sz w:val="32"/>
          <w:szCs w:val="32"/>
        </w:rPr>
        <w:t>13</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267</w:t>
      </w:r>
      <w:r>
        <w:rPr>
          <w:rFonts w:hint="eastAsia" w:ascii="Times New Roman" w:hAnsi="Times New Roman" w:eastAsia="方正仿宋_GBK" w:cs="Times New Roman"/>
          <w:kern w:val="0"/>
          <w:sz w:val="32"/>
          <w:szCs w:val="32"/>
        </w:rPr>
        <w:t>万元，为上年预算数的</w:t>
      </w:r>
      <w:r>
        <w:rPr>
          <w:rFonts w:ascii="Times New Roman" w:hAnsi="Times New Roman" w:eastAsia="方正仿宋_GBK" w:cs="Times New Roman"/>
          <w:kern w:val="0"/>
          <w:sz w:val="32"/>
          <w:szCs w:val="32"/>
        </w:rPr>
        <w:t>130</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9</w:t>
      </w:r>
      <w:r>
        <w:rPr>
          <w:rFonts w:hint="eastAsia" w:ascii="Times New Roman" w:hAnsi="Times New Roman" w:eastAsia="方正仿宋_GBK" w:cs="Times New Roman"/>
          <w:kern w:val="0"/>
          <w:sz w:val="32"/>
          <w:szCs w:val="32"/>
        </w:rPr>
        <w:t>%，主要是财政衔接推进乡村振兴市级补助资金增加。</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交通运输支出预算数</w:t>
      </w:r>
      <w:r>
        <w:rPr>
          <w:rFonts w:ascii="Times New Roman" w:hAnsi="Times New Roman" w:eastAsia="方正仿宋_GBK" w:cs="Times New Roman"/>
          <w:kern w:val="0"/>
          <w:sz w:val="32"/>
          <w:szCs w:val="32"/>
        </w:rPr>
        <w:t>2</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845</w:t>
      </w:r>
      <w:r>
        <w:rPr>
          <w:rFonts w:hint="eastAsia" w:ascii="Times New Roman" w:hAnsi="Times New Roman" w:eastAsia="方正仿宋_GBK" w:cs="Times New Roman"/>
          <w:kern w:val="0"/>
          <w:sz w:val="32"/>
          <w:szCs w:val="32"/>
        </w:rPr>
        <w:t>万元，为上年预算数的</w:t>
      </w:r>
      <w:r>
        <w:rPr>
          <w:rFonts w:ascii="Times New Roman" w:hAnsi="Times New Roman" w:eastAsia="方正仿宋_GBK" w:cs="Times New Roman"/>
          <w:kern w:val="0"/>
          <w:sz w:val="32"/>
          <w:szCs w:val="32"/>
        </w:rPr>
        <w:t>96</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2</w:t>
      </w:r>
      <w:r>
        <w:rPr>
          <w:rFonts w:hint="eastAsia" w:ascii="Times New Roman" w:hAnsi="Times New Roman" w:eastAsia="方正仿宋_GBK" w:cs="Times New Roman"/>
          <w:kern w:val="0"/>
          <w:sz w:val="32"/>
          <w:szCs w:val="32"/>
        </w:rPr>
        <w:t>%。</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资源勘探工业信息等支出预算数</w:t>
      </w:r>
      <w:r>
        <w:rPr>
          <w:rFonts w:ascii="Times New Roman" w:hAnsi="Times New Roman" w:eastAsia="方正仿宋_GBK" w:cs="Times New Roman"/>
          <w:kern w:val="0"/>
          <w:sz w:val="32"/>
          <w:szCs w:val="32"/>
        </w:rPr>
        <w:t>3</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786</w:t>
      </w:r>
      <w:r>
        <w:rPr>
          <w:rFonts w:hint="eastAsia" w:ascii="Times New Roman" w:hAnsi="Times New Roman" w:eastAsia="方正仿宋_GBK" w:cs="Times New Roman"/>
          <w:kern w:val="0"/>
          <w:sz w:val="32"/>
          <w:szCs w:val="32"/>
        </w:rPr>
        <w:t>万元，为上年预算数的</w:t>
      </w:r>
      <w:r>
        <w:rPr>
          <w:rFonts w:ascii="Times New Roman" w:hAnsi="Times New Roman" w:eastAsia="方正仿宋_GBK" w:cs="Times New Roman"/>
          <w:kern w:val="0"/>
          <w:sz w:val="32"/>
          <w:szCs w:val="32"/>
        </w:rPr>
        <w:t>61</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2</w:t>
      </w:r>
      <w:r>
        <w:rPr>
          <w:rFonts w:hint="eastAsia" w:ascii="Times New Roman" w:hAnsi="Times New Roman" w:eastAsia="方正仿宋_GBK" w:cs="Times New Roman"/>
          <w:kern w:val="0"/>
          <w:sz w:val="32"/>
          <w:szCs w:val="32"/>
        </w:rPr>
        <w:t>%，主要是工业和信息化市级补助资金减少。</w:t>
      </w:r>
    </w:p>
    <w:p>
      <w:pPr>
        <w:spacing w:line="594" w:lineRule="exact"/>
        <w:ind w:firstLine="632"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w w:val="99"/>
          <w:kern w:val="0"/>
          <w:sz w:val="32"/>
          <w:szCs w:val="32"/>
        </w:rPr>
        <w:t>商业服务业等支出预算数</w:t>
      </w:r>
      <w:r>
        <w:rPr>
          <w:rFonts w:ascii="Times New Roman" w:hAnsi="Times New Roman" w:eastAsia="方正仿宋_GBK" w:cs="Times New Roman"/>
          <w:w w:val="99"/>
          <w:kern w:val="0"/>
          <w:sz w:val="32"/>
          <w:szCs w:val="32"/>
        </w:rPr>
        <w:t>1</w:t>
      </w:r>
      <w:r>
        <w:rPr>
          <w:rFonts w:hint="eastAsia" w:ascii="Times New Roman" w:hAnsi="Times New Roman" w:eastAsia="方正仿宋_GBK" w:cs="Times New Roman"/>
          <w:w w:val="99"/>
          <w:kern w:val="0"/>
          <w:sz w:val="32"/>
          <w:szCs w:val="32"/>
        </w:rPr>
        <w:t>,</w:t>
      </w:r>
      <w:r>
        <w:rPr>
          <w:rFonts w:ascii="Times New Roman" w:hAnsi="Times New Roman" w:eastAsia="方正仿宋_GBK" w:cs="Times New Roman"/>
          <w:w w:val="99"/>
          <w:kern w:val="0"/>
          <w:sz w:val="32"/>
          <w:szCs w:val="32"/>
        </w:rPr>
        <w:t>531</w:t>
      </w:r>
      <w:r>
        <w:rPr>
          <w:rFonts w:hint="eastAsia" w:ascii="Times New Roman" w:hAnsi="Times New Roman" w:eastAsia="方正仿宋_GBK" w:cs="Times New Roman"/>
          <w:w w:val="99"/>
          <w:kern w:val="0"/>
          <w:sz w:val="32"/>
          <w:szCs w:val="32"/>
        </w:rPr>
        <w:t>万元，为上年预算数的</w:t>
      </w:r>
      <w:r>
        <w:rPr>
          <w:rFonts w:ascii="Times New Roman" w:hAnsi="Times New Roman" w:eastAsia="方正仿宋_GBK" w:cs="Times New Roman"/>
          <w:w w:val="99"/>
          <w:kern w:val="0"/>
          <w:sz w:val="32"/>
          <w:szCs w:val="32"/>
        </w:rPr>
        <w:t>77</w:t>
      </w:r>
      <w:r>
        <w:rPr>
          <w:rFonts w:hint="eastAsia" w:ascii="Times New Roman" w:hAnsi="Times New Roman" w:eastAsia="方正仿宋_GBK" w:cs="Times New Roman"/>
          <w:w w:val="99"/>
          <w:kern w:val="0"/>
          <w:sz w:val="32"/>
          <w:szCs w:val="32"/>
        </w:rPr>
        <w:t>.</w:t>
      </w:r>
      <w:r>
        <w:rPr>
          <w:rFonts w:ascii="Times New Roman" w:hAnsi="Times New Roman" w:eastAsia="方正仿宋_GBK" w:cs="Times New Roman"/>
          <w:w w:val="99"/>
          <w:kern w:val="0"/>
          <w:sz w:val="32"/>
          <w:szCs w:val="32"/>
        </w:rPr>
        <w:t>8</w:t>
      </w:r>
      <w:r>
        <w:rPr>
          <w:rFonts w:hint="eastAsia" w:ascii="Times New Roman" w:hAnsi="Times New Roman" w:eastAsia="方正仿宋_GBK" w:cs="Times New Roman"/>
          <w:w w:val="99"/>
          <w:kern w:val="0"/>
          <w:sz w:val="32"/>
          <w:szCs w:val="32"/>
        </w:rPr>
        <w:t>%，</w:t>
      </w:r>
      <w:r>
        <w:rPr>
          <w:rFonts w:hint="eastAsia" w:ascii="Times New Roman" w:hAnsi="Times New Roman" w:eastAsia="方正仿宋_GBK" w:cs="Times New Roman"/>
          <w:kern w:val="0"/>
          <w:sz w:val="32"/>
          <w:szCs w:val="32"/>
        </w:rPr>
        <w:t>主要是上年商务发展市级补助资金垫高基数。</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自然资源海洋气象等支出预算数</w:t>
      </w: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046</w:t>
      </w:r>
      <w:r>
        <w:rPr>
          <w:rFonts w:hint="eastAsia" w:ascii="Times New Roman" w:hAnsi="Times New Roman" w:eastAsia="方正仿宋_GBK" w:cs="Times New Roman"/>
          <w:kern w:val="0"/>
          <w:sz w:val="32"/>
          <w:szCs w:val="32"/>
        </w:rPr>
        <w:t>万元，为上年预算数的</w:t>
      </w:r>
      <w:r>
        <w:rPr>
          <w:rFonts w:ascii="Times New Roman" w:hAnsi="Times New Roman" w:eastAsia="方正仿宋_GBK" w:cs="Times New Roman"/>
          <w:kern w:val="0"/>
          <w:sz w:val="32"/>
          <w:szCs w:val="32"/>
        </w:rPr>
        <w:t>111</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住房保障支出预算数</w:t>
      </w:r>
      <w:r>
        <w:rPr>
          <w:rFonts w:ascii="Times New Roman" w:hAnsi="Times New Roman" w:eastAsia="方正仿宋_GBK" w:cs="Times New Roman"/>
          <w:kern w:val="0"/>
          <w:sz w:val="32"/>
          <w:szCs w:val="32"/>
        </w:rPr>
        <w:t>17</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310</w:t>
      </w:r>
      <w:r>
        <w:rPr>
          <w:rFonts w:hint="eastAsia" w:ascii="Times New Roman" w:hAnsi="Times New Roman" w:eastAsia="方正仿宋_GBK" w:cs="Times New Roman"/>
          <w:kern w:val="0"/>
          <w:sz w:val="32"/>
          <w:szCs w:val="32"/>
        </w:rPr>
        <w:t>万元，为上年预算数的</w:t>
      </w:r>
      <w:r>
        <w:rPr>
          <w:rFonts w:ascii="Times New Roman" w:hAnsi="Times New Roman" w:eastAsia="方正仿宋_GBK" w:cs="Times New Roman"/>
          <w:kern w:val="0"/>
          <w:sz w:val="32"/>
          <w:szCs w:val="32"/>
        </w:rPr>
        <w:t>113</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2</w:t>
      </w:r>
      <w:r>
        <w:rPr>
          <w:rFonts w:hint="eastAsia" w:ascii="Times New Roman" w:hAnsi="Times New Roman" w:eastAsia="方正仿宋_GBK" w:cs="Times New Roman"/>
          <w:kern w:val="0"/>
          <w:sz w:val="32"/>
          <w:szCs w:val="32"/>
        </w:rPr>
        <w:t>%。</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灾害防治及应急管理支出预算数</w:t>
      </w:r>
      <w:r>
        <w:rPr>
          <w:rFonts w:ascii="Times New Roman" w:hAnsi="Times New Roman" w:eastAsia="方正仿宋_GBK" w:cs="Times New Roman"/>
          <w:kern w:val="0"/>
          <w:sz w:val="32"/>
          <w:szCs w:val="32"/>
        </w:rPr>
        <w:t>6</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461</w:t>
      </w:r>
      <w:r>
        <w:rPr>
          <w:rFonts w:hint="eastAsia" w:ascii="Times New Roman" w:hAnsi="Times New Roman" w:eastAsia="方正仿宋_GBK" w:cs="Times New Roman"/>
          <w:kern w:val="0"/>
          <w:sz w:val="32"/>
          <w:szCs w:val="32"/>
        </w:rPr>
        <w:t>万元，为上年预算数的</w:t>
      </w:r>
      <w:r>
        <w:rPr>
          <w:rFonts w:ascii="Times New Roman" w:hAnsi="Times New Roman" w:eastAsia="方正仿宋_GBK" w:cs="Times New Roman"/>
          <w:kern w:val="0"/>
          <w:sz w:val="32"/>
          <w:szCs w:val="32"/>
        </w:rPr>
        <w:t>99</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6</w:t>
      </w:r>
      <w:r>
        <w:rPr>
          <w:rFonts w:hint="eastAsia" w:ascii="Times New Roman" w:hAnsi="Times New Roman" w:eastAsia="方正仿宋_GBK" w:cs="Times New Roman"/>
          <w:kern w:val="0"/>
          <w:sz w:val="32"/>
          <w:szCs w:val="32"/>
        </w:rPr>
        <w:t>%。</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根据</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预算法</w:t>
      </w:r>
      <w:r>
        <w:rPr>
          <w:rFonts w:hint="eastAsia" w:ascii="Times New Roman" w:hAnsi="Times New Roman" w:eastAsia="方正仿宋_GBK" w:cs="Times New Roman"/>
          <w:kern w:val="0"/>
          <w:sz w:val="32"/>
          <w:szCs w:val="32"/>
          <w:lang w:eastAsia="zh-CN"/>
        </w:rPr>
        <w:t>》有关规定，</w:t>
      </w:r>
      <w:r>
        <w:rPr>
          <w:rFonts w:hint="eastAsia" w:ascii="Times New Roman" w:hAnsi="Times New Roman" w:eastAsia="方正仿宋_GBK" w:cs="Times New Roman"/>
          <w:kern w:val="0"/>
          <w:sz w:val="32"/>
          <w:szCs w:val="32"/>
        </w:rPr>
        <w:t>按照本级一般公共预算支出额的</w:t>
      </w: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%至</w:t>
      </w:r>
      <w:r>
        <w:rPr>
          <w:rFonts w:ascii="Times New Roman" w:hAnsi="Times New Roman" w:eastAsia="方正仿宋_GBK" w:cs="Times New Roman"/>
          <w:kern w:val="0"/>
          <w:sz w:val="32"/>
          <w:szCs w:val="32"/>
        </w:rPr>
        <w:t>3</w:t>
      </w:r>
      <w:r>
        <w:rPr>
          <w:rFonts w:hint="eastAsia" w:ascii="Times New Roman" w:hAnsi="Times New Roman" w:eastAsia="方正仿宋_GBK" w:cs="Times New Roman"/>
          <w:kern w:val="0"/>
          <w:sz w:val="32"/>
          <w:szCs w:val="32"/>
        </w:rPr>
        <w:t>%设置预备费，</w:t>
      </w:r>
      <w:r>
        <w:rPr>
          <w:rFonts w:ascii="Times New Roman" w:hAnsi="Times New Roman" w:eastAsia="方正仿宋_GBK" w:cs="Times New Roman"/>
          <w:kern w:val="0"/>
          <w:sz w:val="32"/>
          <w:szCs w:val="32"/>
        </w:rPr>
        <w:t>2023</w:t>
      </w:r>
      <w:r>
        <w:rPr>
          <w:rFonts w:hint="eastAsia" w:ascii="Times New Roman" w:hAnsi="Times New Roman" w:eastAsia="方正仿宋_GBK" w:cs="Times New Roman"/>
          <w:kern w:val="0"/>
          <w:sz w:val="32"/>
          <w:szCs w:val="32"/>
        </w:rPr>
        <w:t>年区级预备费安排</w:t>
      </w:r>
      <w:r>
        <w:rPr>
          <w:rFonts w:ascii="Times New Roman" w:hAnsi="Times New Roman" w:eastAsia="方正仿宋_GBK" w:cs="Times New Roman"/>
          <w:kern w:val="0"/>
          <w:sz w:val="32"/>
          <w:szCs w:val="32"/>
        </w:rPr>
        <w:t>5</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000</w:t>
      </w:r>
      <w:r>
        <w:rPr>
          <w:rFonts w:hint="eastAsia" w:ascii="Times New Roman" w:hAnsi="Times New Roman" w:eastAsia="方正仿宋_GBK" w:cs="Times New Roman"/>
          <w:kern w:val="0"/>
          <w:sz w:val="32"/>
          <w:szCs w:val="32"/>
        </w:rPr>
        <w:t>万元，主要是为应对年度执行中的自然灾害等突发事件及其他难以预见的开支。</w:t>
      </w:r>
    </w:p>
    <w:p>
      <w:pPr>
        <w:spacing w:line="594" w:lineRule="exact"/>
        <w:ind w:firstLine="560" w:firstLineChars="200"/>
        <w:jc w:val="lef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br w:type="page"/>
      </w:r>
    </w:p>
    <w:p>
      <w:pPr>
        <w:spacing w:line="400" w:lineRule="exac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16</w:t>
      </w:r>
      <w:r>
        <w:rPr>
          <w:rFonts w:ascii="Times New Roman" w:hAnsi="Times New Roman" w:eastAsia="方正黑体_GBK" w:cs="方正黑体_GBK"/>
          <w:kern w:val="0"/>
          <w:sz w:val="28"/>
          <w:szCs w:val="28"/>
        </w:rPr>
        <w:tab/>
      </w:r>
    </w:p>
    <w:p>
      <w:pPr>
        <w:widowControl/>
        <w:jc w:val="center"/>
        <w:textAlignment w:val="center"/>
        <w:outlineLvl w:val="0"/>
        <w:rPr>
          <w:rFonts w:ascii="Times New Roman" w:hAnsi="Times New Roman" w:eastAsia="方正小标宋_GBK" w:cs="方正小标宋_GBK"/>
          <w:kern w:val="0"/>
          <w:sz w:val="44"/>
          <w:szCs w:val="44"/>
        </w:rPr>
      </w:pPr>
      <w:r>
        <w:rPr>
          <w:rFonts w:ascii="Times New Roman" w:hAnsi="Times New Roman" w:eastAsia="方正小标宋_GBK" w:cs="Times New Roman"/>
          <w:kern w:val="0"/>
          <w:sz w:val="44"/>
          <w:szCs w:val="44"/>
        </w:rPr>
        <w:t>2023</w:t>
      </w:r>
      <w:r>
        <w:rPr>
          <w:rFonts w:hint="eastAsia" w:ascii="Times New Roman" w:hAnsi="Times New Roman" w:eastAsia="方正小标宋_GBK" w:cs="方正小标宋_GBK"/>
          <w:kern w:val="0"/>
          <w:sz w:val="44"/>
          <w:szCs w:val="44"/>
        </w:rPr>
        <w:t xml:space="preserve">年区级一般公共预算支出预算表 </w:t>
      </w:r>
    </w:p>
    <w:p>
      <w:pPr>
        <w:jc w:val="right"/>
        <w:rPr>
          <w:rFonts w:ascii="Times New Roman" w:hAnsi="Times New Roman" w:eastAsia="宋体" w:cs="Times New Roman"/>
        </w:rPr>
      </w:pPr>
      <w:r>
        <w:rPr>
          <w:rFonts w:ascii="Times New Roman" w:hAnsi="Times New Roman" w:eastAsia="宋体" w:cs="Times New Roman"/>
        </w:rPr>
        <w:tab/>
      </w:r>
      <w:r>
        <w:rPr>
          <w:rFonts w:hint="eastAsia" w:ascii="Times New Roman" w:hAnsi="Times New Roman" w:eastAsia="宋体" w:cs="Times New Roman"/>
        </w:rPr>
        <w:t>单位：万元</w:t>
      </w:r>
    </w:p>
    <w:tbl>
      <w:tblPr>
        <w:tblStyle w:val="10"/>
        <w:tblW w:w="9110" w:type="dxa"/>
        <w:tblInd w:w="93" w:type="dxa"/>
        <w:tblLayout w:type="fixed"/>
        <w:tblCellMar>
          <w:top w:w="0" w:type="dxa"/>
          <w:left w:w="108" w:type="dxa"/>
          <w:bottom w:w="0" w:type="dxa"/>
          <w:right w:w="108" w:type="dxa"/>
        </w:tblCellMar>
      </w:tblPr>
      <w:tblGrid>
        <w:gridCol w:w="1960"/>
        <w:gridCol w:w="5263"/>
        <w:gridCol w:w="1887"/>
      </w:tblGrid>
      <w:tr>
        <w:tblPrEx>
          <w:tblLayout w:type="fixed"/>
          <w:tblCellMar>
            <w:top w:w="0" w:type="dxa"/>
            <w:left w:w="108" w:type="dxa"/>
            <w:bottom w:w="0" w:type="dxa"/>
            <w:right w:w="108" w:type="dxa"/>
          </w:tblCellMar>
        </w:tblPrEx>
        <w:trPr>
          <w:trHeight w:val="340" w:hRule="atLeast"/>
          <w:tblHeader/>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Times New Roman"/>
                <w:color w:val="000000"/>
                <w:szCs w:val="21"/>
              </w:rPr>
            </w:pPr>
            <w:r>
              <w:rPr>
                <w:rFonts w:ascii="Times New Roman" w:hAnsi="Times New Roman" w:eastAsia="黑体" w:cs="Times New Roman"/>
                <w:color w:val="000000"/>
                <w:kern w:val="0"/>
                <w:szCs w:val="21"/>
                <w:lang w:bidi="ar"/>
              </w:rPr>
              <w:t>科目编码</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Times New Roman"/>
                <w:color w:val="000000"/>
                <w:szCs w:val="21"/>
              </w:rPr>
            </w:pPr>
            <w:r>
              <w:rPr>
                <w:rFonts w:ascii="Times New Roman" w:hAnsi="Times New Roman" w:eastAsia="黑体" w:cs="Times New Roman"/>
                <w:color w:val="000000"/>
                <w:kern w:val="0"/>
                <w:szCs w:val="21"/>
                <w:lang w:bidi="ar"/>
              </w:rPr>
              <w:t>科目名称</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Times New Roman"/>
                <w:color w:val="000000"/>
                <w:szCs w:val="21"/>
              </w:rPr>
            </w:pPr>
            <w:r>
              <w:rPr>
                <w:rFonts w:ascii="Times New Roman" w:hAnsi="Times New Roman" w:eastAsia="黑体" w:cs="Times New Roman"/>
                <w:color w:val="000000"/>
                <w:kern w:val="0"/>
                <w:szCs w:val="21"/>
                <w:lang w:bidi="ar"/>
              </w:rPr>
              <w:t>预算数</w:t>
            </w:r>
          </w:p>
        </w:tc>
      </w:tr>
      <w:tr>
        <w:tblPrEx>
          <w:tblLayout w:type="fixed"/>
          <w:tblCellMar>
            <w:top w:w="0" w:type="dxa"/>
            <w:left w:w="108" w:type="dxa"/>
            <w:bottom w:w="0" w:type="dxa"/>
            <w:right w:w="108" w:type="dxa"/>
          </w:tblCellMar>
        </w:tblPrEx>
        <w:trPr>
          <w:trHeight w:val="340" w:hRule="atLeast"/>
        </w:trPr>
        <w:tc>
          <w:tcPr>
            <w:tcW w:w="7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本级支出合计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398</w:t>
            </w:r>
            <w:r>
              <w:rPr>
                <w:rFonts w:hint="eastAsia" w:ascii="Times New Roman" w:hAnsi="Times New Roman" w:eastAsia="宋体" w:cs="Times New Roman"/>
                <w:b/>
                <w:bCs/>
                <w:color w:val="000000"/>
                <w:kern w:val="0"/>
                <w:sz w:val="20"/>
                <w:szCs w:val="20"/>
                <w:lang w:bidi="ar"/>
              </w:rPr>
              <w:t>,</w:t>
            </w:r>
            <w:r>
              <w:rPr>
                <w:rFonts w:ascii="Times New Roman" w:hAnsi="Times New Roman" w:eastAsia="宋体" w:cs="Times New Roman"/>
                <w:b/>
                <w:bCs/>
                <w:color w:val="000000"/>
                <w:kern w:val="0"/>
                <w:sz w:val="20"/>
                <w:szCs w:val="20"/>
                <w:lang w:bidi="ar"/>
              </w:rPr>
              <w:t>815</w:t>
            </w:r>
          </w:p>
        </w:tc>
      </w:tr>
      <w:tr>
        <w:tblPrEx>
          <w:tblLayout w:type="fixed"/>
          <w:tblCellMar>
            <w:top w:w="0" w:type="dxa"/>
            <w:left w:w="108" w:type="dxa"/>
            <w:bottom w:w="0" w:type="dxa"/>
            <w:right w:w="108" w:type="dxa"/>
          </w:tblCellMar>
        </w:tblPrEx>
        <w:trPr>
          <w:trHeight w:val="317"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1" w:firstLineChars="1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一般公共服务支出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63,810 </w:t>
            </w:r>
          </w:p>
        </w:tc>
      </w:tr>
      <w:tr>
        <w:tblPrEx>
          <w:tblLayout w:type="fixed"/>
          <w:tblCellMar>
            <w:top w:w="0" w:type="dxa"/>
            <w:left w:w="108" w:type="dxa"/>
            <w:bottom w:w="0" w:type="dxa"/>
            <w:right w:w="108" w:type="dxa"/>
          </w:tblCellMar>
        </w:tblPrEx>
        <w:trPr>
          <w:trHeight w:val="9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20101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人大事务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1,021 </w:t>
            </w:r>
          </w:p>
        </w:tc>
      </w:tr>
      <w:tr>
        <w:tblPrEx>
          <w:tblLayout w:type="fixed"/>
          <w:tblCellMar>
            <w:top w:w="0" w:type="dxa"/>
            <w:left w:w="108" w:type="dxa"/>
            <w:bottom w:w="0" w:type="dxa"/>
            <w:right w:w="108" w:type="dxa"/>
          </w:tblCellMar>
        </w:tblPrEx>
        <w:trPr>
          <w:trHeight w:val="342"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2010101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790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2010102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一般行政管理事务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2010104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人大会议</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2010106</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人大监督</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2010107</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人大代表履职能力提升</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2010108</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代表工作</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2010150</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事业运行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2010199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其他人大事务支出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20102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政协事务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938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2010201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708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2010202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一般行政管理事务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2010203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机关服务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2010204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政协会议</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2010206</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参政议政</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2010250</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事业运行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20103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政府办公厅（室）及相关机构事务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18,253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2010301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4,339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2010302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一般行政管理事务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1,273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2010303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机关服务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2010305</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专项业务及机关事务管理</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2010306</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政务公开审批</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2010308</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信访事务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393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2010350</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事业运行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831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2010399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其他政府办公厅（室）及相关机构事务支出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11,273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20104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发展与改革事务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8,067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2010401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346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2010402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一般行政管理事务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654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2010405</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日常经济运行调节</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6,617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2010406</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社会事业发展规划</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2010407</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经济体制改革研究</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2010408</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物价管理</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2010450</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事业运行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322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20105</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统计信息事务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828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2010501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338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2010507</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专项普查活动</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270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2010508</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统计抽样调查</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221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20106</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财政事务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1,783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2010601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1,036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2010602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一般行政管理事务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256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2010608</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财政委托业务支出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393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2010650</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事业运行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2010699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其他财政事务支出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20107</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税收事务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3,290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2010710</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税收业务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3,290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20108</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审计事务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2010804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审计业务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20111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纪检监察事务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2,565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2011101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1,825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2011102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一般行政管理事务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443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2011104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大案要案查处</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2011150</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事业运行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2011199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其他纪检监察事务支出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126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20113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商贸事务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13,499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2011301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933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2011302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一般行政管理事务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346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2011308</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招商引资</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11,852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2011350</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事业运行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368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20123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民族事务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2012304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民族工作专项</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20128</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民主党派及工商联事务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2012801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2012850</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事业运行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2012899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其他民主党派及工商联事务支出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20129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群众团体事务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686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2012901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300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2012902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一般行政管理事务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124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2012950</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事业运行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121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2012999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其他群众团体事务支出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20131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党委办公厅（室）及相关机构事务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1,572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2013101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688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2013102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一般行政管理事务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764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2013150</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事业运行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20132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组织事务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1,535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2013201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549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2013202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一般行政管理事务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706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2013204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公务员事务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2013250</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事业运行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2013299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其他组织事务支出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20133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宣传事务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2,589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2013301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357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2013302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一般行政管理事务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946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2013350</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事业运行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2013399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其他宣传事务支出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1,082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20134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统战事务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850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2013401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439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2013402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一般行政管理事务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338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2013450</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事业运行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20136</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其他共产党事务支出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1,822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2013601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354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2013602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一般行政管理事务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1,391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2013650</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事业运行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20138</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市场监督管理事务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513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2013804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市场主体管理</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2013805</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市场秩序执法</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435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20199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其他一般公共服务支出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3,638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2019999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其他一般公共服务支出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3,638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1" w:firstLineChars="1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国防支出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1,459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20306</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国防动员</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1,440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2030601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兵役征集</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2030603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人民防空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473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2030607</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民兵</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2030699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其他国防动员支出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793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20399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其他国防支出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2039999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其他国防支出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1" w:firstLineChars="1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公共安全支出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35,725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20402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公安</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33,316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2040201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20,543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2040202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一般行政管理事务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2,324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2040219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信息化建设</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2,303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2040220</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执法办案</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3,108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2040299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其他公安支出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5,039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20404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检察</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399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2040410</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检察监督</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399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20405</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法院</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2040504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案件审判</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2040599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其他法院支出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20406</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司法</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889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2040601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447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2040602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一般行政管理事务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2040604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基层司法业务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2040605</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普法宣传</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2040606</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律师管理</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2040607</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公共法律服务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2040610</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社区矫正</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2040612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法治建设</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2040613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信息化建设</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20407</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监狱</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548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2040702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一般行政管理事务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2040704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罪犯生活及医疗卫生</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498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20408</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强制隔离戒毒</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2040804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强制隔离戒毒人员生活</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20499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其他公共安全支出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239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2049999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其他公共安全支出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239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205</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1" w:firstLineChars="1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教育支出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70,489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20501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教育管理事务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3,793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2050101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310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2050199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其他教育管理事务支出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3,483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20502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普通教育</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51,597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2050201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学前教育</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5,321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2050202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小学教育</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24,381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2050203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初中教育</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10,971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2050204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高中教育</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7,928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2050299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其他普通教育支出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2,996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20503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职业教育</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7,678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2050302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中等职业教育</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7,678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20504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成人教育</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2050404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成人广播电视教育</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20507</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特殊教育</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2050701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特殊学校教育</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20508</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进修及培训</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1,272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2050801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教师进修</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782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2050802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干部教育</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490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20509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教育费附加安排的支出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6,052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2050903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城市中小学校舍建设</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844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2050904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城市中小学教学设施</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1,037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2050905</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中等职业学校教学设施</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300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2050999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其他教育费附加安排的支出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3,871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206</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1" w:firstLineChars="1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科学技术支出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4,828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20601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科学技术管理事务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514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2060101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2060199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其他科学技术管理事务支出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312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20604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技术研究与开发</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3,168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2060404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科技成果转化与扩散</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1,600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2060499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其他技术研究与开发支出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1,568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20605</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科技条件与服务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237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2060502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技术创新服务体系</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2060599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其他科技条件与服务支出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20607</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科学技术普及</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2060799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其他科学技术普及支出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20699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其他科学技术支出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848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2069901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科技奖励</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848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207</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1" w:firstLineChars="1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文化旅游体育与传媒支出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5,992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20701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文化和旅游</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2,694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2070101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363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2070104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图书馆</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379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2070109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群众文化</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590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2070111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文化创作与保护</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2070112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文化和旅游市场管理</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2070199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其他文化和旅游支出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1,341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20702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文物</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570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2070204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文物保护</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2070205</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博物馆</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270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2070299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其他文物支出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284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20703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体育</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1,546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2070301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2070305</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体育竞赛</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2070306</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体育训练</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2070307</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体育场馆</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2070308</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群众体育</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1,088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2070399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其他体育支出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249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20706</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新闻出版电影</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1,131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2070699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其他新闻出版电影支出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1,131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20799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其他文化旅游体育与传媒支出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2079902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宣传文化发展专项支出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2079999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其他文化旅游体育与传媒支出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208</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1" w:firstLineChars="1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社会保障和就业支出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42,904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20801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人力资源和社会保障管理事务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3,867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2080101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1,204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2080102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一般行政管理事务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2080104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综合业务管理</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2080106</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就业管理事务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2080107</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社会保险业务管理事务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2080109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社会保险经办机构</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376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2080110</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劳动关系和维权</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2080116</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引进人才费用</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1,427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2080150</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事业运行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177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2080199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其他人力资源和社会保障管理事务支出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341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20802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民政管理事务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1,499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2080201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233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2080202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一般行政管理事务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2080206</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社会组织管理</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2080207</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行政区划和地名管理</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2080208</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基层政权建设和社区治理</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671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2080299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其他民政管理事务支出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520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20805</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行政事业单位养老支出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24,584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2080501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行政单位离退休</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2080503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离退休人员管理机构</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945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2080505</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机关事业单位基本养老保险缴费支出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9,829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2080506</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机关事业单位职业年金缴费支出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4,914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2080599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其他行政事业单位养老支出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8,784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20807</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就业补助</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1,333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2080701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就业创业服务补贴</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1,311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2080702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职业培训补贴</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2080799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其他就业补助支出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20808</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抚恤</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1,566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2080801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死亡抚恤</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2080802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伤残抚恤</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2080805</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义务兵优待</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275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2080899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其他优抚支出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1,274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20809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退役安置</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2,103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2080901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退役士兵安置</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536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2080902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军队移交政府的离退休人员安置</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526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2080903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军队移交政府离退休干部管理机构</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2080904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退役士兵管理教育</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2080905</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军队转业干部安置</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969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20810</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社会福利</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786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2081001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儿童福利</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2081002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老年福利</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492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2081004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殡葬</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2081006</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养老服务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260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2081099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其他社会福利支出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20811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残疾人事业</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2,271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2081101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2081104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残疾人康复</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2081105</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残疾人就业</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2081106</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残疾人体育</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2081107</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残疾人生活和护理补贴</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282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2081199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其他残疾人事业支出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1,812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20816</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红十字事业</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2081601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20819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最低生活保障</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1,936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2081901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城市最低生活保障金支出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1,454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2081902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农村最低生活保障金支出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482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20820</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临时救助</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2082001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临时救助支出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2082002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流浪乞讨人员救助支出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20821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特困人员救助供养</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472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2082101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城市特困人员救助供养支出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472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20825</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其他生活救助</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2082501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其他城市生活救助</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20826</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财政对基本养老保险基金的补助</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2082699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财政对其他基本养老保险基金的补助</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20828</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退役军人管理事务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1,016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2082801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248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2082802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一般行政管理事务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2082804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拥军优属</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328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2082850</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事业运行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254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2082899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其他退役军人事务管理支出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20830</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财政代缴社会保险费支出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2083001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财政代缴城乡居民基本养老保险费支出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20899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其他社会保障和就业支出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1,212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2089999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其他社会保障和就业支出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1,212 </w:t>
            </w:r>
          </w:p>
        </w:tc>
      </w:tr>
      <w:tr>
        <w:tblPrEx>
          <w:tblLayout w:type="fixed"/>
          <w:tblCellMar>
            <w:top w:w="0" w:type="dxa"/>
            <w:left w:w="108" w:type="dxa"/>
            <w:bottom w:w="0" w:type="dxa"/>
            <w:right w:w="108" w:type="dxa"/>
          </w:tblCellMar>
        </w:tblPrEx>
        <w:trPr>
          <w:trHeight w:val="343"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210</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1" w:firstLineChars="1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卫生健康支出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29,420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21001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卫生健康管理事务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1,139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2100101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309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2100102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一般行政管理事务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2100199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其他卫生健康管理事务支出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812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21002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公立医院</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825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2100201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综合医院</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754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2100202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中医（民族）医院</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21003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基层医疗卫生机构</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2,990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2100301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城市社区卫生机构</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2,333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2100399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其他基层医疗卫生机构支出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657 </w:t>
            </w:r>
          </w:p>
        </w:tc>
      </w:tr>
      <w:tr>
        <w:tblPrEx>
          <w:tblLayout w:type="fixed"/>
          <w:tblCellMar>
            <w:top w:w="0" w:type="dxa"/>
            <w:left w:w="108" w:type="dxa"/>
            <w:bottom w:w="0" w:type="dxa"/>
            <w:right w:w="108" w:type="dxa"/>
          </w:tblCellMar>
        </w:tblPrEx>
        <w:trPr>
          <w:trHeight w:val="343"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21004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公共卫生</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11,892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2100401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疾病预防控制机构</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648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2100402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卫生监督机构</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431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2100403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妇幼保健机构</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392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2100408</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基本公共卫生服务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3,247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2100409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重大公共卫生服务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600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2100410</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突发公共卫生事件应急处理</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6,556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2100499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其他公共卫生支出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21006</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中医药</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2100601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中医（民族医）药专项</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21007</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计划生育事务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2,041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2100716</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计划生育机构</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2100717</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计划生育服务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1,737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2100799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其他计划生育事务支出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248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21011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行政事业单位医疗</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7,086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2101101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行政单位医疗</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1,871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2101102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事业单位医疗</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2,709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2101103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公务员医疗补助</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1,071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2101199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其他行政事业单位医疗支出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1,436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21012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财政对基本医疗保险基金的补助</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1,480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2101201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财政对职工基本医疗保险基金的补助</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1,300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2101202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财政对城乡居民基本医疗保险基金的补助</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21013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医疗救助</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651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2101301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城乡医疗救助</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628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2101399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其他医疗救助支出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21014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优抚对象医疗</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2101401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优抚对象医疗补助</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21015</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医疗保障管理事务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1,205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2101501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462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2101502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一般行政管理事务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422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2101504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信息化建设</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2101505</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医疗保障政策管理</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2101506</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医疗保障经办事务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2101550</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事业运行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2101599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其他卫生健康支出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1" w:firstLineChars="1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节能环保支出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7,680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21101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环境保护管理事务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1,240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2110101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517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2110105</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环境保护法规、规划及标准</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2110199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其他环境保护管理事务支出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711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21102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环境监测与监察</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2110299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其他环境监测与监察支出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21103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污染防治</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6,396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2110301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大气</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877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2110302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水体</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4,082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2110303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噪声</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2110304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固体废弃物与化学品</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946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2110307</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土壤</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490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21104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自然生态保护</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2110402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农村环境保护</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21199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其他节能环保支出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2119999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其他节能环保支出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1" w:firstLineChars="1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城乡社区支出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47,268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21201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城乡社区管理事务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13,912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2120101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4,188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2120104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城管执法</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557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2120199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其他城乡社区管理事务支出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9,168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21203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城乡社区公共设施</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6,187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2120399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其他城乡社区公共设施支出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6,187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21205</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城乡社区环境卫生</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10,821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2120501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城乡社区环境卫生</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10,821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21299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其他城乡社区支出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16,347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2129999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其他城乡社区支出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16,347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1" w:firstLineChars="1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农林水支出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11,710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21301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农业农村</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3,210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2130101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510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2130104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事业运行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255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2130108</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病虫害控制</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2130110</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执法监管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2130112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行业业务管理</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2130122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农业生产发展</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1,824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2130124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农村合作经济</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2130135</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农业资源保护修复与利用</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2130153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农田建设</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193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2130199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其他农业农村支出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219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21302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林业和草原</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5,985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2130205</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森林资源培育</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4,403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2130207</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森林资源管理</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1,482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2130209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森林生态效益补偿</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2130212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湿地保护</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2130234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林业草原防灾减灾</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2130299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其他林业和草原支出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21303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水利</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319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2130304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水利行业业务管理</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2130311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水资源节约管理与保护</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2130314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防汛</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2130315</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抗旱</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21305</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巩固脱贫攻坚成果衔接乡村振兴</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1,292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2130599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其他巩固脱贫攻坚成果衔接乡村振兴支出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1,292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21307</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农村综合改革</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721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2130701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对村级公益事业建设的补助</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721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21308</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普惠金融发展支出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2130803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农业保险保费补贴</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2130804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创业担保贷款贴息及奖补</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173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1" w:firstLineChars="1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交通运输支出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2,660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21401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公路水路运输</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1,906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2140101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327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2140103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机关服务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2140104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公路建设</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679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2140106</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公路养护</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351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2140109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交通运输信息化建设</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2140110</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公路和运输安全</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2140112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公路运输管理</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193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2140122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港口设施</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2140199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其他公路水路运输支出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21406</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车辆购置税支出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754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2140601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车辆购置税用于公路等基础设施建设支出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754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215</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1" w:firstLineChars="1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资源勘探工业信息等支出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3,786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21501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资源勘探开发</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2150102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一般行政管理事务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21502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制造业</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3,307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2150205</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医药制造业</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2150299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其他制造业支出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3,300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21507</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国有资产监管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2150702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一般行政管理事务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21508</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支持中小企业发展和管理支出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400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2150805</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中小企业发展专项</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400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216</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1" w:firstLineChars="1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商业服务业等支出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1,530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21602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商业流通事务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243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2160299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其他商业流通事务支出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243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21606</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涉外发展服务支出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678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2160699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其他涉外发展服务支出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678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21699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其他商业服务业等支出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610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2169999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其他商业服务业等支出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610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220</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1" w:firstLineChars="1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自然资源海洋气象等支出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979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22001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自然资源事务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1,119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2200106</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自然资源利用和保护</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279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2210107</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保障性住房租金补贴</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2200199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其他自然资源事务支出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700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221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1" w:firstLineChars="1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住房保障支出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16,826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22101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保障性安居工程支出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6,418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2210103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棚户区改造</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484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2210106</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公共租赁住房</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2210108</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老旧小区改造</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3,930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2210199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其他保障性安居工程支出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1,865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22102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住房改革支出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7,372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2210201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住房公积金</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7,372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22103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城乡社区住宅</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2,897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2210399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其他城乡社区住宅支出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2,897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224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1" w:firstLineChars="1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灾害防治及应急管理支出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5,996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22401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应急管理事务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1,830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2240101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572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2240102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一般行政管理事务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197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2240106</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安全监管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2240108</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应急救援</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770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2240199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其他应急管理支出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266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22402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消防救援事务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3,880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2240201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行政运行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2,158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2240204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消防应急救援</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1,722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22406</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自然灾害防治</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2240601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地质灾害防治</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22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22407</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自然灾害救灾及恢复重建支出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265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2240703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自然灾害救灾补助</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2240704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自然灾害灾后重建补助</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185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227</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1" w:firstLineChars="1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预备费</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5,000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229</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1" w:firstLineChars="1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其他支出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21,540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22902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年初预留</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21,540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2290201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sz w:val="20"/>
                <w:szCs w:val="20"/>
              </w:rPr>
            </w:pPr>
            <w:r>
              <w:rPr>
                <w:rFonts w:hint="eastAsia" w:ascii="Times New Roman" w:hAnsi="Times New Roman" w:eastAsia="宋体" w:cs="宋体"/>
                <w:color w:val="000000"/>
                <w:kern w:val="0"/>
                <w:sz w:val="20"/>
                <w:szCs w:val="20"/>
                <w:lang w:bidi="ar"/>
              </w:rPr>
              <w:t>年初预留</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21,540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232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1" w:firstLineChars="1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债务付息支出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19,211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23203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sz w:val="20"/>
                <w:szCs w:val="20"/>
              </w:rPr>
            </w:pPr>
            <w:r>
              <w:rPr>
                <w:rFonts w:hint="eastAsia" w:ascii="Times New Roman" w:hAnsi="Times New Roman" w:eastAsia="宋体" w:cs="宋体"/>
                <w:b/>
                <w:bCs/>
                <w:color w:val="000000"/>
                <w:kern w:val="0"/>
                <w:sz w:val="20"/>
                <w:szCs w:val="20"/>
                <w:lang w:bidi="ar"/>
              </w:rPr>
              <w:t>地方政府一般债务付息支出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19,211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2320301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kern w:val="0"/>
                <w:sz w:val="20"/>
                <w:szCs w:val="20"/>
                <w:lang w:bidi="ar"/>
              </w:rPr>
            </w:pPr>
            <w:r>
              <w:rPr>
                <w:rFonts w:hint="eastAsia" w:ascii="Times New Roman" w:hAnsi="Times New Roman" w:eastAsia="宋体" w:cs="宋体"/>
                <w:color w:val="000000"/>
                <w:kern w:val="0"/>
                <w:sz w:val="20"/>
                <w:szCs w:val="20"/>
                <w:lang w:bidi="ar"/>
              </w:rPr>
              <w:t>地方政府一般债券付息支出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 xml:space="preserve">15,711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2320303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Times New Roman"/>
                <w:color w:val="000000"/>
                <w:kern w:val="0"/>
                <w:sz w:val="20"/>
                <w:szCs w:val="20"/>
                <w:lang w:bidi="ar"/>
              </w:rPr>
            </w:pPr>
            <w:r>
              <w:rPr>
                <w:rFonts w:hint="eastAsia" w:ascii="Times New Roman" w:hAnsi="Times New Roman" w:eastAsia="宋体" w:cs="宋体"/>
                <w:color w:val="000000"/>
                <w:kern w:val="0"/>
                <w:sz w:val="20"/>
                <w:szCs w:val="20"/>
                <w:lang w:bidi="ar"/>
              </w:rPr>
              <w:t>地方政府向国际组织借款付息支出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 xml:space="preserve">3,500 </w:t>
            </w:r>
          </w:p>
        </w:tc>
      </w:tr>
      <w:tr>
        <w:tblPrEx>
          <w:tblLayout w:type="fixed"/>
          <w:tblCellMar>
            <w:top w:w="0" w:type="dxa"/>
            <w:left w:w="108" w:type="dxa"/>
            <w:bottom w:w="0" w:type="dxa"/>
            <w:right w:w="108" w:type="dxa"/>
          </w:tblCellMar>
        </w:tblPrEx>
        <w:trPr>
          <w:trHeight w:val="340" w:hRule="atLeast"/>
        </w:trPr>
        <w:tc>
          <w:tcPr>
            <w:tcW w:w="196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kern w:val="0"/>
                <w:sz w:val="20"/>
                <w:szCs w:val="20"/>
                <w:lang w:bidi="ar"/>
              </w:rPr>
            </w:pPr>
            <w:r>
              <w:rPr>
                <w:rFonts w:ascii="Times New Roman" w:hAnsi="Times New Roman" w:eastAsia="宋体" w:cs="Times New Roman"/>
                <w:b/>
                <w:bCs/>
                <w:color w:val="000000"/>
                <w:kern w:val="0"/>
                <w:sz w:val="20"/>
                <w:szCs w:val="20"/>
                <w:lang w:bidi="ar"/>
              </w:rPr>
              <w:t>233</w:t>
            </w:r>
          </w:p>
        </w:tc>
        <w:tc>
          <w:tcPr>
            <w:tcW w:w="526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ind w:firstLine="201" w:firstLineChars="100"/>
              <w:jc w:val="left"/>
              <w:textAlignment w:val="center"/>
              <w:rPr>
                <w:rFonts w:ascii="Times New Roman" w:hAnsi="Times New Roman" w:eastAsia="宋体" w:cs="Times New Roman"/>
                <w:b/>
                <w:bCs/>
                <w:color w:val="000000"/>
                <w:kern w:val="0"/>
                <w:sz w:val="20"/>
                <w:szCs w:val="20"/>
                <w:lang w:bidi="ar"/>
              </w:rPr>
            </w:pPr>
            <w:r>
              <w:rPr>
                <w:rFonts w:hint="eastAsia" w:ascii="Times New Roman" w:hAnsi="Times New Roman" w:eastAsia="宋体" w:cs="宋体"/>
                <w:b/>
                <w:bCs/>
                <w:color w:val="000000"/>
                <w:kern w:val="0"/>
                <w:sz w:val="20"/>
                <w:szCs w:val="20"/>
                <w:lang w:bidi="ar"/>
              </w:rPr>
              <w:t>债务发行费用支出</w:t>
            </w:r>
          </w:p>
        </w:tc>
        <w:tc>
          <w:tcPr>
            <w:tcW w:w="188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 xml:space="preserve">3 </w:t>
            </w:r>
          </w:p>
        </w:tc>
      </w:tr>
      <w:tr>
        <w:tblPrEx>
          <w:tblLayout w:type="fixed"/>
          <w:tblCellMar>
            <w:top w:w="0" w:type="dxa"/>
            <w:left w:w="108" w:type="dxa"/>
            <w:bottom w:w="0" w:type="dxa"/>
            <w:right w:w="108" w:type="dxa"/>
          </w:tblCellMar>
        </w:tblPrEx>
        <w:trPr>
          <w:trHeight w:val="340" w:hRule="atLeast"/>
        </w:trPr>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宋体" w:cs="Times New Roman"/>
                <w:b/>
                <w:bCs/>
                <w:color w:val="000000"/>
                <w:kern w:val="0"/>
                <w:sz w:val="20"/>
                <w:szCs w:val="20"/>
                <w:lang w:bidi="ar"/>
              </w:rPr>
            </w:pPr>
            <w:r>
              <w:rPr>
                <w:rFonts w:ascii="Times New Roman" w:hAnsi="Times New Roman" w:eastAsia="宋体" w:cs="Times New Roman"/>
                <w:b/>
                <w:bCs/>
                <w:color w:val="000000"/>
                <w:kern w:val="0"/>
                <w:sz w:val="20"/>
                <w:szCs w:val="20"/>
                <w:lang w:bidi="ar"/>
              </w:rPr>
              <w:t>23303</w:t>
            </w:r>
          </w:p>
        </w:tc>
        <w:tc>
          <w:tcPr>
            <w:tcW w:w="52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02" w:firstLineChars="200"/>
              <w:jc w:val="left"/>
              <w:textAlignment w:val="center"/>
              <w:rPr>
                <w:rFonts w:ascii="Times New Roman" w:hAnsi="Times New Roman" w:eastAsia="宋体" w:cs="Times New Roman"/>
                <w:b/>
                <w:bCs/>
                <w:color w:val="000000"/>
                <w:kern w:val="0"/>
                <w:sz w:val="20"/>
                <w:szCs w:val="20"/>
                <w:lang w:bidi="ar"/>
              </w:rPr>
            </w:pPr>
            <w:r>
              <w:rPr>
                <w:rFonts w:hint="eastAsia" w:ascii="Times New Roman" w:hAnsi="Times New Roman" w:eastAsia="宋体" w:cs="宋体"/>
                <w:b/>
                <w:bCs/>
                <w:color w:val="000000"/>
                <w:kern w:val="0"/>
                <w:sz w:val="20"/>
                <w:szCs w:val="20"/>
                <w:lang w:bidi="ar"/>
              </w:rPr>
              <w:t>地方政府一般债务发行费用支出</w:t>
            </w:r>
          </w:p>
        </w:tc>
        <w:tc>
          <w:tcPr>
            <w:tcW w:w="1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 xml:space="preserve">3 </w:t>
            </w:r>
          </w:p>
        </w:tc>
      </w:tr>
      <w:tr>
        <w:tblPrEx>
          <w:tblLayout w:type="fixed"/>
          <w:tblCellMar>
            <w:top w:w="0" w:type="dxa"/>
            <w:left w:w="108" w:type="dxa"/>
            <w:bottom w:w="0" w:type="dxa"/>
            <w:right w:w="108" w:type="dxa"/>
          </w:tblCellMar>
        </w:tblPrEx>
        <w:trPr>
          <w:trHeight w:val="340" w:hRule="atLeast"/>
        </w:trPr>
        <w:tc>
          <w:tcPr>
            <w:tcW w:w="9110" w:type="dxa"/>
            <w:gridSpan w:val="3"/>
            <w:tcBorders>
              <w:top w:val="single" w:color="auto" w:sz="4" w:space="0"/>
              <w:left w:val="nil"/>
              <w:bottom w:val="nil"/>
              <w:right w:val="nil"/>
            </w:tcBorders>
            <w:shd w:val="clear" w:color="auto" w:fill="auto"/>
            <w:vAlign w:val="center"/>
          </w:tcPr>
          <w:p>
            <w:pPr>
              <w:widowControl/>
              <w:spacing w:before="120" w:beforeLines="50"/>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注：本表详细反</w:t>
            </w:r>
            <w:r>
              <w:rPr>
                <w:rFonts w:hint="eastAsia" w:ascii="Times New Roman" w:hAnsi="Times New Roman" w:cstheme="minorEastAsia"/>
                <w:color w:val="000000"/>
                <w:kern w:val="0"/>
                <w:sz w:val="18"/>
                <w:szCs w:val="18"/>
                <w:lang w:bidi="ar"/>
              </w:rPr>
              <w:t>映</w:t>
            </w:r>
            <w:r>
              <w:rPr>
                <w:rFonts w:ascii="Times New Roman" w:hAnsi="Times New Roman" w:cs="Times New Roman"/>
                <w:color w:val="000000"/>
                <w:kern w:val="0"/>
                <w:sz w:val="18"/>
                <w:szCs w:val="18"/>
                <w:lang w:bidi="ar"/>
              </w:rPr>
              <w:t>2023</w:t>
            </w:r>
            <w:r>
              <w:rPr>
                <w:rFonts w:hint="eastAsia" w:ascii="Times New Roman" w:hAnsi="Times New Roman" w:eastAsia="宋体" w:cs="Times New Roman"/>
                <w:color w:val="000000"/>
                <w:kern w:val="0"/>
                <w:sz w:val="18"/>
                <w:szCs w:val="18"/>
                <w:lang w:bidi="ar"/>
              </w:rPr>
              <w:t>年一般公共预算本级支出情况，按预算法要求细化到功能分类项级科目。</w:t>
            </w:r>
          </w:p>
        </w:tc>
      </w:tr>
    </w:tbl>
    <w:p>
      <w:pPr>
        <w:widowControl/>
        <w:spacing w:line="580" w:lineRule="exact"/>
        <w:rPr>
          <w:rFonts w:ascii="Times New Roman" w:hAnsi="Times New Roman" w:eastAsia="方正仿宋_GBK"/>
          <w:lang w:val="zh-CN"/>
        </w:rPr>
      </w:pPr>
    </w:p>
    <w:p>
      <w:pPr>
        <w:rPr>
          <w:rFonts w:ascii="Times New Roman" w:hAnsi="Times New Roman" w:eastAsia="方正仿宋_GBK"/>
          <w:lang w:val="zh-CN"/>
        </w:rPr>
      </w:pPr>
      <w:r>
        <w:rPr>
          <w:rFonts w:hint="eastAsia" w:ascii="Times New Roman" w:hAnsi="Times New Roman" w:eastAsia="方正小标宋_GBK" w:cs="方正小标宋_GBK"/>
          <w:kern w:val="0"/>
          <w:sz w:val="44"/>
          <w:szCs w:val="44"/>
        </w:rPr>
        <w:br w:type="page"/>
      </w:r>
    </w:p>
    <w:p>
      <w:pPr>
        <w:widowControl/>
        <w:spacing w:line="400" w:lineRule="exac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17</w:t>
      </w:r>
    </w:p>
    <w:p>
      <w:pPr>
        <w:widowControl/>
        <w:jc w:val="center"/>
        <w:textAlignment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2023</w:t>
      </w:r>
      <w:r>
        <w:rPr>
          <w:rFonts w:hint="eastAsia" w:ascii="Times New Roman" w:hAnsi="Times New Roman" w:eastAsia="方正小标宋_GBK" w:cs="Times New Roman"/>
          <w:kern w:val="0"/>
          <w:sz w:val="44"/>
          <w:szCs w:val="44"/>
        </w:rPr>
        <w:t xml:space="preserve">年区级一般公共预算支出预算表 </w:t>
      </w:r>
    </w:p>
    <w:p>
      <w:pPr>
        <w:widowControl/>
        <w:spacing w:line="600" w:lineRule="exact"/>
        <w:jc w:val="center"/>
        <w:textAlignment w:val="center"/>
        <w:rPr>
          <w:rFonts w:ascii="Times New Roman" w:hAnsi="Times New Roman" w:eastAsia="方正小标宋_GBK" w:cs="方正小标宋_GBK"/>
          <w:kern w:val="0"/>
          <w:sz w:val="32"/>
          <w:szCs w:val="32"/>
        </w:rPr>
      </w:pPr>
      <w:r>
        <w:rPr>
          <w:rFonts w:hint="eastAsia" w:ascii="Times New Roman" w:hAnsi="Times New Roman" w:eastAsia="方正小标宋_GBK" w:cs="方正小标宋_GBK"/>
          <w:kern w:val="0"/>
          <w:sz w:val="32"/>
          <w:szCs w:val="32"/>
        </w:rPr>
        <w:t>（按功能分类科目的基本支出和项目支出）</w:t>
      </w:r>
    </w:p>
    <w:p>
      <w:pPr>
        <w:jc w:val="right"/>
        <w:rPr>
          <w:rFonts w:ascii="Times New Roman" w:hAnsi="Times New Roman" w:eastAsia="宋体" w:cs="Times New Roman"/>
        </w:rPr>
      </w:pPr>
      <w:r>
        <w:rPr>
          <w:rFonts w:hint="eastAsia" w:ascii="Times New Roman" w:hAnsi="Times New Roman" w:eastAsia="宋体" w:cs="Times New Roman"/>
        </w:rPr>
        <w:t>单位：万元</w:t>
      </w:r>
    </w:p>
    <w:tbl>
      <w:tblPr>
        <w:tblStyle w:val="10"/>
        <w:tblW w:w="9044" w:type="dxa"/>
        <w:tblInd w:w="93" w:type="dxa"/>
        <w:tblLayout w:type="fixed"/>
        <w:tblCellMar>
          <w:top w:w="0" w:type="dxa"/>
          <w:left w:w="108" w:type="dxa"/>
          <w:bottom w:w="0" w:type="dxa"/>
          <w:right w:w="108" w:type="dxa"/>
        </w:tblCellMar>
      </w:tblPr>
      <w:tblGrid>
        <w:gridCol w:w="2773"/>
        <w:gridCol w:w="2400"/>
        <w:gridCol w:w="1975"/>
        <w:gridCol w:w="1896"/>
      </w:tblGrid>
      <w:tr>
        <w:tblPrEx>
          <w:tblLayout w:type="fixed"/>
          <w:tblCellMar>
            <w:top w:w="0" w:type="dxa"/>
            <w:left w:w="108" w:type="dxa"/>
            <w:bottom w:w="0" w:type="dxa"/>
            <w:right w:w="108" w:type="dxa"/>
          </w:tblCellMar>
        </w:tblPrEx>
        <w:trPr>
          <w:trHeight w:val="460" w:hRule="atLeast"/>
        </w:trPr>
        <w:tc>
          <w:tcPr>
            <w:tcW w:w="277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项         目</w:t>
            </w:r>
          </w:p>
        </w:tc>
        <w:tc>
          <w:tcPr>
            <w:tcW w:w="627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预 算 数</w:t>
            </w:r>
          </w:p>
        </w:tc>
      </w:tr>
      <w:tr>
        <w:tblPrEx>
          <w:tblLayout w:type="fixed"/>
          <w:tblCellMar>
            <w:top w:w="0" w:type="dxa"/>
            <w:left w:w="108" w:type="dxa"/>
            <w:bottom w:w="0" w:type="dxa"/>
            <w:right w:w="108" w:type="dxa"/>
          </w:tblCellMar>
        </w:tblPrEx>
        <w:trPr>
          <w:trHeight w:val="460" w:hRule="atLeast"/>
        </w:trPr>
        <w:tc>
          <w:tcPr>
            <w:tcW w:w="27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黑体" w:cs="黑体"/>
                <w:color w:val="000000"/>
                <w:sz w:val="22"/>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小计</w:t>
            </w:r>
          </w:p>
        </w:tc>
        <w:tc>
          <w:tcPr>
            <w:tcW w:w="1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基本支出</w:t>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项目支出</w:t>
            </w:r>
          </w:p>
        </w:tc>
      </w:tr>
      <w:tr>
        <w:tblPrEx>
          <w:tblLayout w:type="fixed"/>
          <w:tblCellMar>
            <w:top w:w="0" w:type="dxa"/>
            <w:left w:w="108" w:type="dxa"/>
            <w:bottom w:w="0" w:type="dxa"/>
            <w:right w:w="108" w:type="dxa"/>
          </w:tblCellMar>
        </w:tblPrEx>
        <w:trPr>
          <w:trHeight w:val="397" w:hRule="atLeast"/>
        </w:trPr>
        <w:tc>
          <w:tcPr>
            <w:tcW w:w="2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支出合计</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398,815 </w:t>
            </w:r>
          </w:p>
        </w:tc>
        <w:tc>
          <w:tcPr>
            <w:tcW w:w="1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137,868 </w:t>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260,947 </w:t>
            </w:r>
          </w:p>
        </w:tc>
      </w:tr>
      <w:tr>
        <w:tblPrEx>
          <w:tblLayout w:type="fixed"/>
          <w:tblCellMar>
            <w:top w:w="0" w:type="dxa"/>
            <w:left w:w="108" w:type="dxa"/>
            <w:bottom w:w="0" w:type="dxa"/>
            <w:right w:w="108" w:type="dxa"/>
          </w:tblCellMar>
        </w:tblPrEx>
        <w:trPr>
          <w:trHeight w:val="397" w:hRule="atLeast"/>
        </w:trPr>
        <w:tc>
          <w:tcPr>
            <w:tcW w:w="2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一般公共服务支出</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63,810 </w:t>
            </w:r>
          </w:p>
        </w:tc>
        <w:tc>
          <w:tcPr>
            <w:tcW w:w="1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15,840 </w:t>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47,970 </w:t>
            </w:r>
          </w:p>
        </w:tc>
      </w:tr>
      <w:tr>
        <w:tblPrEx>
          <w:tblLayout w:type="fixed"/>
          <w:tblCellMar>
            <w:top w:w="0" w:type="dxa"/>
            <w:left w:w="108" w:type="dxa"/>
            <w:bottom w:w="0" w:type="dxa"/>
            <w:right w:w="108" w:type="dxa"/>
          </w:tblCellMar>
        </w:tblPrEx>
        <w:trPr>
          <w:trHeight w:val="397" w:hRule="atLeast"/>
        </w:trPr>
        <w:tc>
          <w:tcPr>
            <w:tcW w:w="2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国防支出</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1,459 </w:t>
            </w:r>
          </w:p>
        </w:tc>
        <w:tc>
          <w:tcPr>
            <w:tcW w:w="1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1,459 </w:t>
            </w:r>
          </w:p>
        </w:tc>
      </w:tr>
      <w:tr>
        <w:tblPrEx>
          <w:tblLayout w:type="fixed"/>
          <w:tblCellMar>
            <w:top w:w="0" w:type="dxa"/>
            <w:left w:w="108" w:type="dxa"/>
            <w:bottom w:w="0" w:type="dxa"/>
            <w:right w:w="108" w:type="dxa"/>
          </w:tblCellMar>
        </w:tblPrEx>
        <w:trPr>
          <w:trHeight w:val="397" w:hRule="atLeast"/>
        </w:trPr>
        <w:tc>
          <w:tcPr>
            <w:tcW w:w="2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公共安全支出</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35,725 </w:t>
            </w:r>
          </w:p>
        </w:tc>
        <w:tc>
          <w:tcPr>
            <w:tcW w:w="1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20,989 </w:t>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14,735 </w:t>
            </w:r>
          </w:p>
        </w:tc>
      </w:tr>
      <w:tr>
        <w:tblPrEx>
          <w:tblLayout w:type="fixed"/>
          <w:tblCellMar>
            <w:top w:w="0" w:type="dxa"/>
            <w:left w:w="108" w:type="dxa"/>
            <w:bottom w:w="0" w:type="dxa"/>
            <w:right w:w="108" w:type="dxa"/>
          </w:tblCellMar>
        </w:tblPrEx>
        <w:trPr>
          <w:trHeight w:val="397" w:hRule="atLeast"/>
        </w:trPr>
        <w:tc>
          <w:tcPr>
            <w:tcW w:w="2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教育支出</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70,489 </w:t>
            </w:r>
          </w:p>
        </w:tc>
        <w:tc>
          <w:tcPr>
            <w:tcW w:w="1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45,297 </w:t>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25,192 </w:t>
            </w:r>
          </w:p>
        </w:tc>
      </w:tr>
      <w:tr>
        <w:tblPrEx>
          <w:tblLayout w:type="fixed"/>
          <w:tblCellMar>
            <w:top w:w="0" w:type="dxa"/>
            <w:left w:w="108" w:type="dxa"/>
            <w:bottom w:w="0" w:type="dxa"/>
            <w:right w:w="108" w:type="dxa"/>
          </w:tblCellMar>
        </w:tblPrEx>
        <w:trPr>
          <w:trHeight w:val="397" w:hRule="atLeast"/>
        </w:trPr>
        <w:tc>
          <w:tcPr>
            <w:tcW w:w="2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科学技术支出</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4,828 </w:t>
            </w:r>
          </w:p>
        </w:tc>
        <w:tc>
          <w:tcPr>
            <w:tcW w:w="1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255 </w:t>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4,572 </w:t>
            </w:r>
          </w:p>
        </w:tc>
      </w:tr>
      <w:tr>
        <w:tblPrEx>
          <w:tblLayout w:type="fixed"/>
          <w:tblCellMar>
            <w:top w:w="0" w:type="dxa"/>
            <w:left w:w="108" w:type="dxa"/>
            <w:bottom w:w="0" w:type="dxa"/>
            <w:right w:w="108" w:type="dxa"/>
          </w:tblCellMar>
        </w:tblPrEx>
        <w:trPr>
          <w:trHeight w:val="397" w:hRule="atLeast"/>
        </w:trPr>
        <w:tc>
          <w:tcPr>
            <w:tcW w:w="2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文化旅游体育与传媒支出</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5,992 </w:t>
            </w:r>
          </w:p>
        </w:tc>
        <w:tc>
          <w:tcPr>
            <w:tcW w:w="1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1,937 </w:t>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4,055 </w:t>
            </w:r>
          </w:p>
        </w:tc>
      </w:tr>
      <w:tr>
        <w:tblPrEx>
          <w:tblLayout w:type="fixed"/>
          <w:tblCellMar>
            <w:top w:w="0" w:type="dxa"/>
            <w:left w:w="108" w:type="dxa"/>
            <w:bottom w:w="0" w:type="dxa"/>
            <w:right w:w="108" w:type="dxa"/>
          </w:tblCellMar>
        </w:tblPrEx>
        <w:trPr>
          <w:trHeight w:val="397" w:hRule="atLeast"/>
        </w:trPr>
        <w:tc>
          <w:tcPr>
            <w:tcW w:w="2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社会保障和就业支出</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42,904 </w:t>
            </w:r>
          </w:p>
        </w:tc>
        <w:tc>
          <w:tcPr>
            <w:tcW w:w="1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26,473 </w:t>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16,431 </w:t>
            </w:r>
          </w:p>
        </w:tc>
      </w:tr>
      <w:tr>
        <w:tblPrEx>
          <w:tblLayout w:type="fixed"/>
          <w:tblCellMar>
            <w:top w:w="0" w:type="dxa"/>
            <w:left w:w="108" w:type="dxa"/>
            <w:bottom w:w="0" w:type="dxa"/>
            <w:right w:w="108" w:type="dxa"/>
          </w:tblCellMar>
        </w:tblPrEx>
        <w:trPr>
          <w:trHeight w:val="397" w:hRule="atLeast"/>
        </w:trPr>
        <w:tc>
          <w:tcPr>
            <w:tcW w:w="2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卫生健康支出</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29,420 </w:t>
            </w:r>
          </w:p>
        </w:tc>
        <w:tc>
          <w:tcPr>
            <w:tcW w:w="1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11,260 </w:t>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18,160 </w:t>
            </w:r>
          </w:p>
        </w:tc>
      </w:tr>
      <w:tr>
        <w:tblPrEx>
          <w:tblLayout w:type="fixed"/>
          <w:tblCellMar>
            <w:top w:w="0" w:type="dxa"/>
            <w:left w:w="108" w:type="dxa"/>
            <w:bottom w:w="0" w:type="dxa"/>
            <w:right w:w="108" w:type="dxa"/>
          </w:tblCellMar>
        </w:tblPrEx>
        <w:trPr>
          <w:trHeight w:val="397" w:hRule="atLeast"/>
        </w:trPr>
        <w:tc>
          <w:tcPr>
            <w:tcW w:w="2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节能环保支出</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7,680 </w:t>
            </w:r>
          </w:p>
        </w:tc>
        <w:tc>
          <w:tcPr>
            <w:tcW w:w="1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1,109 </w:t>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6,571 </w:t>
            </w:r>
          </w:p>
        </w:tc>
      </w:tr>
      <w:tr>
        <w:tblPrEx>
          <w:tblLayout w:type="fixed"/>
          <w:tblCellMar>
            <w:top w:w="0" w:type="dxa"/>
            <w:left w:w="108" w:type="dxa"/>
            <w:bottom w:w="0" w:type="dxa"/>
            <w:right w:w="108" w:type="dxa"/>
          </w:tblCellMar>
        </w:tblPrEx>
        <w:trPr>
          <w:trHeight w:val="397" w:hRule="atLeast"/>
        </w:trPr>
        <w:tc>
          <w:tcPr>
            <w:tcW w:w="2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城乡社区支出</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47,268 </w:t>
            </w:r>
          </w:p>
        </w:tc>
        <w:tc>
          <w:tcPr>
            <w:tcW w:w="1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5,000 </w:t>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42,268 </w:t>
            </w:r>
          </w:p>
        </w:tc>
      </w:tr>
      <w:tr>
        <w:tblPrEx>
          <w:tblLayout w:type="fixed"/>
          <w:tblCellMar>
            <w:top w:w="0" w:type="dxa"/>
            <w:left w:w="108" w:type="dxa"/>
            <w:bottom w:w="0" w:type="dxa"/>
            <w:right w:w="108" w:type="dxa"/>
          </w:tblCellMar>
        </w:tblPrEx>
        <w:trPr>
          <w:trHeight w:val="397" w:hRule="atLeast"/>
        </w:trPr>
        <w:tc>
          <w:tcPr>
            <w:tcW w:w="2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农林水支出</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11,710 </w:t>
            </w:r>
          </w:p>
        </w:tc>
        <w:tc>
          <w:tcPr>
            <w:tcW w:w="1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766 </w:t>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10,944 </w:t>
            </w:r>
          </w:p>
        </w:tc>
      </w:tr>
      <w:tr>
        <w:tblPrEx>
          <w:tblLayout w:type="fixed"/>
          <w:tblCellMar>
            <w:top w:w="0" w:type="dxa"/>
            <w:left w:w="108" w:type="dxa"/>
            <w:bottom w:w="0" w:type="dxa"/>
            <w:right w:w="108" w:type="dxa"/>
          </w:tblCellMar>
        </w:tblPrEx>
        <w:trPr>
          <w:trHeight w:val="397" w:hRule="atLeast"/>
        </w:trPr>
        <w:tc>
          <w:tcPr>
            <w:tcW w:w="2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交通运输支出</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2,660 </w:t>
            </w:r>
          </w:p>
        </w:tc>
        <w:tc>
          <w:tcPr>
            <w:tcW w:w="1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363 </w:t>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2,297 </w:t>
            </w:r>
          </w:p>
        </w:tc>
      </w:tr>
      <w:tr>
        <w:tblPrEx>
          <w:tblLayout w:type="fixed"/>
          <w:tblCellMar>
            <w:top w:w="0" w:type="dxa"/>
            <w:left w:w="108" w:type="dxa"/>
            <w:bottom w:w="0" w:type="dxa"/>
            <w:right w:w="108" w:type="dxa"/>
          </w:tblCellMar>
        </w:tblPrEx>
        <w:trPr>
          <w:trHeight w:val="397" w:hRule="atLeast"/>
        </w:trPr>
        <w:tc>
          <w:tcPr>
            <w:tcW w:w="2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资源勘探工业信息等支出</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3,786 </w:t>
            </w:r>
          </w:p>
        </w:tc>
        <w:tc>
          <w:tcPr>
            <w:tcW w:w="1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3,786 </w:t>
            </w:r>
          </w:p>
        </w:tc>
      </w:tr>
      <w:tr>
        <w:tblPrEx>
          <w:tblLayout w:type="fixed"/>
          <w:tblCellMar>
            <w:top w:w="0" w:type="dxa"/>
            <w:left w:w="108" w:type="dxa"/>
            <w:bottom w:w="0" w:type="dxa"/>
            <w:right w:w="108" w:type="dxa"/>
          </w:tblCellMar>
        </w:tblPrEx>
        <w:trPr>
          <w:trHeight w:val="397" w:hRule="atLeast"/>
        </w:trPr>
        <w:tc>
          <w:tcPr>
            <w:tcW w:w="2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商业服务业等支出</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1,530 </w:t>
            </w:r>
          </w:p>
        </w:tc>
        <w:tc>
          <w:tcPr>
            <w:tcW w:w="1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1,530 </w:t>
            </w:r>
          </w:p>
        </w:tc>
      </w:tr>
      <w:tr>
        <w:tblPrEx>
          <w:tblLayout w:type="fixed"/>
          <w:tblCellMar>
            <w:top w:w="0" w:type="dxa"/>
            <w:left w:w="108" w:type="dxa"/>
            <w:bottom w:w="0" w:type="dxa"/>
            <w:right w:w="108" w:type="dxa"/>
          </w:tblCellMar>
        </w:tblPrEx>
        <w:trPr>
          <w:trHeight w:val="397" w:hRule="atLeast"/>
        </w:trPr>
        <w:tc>
          <w:tcPr>
            <w:tcW w:w="2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自然资源海洋气象等支出</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979 </w:t>
            </w:r>
          </w:p>
        </w:tc>
        <w:tc>
          <w:tcPr>
            <w:tcW w:w="1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979 </w:t>
            </w:r>
          </w:p>
        </w:tc>
      </w:tr>
      <w:tr>
        <w:tblPrEx>
          <w:tblLayout w:type="fixed"/>
          <w:tblCellMar>
            <w:top w:w="0" w:type="dxa"/>
            <w:left w:w="108" w:type="dxa"/>
            <w:bottom w:w="0" w:type="dxa"/>
            <w:right w:w="108" w:type="dxa"/>
          </w:tblCellMar>
        </w:tblPrEx>
        <w:trPr>
          <w:trHeight w:val="397" w:hRule="atLeast"/>
        </w:trPr>
        <w:tc>
          <w:tcPr>
            <w:tcW w:w="2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住房保障支出</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16,826 </w:t>
            </w:r>
          </w:p>
        </w:tc>
        <w:tc>
          <w:tcPr>
            <w:tcW w:w="1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7,372 </w:t>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9,454 </w:t>
            </w:r>
          </w:p>
        </w:tc>
      </w:tr>
      <w:tr>
        <w:tblPrEx>
          <w:tblLayout w:type="fixed"/>
          <w:tblCellMar>
            <w:top w:w="0" w:type="dxa"/>
            <w:left w:w="108" w:type="dxa"/>
            <w:bottom w:w="0" w:type="dxa"/>
            <w:right w:w="108" w:type="dxa"/>
          </w:tblCellMar>
        </w:tblPrEx>
        <w:trPr>
          <w:trHeight w:val="397" w:hRule="atLeast"/>
        </w:trPr>
        <w:tc>
          <w:tcPr>
            <w:tcW w:w="2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灾害防治及应急管理支出</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5,996 </w:t>
            </w:r>
          </w:p>
        </w:tc>
        <w:tc>
          <w:tcPr>
            <w:tcW w:w="1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1,208 </w:t>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4,788 </w:t>
            </w:r>
          </w:p>
        </w:tc>
      </w:tr>
      <w:tr>
        <w:tblPrEx>
          <w:tblLayout w:type="fixed"/>
          <w:tblCellMar>
            <w:top w:w="0" w:type="dxa"/>
            <w:left w:w="108" w:type="dxa"/>
            <w:bottom w:w="0" w:type="dxa"/>
            <w:right w:w="108" w:type="dxa"/>
          </w:tblCellMar>
        </w:tblPrEx>
        <w:trPr>
          <w:trHeight w:val="397" w:hRule="atLeast"/>
        </w:trPr>
        <w:tc>
          <w:tcPr>
            <w:tcW w:w="2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预备费</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5,000 </w:t>
            </w:r>
          </w:p>
        </w:tc>
        <w:tc>
          <w:tcPr>
            <w:tcW w:w="1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5,000 </w:t>
            </w:r>
          </w:p>
        </w:tc>
      </w:tr>
      <w:tr>
        <w:tblPrEx>
          <w:tblLayout w:type="fixed"/>
          <w:tblCellMar>
            <w:top w:w="0" w:type="dxa"/>
            <w:left w:w="108" w:type="dxa"/>
            <w:bottom w:w="0" w:type="dxa"/>
            <w:right w:w="108" w:type="dxa"/>
          </w:tblCellMar>
        </w:tblPrEx>
        <w:trPr>
          <w:trHeight w:val="397" w:hRule="atLeast"/>
        </w:trPr>
        <w:tc>
          <w:tcPr>
            <w:tcW w:w="2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其他支出</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21,540 </w:t>
            </w:r>
          </w:p>
        </w:tc>
        <w:tc>
          <w:tcPr>
            <w:tcW w:w="1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21,540 </w:t>
            </w:r>
          </w:p>
        </w:tc>
      </w:tr>
      <w:tr>
        <w:tblPrEx>
          <w:tblLayout w:type="fixed"/>
          <w:tblCellMar>
            <w:top w:w="0" w:type="dxa"/>
            <w:left w:w="108" w:type="dxa"/>
            <w:bottom w:w="0" w:type="dxa"/>
            <w:right w:w="108" w:type="dxa"/>
          </w:tblCellMar>
        </w:tblPrEx>
        <w:trPr>
          <w:trHeight w:val="397" w:hRule="atLeast"/>
        </w:trPr>
        <w:tc>
          <w:tcPr>
            <w:tcW w:w="2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债务付息支出</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19,211 </w:t>
            </w:r>
          </w:p>
        </w:tc>
        <w:tc>
          <w:tcPr>
            <w:tcW w:w="1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19,211 </w:t>
            </w:r>
          </w:p>
        </w:tc>
      </w:tr>
      <w:tr>
        <w:tblPrEx>
          <w:tblLayout w:type="fixed"/>
          <w:tblCellMar>
            <w:top w:w="0" w:type="dxa"/>
            <w:left w:w="108" w:type="dxa"/>
            <w:bottom w:w="0" w:type="dxa"/>
            <w:right w:w="108" w:type="dxa"/>
          </w:tblCellMar>
        </w:tblPrEx>
        <w:trPr>
          <w:trHeight w:val="397" w:hRule="atLeast"/>
        </w:trPr>
        <w:tc>
          <w:tcPr>
            <w:tcW w:w="2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债务发行费用支出</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w:t>
            </w:r>
          </w:p>
        </w:tc>
        <w:tc>
          <w:tcPr>
            <w:tcW w:w="1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3 </w:t>
            </w:r>
          </w:p>
        </w:tc>
      </w:tr>
    </w:tbl>
    <w:p>
      <w:pPr>
        <w:widowControl/>
        <w:spacing w:before="120" w:beforeLines="50"/>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注：在功能分类的基础上，为衔接表</w:t>
      </w:r>
      <w:r>
        <w:rPr>
          <w:rFonts w:ascii="Times New Roman" w:hAnsi="Times New Roman" w:eastAsia="宋体" w:cs="Times New Roman"/>
          <w:color w:val="000000"/>
          <w:kern w:val="0"/>
          <w:sz w:val="18"/>
          <w:szCs w:val="18"/>
        </w:rPr>
        <w:t>16</w:t>
      </w:r>
      <w:r>
        <w:rPr>
          <w:rFonts w:hint="eastAsia" w:ascii="Times New Roman" w:hAnsi="Times New Roman" w:eastAsia="宋体" w:cs="宋体"/>
          <w:color w:val="000000"/>
          <w:kern w:val="0"/>
          <w:sz w:val="18"/>
          <w:szCs w:val="18"/>
        </w:rPr>
        <w:t>，将每类支出分为基本支出和项目支出。基本支出，是指部门、单位为保障其机构正常运转、完成日常工作任务所发生的支出，包括人员经费和公用经费；项目支出，是指部门、单位为完成特定的工作任务和事业发展目标，在基本支出之外所发生的支出。</w:t>
      </w:r>
    </w:p>
    <w:p>
      <w:pPr>
        <w:widowControl/>
        <w:jc w:val="left"/>
        <w:rPr>
          <w:rFonts w:ascii="Times New Roman" w:hAnsi="Times New Roman" w:eastAsia="方正黑体_GBK" w:cs="方正黑体_GBK"/>
          <w:kern w:val="0"/>
          <w:sz w:val="28"/>
          <w:szCs w:val="28"/>
        </w:rPr>
      </w:pPr>
      <w:r>
        <w:rPr>
          <w:rFonts w:ascii="Times New Roman" w:hAnsi="Times New Roman" w:eastAsia="方正黑体_GBK" w:cs="方正黑体_GBK"/>
          <w:kern w:val="0"/>
          <w:sz w:val="28"/>
          <w:szCs w:val="28"/>
        </w:rPr>
        <w:br w:type="page"/>
      </w:r>
    </w:p>
    <w:p>
      <w:pPr>
        <w:spacing w:line="400" w:lineRule="exact"/>
        <w:rPr>
          <w:rFonts w:ascii="Times New Roman" w:hAnsi="Times New Roman" w:eastAsia="方正仿宋_GBK"/>
          <w:lang w:val="zh-CN"/>
        </w:rPr>
      </w:pP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18</w:t>
      </w:r>
    </w:p>
    <w:p>
      <w:pPr>
        <w:widowControl/>
        <w:jc w:val="center"/>
        <w:textAlignment w:val="center"/>
        <w:outlineLvl w:val="0"/>
        <w:rPr>
          <w:rFonts w:ascii="Times New Roman" w:hAnsi="Times New Roman" w:eastAsia="方正小标宋_GBK" w:cs="方正小标宋_GBK"/>
          <w:kern w:val="0"/>
          <w:sz w:val="44"/>
          <w:szCs w:val="44"/>
        </w:rPr>
      </w:pPr>
      <w:r>
        <w:rPr>
          <w:rFonts w:ascii="Times New Roman" w:hAnsi="Times New Roman" w:eastAsia="方正小标宋_GBK" w:cs="Times New Roman"/>
          <w:kern w:val="0"/>
          <w:sz w:val="44"/>
          <w:szCs w:val="44"/>
        </w:rPr>
        <w:t>2023</w:t>
      </w:r>
      <w:r>
        <w:rPr>
          <w:rFonts w:hint="eastAsia" w:ascii="Times New Roman" w:hAnsi="Times New Roman" w:eastAsia="方正小标宋_GBK" w:cs="方正小标宋_GBK"/>
          <w:kern w:val="0"/>
          <w:sz w:val="44"/>
          <w:szCs w:val="44"/>
        </w:rPr>
        <w:t xml:space="preserve">年区级一般公共预算基本支出预算表 </w:t>
      </w:r>
    </w:p>
    <w:p>
      <w:pPr>
        <w:widowControl/>
        <w:spacing w:line="600" w:lineRule="exact"/>
        <w:jc w:val="center"/>
        <w:textAlignment w:val="center"/>
        <w:rPr>
          <w:rFonts w:ascii="Times New Roman" w:hAnsi="Times New Roman" w:eastAsia="方正小标宋_GBK" w:cs="方正小标宋_GBK"/>
          <w:kern w:val="0"/>
          <w:sz w:val="32"/>
          <w:szCs w:val="32"/>
        </w:rPr>
      </w:pPr>
      <w:r>
        <w:rPr>
          <w:rFonts w:hint="eastAsia" w:ascii="Times New Roman" w:hAnsi="Times New Roman" w:eastAsia="方正小标宋_GBK" w:cs="方正小标宋_GBK"/>
          <w:kern w:val="0"/>
          <w:sz w:val="32"/>
          <w:szCs w:val="32"/>
        </w:rPr>
        <w:t>（按经济分类科目）</w:t>
      </w:r>
    </w:p>
    <w:p>
      <w:pPr>
        <w:jc w:val="right"/>
        <w:rPr>
          <w:rFonts w:ascii="Times New Roman" w:hAnsi="Times New Roman" w:eastAsia="宋体" w:cs="Times New Roman"/>
        </w:rPr>
      </w:pPr>
      <w:r>
        <w:rPr>
          <w:rFonts w:hint="eastAsia" w:ascii="Times New Roman" w:hAnsi="Times New Roman" w:eastAsia="宋体" w:cs="Times New Roman"/>
        </w:rPr>
        <w:t>单位：万元</w:t>
      </w:r>
    </w:p>
    <w:tbl>
      <w:tblPr>
        <w:tblStyle w:val="10"/>
        <w:tblW w:w="9030" w:type="dxa"/>
        <w:tblInd w:w="0" w:type="dxa"/>
        <w:tblLayout w:type="fixed"/>
        <w:tblCellMar>
          <w:top w:w="15" w:type="dxa"/>
          <w:left w:w="15" w:type="dxa"/>
          <w:bottom w:w="15" w:type="dxa"/>
          <w:right w:w="15" w:type="dxa"/>
        </w:tblCellMar>
      </w:tblPr>
      <w:tblGrid>
        <w:gridCol w:w="6528"/>
        <w:gridCol w:w="2502"/>
      </w:tblGrid>
      <w:tr>
        <w:tblPrEx>
          <w:tblLayout w:type="fixed"/>
          <w:tblCellMar>
            <w:top w:w="15" w:type="dxa"/>
            <w:left w:w="15" w:type="dxa"/>
            <w:bottom w:w="15" w:type="dxa"/>
            <w:right w:w="15" w:type="dxa"/>
          </w:tblCellMar>
        </w:tblPrEx>
        <w:trPr>
          <w:trHeight w:val="652" w:hRule="atLeast"/>
          <w:tblHeader/>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支       出</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预 算 数</w:t>
            </w: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b/>
                <w:color w:val="000000"/>
                <w:sz w:val="20"/>
                <w:szCs w:val="20"/>
              </w:rPr>
            </w:pPr>
            <w:r>
              <w:rPr>
                <w:rFonts w:hint="eastAsia" w:ascii="Times New Roman" w:hAnsi="Times New Roman" w:eastAsia="宋体" w:cs="宋体"/>
                <w:b/>
                <w:color w:val="000000"/>
                <w:kern w:val="0"/>
                <w:sz w:val="20"/>
                <w:szCs w:val="20"/>
                <w:lang w:bidi="ar"/>
              </w:rPr>
              <w:t>基本支出合计</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 xml:space="preserve">137,868 </w:t>
            </w: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一、机关工资福利支出</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41,527 </w:t>
            </w: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工资奖金津补贴</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28,816 </w:t>
            </w: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社会保障缴费</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8,536 </w:t>
            </w: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住房公积金 </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3,309 </w:t>
            </w: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其他工资福利支出</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865 </w:t>
            </w: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二、机关商品和服务支出</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12,000 </w:t>
            </w: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办公经费</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7,542 </w:t>
            </w: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会议费</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 </w:t>
            </w: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培训费</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342 </w:t>
            </w: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专用材料购置费</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180 </w:t>
            </w: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委托业务费</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783 </w:t>
            </w: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公务接待费</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58 </w:t>
            </w: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因公出国（境）费用</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 </w:t>
            </w: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公务用车运行维护费</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837 </w:t>
            </w: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维修（护）费</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226 </w:t>
            </w: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其他商品和服务支出</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2,009 </w:t>
            </w: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三、机关资本性支出（一）</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678 </w:t>
            </w: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房屋建筑物购建</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公务用车购置</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设备购置</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368 </w:t>
            </w: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大型修缮</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其他资本性支出</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310 </w:t>
            </w: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四、机关资本性支出（二）</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房屋建筑物购建</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基础设施建设</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大型修缮</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五、对事业单位经常性补助</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74,650 </w:t>
            </w: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工资福利支出</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65,497 </w:t>
            </w: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商品和服务支出</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9,153 </w:t>
            </w: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六、对事业单位资本性补助</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107 </w:t>
            </w: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资本性支出（一）</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107 </w:t>
            </w: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资本性支出（二）</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七、对企业补助</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费用补贴</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利息补贴</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其他对企业补助</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八、对个人和家庭的补助</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8,905 </w:t>
            </w: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社会福利和救助</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8,854 </w:t>
            </w: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个人农业生产补贴</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离退休费</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51 </w:t>
            </w:r>
          </w:p>
        </w:tc>
      </w:tr>
      <w:tr>
        <w:tblPrEx>
          <w:tblLayout w:type="fixed"/>
          <w:tblCellMar>
            <w:top w:w="15" w:type="dxa"/>
            <w:left w:w="15" w:type="dxa"/>
            <w:bottom w:w="15" w:type="dxa"/>
            <w:right w:w="15" w:type="dxa"/>
          </w:tblCellMar>
        </w:tblPrEx>
        <w:trPr>
          <w:trHeight w:val="369" w:hRule="atLeast"/>
        </w:trPr>
        <w:tc>
          <w:tcPr>
            <w:tcW w:w="6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其他对个人和家庭补助</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r>
    </w:tbl>
    <w:p>
      <w:pPr>
        <w:widowControl/>
        <w:spacing w:before="120" w:beforeLines="50"/>
        <w:jc w:val="left"/>
        <w:rPr>
          <w:rFonts w:ascii="Times New Roman" w:hAnsi="Times New Roman" w:cstheme="minorEastAsia"/>
          <w:color w:val="000000"/>
          <w:kern w:val="0"/>
          <w:sz w:val="18"/>
          <w:szCs w:val="18"/>
        </w:rPr>
      </w:pPr>
      <w:r>
        <w:rPr>
          <w:rFonts w:hint="eastAsia" w:ascii="Times New Roman" w:hAnsi="Times New Roman" w:cstheme="minorEastAsia"/>
          <w:color w:val="000000"/>
          <w:kern w:val="0"/>
          <w:sz w:val="18"/>
          <w:szCs w:val="18"/>
        </w:rPr>
        <w:t>注：</w:t>
      </w:r>
      <w:r>
        <w:rPr>
          <w:rFonts w:ascii="Times New Roman" w:hAnsi="Times New Roman" w:cs="Times New Roman"/>
          <w:color w:val="000000"/>
          <w:kern w:val="0"/>
          <w:sz w:val="18"/>
          <w:szCs w:val="18"/>
        </w:rPr>
        <w:t>1</w:t>
      </w:r>
      <w:r>
        <w:rPr>
          <w:rFonts w:hint="eastAsia" w:ascii="Times New Roman" w:hAnsi="Times New Roman" w:cstheme="minorEastAsia"/>
          <w:color w:val="000000"/>
          <w:kern w:val="0"/>
          <w:sz w:val="18"/>
          <w:szCs w:val="18"/>
        </w:rPr>
        <w:t>.本表按照新的“政府预算支出经济分类科目” 将区级基本支出细化到款级科目。</w:t>
      </w:r>
    </w:p>
    <w:p>
      <w:pPr>
        <w:widowControl/>
        <w:jc w:val="left"/>
        <w:rPr>
          <w:rFonts w:ascii="Times New Roman" w:hAnsi="Times New Roman" w:cstheme="minorEastAsia"/>
          <w:color w:val="000000"/>
          <w:kern w:val="0"/>
          <w:sz w:val="18"/>
          <w:szCs w:val="18"/>
        </w:rPr>
      </w:pPr>
      <w:r>
        <w:rPr>
          <w:rFonts w:hint="eastAsia" w:ascii="Times New Roman" w:hAnsi="Times New Roman" w:cstheme="minorEastAsia"/>
          <w:color w:val="000000"/>
          <w:kern w:val="0"/>
          <w:sz w:val="18"/>
          <w:szCs w:val="18"/>
        </w:rPr>
        <w:t xml:space="preserve">    </w:t>
      </w:r>
      <w:r>
        <w:rPr>
          <w:rFonts w:ascii="Times New Roman" w:hAnsi="Times New Roman" w:cs="Times New Roman"/>
          <w:color w:val="000000"/>
          <w:kern w:val="0"/>
          <w:sz w:val="18"/>
          <w:szCs w:val="18"/>
        </w:rPr>
        <w:t>2</w:t>
      </w:r>
      <w:r>
        <w:rPr>
          <w:rFonts w:hint="eastAsia" w:ascii="Times New Roman" w:hAnsi="Times New Roman" w:cstheme="minorEastAsia"/>
          <w:color w:val="000000"/>
          <w:kern w:val="0"/>
          <w:sz w:val="18"/>
          <w:szCs w:val="18"/>
        </w:rPr>
        <w:t>.本表的基本支出合计数与表</w:t>
      </w:r>
      <w:r>
        <w:rPr>
          <w:rFonts w:ascii="Times New Roman" w:hAnsi="Times New Roman" w:cs="Times New Roman"/>
          <w:color w:val="000000"/>
          <w:kern w:val="0"/>
          <w:sz w:val="18"/>
          <w:szCs w:val="18"/>
        </w:rPr>
        <w:t>17</w:t>
      </w:r>
      <w:r>
        <w:rPr>
          <w:rFonts w:hint="eastAsia" w:ascii="Times New Roman" w:hAnsi="Times New Roman" w:cstheme="minorEastAsia"/>
          <w:color w:val="000000"/>
          <w:kern w:val="0"/>
          <w:sz w:val="18"/>
          <w:szCs w:val="18"/>
        </w:rPr>
        <w:t>的基本支出合计数相等。</w:t>
      </w:r>
    </w:p>
    <w:p>
      <w:pPr>
        <w:widowControl/>
        <w:spacing w:line="580" w:lineRule="exact"/>
        <w:rPr>
          <w:rFonts w:ascii="Times New Roman" w:hAnsi="Times New Roman" w:eastAsia="方正仿宋_GBK"/>
          <w:lang w:val="zh-CN"/>
        </w:rPr>
      </w:pPr>
    </w:p>
    <w:p>
      <w:pPr>
        <w:widowControl/>
        <w:spacing w:line="580" w:lineRule="exact"/>
        <w:rPr>
          <w:rFonts w:ascii="Times New Roman" w:hAnsi="Times New Roman" w:eastAsia="方正仿宋_GBK"/>
          <w:lang w:val="zh-CN"/>
        </w:rPr>
      </w:pPr>
    </w:p>
    <w:p>
      <w:pPr>
        <w:widowControl/>
        <w:spacing w:line="580" w:lineRule="exact"/>
        <w:rPr>
          <w:rFonts w:ascii="Times New Roman" w:hAnsi="Times New Roman" w:eastAsia="方正仿宋_GBK"/>
          <w:lang w:val="zh-CN"/>
        </w:rPr>
      </w:pPr>
    </w:p>
    <w:p>
      <w:pPr>
        <w:widowControl/>
        <w:jc w:val="left"/>
        <w:rPr>
          <w:rFonts w:ascii="Times New Roman" w:hAnsi="Times New Roman" w:eastAsia="方正黑体_GBK" w:cs="方正黑体_GBK"/>
          <w:color w:val="000000"/>
          <w:kern w:val="0"/>
          <w:sz w:val="28"/>
          <w:szCs w:val="28"/>
        </w:rPr>
      </w:pPr>
      <w:r>
        <w:rPr>
          <w:rFonts w:ascii="Times New Roman" w:hAnsi="Times New Roman" w:eastAsia="方正黑体_GBK" w:cs="方正黑体_GBK"/>
          <w:color w:val="000000"/>
          <w:kern w:val="0"/>
          <w:sz w:val="28"/>
          <w:szCs w:val="28"/>
        </w:rPr>
        <w:br w:type="page"/>
      </w:r>
    </w:p>
    <w:p>
      <w:pPr>
        <w:spacing w:line="400" w:lineRule="exac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19</w:t>
      </w:r>
    </w:p>
    <w:p>
      <w:pPr>
        <w:widowControl/>
        <w:jc w:val="center"/>
        <w:textAlignment w:val="center"/>
        <w:outlineLvl w:val="0"/>
        <w:rPr>
          <w:rFonts w:ascii="Times New Roman" w:hAnsi="Times New Roman" w:eastAsia="方正小标宋_GBK" w:cs="方正小标宋_GBK"/>
          <w:kern w:val="0"/>
          <w:sz w:val="44"/>
          <w:szCs w:val="44"/>
        </w:rPr>
      </w:pPr>
      <w:r>
        <w:rPr>
          <w:rFonts w:ascii="Times New Roman" w:hAnsi="Times New Roman" w:eastAsia="方正小标宋_GBK" w:cs="Times New Roman"/>
          <w:kern w:val="0"/>
          <w:sz w:val="44"/>
          <w:szCs w:val="44"/>
        </w:rPr>
        <w:t>2023</w:t>
      </w:r>
      <w:r>
        <w:rPr>
          <w:rFonts w:hint="eastAsia" w:ascii="Times New Roman" w:hAnsi="Times New Roman" w:eastAsia="方正小标宋_GBK" w:cs="方正小标宋_GBK"/>
          <w:kern w:val="0"/>
          <w:sz w:val="44"/>
          <w:szCs w:val="44"/>
        </w:rPr>
        <w:t>年区级一般公共预算转移支付收支预算表</w:t>
      </w:r>
    </w:p>
    <w:p>
      <w:pPr>
        <w:jc w:val="right"/>
        <w:rPr>
          <w:rFonts w:ascii="Times New Roman" w:hAnsi="Times New Roman" w:eastAsia="宋体" w:cs="Times New Roman"/>
        </w:rPr>
      </w:pPr>
      <w:r>
        <w:rPr>
          <w:rFonts w:hint="eastAsia" w:ascii="Times New Roman" w:hAnsi="Times New Roman" w:eastAsia="宋体" w:cs="Times New Roman"/>
        </w:rPr>
        <w:t>单位：万元</w:t>
      </w:r>
    </w:p>
    <w:tbl>
      <w:tblPr>
        <w:tblStyle w:val="10"/>
        <w:tblW w:w="9030" w:type="dxa"/>
        <w:tblInd w:w="93" w:type="dxa"/>
        <w:tblLayout w:type="fixed"/>
        <w:tblCellMar>
          <w:top w:w="0" w:type="dxa"/>
          <w:left w:w="108" w:type="dxa"/>
          <w:bottom w:w="0" w:type="dxa"/>
          <w:right w:w="108" w:type="dxa"/>
        </w:tblCellMar>
      </w:tblPr>
      <w:tblGrid>
        <w:gridCol w:w="3291"/>
        <w:gridCol w:w="1269"/>
        <w:gridCol w:w="3281"/>
        <w:gridCol w:w="1189"/>
      </w:tblGrid>
      <w:tr>
        <w:tblPrEx>
          <w:tblLayout w:type="fixed"/>
          <w:tblCellMar>
            <w:top w:w="0" w:type="dxa"/>
            <w:left w:w="108" w:type="dxa"/>
            <w:bottom w:w="0" w:type="dxa"/>
            <w:right w:w="108" w:type="dxa"/>
          </w:tblCellMar>
        </w:tblPrEx>
        <w:trPr>
          <w:trHeight w:val="652" w:hRule="atLeast"/>
          <w:tblHeader/>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收        入</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预算数</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支        出</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预算数</w:t>
            </w: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上级补助收入</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2"/>
              </w:rPr>
            </w:pPr>
            <w:r>
              <w:rPr>
                <w:rFonts w:ascii="Times New Roman" w:hAnsi="Times New Roman" w:eastAsia="宋体" w:cs="Times New Roman"/>
                <w:b/>
                <w:bCs/>
                <w:color w:val="000000"/>
                <w:kern w:val="0"/>
                <w:sz w:val="22"/>
                <w:lang w:bidi="ar"/>
              </w:rPr>
              <w:t>67,708</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补助下级支出</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2"/>
              </w:rPr>
            </w:pPr>
            <w:r>
              <w:rPr>
                <w:rFonts w:ascii="Times New Roman" w:hAnsi="Times New Roman" w:eastAsia="宋体" w:cs="Times New Roman"/>
                <w:b/>
                <w:color w:val="000000"/>
                <w:kern w:val="0"/>
                <w:sz w:val="22"/>
                <w:lang w:bidi="ar"/>
              </w:rPr>
              <w:t xml:space="preserve"> 13,133 </w:t>
            </w: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b/>
                <w:bCs/>
                <w:color w:val="000000"/>
                <w:sz w:val="20"/>
                <w:szCs w:val="20"/>
              </w:rPr>
            </w:pPr>
            <w:r>
              <w:rPr>
                <w:rFonts w:hint="eastAsia" w:ascii="Times New Roman" w:hAnsi="Times New Roman" w:eastAsia="宋体" w:cs="宋体"/>
                <w:b/>
                <w:bCs/>
                <w:color w:val="000000"/>
                <w:kern w:val="0"/>
                <w:sz w:val="20"/>
                <w:szCs w:val="20"/>
                <w:lang w:bidi="ar"/>
              </w:rPr>
              <w:t>一、返还性收入</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b/>
                <w:bCs/>
                <w:color w:val="000000"/>
                <w:kern w:val="0"/>
                <w:sz w:val="20"/>
                <w:szCs w:val="20"/>
                <w:lang w:bidi="ar"/>
              </w:rPr>
              <w:t>13,146</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b/>
                <w:bCs/>
                <w:color w:val="000000"/>
                <w:sz w:val="20"/>
                <w:szCs w:val="20"/>
              </w:rPr>
            </w:pPr>
            <w:r>
              <w:rPr>
                <w:rFonts w:hint="eastAsia" w:ascii="Times New Roman" w:hAnsi="Times New Roman" w:eastAsia="宋体" w:cs="宋体"/>
                <w:b/>
                <w:color w:val="000000"/>
                <w:kern w:val="0"/>
                <w:sz w:val="20"/>
                <w:szCs w:val="20"/>
                <w:lang w:bidi="ar"/>
              </w:rPr>
              <w:t>一、一般性转移支付支出</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 xml:space="preserve"> </w:t>
            </w:r>
            <w:r>
              <w:rPr>
                <w:rFonts w:ascii="Times New Roman" w:hAnsi="Times New Roman" w:eastAsia="宋体" w:cs="Times New Roman"/>
                <w:b/>
                <w:bCs/>
                <w:color w:val="000000"/>
                <w:kern w:val="0"/>
                <w:sz w:val="22"/>
                <w:lang w:bidi="ar"/>
              </w:rPr>
              <w:t>11,751</w:t>
            </w:r>
            <w:r>
              <w:rPr>
                <w:rFonts w:ascii="Times New Roman" w:hAnsi="Times New Roman" w:eastAsia="宋体" w:cs="Times New Roman"/>
                <w:color w:val="000000"/>
                <w:kern w:val="0"/>
                <w:sz w:val="22"/>
                <w:lang w:bidi="ar"/>
              </w:rPr>
              <w:t xml:space="preserve"> </w:t>
            </w: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所得税基数返还收入</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1,123</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均衡财力和激励引导转移支付</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1,564 </w:t>
            </w: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增值税税收返还收入</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59</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体制补助支出</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9,682 </w:t>
            </w: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消费税税收返还收入</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结算补助支出</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505 </w:t>
            </w: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增值税“五五分享”税收返还收入</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11,959</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宋体"/>
                <w:color w:val="000000"/>
                <w:sz w:val="20"/>
                <w:szCs w:val="20"/>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b/>
                <w:bCs/>
                <w:color w:val="000000"/>
                <w:sz w:val="20"/>
                <w:szCs w:val="20"/>
              </w:rPr>
            </w:pPr>
            <w:r>
              <w:rPr>
                <w:rFonts w:hint="eastAsia" w:ascii="Times New Roman" w:hAnsi="Times New Roman" w:eastAsia="宋体" w:cs="宋体"/>
                <w:b/>
                <w:bCs/>
                <w:color w:val="000000"/>
                <w:kern w:val="0"/>
                <w:sz w:val="20"/>
                <w:szCs w:val="20"/>
                <w:lang w:bidi="ar"/>
              </w:rPr>
              <w:t>二、一般性转移支付收入</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b/>
                <w:bCs/>
                <w:color w:val="000000"/>
                <w:kern w:val="0"/>
                <w:sz w:val="20"/>
                <w:szCs w:val="20"/>
                <w:lang w:bidi="ar"/>
              </w:rPr>
              <w:t>47,710</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宋体"/>
                <w:color w:val="000000"/>
                <w:sz w:val="20"/>
                <w:szCs w:val="20"/>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均衡性转移支付收入</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7,133</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仿宋_GB2312" w:cs="仿宋_GB2312"/>
                <w:color w:val="000000"/>
                <w:sz w:val="24"/>
                <w:szCs w:val="24"/>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Times New Roman" w:hAnsi="Times New Roman" w:eastAsia="宋体" w:cs="Times New Roman"/>
                <w:color w:val="000000"/>
                <w:sz w:val="24"/>
                <w:szCs w:val="24"/>
              </w:rPr>
            </w:pP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县级基本财力保障机制奖补资金收入</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3,046</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仿宋_GB2312" w:cs="仿宋_GB2312"/>
                <w:color w:val="000000"/>
                <w:sz w:val="24"/>
                <w:szCs w:val="24"/>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Times New Roman" w:hAnsi="Times New Roman" w:eastAsia="宋体" w:cs="Times New Roman"/>
                <w:color w:val="000000"/>
                <w:sz w:val="24"/>
                <w:szCs w:val="24"/>
              </w:rPr>
            </w:pP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结算补助收入</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3,603</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仿宋_GB2312" w:cs="仿宋_GB2312"/>
                <w:color w:val="000000"/>
                <w:sz w:val="24"/>
                <w:szCs w:val="24"/>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Times New Roman" w:hAnsi="Times New Roman" w:eastAsia="宋体" w:cs="Times New Roman"/>
                <w:color w:val="000000"/>
                <w:sz w:val="24"/>
                <w:szCs w:val="24"/>
              </w:rPr>
            </w:pP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固定数额补助收入</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4,114</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仿宋_GB2312" w:cs="仿宋_GB2312"/>
                <w:color w:val="000000"/>
                <w:sz w:val="24"/>
                <w:szCs w:val="24"/>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Times New Roman" w:hAnsi="Times New Roman" w:eastAsia="宋体" w:cs="Times New Roman"/>
                <w:color w:val="000000"/>
                <w:sz w:val="24"/>
                <w:szCs w:val="24"/>
              </w:rPr>
            </w:pP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巩固脱贫攻坚成果衔接乡村振兴转移支付收入</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1,069</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仿宋_GB2312" w:cs="仿宋_GB2312"/>
                <w:color w:val="000000"/>
                <w:sz w:val="24"/>
                <w:szCs w:val="24"/>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Times New Roman" w:hAnsi="Times New Roman" w:eastAsia="宋体" w:cs="Times New Roman"/>
                <w:color w:val="000000"/>
                <w:sz w:val="24"/>
                <w:szCs w:val="24"/>
              </w:rPr>
            </w:pP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公共安全共同财政事权转移支付收入</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1534</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仿宋_GB2312" w:cs="仿宋_GB2312"/>
                <w:color w:val="000000"/>
                <w:sz w:val="24"/>
                <w:szCs w:val="24"/>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Times New Roman" w:hAnsi="Times New Roman" w:eastAsia="宋体" w:cs="Times New Roman"/>
                <w:color w:val="000000"/>
                <w:sz w:val="24"/>
                <w:szCs w:val="24"/>
              </w:rPr>
            </w:pP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教育共同财政事权转移支付收入  </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8,875</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仿宋_GB2312" w:cs="仿宋_GB2312"/>
                <w:color w:val="000000"/>
                <w:sz w:val="24"/>
                <w:szCs w:val="24"/>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Times New Roman" w:hAnsi="Times New Roman" w:eastAsia="宋体" w:cs="Times New Roman"/>
                <w:color w:val="000000"/>
                <w:sz w:val="24"/>
                <w:szCs w:val="24"/>
              </w:rPr>
            </w:pP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科学技术共同财政事权转移支付收入</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220</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仿宋_GB2312" w:cs="仿宋_GB2312"/>
                <w:color w:val="000000"/>
                <w:sz w:val="24"/>
                <w:szCs w:val="24"/>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Times New Roman" w:hAnsi="Times New Roman" w:eastAsia="宋体" w:cs="Times New Roman"/>
                <w:color w:val="000000"/>
                <w:sz w:val="24"/>
                <w:szCs w:val="24"/>
              </w:rPr>
            </w:pP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文化旅游体育与传媒共同财政事权转移支付收入  </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425</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仿宋_GB2312" w:cs="仿宋_GB2312"/>
                <w:color w:val="000000"/>
                <w:sz w:val="24"/>
                <w:szCs w:val="24"/>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Times New Roman" w:hAnsi="Times New Roman" w:eastAsia="宋体" w:cs="Times New Roman"/>
                <w:color w:val="000000"/>
                <w:sz w:val="24"/>
                <w:szCs w:val="24"/>
              </w:rPr>
            </w:pP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社会保障和就业共同财政事权转移支付收入  </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4,524</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仿宋_GB2312" w:cs="仿宋_GB2312"/>
                <w:color w:val="000000"/>
                <w:sz w:val="24"/>
                <w:szCs w:val="24"/>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Times New Roman" w:hAnsi="Times New Roman" w:eastAsia="宋体" w:cs="Times New Roman"/>
                <w:color w:val="000000"/>
                <w:sz w:val="24"/>
                <w:szCs w:val="24"/>
              </w:rPr>
            </w:pP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医疗卫生共同财政事权转移支付收入</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5,292</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仿宋_GB2312" w:cs="仿宋_GB2312"/>
                <w:color w:val="000000"/>
                <w:sz w:val="24"/>
                <w:szCs w:val="24"/>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Times New Roman" w:hAnsi="Times New Roman" w:eastAsia="宋体" w:cs="Times New Roman"/>
                <w:color w:val="000000"/>
                <w:sz w:val="24"/>
                <w:szCs w:val="24"/>
              </w:rPr>
            </w:pP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节能环保共同财政事权转移支付收入</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16</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仿宋_GB2312" w:cs="仿宋_GB2312"/>
                <w:color w:val="000000"/>
                <w:sz w:val="24"/>
                <w:szCs w:val="24"/>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Times New Roman" w:hAnsi="Times New Roman" w:eastAsia="宋体" w:cs="Times New Roman"/>
                <w:color w:val="000000"/>
                <w:sz w:val="24"/>
                <w:szCs w:val="24"/>
              </w:rPr>
            </w:pP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农林水共同财政事权转移支付收入  </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1,090</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仿宋_GB2312" w:cs="仿宋_GB2312"/>
                <w:color w:val="000000"/>
                <w:sz w:val="24"/>
                <w:szCs w:val="24"/>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Times New Roman" w:hAnsi="Times New Roman" w:eastAsia="宋体" w:cs="Times New Roman"/>
                <w:color w:val="000000"/>
                <w:sz w:val="24"/>
                <w:szCs w:val="24"/>
              </w:rPr>
            </w:pP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交通运输共同财政事权转移支付收入</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682</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仿宋_GB2312" w:cs="仿宋_GB2312"/>
                <w:color w:val="000000"/>
                <w:sz w:val="24"/>
                <w:szCs w:val="24"/>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Times New Roman" w:hAnsi="Times New Roman" w:eastAsia="宋体" w:cs="Times New Roman"/>
                <w:color w:val="000000"/>
                <w:sz w:val="24"/>
                <w:szCs w:val="24"/>
              </w:rPr>
            </w:pP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住房保障共同财政事权转移支付收入</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3,226</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仿宋_GB2312"/>
                <w:color w:val="000000"/>
                <w:sz w:val="24"/>
                <w:szCs w:val="24"/>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4"/>
                <w:szCs w:val="24"/>
              </w:rPr>
            </w:pP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ascii="Times New Roman" w:hAnsi="Times New Roman" w:eastAsia="宋体" w:cs="宋体"/>
                <w:color w:val="000000"/>
                <w:kern w:val="0"/>
                <w:sz w:val="20"/>
                <w:szCs w:val="20"/>
                <w:lang w:bidi="ar"/>
              </w:rPr>
            </w:pPr>
            <w:r>
              <w:rPr>
                <w:rFonts w:hint="eastAsia" w:ascii="Times New Roman" w:hAnsi="Times New Roman" w:eastAsia="宋体" w:cs="宋体"/>
                <w:color w:val="000000"/>
                <w:kern w:val="0"/>
                <w:sz w:val="20"/>
                <w:szCs w:val="20"/>
                <w:lang w:bidi="ar"/>
              </w:rPr>
              <w:t>增值税留抵退税转移支付收入</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1</w:t>
            </w:r>
            <w:r>
              <w:rPr>
                <w:rFonts w:hint="eastAsia" w:ascii="Times New Roman" w:hAnsi="Times New Roman" w:eastAsia="宋体" w:cs="Times New Roman"/>
                <w:color w:val="000000"/>
                <w:kern w:val="0"/>
                <w:sz w:val="20"/>
                <w:szCs w:val="20"/>
                <w:lang w:bidi="ar"/>
              </w:rPr>
              <w:t>,</w:t>
            </w:r>
            <w:r>
              <w:rPr>
                <w:rFonts w:ascii="Times New Roman" w:hAnsi="Times New Roman" w:eastAsia="宋体" w:cs="Times New Roman"/>
                <w:color w:val="000000"/>
                <w:kern w:val="0"/>
                <w:sz w:val="20"/>
                <w:szCs w:val="20"/>
                <w:lang w:bidi="ar"/>
              </w:rPr>
              <w:t>100</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仿宋_GB2312"/>
                <w:color w:val="000000"/>
                <w:sz w:val="24"/>
                <w:szCs w:val="24"/>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4"/>
                <w:szCs w:val="24"/>
              </w:rPr>
            </w:pP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ascii="Times New Roman" w:hAnsi="Times New Roman" w:eastAsia="宋体" w:cs="宋体"/>
                <w:color w:val="000000"/>
                <w:kern w:val="0"/>
                <w:sz w:val="20"/>
                <w:szCs w:val="20"/>
                <w:lang w:bidi="ar"/>
              </w:rPr>
            </w:pPr>
            <w:r>
              <w:rPr>
                <w:rFonts w:hint="eastAsia" w:ascii="Times New Roman" w:hAnsi="Times New Roman" w:eastAsia="宋体" w:cs="宋体"/>
                <w:color w:val="000000"/>
                <w:kern w:val="0"/>
                <w:sz w:val="20"/>
                <w:szCs w:val="20"/>
                <w:lang w:bidi="ar"/>
              </w:rPr>
              <w:t>其他退税减税降费转移支付收入</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1</w:t>
            </w:r>
            <w:r>
              <w:rPr>
                <w:rFonts w:hint="eastAsia" w:ascii="Times New Roman" w:hAnsi="Times New Roman" w:eastAsia="宋体" w:cs="Times New Roman"/>
                <w:color w:val="000000"/>
                <w:kern w:val="0"/>
                <w:sz w:val="20"/>
                <w:szCs w:val="20"/>
                <w:lang w:bidi="ar"/>
              </w:rPr>
              <w:t>,</w:t>
            </w:r>
            <w:r>
              <w:rPr>
                <w:rFonts w:ascii="Times New Roman" w:hAnsi="Times New Roman" w:eastAsia="宋体" w:cs="Times New Roman"/>
                <w:color w:val="000000"/>
                <w:kern w:val="0"/>
                <w:sz w:val="20"/>
                <w:szCs w:val="20"/>
                <w:lang w:bidi="ar"/>
              </w:rPr>
              <w:t>600</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仿宋_GB2312"/>
                <w:color w:val="000000"/>
                <w:sz w:val="24"/>
                <w:szCs w:val="24"/>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4"/>
                <w:szCs w:val="24"/>
              </w:rPr>
            </w:pP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其他一般性转移支付收入</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161</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仿宋_GB2312"/>
                <w:color w:val="000000"/>
                <w:sz w:val="24"/>
                <w:szCs w:val="24"/>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4"/>
                <w:szCs w:val="24"/>
              </w:rPr>
            </w:pP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b/>
                <w:bCs/>
                <w:color w:val="000000"/>
                <w:sz w:val="20"/>
                <w:szCs w:val="20"/>
              </w:rPr>
            </w:pPr>
            <w:r>
              <w:rPr>
                <w:rFonts w:hint="eastAsia" w:ascii="Times New Roman" w:hAnsi="Times New Roman" w:eastAsia="宋体" w:cs="宋体"/>
                <w:b/>
                <w:bCs/>
                <w:color w:val="000000"/>
                <w:kern w:val="0"/>
                <w:sz w:val="20"/>
                <w:szCs w:val="20"/>
                <w:lang w:bidi="ar"/>
              </w:rPr>
              <w:t>三、专项转移支付收入</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2"/>
              </w:rPr>
            </w:pPr>
            <w:r>
              <w:rPr>
                <w:rFonts w:ascii="Times New Roman" w:hAnsi="Times New Roman" w:eastAsia="宋体" w:cs="Times New Roman"/>
                <w:b/>
                <w:bCs/>
                <w:color w:val="000000"/>
                <w:kern w:val="0"/>
                <w:sz w:val="22"/>
                <w:lang w:bidi="ar"/>
              </w:rPr>
              <w:t xml:space="preserve"> 6,852 </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b/>
                <w:bCs/>
                <w:color w:val="000000"/>
                <w:sz w:val="20"/>
                <w:szCs w:val="20"/>
              </w:rPr>
            </w:pPr>
            <w:r>
              <w:rPr>
                <w:rFonts w:hint="eastAsia" w:ascii="Times New Roman" w:hAnsi="Times New Roman" w:eastAsia="宋体" w:cs="宋体"/>
                <w:b/>
                <w:color w:val="000000"/>
                <w:kern w:val="0"/>
                <w:sz w:val="20"/>
                <w:szCs w:val="20"/>
                <w:lang w:bidi="ar"/>
              </w:rPr>
              <w:t>二、专项转移支付支出</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2"/>
              </w:rPr>
            </w:pPr>
            <w:r>
              <w:rPr>
                <w:rFonts w:ascii="Times New Roman" w:hAnsi="Times New Roman" w:eastAsia="宋体" w:cs="Times New Roman"/>
                <w:b/>
                <w:color w:val="000000"/>
                <w:kern w:val="0"/>
                <w:sz w:val="22"/>
                <w:lang w:bidi="ar"/>
              </w:rPr>
              <w:t xml:space="preserve"> 1,382 </w:t>
            </w: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国防</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891</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一般公共服务</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249</w:t>
            </w: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文化旅游体育与传媒</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31</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文化旅游体育与传媒</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37</w:t>
            </w: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卫生健康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500</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社会保障和就业</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w:t>
            </w: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节能环保</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502</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城乡社区</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51</w:t>
            </w: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农林水</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590</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农林水</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169</w:t>
            </w: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交通运输</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28</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交通运输</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186</w:t>
            </w: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资源勘探信息等</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2,400</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自然资源海洋气象</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67</w:t>
            </w: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商业服务业等</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1,132</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住房保障</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200</w:t>
            </w: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住房保障</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748</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宋体"/>
                <w:color w:val="000000"/>
                <w:sz w:val="20"/>
                <w:szCs w:val="20"/>
              </w:rPr>
            </w:pPr>
            <w:r>
              <w:rPr>
                <w:rFonts w:hint="eastAsia" w:ascii="Times New Roman" w:hAnsi="Times New Roman" w:eastAsia="宋体" w:cs="宋体"/>
                <w:color w:val="000000"/>
                <w:sz w:val="20"/>
                <w:szCs w:val="20"/>
              </w:rPr>
              <w:t xml:space="preserve">    灾害防治及应急管理</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420</w:t>
            </w:r>
          </w:p>
        </w:tc>
      </w:tr>
      <w:tr>
        <w:tblPrEx>
          <w:tblLayout w:type="fixed"/>
          <w:tblCellMar>
            <w:top w:w="0" w:type="dxa"/>
            <w:left w:w="108" w:type="dxa"/>
            <w:bottom w:w="0" w:type="dxa"/>
            <w:right w:w="108" w:type="dxa"/>
          </w:tblCellMar>
        </w:tblPrEx>
        <w:trPr>
          <w:trHeight w:val="454" w:hRule="atLeast"/>
        </w:trPr>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灾害防治及应急管理</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30</w:t>
            </w:r>
          </w:p>
        </w:tc>
        <w:tc>
          <w:tcPr>
            <w:tcW w:w="328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仿宋_GB2312" w:cs="仿宋_GB2312"/>
                <w:color w:val="000000"/>
                <w:sz w:val="24"/>
                <w:szCs w:val="24"/>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Times New Roman" w:hAnsi="Times New Roman" w:eastAsia="仿宋_GB2312" w:cs="仿宋_GB2312"/>
                <w:color w:val="000000"/>
                <w:sz w:val="24"/>
                <w:szCs w:val="24"/>
              </w:rPr>
            </w:pPr>
          </w:p>
        </w:tc>
      </w:tr>
      <w:tr>
        <w:tblPrEx>
          <w:tblLayout w:type="fixed"/>
          <w:tblCellMar>
            <w:top w:w="0" w:type="dxa"/>
            <w:left w:w="108" w:type="dxa"/>
            <w:bottom w:w="0" w:type="dxa"/>
            <w:right w:w="108" w:type="dxa"/>
          </w:tblCellMar>
        </w:tblPrEx>
        <w:trPr>
          <w:trHeight w:val="283" w:hRule="atLeast"/>
        </w:trPr>
        <w:tc>
          <w:tcPr>
            <w:tcW w:w="9030" w:type="dxa"/>
            <w:gridSpan w:val="4"/>
            <w:tcBorders>
              <w:top w:val="single" w:color="auto" w:sz="4" w:space="0"/>
              <w:left w:val="nil"/>
              <w:bottom w:val="nil"/>
              <w:right w:val="nil"/>
            </w:tcBorders>
            <w:shd w:val="clear" w:color="auto" w:fill="auto"/>
            <w:vAlign w:val="center"/>
          </w:tcPr>
          <w:p>
            <w:pPr>
              <w:spacing w:before="120" w:beforeLines="50"/>
              <w:jc w:val="left"/>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注：本表详细反映</w:t>
            </w:r>
            <w:r>
              <w:rPr>
                <w:rFonts w:ascii="Times New Roman" w:hAnsi="Times New Roman" w:eastAsia="宋体" w:cs="宋体"/>
                <w:color w:val="000000"/>
                <w:sz w:val="18"/>
                <w:szCs w:val="18"/>
              </w:rPr>
              <w:t>2023</w:t>
            </w:r>
            <w:r>
              <w:rPr>
                <w:rFonts w:hint="eastAsia" w:ascii="Times New Roman" w:hAnsi="Times New Roman" w:eastAsia="宋体" w:cs="宋体"/>
                <w:color w:val="000000"/>
                <w:sz w:val="18"/>
                <w:szCs w:val="18"/>
              </w:rPr>
              <w:t>年一般公共预算转移支付收入和转移支付支出情况。</w:t>
            </w:r>
          </w:p>
        </w:tc>
      </w:tr>
    </w:tbl>
    <w:p>
      <w:pPr>
        <w:widowControl/>
        <w:spacing w:line="580" w:lineRule="exact"/>
        <w:rPr>
          <w:rFonts w:ascii="Times New Roman" w:hAnsi="Times New Roman" w:eastAsia="方正仿宋_GBK"/>
          <w:lang w:val="zh-CN"/>
        </w:rPr>
      </w:pPr>
    </w:p>
    <w:p>
      <w:pPr>
        <w:widowControl/>
        <w:jc w:val="left"/>
        <w:rPr>
          <w:rFonts w:ascii="Times New Roman" w:hAnsi="Times New Roman" w:eastAsia="方正黑体_GBK" w:cs="方正黑体_GBK"/>
          <w:color w:val="000000"/>
          <w:kern w:val="0"/>
          <w:sz w:val="28"/>
          <w:szCs w:val="28"/>
        </w:rPr>
      </w:pPr>
      <w:r>
        <w:rPr>
          <w:rFonts w:ascii="Times New Roman" w:hAnsi="Times New Roman" w:eastAsia="方正黑体_GBK" w:cs="方正黑体_GBK"/>
          <w:color w:val="000000"/>
          <w:kern w:val="0"/>
          <w:sz w:val="28"/>
          <w:szCs w:val="28"/>
        </w:rPr>
        <w:br w:type="page"/>
      </w:r>
    </w:p>
    <w:p>
      <w:pPr>
        <w:spacing w:line="400" w:lineRule="exac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20</w:t>
      </w:r>
    </w:p>
    <w:p>
      <w:pPr>
        <w:widowControl/>
        <w:jc w:val="center"/>
        <w:textAlignment w:val="center"/>
        <w:outlineLvl w:val="0"/>
        <w:rPr>
          <w:rFonts w:ascii="Times New Roman" w:hAnsi="Times New Roman" w:eastAsia="方正小标宋_GBK" w:cs="方正小标宋_GBK"/>
          <w:kern w:val="0"/>
          <w:sz w:val="44"/>
          <w:szCs w:val="44"/>
        </w:rPr>
      </w:pPr>
      <w:r>
        <w:rPr>
          <w:rFonts w:ascii="Times New Roman" w:hAnsi="Times New Roman" w:eastAsia="方正小标宋_GBK" w:cs="Times New Roman"/>
          <w:kern w:val="0"/>
          <w:sz w:val="44"/>
          <w:szCs w:val="44"/>
        </w:rPr>
        <w:t>2023</w:t>
      </w:r>
      <w:r>
        <w:rPr>
          <w:rFonts w:hint="eastAsia" w:ascii="Times New Roman" w:hAnsi="Times New Roman" w:eastAsia="方正小标宋_GBK" w:cs="方正小标宋_GBK"/>
          <w:kern w:val="0"/>
          <w:sz w:val="44"/>
          <w:szCs w:val="44"/>
        </w:rPr>
        <w:t xml:space="preserve">年区级一般公共预算转移支付支出预算表 </w:t>
      </w:r>
    </w:p>
    <w:p>
      <w:pPr>
        <w:widowControl/>
        <w:tabs>
          <w:tab w:val="center" w:pos="4507"/>
          <w:tab w:val="right" w:pos="9014"/>
        </w:tabs>
        <w:jc w:val="left"/>
        <w:textAlignment w:val="center"/>
        <w:outlineLvl w:val="0"/>
        <w:rPr>
          <w:rFonts w:ascii="Times New Roman" w:hAnsi="Times New Roman" w:eastAsia="方正小标宋_GBK" w:cs="方正小标宋_GBK"/>
          <w:color w:val="000000"/>
          <w:kern w:val="0"/>
          <w:sz w:val="32"/>
          <w:szCs w:val="32"/>
        </w:rPr>
      </w:pPr>
      <w:r>
        <w:rPr>
          <w:rFonts w:ascii="Times New Roman" w:hAnsi="Times New Roman" w:eastAsia="方正小标宋_GBK" w:cs="方正小标宋_GBK"/>
          <w:color w:val="000000"/>
          <w:kern w:val="0"/>
          <w:sz w:val="32"/>
          <w:szCs w:val="32"/>
        </w:rPr>
        <w:tab/>
      </w:r>
      <w:bookmarkStart w:id="13" w:name="_Toc1552"/>
      <w:r>
        <w:rPr>
          <w:rFonts w:hint="eastAsia" w:ascii="Times New Roman" w:hAnsi="Times New Roman" w:eastAsia="方正小标宋_GBK" w:cs="方正小标宋_GBK"/>
          <w:color w:val="000000"/>
          <w:kern w:val="0"/>
          <w:sz w:val="32"/>
          <w:szCs w:val="32"/>
        </w:rPr>
        <w:t>（分地区）</w:t>
      </w:r>
      <w:bookmarkEnd w:id="13"/>
      <w:r>
        <w:rPr>
          <w:rFonts w:ascii="Times New Roman" w:hAnsi="Times New Roman" w:eastAsia="方正小标宋_GBK" w:cs="方正小标宋_GBK"/>
          <w:color w:val="000000"/>
          <w:kern w:val="0"/>
          <w:sz w:val="32"/>
          <w:szCs w:val="32"/>
        </w:rPr>
        <w:tab/>
      </w:r>
    </w:p>
    <w:p>
      <w:pPr>
        <w:jc w:val="right"/>
        <w:rPr>
          <w:rFonts w:ascii="Times New Roman" w:hAnsi="Times New Roman" w:eastAsia="宋体" w:cs="Times New Roman"/>
        </w:rPr>
      </w:pPr>
      <w:r>
        <w:rPr>
          <w:rFonts w:hint="eastAsia" w:ascii="Times New Roman" w:hAnsi="Times New Roman" w:eastAsia="宋体" w:cs="Times New Roman"/>
        </w:rPr>
        <w:t>单位：万元</w:t>
      </w:r>
    </w:p>
    <w:tbl>
      <w:tblPr>
        <w:tblStyle w:val="10"/>
        <w:tblW w:w="9000" w:type="dxa"/>
        <w:jc w:val="center"/>
        <w:tblInd w:w="0" w:type="dxa"/>
        <w:tblLayout w:type="fixed"/>
        <w:tblCellMar>
          <w:top w:w="0" w:type="dxa"/>
          <w:left w:w="0" w:type="dxa"/>
          <w:bottom w:w="0" w:type="dxa"/>
          <w:right w:w="0" w:type="dxa"/>
        </w:tblCellMar>
      </w:tblPr>
      <w:tblGrid>
        <w:gridCol w:w="3299"/>
        <w:gridCol w:w="5701"/>
      </w:tblGrid>
      <w:tr>
        <w:tblPrEx>
          <w:tblLayout w:type="fixed"/>
          <w:tblCellMar>
            <w:top w:w="0" w:type="dxa"/>
            <w:left w:w="0" w:type="dxa"/>
            <w:bottom w:w="0" w:type="dxa"/>
            <w:right w:w="0" w:type="dxa"/>
          </w:tblCellMar>
        </w:tblPrEx>
        <w:trPr>
          <w:trHeight w:val="652" w:hRule="atLeast"/>
          <w:jc w:val="center"/>
        </w:trPr>
        <w:tc>
          <w:tcPr>
            <w:tcW w:w="32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rPr>
              <w:t>镇</w:t>
            </w:r>
          </w:p>
        </w:tc>
        <w:tc>
          <w:tcPr>
            <w:tcW w:w="57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rPr>
              <w:t>预算数</w:t>
            </w:r>
          </w:p>
        </w:tc>
      </w:tr>
      <w:tr>
        <w:tblPrEx>
          <w:tblLayout w:type="fixed"/>
          <w:tblCellMar>
            <w:top w:w="0" w:type="dxa"/>
            <w:left w:w="0" w:type="dxa"/>
            <w:bottom w:w="0" w:type="dxa"/>
            <w:right w:w="0" w:type="dxa"/>
          </w:tblCellMar>
        </w:tblPrEx>
        <w:trPr>
          <w:trHeight w:val="454" w:hRule="atLeast"/>
          <w:jc w:val="center"/>
        </w:trPr>
        <w:tc>
          <w:tcPr>
            <w:tcW w:w="329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left"/>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rPr>
              <w:t>补助镇合计</w:t>
            </w:r>
          </w:p>
        </w:tc>
        <w:tc>
          <w:tcPr>
            <w:tcW w:w="57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2"/>
              </w:rPr>
            </w:pPr>
            <w:r>
              <w:rPr>
                <w:rFonts w:ascii="Times New Roman" w:hAnsi="Times New Roman" w:eastAsia="宋体" w:cs="Times New Roman"/>
                <w:b/>
                <w:color w:val="000000"/>
                <w:kern w:val="0"/>
                <w:sz w:val="22"/>
                <w:lang w:bidi="ar"/>
              </w:rPr>
              <w:t xml:space="preserve"> 13,133 </w:t>
            </w:r>
          </w:p>
        </w:tc>
      </w:tr>
      <w:tr>
        <w:tblPrEx>
          <w:tblLayout w:type="fixed"/>
          <w:tblCellMar>
            <w:top w:w="0" w:type="dxa"/>
            <w:left w:w="0" w:type="dxa"/>
            <w:bottom w:w="0" w:type="dxa"/>
            <w:right w:w="0" w:type="dxa"/>
          </w:tblCellMar>
        </w:tblPrEx>
        <w:trPr>
          <w:trHeight w:val="454" w:hRule="atLeast"/>
          <w:jc w:val="center"/>
        </w:trPr>
        <w:tc>
          <w:tcPr>
            <w:tcW w:w="329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八桥镇</w:t>
            </w:r>
          </w:p>
        </w:tc>
        <w:tc>
          <w:tcPr>
            <w:tcW w:w="570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4,528 </w:t>
            </w:r>
          </w:p>
        </w:tc>
      </w:tr>
      <w:tr>
        <w:tblPrEx>
          <w:tblLayout w:type="fixed"/>
          <w:tblCellMar>
            <w:top w:w="0" w:type="dxa"/>
            <w:left w:w="0" w:type="dxa"/>
            <w:bottom w:w="0" w:type="dxa"/>
            <w:right w:w="0" w:type="dxa"/>
          </w:tblCellMar>
        </w:tblPrEx>
        <w:trPr>
          <w:trHeight w:val="454" w:hRule="atLeast"/>
          <w:jc w:val="center"/>
        </w:trPr>
        <w:tc>
          <w:tcPr>
            <w:tcW w:w="3299" w:type="dxa"/>
            <w:tcBorders>
              <w:top w:val="single" w:color="000000" w:sz="4" w:space="0"/>
              <w:left w:val="single" w:color="000000" w:sz="4" w:space="0"/>
              <w:bottom w:val="single" w:color="000000" w:sz="4" w:space="0"/>
              <w:right w:val="nil"/>
            </w:tcBorders>
            <w:shd w:val="clear" w:color="auto" w:fill="FFFFFF"/>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建胜镇</w:t>
            </w:r>
          </w:p>
        </w:tc>
        <w:tc>
          <w:tcPr>
            <w:tcW w:w="570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3,451 </w:t>
            </w:r>
          </w:p>
        </w:tc>
      </w:tr>
      <w:tr>
        <w:tblPrEx>
          <w:tblLayout w:type="fixed"/>
          <w:tblCellMar>
            <w:top w:w="0" w:type="dxa"/>
            <w:left w:w="0" w:type="dxa"/>
            <w:bottom w:w="0" w:type="dxa"/>
            <w:right w:w="0" w:type="dxa"/>
          </w:tblCellMar>
        </w:tblPrEx>
        <w:trPr>
          <w:trHeight w:val="454" w:hRule="atLeast"/>
          <w:jc w:val="center"/>
        </w:trPr>
        <w:tc>
          <w:tcPr>
            <w:tcW w:w="3299" w:type="dxa"/>
            <w:tcBorders>
              <w:top w:val="single" w:color="000000" w:sz="4" w:space="0"/>
              <w:left w:val="single" w:color="000000" w:sz="4" w:space="0"/>
              <w:bottom w:val="single" w:color="000000" w:sz="4" w:space="0"/>
              <w:right w:val="nil"/>
            </w:tcBorders>
            <w:shd w:val="clear" w:color="auto" w:fill="FFFFFF"/>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跳磴镇</w:t>
            </w:r>
          </w:p>
        </w:tc>
        <w:tc>
          <w:tcPr>
            <w:tcW w:w="570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5,154 </w:t>
            </w:r>
          </w:p>
        </w:tc>
      </w:tr>
    </w:tbl>
    <w:p>
      <w:pPr>
        <w:widowControl/>
        <w:spacing w:line="580" w:lineRule="exact"/>
        <w:rPr>
          <w:rFonts w:ascii="Times New Roman" w:hAnsi="Times New Roman" w:eastAsia="方正仿宋_GBK"/>
          <w:lang w:val="zh-CN"/>
        </w:rPr>
      </w:pPr>
    </w:p>
    <w:p>
      <w:pPr>
        <w:widowControl/>
        <w:spacing w:line="580" w:lineRule="exact"/>
        <w:rPr>
          <w:rFonts w:ascii="Times New Roman" w:hAnsi="Times New Roman" w:eastAsia="方正仿宋_GBK"/>
          <w:lang w:val="zh-CN"/>
        </w:rPr>
      </w:pPr>
    </w:p>
    <w:p>
      <w:pPr>
        <w:widowControl/>
        <w:spacing w:line="580" w:lineRule="exact"/>
        <w:rPr>
          <w:rFonts w:ascii="Times New Roman" w:hAnsi="Times New Roman" w:eastAsia="方正仿宋_GBK"/>
          <w:lang w:val="zh-CN"/>
        </w:rPr>
      </w:pPr>
    </w:p>
    <w:p>
      <w:pPr>
        <w:widowControl/>
        <w:jc w:val="left"/>
        <w:rPr>
          <w:rFonts w:ascii="Times New Roman" w:hAnsi="Times New Roman" w:eastAsia="方正黑体_GBK" w:cs="方正黑体_GBK"/>
          <w:color w:val="000000"/>
          <w:kern w:val="0"/>
          <w:sz w:val="28"/>
          <w:szCs w:val="28"/>
        </w:rPr>
      </w:pPr>
      <w:r>
        <w:rPr>
          <w:rFonts w:ascii="Times New Roman" w:hAnsi="Times New Roman" w:eastAsia="方正黑体_GBK" w:cs="方正黑体_GBK"/>
          <w:color w:val="000000"/>
          <w:kern w:val="0"/>
          <w:sz w:val="28"/>
          <w:szCs w:val="28"/>
        </w:rPr>
        <w:br w:type="page"/>
      </w:r>
    </w:p>
    <w:p>
      <w:pPr>
        <w:spacing w:line="400" w:lineRule="exac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21</w:t>
      </w:r>
    </w:p>
    <w:p>
      <w:pPr>
        <w:widowControl/>
        <w:jc w:val="center"/>
        <w:textAlignment w:val="center"/>
        <w:outlineLvl w:val="0"/>
        <w:rPr>
          <w:rFonts w:ascii="Times New Roman" w:hAnsi="Times New Roman" w:eastAsia="方正小标宋_GBK" w:cs="方正小标宋_GBK"/>
          <w:kern w:val="0"/>
          <w:sz w:val="44"/>
          <w:szCs w:val="44"/>
        </w:rPr>
      </w:pPr>
      <w:r>
        <w:rPr>
          <w:rFonts w:ascii="Times New Roman" w:hAnsi="Times New Roman" w:eastAsia="方正小标宋_GBK" w:cs="Times New Roman"/>
          <w:kern w:val="0"/>
          <w:sz w:val="44"/>
          <w:szCs w:val="44"/>
        </w:rPr>
        <w:t>2023</w:t>
      </w:r>
      <w:r>
        <w:rPr>
          <w:rFonts w:hint="eastAsia" w:ascii="Times New Roman" w:hAnsi="Times New Roman" w:eastAsia="方正小标宋_GBK" w:cs="方正小标宋_GBK"/>
          <w:kern w:val="0"/>
          <w:sz w:val="44"/>
          <w:szCs w:val="44"/>
        </w:rPr>
        <w:t xml:space="preserve">年区级一般公共预算转移支付支出预算表 </w:t>
      </w:r>
    </w:p>
    <w:p>
      <w:pPr>
        <w:widowControl/>
        <w:jc w:val="center"/>
        <w:textAlignment w:val="center"/>
        <w:outlineLvl w:val="0"/>
        <w:rPr>
          <w:rFonts w:ascii="Times New Roman" w:hAnsi="Times New Roman" w:eastAsia="方正小标宋_GBK" w:cs="方正小标宋_GBK"/>
          <w:color w:val="000000"/>
          <w:kern w:val="0"/>
          <w:sz w:val="32"/>
          <w:szCs w:val="32"/>
        </w:rPr>
      </w:pPr>
      <w:bookmarkStart w:id="14" w:name="_Toc2530"/>
      <w:r>
        <w:rPr>
          <w:rFonts w:hint="eastAsia" w:ascii="Times New Roman" w:hAnsi="Times New Roman" w:eastAsia="方正小标宋_GBK" w:cs="方正小标宋_GBK"/>
          <w:color w:val="000000"/>
          <w:kern w:val="0"/>
          <w:sz w:val="32"/>
          <w:szCs w:val="32"/>
        </w:rPr>
        <w:t>（分项目）</w:t>
      </w:r>
      <w:bookmarkEnd w:id="14"/>
    </w:p>
    <w:p>
      <w:pPr>
        <w:jc w:val="right"/>
        <w:rPr>
          <w:rFonts w:ascii="Times New Roman" w:hAnsi="Times New Roman" w:eastAsia="宋体" w:cs="Times New Roman"/>
        </w:rPr>
      </w:pPr>
      <w:r>
        <w:rPr>
          <w:rFonts w:hint="eastAsia" w:ascii="Times New Roman" w:hAnsi="Times New Roman" w:eastAsia="宋体" w:cs="Times New Roman"/>
        </w:rPr>
        <w:t>单位：万元</w:t>
      </w:r>
    </w:p>
    <w:tbl>
      <w:tblPr>
        <w:tblStyle w:val="10"/>
        <w:tblW w:w="9084" w:type="dxa"/>
        <w:jc w:val="center"/>
        <w:tblInd w:w="0" w:type="dxa"/>
        <w:tblLayout w:type="fixed"/>
        <w:tblCellMar>
          <w:top w:w="0" w:type="dxa"/>
          <w:left w:w="0" w:type="dxa"/>
          <w:bottom w:w="0" w:type="dxa"/>
          <w:right w:w="0" w:type="dxa"/>
        </w:tblCellMar>
      </w:tblPr>
      <w:tblGrid>
        <w:gridCol w:w="5595"/>
        <w:gridCol w:w="3489"/>
      </w:tblGrid>
      <w:tr>
        <w:tblPrEx>
          <w:tblLayout w:type="fixed"/>
          <w:tblCellMar>
            <w:top w:w="0" w:type="dxa"/>
            <w:left w:w="0" w:type="dxa"/>
            <w:bottom w:w="0" w:type="dxa"/>
            <w:right w:w="0" w:type="dxa"/>
          </w:tblCellMar>
        </w:tblPrEx>
        <w:trPr>
          <w:trHeight w:val="522" w:hRule="atLeast"/>
          <w:jc w:val="center"/>
        </w:trPr>
        <w:tc>
          <w:tcPr>
            <w:tcW w:w="55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rPr>
              <w:t>支      出</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rPr>
              <w:t>预 算 数</w:t>
            </w:r>
          </w:p>
        </w:tc>
      </w:tr>
      <w:tr>
        <w:tblPrEx>
          <w:tblLayout w:type="fixed"/>
          <w:tblCellMar>
            <w:top w:w="0" w:type="dxa"/>
            <w:left w:w="0" w:type="dxa"/>
            <w:bottom w:w="0" w:type="dxa"/>
            <w:right w:w="0" w:type="dxa"/>
          </w:tblCellMar>
        </w:tblPrEx>
        <w:trPr>
          <w:trHeight w:val="454" w:hRule="atLeast"/>
          <w:jc w:val="center"/>
        </w:trPr>
        <w:tc>
          <w:tcPr>
            <w:tcW w:w="55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补助镇合计</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黑体" w:cs="黑体"/>
                <w:b/>
                <w:color w:val="000000"/>
                <w:sz w:val="22"/>
              </w:rPr>
            </w:pPr>
            <w:r>
              <w:rPr>
                <w:rFonts w:ascii="Times New Roman" w:hAnsi="Times New Roman" w:eastAsia="宋体" w:cs="Times New Roman"/>
                <w:b/>
                <w:color w:val="000000"/>
                <w:kern w:val="0"/>
                <w:sz w:val="22"/>
                <w:lang w:bidi="ar"/>
              </w:rPr>
              <w:t>13,133</w:t>
            </w:r>
          </w:p>
        </w:tc>
      </w:tr>
      <w:tr>
        <w:tblPrEx>
          <w:tblLayout w:type="fixed"/>
          <w:tblCellMar>
            <w:top w:w="0" w:type="dxa"/>
            <w:left w:w="0" w:type="dxa"/>
            <w:bottom w:w="0" w:type="dxa"/>
            <w:right w:w="0" w:type="dxa"/>
          </w:tblCellMar>
        </w:tblPrEx>
        <w:trPr>
          <w:trHeight w:val="454" w:hRule="atLeast"/>
          <w:jc w:val="center"/>
        </w:trPr>
        <w:tc>
          <w:tcPr>
            <w:tcW w:w="55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eastAsia="宋体" w:cs="宋体"/>
                <w:b/>
                <w:bCs/>
                <w:color w:val="000000"/>
                <w:sz w:val="20"/>
                <w:szCs w:val="20"/>
              </w:rPr>
            </w:pPr>
            <w:r>
              <w:rPr>
                <w:rFonts w:hint="eastAsia" w:ascii="Times New Roman" w:hAnsi="Times New Roman" w:eastAsia="宋体" w:cs="宋体"/>
                <w:b/>
                <w:bCs/>
                <w:color w:val="000000"/>
                <w:kern w:val="0"/>
                <w:sz w:val="20"/>
                <w:szCs w:val="20"/>
                <w:lang w:bidi="ar"/>
              </w:rPr>
              <w:t xml:space="preserve">  财力保障</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b/>
                <w:bCs/>
                <w:color w:val="000000"/>
                <w:sz w:val="22"/>
              </w:rPr>
            </w:pPr>
            <w:r>
              <w:rPr>
                <w:rFonts w:ascii="Times New Roman" w:hAnsi="Times New Roman" w:eastAsia="宋体" w:cs="Times New Roman"/>
                <w:b/>
                <w:bCs/>
                <w:color w:val="000000"/>
                <w:kern w:val="0"/>
                <w:sz w:val="20"/>
                <w:szCs w:val="20"/>
                <w:lang w:bidi="ar"/>
              </w:rPr>
              <w:t>11,751</w:t>
            </w:r>
          </w:p>
        </w:tc>
      </w:tr>
      <w:tr>
        <w:tblPrEx>
          <w:tblLayout w:type="fixed"/>
          <w:tblCellMar>
            <w:top w:w="0" w:type="dxa"/>
            <w:left w:w="0" w:type="dxa"/>
            <w:bottom w:w="0" w:type="dxa"/>
            <w:right w:w="0" w:type="dxa"/>
          </w:tblCellMar>
        </w:tblPrEx>
        <w:trPr>
          <w:trHeight w:val="454" w:hRule="atLeast"/>
          <w:jc w:val="center"/>
        </w:trPr>
        <w:tc>
          <w:tcPr>
            <w:tcW w:w="55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均衡性转移支付支出</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0"/>
                <w:szCs w:val="20"/>
                <w:lang w:bidi="ar"/>
              </w:rPr>
              <w:t>1,564</w:t>
            </w:r>
          </w:p>
        </w:tc>
      </w:tr>
      <w:tr>
        <w:tblPrEx>
          <w:tblLayout w:type="fixed"/>
          <w:tblCellMar>
            <w:top w:w="0" w:type="dxa"/>
            <w:left w:w="0" w:type="dxa"/>
            <w:bottom w:w="0" w:type="dxa"/>
            <w:right w:w="0" w:type="dxa"/>
          </w:tblCellMar>
        </w:tblPrEx>
        <w:trPr>
          <w:trHeight w:val="454" w:hRule="atLeast"/>
          <w:jc w:val="center"/>
        </w:trPr>
        <w:tc>
          <w:tcPr>
            <w:tcW w:w="55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体制补助支出</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0"/>
                <w:szCs w:val="20"/>
                <w:lang w:bidi="ar"/>
              </w:rPr>
              <w:t>9,682</w:t>
            </w:r>
          </w:p>
        </w:tc>
      </w:tr>
      <w:tr>
        <w:tblPrEx>
          <w:tblLayout w:type="fixed"/>
          <w:tblCellMar>
            <w:top w:w="0" w:type="dxa"/>
            <w:left w:w="0" w:type="dxa"/>
            <w:bottom w:w="0" w:type="dxa"/>
            <w:right w:w="0" w:type="dxa"/>
          </w:tblCellMar>
        </w:tblPrEx>
        <w:trPr>
          <w:trHeight w:val="454" w:hRule="atLeast"/>
          <w:jc w:val="center"/>
        </w:trPr>
        <w:tc>
          <w:tcPr>
            <w:tcW w:w="55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200" w:firstLineChars="100"/>
              <w:jc w:val="left"/>
              <w:textAlignment w:val="center"/>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lang w:bidi="ar"/>
              </w:rPr>
              <w:t xml:space="preserve">   结算补助支出</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0"/>
                <w:szCs w:val="20"/>
                <w:lang w:bidi="ar"/>
              </w:rPr>
              <w:t>505</w:t>
            </w:r>
          </w:p>
        </w:tc>
      </w:tr>
      <w:tr>
        <w:tblPrEx>
          <w:tblLayout w:type="fixed"/>
          <w:tblCellMar>
            <w:top w:w="0" w:type="dxa"/>
            <w:left w:w="0" w:type="dxa"/>
            <w:bottom w:w="0" w:type="dxa"/>
            <w:right w:w="0" w:type="dxa"/>
          </w:tblCellMar>
        </w:tblPrEx>
        <w:trPr>
          <w:trHeight w:val="454" w:hRule="atLeast"/>
          <w:jc w:val="center"/>
        </w:trPr>
        <w:tc>
          <w:tcPr>
            <w:tcW w:w="55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eastAsia="宋体" w:cs="宋体"/>
                <w:b/>
                <w:bCs/>
                <w:color w:val="000000"/>
                <w:sz w:val="20"/>
                <w:szCs w:val="20"/>
              </w:rPr>
            </w:pPr>
            <w:r>
              <w:rPr>
                <w:rFonts w:hint="eastAsia" w:ascii="Times New Roman" w:hAnsi="Times New Roman" w:eastAsia="宋体" w:cs="宋体"/>
                <w:b/>
                <w:bCs/>
                <w:color w:val="000000"/>
                <w:kern w:val="0"/>
                <w:sz w:val="20"/>
                <w:szCs w:val="20"/>
                <w:lang w:bidi="ar"/>
              </w:rPr>
              <w:t xml:space="preserve">  专项转移支付</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b/>
                <w:bCs/>
                <w:color w:val="000000"/>
                <w:sz w:val="22"/>
              </w:rPr>
            </w:pPr>
            <w:r>
              <w:rPr>
                <w:rFonts w:ascii="Times New Roman" w:hAnsi="Times New Roman" w:eastAsia="宋体" w:cs="Times New Roman"/>
                <w:b/>
                <w:bCs/>
                <w:color w:val="000000"/>
                <w:kern w:val="0"/>
                <w:sz w:val="20"/>
                <w:szCs w:val="20"/>
                <w:lang w:bidi="ar"/>
              </w:rPr>
              <w:t>1,382</w:t>
            </w:r>
          </w:p>
        </w:tc>
      </w:tr>
      <w:tr>
        <w:tblPrEx>
          <w:tblLayout w:type="fixed"/>
          <w:tblCellMar>
            <w:top w:w="0" w:type="dxa"/>
            <w:left w:w="0" w:type="dxa"/>
            <w:bottom w:w="0" w:type="dxa"/>
            <w:right w:w="0" w:type="dxa"/>
          </w:tblCellMar>
        </w:tblPrEx>
        <w:trPr>
          <w:trHeight w:val="454" w:hRule="atLeast"/>
          <w:jc w:val="center"/>
        </w:trPr>
        <w:tc>
          <w:tcPr>
            <w:tcW w:w="55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渝快保惠民项目</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0"/>
                <w:szCs w:val="20"/>
                <w:lang w:bidi="ar"/>
              </w:rPr>
              <w:t>3</w:t>
            </w:r>
          </w:p>
        </w:tc>
      </w:tr>
      <w:tr>
        <w:tblPrEx>
          <w:tblLayout w:type="fixed"/>
          <w:tblCellMar>
            <w:top w:w="0" w:type="dxa"/>
            <w:left w:w="0" w:type="dxa"/>
            <w:bottom w:w="0" w:type="dxa"/>
            <w:right w:w="0" w:type="dxa"/>
          </w:tblCellMar>
        </w:tblPrEx>
        <w:trPr>
          <w:trHeight w:val="454" w:hRule="atLeast"/>
          <w:jc w:val="center"/>
        </w:trPr>
        <w:tc>
          <w:tcPr>
            <w:tcW w:w="55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西城佳园无障碍设施改造</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宋体"/>
                <w:color w:val="000000"/>
                <w:sz w:val="20"/>
                <w:szCs w:val="20"/>
              </w:rPr>
            </w:pPr>
            <w:r>
              <w:rPr>
                <w:rFonts w:ascii="Times New Roman" w:hAnsi="Times New Roman" w:eastAsia="宋体" w:cs="Times New Roman"/>
                <w:color w:val="000000"/>
                <w:kern w:val="0"/>
                <w:sz w:val="20"/>
                <w:szCs w:val="20"/>
                <w:lang w:bidi="ar"/>
              </w:rPr>
              <w:t>47</w:t>
            </w:r>
          </w:p>
        </w:tc>
      </w:tr>
      <w:tr>
        <w:tblPrEx>
          <w:tblLayout w:type="fixed"/>
          <w:tblCellMar>
            <w:top w:w="0" w:type="dxa"/>
            <w:left w:w="0" w:type="dxa"/>
            <w:bottom w:w="0" w:type="dxa"/>
            <w:right w:w="0" w:type="dxa"/>
          </w:tblCellMar>
        </w:tblPrEx>
        <w:trPr>
          <w:trHeight w:val="454" w:hRule="atLeast"/>
          <w:jc w:val="center"/>
        </w:trPr>
        <w:tc>
          <w:tcPr>
            <w:tcW w:w="55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村级建制撤销</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宋体"/>
                <w:color w:val="000000"/>
                <w:sz w:val="20"/>
                <w:szCs w:val="20"/>
              </w:rPr>
            </w:pPr>
            <w:r>
              <w:rPr>
                <w:rFonts w:ascii="Times New Roman" w:hAnsi="Times New Roman" w:eastAsia="宋体" w:cs="Times New Roman"/>
                <w:color w:val="000000"/>
                <w:kern w:val="0"/>
                <w:sz w:val="20"/>
                <w:szCs w:val="20"/>
                <w:lang w:bidi="ar"/>
              </w:rPr>
              <w:t>110</w:t>
            </w:r>
          </w:p>
        </w:tc>
      </w:tr>
      <w:tr>
        <w:tblPrEx>
          <w:tblLayout w:type="fixed"/>
          <w:tblCellMar>
            <w:top w:w="0" w:type="dxa"/>
            <w:left w:w="0" w:type="dxa"/>
            <w:bottom w:w="0" w:type="dxa"/>
            <w:right w:w="0" w:type="dxa"/>
          </w:tblCellMar>
        </w:tblPrEx>
        <w:trPr>
          <w:trHeight w:val="454" w:hRule="atLeast"/>
          <w:jc w:val="center"/>
        </w:trPr>
        <w:tc>
          <w:tcPr>
            <w:tcW w:w="55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地质灾害应急抢险工作经费</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宋体"/>
                <w:color w:val="000000"/>
                <w:sz w:val="20"/>
                <w:szCs w:val="20"/>
              </w:rPr>
            </w:pPr>
            <w:r>
              <w:rPr>
                <w:rFonts w:ascii="Times New Roman" w:hAnsi="Times New Roman" w:eastAsia="宋体" w:cs="Times New Roman"/>
                <w:color w:val="000000"/>
                <w:kern w:val="0"/>
                <w:sz w:val="20"/>
                <w:szCs w:val="20"/>
                <w:lang w:bidi="ar"/>
              </w:rPr>
              <w:t>47</w:t>
            </w:r>
          </w:p>
        </w:tc>
      </w:tr>
      <w:tr>
        <w:tblPrEx>
          <w:tblLayout w:type="fixed"/>
          <w:tblCellMar>
            <w:top w:w="0" w:type="dxa"/>
            <w:left w:w="0" w:type="dxa"/>
            <w:bottom w:w="0" w:type="dxa"/>
            <w:right w:w="0" w:type="dxa"/>
          </w:tblCellMar>
        </w:tblPrEx>
        <w:trPr>
          <w:trHeight w:val="454" w:hRule="atLeast"/>
          <w:jc w:val="center"/>
        </w:trPr>
        <w:tc>
          <w:tcPr>
            <w:tcW w:w="55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临时过渡办公用房搬迁费用</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宋体"/>
                <w:color w:val="000000"/>
                <w:sz w:val="20"/>
                <w:szCs w:val="20"/>
              </w:rPr>
            </w:pPr>
            <w:r>
              <w:rPr>
                <w:rFonts w:ascii="Times New Roman" w:hAnsi="Times New Roman" w:eastAsia="宋体" w:cs="Times New Roman"/>
                <w:color w:val="000000"/>
                <w:kern w:val="0"/>
                <w:sz w:val="20"/>
                <w:szCs w:val="20"/>
                <w:lang w:bidi="ar"/>
              </w:rPr>
              <w:t>249</w:t>
            </w:r>
          </w:p>
        </w:tc>
      </w:tr>
      <w:tr>
        <w:tblPrEx>
          <w:tblLayout w:type="fixed"/>
          <w:tblCellMar>
            <w:top w:w="0" w:type="dxa"/>
            <w:left w:w="0" w:type="dxa"/>
            <w:bottom w:w="0" w:type="dxa"/>
            <w:right w:w="0" w:type="dxa"/>
          </w:tblCellMar>
        </w:tblPrEx>
        <w:trPr>
          <w:trHeight w:val="454" w:hRule="atLeast"/>
          <w:jc w:val="center"/>
        </w:trPr>
        <w:tc>
          <w:tcPr>
            <w:tcW w:w="55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白沙沱社区灾后修复重建及老旧小区改造项目</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宋体"/>
                <w:color w:val="000000"/>
                <w:sz w:val="20"/>
                <w:szCs w:val="20"/>
              </w:rPr>
            </w:pPr>
            <w:r>
              <w:rPr>
                <w:rFonts w:ascii="Times New Roman" w:hAnsi="Times New Roman" w:eastAsia="宋体" w:cs="Times New Roman"/>
                <w:color w:val="000000"/>
                <w:kern w:val="0"/>
                <w:sz w:val="20"/>
                <w:szCs w:val="20"/>
                <w:lang w:bidi="ar"/>
              </w:rPr>
              <w:t>264</w:t>
            </w:r>
          </w:p>
        </w:tc>
      </w:tr>
      <w:tr>
        <w:tblPrEx>
          <w:tblLayout w:type="fixed"/>
          <w:tblCellMar>
            <w:top w:w="0" w:type="dxa"/>
            <w:left w:w="0" w:type="dxa"/>
            <w:bottom w:w="0" w:type="dxa"/>
            <w:right w:w="0" w:type="dxa"/>
          </w:tblCellMar>
        </w:tblPrEx>
        <w:trPr>
          <w:trHeight w:val="454" w:hRule="atLeast"/>
          <w:jc w:val="center"/>
        </w:trPr>
        <w:tc>
          <w:tcPr>
            <w:tcW w:w="55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渝昆高铁中梁山横洞项目临时用地补助</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宋体"/>
                <w:color w:val="000000"/>
                <w:sz w:val="20"/>
                <w:szCs w:val="20"/>
              </w:rPr>
            </w:pPr>
            <w:r>
              <w:rPr>
                <w:rFonts w:ascii="Times New Roman" w:hAnsi="Times New Roman" w:eastAsia="宋体" w:cs="Times New Roman"/>
                <w:color w:val="000000"/>
                <w:kern w:val="0"/>
                <w:sz w:val="20"/>
                <w:szCs w:val="20"/>
                <w:lang w:bidi="ar"/>
              </w:rPr>
              <w:t>186</w:t>
            </w:r>
          </w:p>
        </w:tc>
      </w:tr>
      <w:tr>
        <w:tblPrEx>
          <w:tblLayout w:type="fixed"/>
          <w:tblCellMar>
            <w:top w:w="0" w:type="dxa"/>
            <w:left w:w="0" w:type="dxa"/>
            <w:bottom w:w="0" w:type="dxa"/>
            <w:right w:w="0" w:type="dxa"/>
          </w:tblCellMar>
        </w:tblPrEx>
        <w:trPr>
          <w:trHeight w:val="454" w:hRule="atLeast"/>
          <w:jc w:val="center"/>
        </w:trPr>
        <w:tc>
          <w:tcPr>
            <w:tcW w:w="55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李家湾滑坡区域避险拆迁补偿安置</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宋体"/>
                <w:color w:val="000000"/>
                <w:sz w:val="20"/>
                <w:szCs w:val="20"/>
              </w:rPr>
            </w:pPr>
            <w:r>
              <w:rPr>
                <w:rFonts w:ascii="Times New Roman" w:hAnsi="Times New Roman" w:eastAsia="宋体" w:cs="Times New Roman"/>
                <w:color w:val="000000"/>
                <w:kern w:val="0"/>
                <w:sz w:val="20"/>
                <w:szCs w:val="20"/>
                <w:lang w:bidi="ar"/>
              </w:rPr>
              <w:t>110</w:t>
            </w:r>
          </w:p>
        </w:tc>
      </w:tr>
      <w:tr>
        <w:tblPrEx>
          <w:tblLayout w:type="fixed"/>
          <w:tblCellMar>
            <w:top w:w="0" w:type="dxa"/>
            <w:left w:w="0" w:type="dxa"/>
            <w:bottom w:w="0" w:type="dxa"/>
            <w:right w:w="0" w:type="dxa"/>
          </w:tblCellMar>
        </w:tblPrEx>
        <w:trPr>
          <w:trHeight w:val="454" w:hRule="atLeast"/>
          <w:jc w:val="center"/>
        </w:trPr>
        <w:tc>
          <w:tcPr>
            <w:tcW w:w="55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400" w:firstLineChars="2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新合村长江经济带矿山复绿项目</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宋体"/>
                <w:color w:val="000000"/>
                <w:sz w:val="20"/>
                <w:szCs w:val="20"/>
              </w:rPr>
            </w:pPr>
            <w:r>
              <w:rPr>
                <w:rFonts w:ascii="Times New Roman" w:hAnsi="Times New Roman" w:eastAsia="宋体" w:cs="Times New Roman"/>
                <w:color w:val="000000"/>
                <w:kern w:val="0"/>
                <w:sz w:val="20"/>
                <w:szCs w:val="20"/>
                <w:lang w:bidi="ar"/>
              </w:rPr>
              <w:t>67</w:t>
            </w:r>
          </w:p>
        </w:tc>
      </w:tr>
      <w:tr>
        <w:tblPrEx>
          <w:tblLayout w:type="fixed"/>
          <w:tblCellMar>
            <w:top w:w="0" w:type="dxa"/>
            <w:left w:w="0" w:type="dxa"/>
            <w:bottom w:w="0" w:type="dxa"/>
            <w:right w:w="0" w:type="dxa"/>
          </w:tblCellMar>
        </w:tblPrEx>
        <w:trPr>
          <w:trHeight w:val="454" w:hRule="atLeast"/>
          <w:jc w:val="center"/>
        </w:trPr>
        <w:tc>
          <w:tcPr>
            <w:tcW w:w="55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400" w:firstLineChars="200"/>
              <w:jc w:val="left"/>
              <w:textAlignment w:val="center"/>
              <w:rPr>
                <w:rFonts w:ascii="Times New Roman" w:hAnsi="Times New Roman" w:eastAsia="宋体" w:cs="宋体"/>
                <w:color w:val="000000"/>
                <w:kern w:val="0"/>
                <w:sz w:val="20"/>
                <w:szCs w:val="20"/>
                <w:lang w:bidi="ar"/>
              </w:rPr>
            </w:pPr>
            <w:r>
              <w:rPr>
                <w:rFonts w:hint="eastAsia" w:ascii="Times New Roman" w:hAnsi="Times New Roman" w:eastAsia="宋体" w:cs="宋体"/>
                <w:color w:val="000000"/>
                <w:kern w:val="0"/>
                <w:sz w:val="20"/>
                <w:szCs w:val="20"/>
                <w:lang w:bidi="ar"/>
              </w:rPr>
              <w:t>牛谭路项目</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24</w:t>
            </w:r>
          </w:p>
        </w:tc>
      </w:tr>
      <w:tr>
        <w:tblPrEx>
          <w:tblLayout w:type="fixed"/>
          <w:tblCellMar>
            <w:top w:w="0" w:type="dxa"/>
            <w:left w:w="0" w:type="dxa"/>
            <w:bottom w:w="0" w:type="dxa"/>
            <w:right w:w="0" w:type="dxa"/>
          </w:tblCellMar>
        </w:tblPrEx>
        <w:trPr>
          <w:trHeight w:val="454" w:hRule="atLeast"/>
          <w:jc w:val="center"/>
        </w:trPr>
        <w:tc>
          <w:tcPr>
            <w:tcW w:w="55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400" w:firstLineChars="200"/>
              <w:jc w:val="left"/>
              <w:textAlignment w:val="center"/>
              <w:rPr>
                <w:rFonts w:ascii="Times New Roman" w:hAnsi="Times New Roman" w:eastAsia="宋体" w:cs="宋体"/>
                <w:color w:val="000000"/>
                <w:kern w:val="0"/>
                <w:sz w:val="20"/>
                <w:szCs w:val="20"/>
                <w:lang w:bidi="ar"/>
              </w:rPr>
            </w:pPr>
            <w:r>
              <w:rPr>
                <w:rFonts w:hint="eastAsia" w:ascii="Times New Roman" w:hAnsi="Times New Roman" w:eastAsia="宋体" w:cs="宋体"/>
                <w:color w:val="000000"/>
                <w:kern w:val="0"/>
                <w:sz w:val="20"/>
                <w:szCs w:val="20"/>
                <w:lang w:bidi="ar"/>
              </w:rPr>
              <w:t>社区党群服务中心规范化智能化建设</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2"/>
                <w:lang w:bidi="ar"/>
              </w:rPr>
              <w:t>4</w:t>
            </w:r>
          </w:p>
        </w:tc>
      </w:tr>
      <w:tr>
        <w:tblPrEx>
          <w:tblLayout w:type="fixed"/>
          <w:tblCellMar>
            <w:top w:w="0" w:type="dxa"/>
            <w:left w:w="0" w:type="dxa"/>
            <w:bottom w:w="0" w:type="dxa"/>
            <w:right w:w="0" w:type="dxa"/>
          </w:tblCellMar>
        </w:tblPrEx>
        <w:trPr>
          <w:trHeight w:val="454" w:hRule="atLeast"/>
          <w:jc w:val="center"/>
        </w:trPr>
        <w:tc>
          <w:tcPr>
            <w:tcW w:w="55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400" w:firstLineChars="200"/>
              <w:jc w:val="left"/>
              <w:textAlignment w:val="center"/>
              <w:rPr>
                <w:rFonts w:ascii="Times New Roman" w:hAnsi="Times New Roman" w:eastAsia="宋体" w:cs="宋体"/>
                <w:color w:val="000000"/>
                <w:kern w:val="0"/>
                <w:sz w:val="20"/>
                <w:szCs w:val="20"/>
                <w:lang w:bidi="ar"/>
              </w:rPr>
            </w:pPr>
            <w:r>
              <w:rPr>
                <w:rFonts w:hint="eastAsia" w:ascii="宋体" w:hAnsi="宋体" w:eastAsia="宋体" w:cs="宋体"/>
                <w:color w:val="000000"/>
                <w:kern w:val="0"/>
                <w:sz w:val="20"/>
                <w:szCs w:val="20"/>
                <w:lang w:bidi="ar"/>
              </w:rPr>
              <w:t>中梁山农房风貌整治提升项目（前期）</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宋体"/>
                <w:color w:val="000000"/>
                <w:kern w:val="0"/>
                <w:sz w:val="22"/>
                <w:lang w:bidi="ar"/>
              </w:rPr>
            </w:pPr>
            <w:r>
              <w:rPr>
                <w:rFonts w:ascii="Times New Roman" w:hAnsi="Times New Roman" w:eastAsia="宋体" w:cs="Times New Roman"/>
                <w:color w:val="000000"/>
                <w:kern w:val="0"/>
                <w:sz w:val="20"/>
                <w:szCs w:val="20"/>
                <w:lang w:bidi="ar"/>
              </w:rPr>
              <w:t>200</w:t>
            </w:r>
          </w:p>
        </w:tc>
      </w:tr>
      <w:tr>
        <w:tblPrEx>
          <w:tblLayout w:type="fixed"/>
          <w:tblCellMar>
            <w:top w:w="0" w:type="dxa"/>
            <w:left w:w="0" w:type="dxa"/>
            <w:bottom w:w="0" w:type="dxa"/>
            <w:right w:w="0" w:type="dxa"/>
          </w:tblCellMar>
        </w:tblPrEx>
        <w:trPr>
          <w:trHeight w:val="454" w:hRule="atLeast"/>
          <w:jc w:val="center"/>
        </w:trPr>
        <w:tc>
          <w:tcPr>
            <w:tcW w:w="55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400" w:firstLineChars="200"/>
              <w:jc w:val="left"/>
              <w:textAlignment w:val="center"/>
              <w:rPr>
                <w:rFonts w:ascii="Times New Roman" w:hAnsi="Times New Roman" w:eastAsia="宋体" w:cs="宋体"/>
                <w:color w:val="000000"/>
                <w:kern w:val="0"/>
                <w:sz w:val="20"/>
                <w:szCs w:val="20"/>
                <w:lang w:bidi="ar"/>
              </w:rPr>
            </w:pPr>
            <w:r>
              <w:rPr>
                <w:rFonts w:hint="eastAsia" w:ascii="宋体" w:hAnsi="宋体" w:eastAsia="宋体" w:cs="宋体"/>
                <w:color w:val="000000"/>
                <w:kern w:val="0"/>
                <w:sz w:val="20"/>
                <w:szCs w:val="20"/>
                <w:lang w:bidi="ar"/>
              </w:rPr>
              <w:t>渝财农〔</w:t>
            </w:r>
            <w:r>
              <w:rPr>
                <w:rFonts w:ascii="Times New Roman" w:hAnsi="Times New Roman" w:eastAsia="宋体" w:cs="Times New Roman"/>
                <w:color w:val="000000"/>
                <w:kern w:val="0"/>
                <w:sz w:val="20"/>
                <w:szCs w:val="20"/>
                <w:lang w:bidi="ar"/>
              </w:rPr>
              <w:t>2020</w:t>
            </w:r>
            <w:r>
              <w:rPr>
                <w:rFonts w:hint="eastAsia" w:ascii="宋体" w:hAnsi="宋体" w:eastAsia="宋体" w:cs="宋体"/>
                <w:color w:val="000000"/>
                <w:kern w:val="0"/>
                <w:sz w:val="20"/>
                <w:szCs w:val="20"/>
                <w:lang w:bidi="ar"/>
              </w:rPr>
              <w:t>〕</w:t>
            </w:r>
            <w:r>
              <w:rPr>
                <w:rFonts w:ascii="Times New Roman" w:hAnsi="Times New Roman" w:eastAsia="宋体" w:cs="Times New Roman"/>
                <w:color w:val="000000"/>
                <w:kern w:val="0"/>
                <w:sz w:val="20"/>
                <w:szCs w:val="20"/>
                <w:lang w:bidi="ar"/>
              </w:rPr>
              <w:t>137</w:t>
            </w:r>
            <w:r>
              <w:rPr>
                <w:rFonts w:hint="eastAsia" w:ascii="宋体" w:hAnsi="宋体" w:eastAsia="宋体" w:cs="宋体"/>
                <w:color w:val="000000"/>
                <w:kern w:val="0"/>
                <w:sz w:val="20"/>
                <w:szCs w:val="20"/>
                <w:lang w:bidi="ar"/>
              </w:rPr>
              <w:t>号，</w:t>
            </w:r>
            <w:r>
              <w:rPr>
                <w:rFonts w:ascii="Times New Roman" w:hAnsi="Times New Roman" w:eastAsia="宋体" w:cs="Times New Roman"/>
                <w:color w:val="000000"/>
                <w:kern w:val="0"/>
                <w:sz w:val="20"/>
                <w:szCs w:val="20"/>
                <w:lang w:bidi="ar"/>
              </w:rPr>
              <w:t>2021</w:t>
            </w:r>
            <w:r>
              <w:rPr>
                <w:rFonts w:hint="eastAsia" w:ascii="宋体" w:hAnsi="宋体" w:eastAsia="宋体" w:cs="宋体"/>
                <w:color w:val="000000"/>
                <w:kern w:val="0"/>
                <w:sz w:val="20"/>
                <w:szCs w:val="20"/>
                <w:lang w:bidi="ar"/>
              </w:rPr>
              <w:t>年农村综合改革转移支付预算（扶持村级集体经济发展）</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kern w:val="0"/>
                <w:sz w:val="22"/>
                <w:lang w:bidi="ar"/>
              </w:rPr>
            </w:pPr>
            <w:r>
              <w:rPr>
                <w:rFonts w:ascii="Times New Roman" w:hAnsi="Times New Roman" w:eastAsia="宋体" w:cs="Times New Roman"/>
                <w:color w:val="000000"/>
                <w:kern w:val="0"/>
                <w:sz w:val="20"/>
                <w:szCs w:val="20"/>
                <w:lang w:bidi="ar"/>
              </w:rPr>
              <w:t>2</w:t>
            </w:r>
          </w:p>
        </w:tc>
      </w:tr>
      <w:tr>
        <w:tblPrEx>
          <w:tblLayout w:type="fixed"/>
          <w:tblCellMar>
            <w:top w:w="0" w:type="dxa"/>
            <w:left w:w="0" w:type="dxa"/>
            <w:bottom w:w="0" w:type="dxa"/>
            <w:right w:w="0" w:type="dxa"/>
          </w:tblCellMar>
        </w:tblPrEx>
        <w:trPr>
          <w:trHeight w:val="454" w:hRule="atLeast"/>
          <w:jc w:val="center"/>
        </w:trPr>
        <w:tc>
          <w:tcPr>
            <w:tcW w:w="55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400" w:firstLineChars="200"/>
              <w:jc w:val="left"/>
              <w:textAlignment w:val="center"/>
              <w:rPr>
                <w:rFonts w:ascii="Times New Roman" w:hAnsi="Times New Roman" w:eastAsia="宋体" w:cs="宋体"/>
                <w:color w:val="000000"/>
                <w:kern w:val="0"/>
                <w:sz w:val="20"/>
                <w:szCs w:val="20"/>
                <w:lang w:bidi="ar"/>
              </w:rPr>
            </w:pPr>
            <w:r>
              <w:rPr>
                <w:rFonts w:hint="eastAsia" w:ascii="宋体" w:hAnsi="宋体" w:eastAsia="宋体" w:cs="宋体"/>
                <w:color w:val="000000"/>
                <w:kern w:val="0"/>
                <w:sz w:val="20"/>
                <w:szCs w:val="20"/>
                <w:lang w:bidi="ar"/>
              </w:rPr>
              <w:t>渝财农〔</w:t>
            </w:r>
            <w:r>
              <w:rPr>
                <w:rFonts w:ascii="Times New Roman" w:hAnsi="Times New Roman" w:eastAsia="宋体" w:cs="Times New Roman"/>
                <w:color w:val="000000"/>
                <w:kern w:val="0"/>
                <w:sz w:val="20"/>
                <w:szCs w:val="20"/>
                <w:lang w:bidi="ar"/>
              </w:rPr>
              <w:t>2020</w:t>
            </w:r>
            <w:r>
              <w:rPr>
                <w:rFonts w:hint="eastAsia" w:ascii="宋体" w:hAnsi="宋体" w:eastAsia="宋体" w:cs="宋体"/>
                <w:color w:val="000000"/>
                <w:kern w:val="0"/>
                <w:sz w:val="20"/>
                <w:szCs w:val="20"/>
                <w:lang w:bidi="ar"/>
              </w:rPr>
              <w:t>〕</w:t>
            </w:r>
            <w:r>
              <w:rPr>
                <w:rFonts w:ascii="Times New Roman" w:hAnsi="Times New Roman" w:eastAsia="宋体" w:cs="Times New Roman"/>
                <w:color w:val="000000"/>
                <w:kern w:val="0"/>
                <w:sz w:val="20"/>
                <w:szCs w:val="20"/>
                <w:lang w:bidi="ar"/>
              </w:rPr>
              <w:t>137</w:t>
            </w:r>
            <w:r>
              <w:rPr>
                <w:rFonts w:hint="eastAsia" w:ascii="宋体" w:hAnsi="宋体" w:eastAsia="宋体" w:cs="宋体"/>
                <w:color w:val="000000"/>
                <w:kern w:val="0"/>
                <w:sz w:val="20"/>
                <w:szCs w:val="20"/>
                <w:lang w:bidi="ar"/>
              </w:rPr>
              <w:t>号，</w:t>
            </w:r>
            <w:r>
              <w:rPr>
                <w:rFonts w:ascii="Times New Roman" w:hAnsi="Times New Roman" w:eastAsia="宋体" w:cs="Times New Roman"/>
                <w:color w:val="000000"/>
                <w:kern w:val="0"/>
                <w:sz w:val="20"/>
                <w:szCs w:val="20"/>
                <w:lang w:bidi="ar"/>
              </w:rPr>
              <w:t>2021</w:t>
            </w:r>
            <w:r>
              <w:rPr>
                <w:rFonts w:hint="eastAsia" w:ascii="宋体" w:hAnsi="宋体" w:eastAsia="宋体" w:cs="宋体"/>
                <w:color w:val="000000"/>
                <w:kern w:val="0"/>
                <w:sz w:val="20"/>
                <w:szCs w:val="20"/>
                <w:lang w:bidi="ar"/>
              </w:rPr>
              <w:t>年农村综合改革转移支付预算（村庄清洁行动“三清一改”工程）</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宋体"/>
                <w:color w:val="000000"/>
                <w:kern w:val="0"/>
                <w:sz w:val="22"/>
                <w:lang w:bidi="ar"/>
              </w:rPr>
            </w:pPr>
            <w:r>
              <w:rPr>
                <w:rFonts w:ascii="Times New Roman" w:hAnsi="Times New Roman" w:eastAsia="宋体" w:cs="Times New Roman"/>
                <w:color w:val="000000"/>
                <w:kern w:val="0"/>
                <w:sz w:val="20"/>
                <w:szCs w:val="20"/>
                <w:lang w:bidi="ar"/>
              </w:rPr>
              <w:t>33</w:t>
            </w:r>
          </w:p>
        </w:tc>
      </w:tr>
      <w:tr>
        <w:tblPrEx>
          <w:tblLayout w:type="fixed"/>
          <w:tblCellMar>
            <w:top w:w="0" w:type="dxa"/>
            <w:left w:w="0" w:type="dxa"/>
            <w:bottom w:w="0" w:type="dxa"/>
            <w:right w:w="0" w:type="dxa"/>
          </w:tblCellMar>
        </w:tblPrEx>
        <w:trPr>
          <w:trHeight w:val="454" w:hRule="atLeast"/>
          <w:jc w:val="center"/>
        </w:trPr>
        <w:tc>
          <w:tcPr>
            <w:tcW w:w="55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400" w:firstLineChars="200"/>
              <w:jc w:val="left"/>
              <w:textAlignment w:val="center"/>
              <w:rPr>
                <w:rFonts w:ascii="Times New Roman" w:hAnsi="Times New Roman" w:eastAsia="宋体" w:cs="宋体"/>
                <w:color w:val="000000"/>
                <w:kern w:val="0"/>
                <w:sz w:val="20"/>
                <w:szCs w:val="20"/>
                <w:lang w:bidi="ar"/>
              </w:rPr>
            </w:pPr>
            <w:r>
              <w:rPr>
                <w:rFonts w:hint="eastAsia" w:ascii="宋体" w:hAnsi="宋体" w:eastAsia="宋体" w:cs="宋体"/>
                <w:color w:val="000000"/>
                <w:kern w:val="0"/>
                <w:sz w:val="20"/>
                <w:szCs w:val="20"/>
                <w:lang w:bidi="ar"/>
              </w:rPr>
              <w:t>渝财建〔</w:t>
            </w:r>
            <w:r>
              <w:rPr>
                <w:rFonts w:ascii="Times New Roman" w:hAnsi="Times New Roman" w:eastAsia="宋体" w:cs="Times New Roman"/>
                <w:color w:val="000000"/>
                <w:kern w:val="0"/>
                <w:sz w:val="20"/>
                <w:szCs w:val="20"/>
                <w:lang w:bidi="ar"/>
              </w:rPr>
              <w:t>2022</w:t>
            </w:r>
            <w:r>
              <w:rPr>
                <w:rFonts w:hint="eastAsia" w:ascii="宋体" w:hAnsi="宋体" w:eastAsia="宋体" w:cs="宋体"/>
                <w:color w:val="000000"/>
                <w:kern w:val="0"/>
                <w:sz w:val="20"/>
                <w:szCs w:val="20"/>
                <w:lang w:bidi="ar"/>
              </w:rPr>
              <w:t>〕</w:t>
            </w:r>
            <w:r>
              <w:rPr>
                <w:rFonts w:ascii="Times New Roman" w:hAnsi="Times New Roman" w:eastAsia="宋体" w:cs="Times New Roman"/>
                <w:color w:val="000000"/>
                <w:kern w:val="0"/>
                <w:sz w:val="20"/>
                <w:szCs w:val="20"/>
                <w:lang w:bidi="ar"/>
              </w:rPr>
              <w:t>19</w:t>
            </w:r>
            <w:r>
              <w:rPr>
                <w:rFonts w:hint="eastAsia" w:ascii="宋体" w:hAnsi="宋体" w:eastAsia="宋体" w:cs="宋体"/>
                <w:color w:val="000000"/>
                <w:kern w:val="0"/>
                <w:sz w:val="20"/>
                <w:szCs w:val="20"/>
                <w:lang w:bidi="ar"/>
              </w:rPr>
              <w:t>号，大渡口区跳磴金鳌</w:t>
            </w:r>
            <w:r>
              <w:rPr>
                <w:rFonts w:ascii="Times New Roman" w:hAnsi="Times New Roman" w:eastAsia="宋体" w:cs="Times New Roman"/>
                <w:color w:val="000000"/>
                <w:kern w:val="0"/>
                <w:sz w:val="20"/>
                <w:szCs w:val="20"/>
                <w:lang w:bidi="ar"/>
              </w:rPr>
              <w:t>5</w:t>
            </w:r>
            <w:r>
              <w:rPr>
                <w:rFonts w:hint="eastAsia" w:ascii="宋体" w:hAnsi="宋体" w:eastAsia="宋体" w:cs="宋体"/>
                <w:color w:val="000000"/>
                <w:kern w:val="0"/>
                <w:sz w:val="20"/>
                <w:szCs w:val="20"/>
                <w:lang w:bidi="ar"/>
              </w:rPr>
              <w:t>人制足球场地设施建设项目</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宋体"/>
                <w:color w:val="000000"/>
                <w:kern w:val="0"/>
                <w:sz w:val="22"/>
                <w:lang w:bidi="ar"/>
              </w:rPr>
            </w:pPr>
            <w:r>
              <w:rPr>
                <w:rFonts w:ascii="Times New Roman" w:hAnsi="Times New Roman" w:eastAsia="宋体" w:cs="Times New Roman"/>
                <w:color w:val="000000"/>
                <w:kern w:val="0"/>
                <w:sz w:val="20"/>
                <w:szCs w:val="20"/>
                <w:lang w:bidi="ar"/>
              </w:rPr>
              <w:t>24</w:t>
            </w:r>
          </w:p>
        </w:tc>
      </w:tr>
      <w:tr>
        <w:tblPrEx>
          <w:tblLayout w:type="fixed"/>
          <w:tblCellMar>
            <w:top w:w="0" w:type="dxa"/>
            <w:left w:w="0" w:type="dxa"/>
            <w:bottom w:w="0" w:type="dxa"/>
            <w:right w:w="0" w:type="dxa"/>
          </w:tblCellMar>
        </w:tblPrEx>
        <w:trPr>
          <w:trHeight w:val="454" w:hRule="atLeast"/>
          <w:jc w:val="center"/>
        </w:trPr>
        <w:tc>
          <w:tcPr>
            <w:tcW w:w="55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400" w:firstLineChars="200"/>
              <w:jc w:val="left"/>
              <w:textAlignment w:val="center"/>
              <w:rPr>
                <w:rFonts w:ascii="Times New Roman" w:hAnsi="Times New Roman" w:eastAsia="宋体" w:cs="宋体"/>
                <w:color w:val="000000"/>
                <w:kern w:val="0"/>
                <w:sz w:val="20"/>
                <w:szCs w:val="20"/>
                <w:lang w:bidi="ar"/>
              </w:rPr>
            </w:pPr>
            <w:r>
              <w:rPr>
                <w:rFonts w:hint="eastAsia" w:ascii="宋体" w:hAnsi="宋体" w:eastAsia="宋体" w:cs="宋体"/>
                <w:color w:val="000000"/>
                <w:kern w:val="0"/>
                <w:sz w:val="20"/>
                <w:szCs w:val="20"/>
                <w:lang w:bidi="ar"/>
              </w:rPr>
              <w:t>渝财教〔</w:t>
            </w:r>
            <w:r>
              <w:rPr>
                <w:rFonts w:ascii="Times New Roman" w:hAnsi="Times New Roman" w:eastAsia="宋体" w:cs="Times New Roman"/>
                <w:color w:val="000000"/>
                <w:kern w:val="0"/>
                <w:sz w:val="20"/>
                <w:szCs w:val="20"/>
                <w:lang w:bidi="ar"/>
              </w:rPr>
              <w:t>2021</w:t>
            </w:r>
            <w:r>
              <w:rPr>
                <w:rFonts w:hint="eastAsia" w:ascii="宋体" w:hAnsi="宋体" w:eastAsia="宋体" w:cs="宋体"/>
                <w:color w:val="000000"/>
                <w:kern w:val="0"/>
                <w:sz w:val="20"/>
                <w:szCs w:val="20"/>
                <w:lang w:bidi="ar"/>
              </w:rPr>
              <w:t>〕</w:t>
            </w:r>
            <w:r>
              <w:rPr>
                <w:rFonts w:ascii="Times New Roman" w:hAnsi="Times New Roman" w:eastAsia="宋体" w:cs="Times New Roman"/>
                <w:color w:val="000000"/>
                <w:kern w:val="0"/>
                <w:sz w:val="20"/>
                <w:szCs w:val="20"/>
                <w:lang w:bidi="ar"/>
              </w:rPr>
              <w:t>197</w:t>
            </w:r>
            <w:r>
              <w:rPr>
                <w:rFonts w:hint="eastAsia" w:ascii="宋体" w:hAnsi="宋体" w:eastAsia="宋体" w:cs="宋体"/>
                <w:color w:val="000000"/>
                <w:kern w:val="0"/>
                <w:sz w:val="20"/>
                <w:szCs w:val="20"/>
                <w:lang w:bidi="ar"/>
              </w:rPr>
              <w:t>号，</w:t>
            </w:r>
            <w:r>
              <w:rPr>
                <w:rFonts w:ascii="Times New Roman" w:hAnsi="Times New Roman" w:eastAsia="宋体" w:cs="Times New Roman"/>
                <w:color w:val="000000"/>
                <w:kern w:val="0"/>
                <w:sz w:val="20"/>
                <w:szCs w:val="20"/>
                <w:lang w:bidi="ar"/>
              </w:rPr>
              <w:t>2022</w:t>
            </w:r>
            <w:r>
              <w:rPr>
                <w:rFonts w:hint="eastAsia" w:ascii="宋体" w:hAnsi="宋体" w:eastAsia="宋体" w:cs="宋体"/>
                <w:color w:val="000000"/>
                <w:kern w:val="0"/>
                <w:sz w:val="20"/>
                <w:szCs w:val="20"/>
                <w:lang w:bidi="ar"/>
              </w:rPr>
              <w:t>年文化馆（站）免费开放项目</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宋体"/>
                <w:color w:val="000000"/>
                <w:kern w:val="0"/>
                <w:sz w:val="22"/>
                <w:lang w:bidi="ar"/>
              </w:rPr>
            </w:pPr>
            <w:r>
              <w:rPr>
                <w:rFonts w:ascii="Times New Roman" w:hAnsi="Times New Roman" w:eastAsia="宋体" w:cs="Times New Roman"/>
                <w:color w:val="000000"/>
                <w:kern w:val="0"/>
                <w:sz w:val="20"/>
                <w:szCs w:val="20"/>
                <w:lang w:bidi="ar"/>
              </w:rPr>
              <w:t>13</w:t>
            </w:r>
          </w:p>
        </w:tc>
      </w:tr>
    </w:tbl>
    <w:p>
      <w:pPr>
        <w:widowControl/>
        <w:spacing w:line="400" w:lineRule="exact"/>
        <w:jc w:val="lef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22</w:t>
      </w:r>
      <w:r>
        <w:rPr>
          <w:rFonts w:ascii="Times New Roman" w:hAnsi="Times New Roman" w:eastAsia="方正黑体_GBK" w:cs="方正黑体_GBK"/>
          <w:kern w:val="0"/>
          <w:sz w:val="28"/>
          <w:szCs w:val="28"/>
        </w:rPr>
        <w:tab/>
      </w:r>
    </w:p>
    <w:p>
      <w:pPr>
        <w:widowControl/>
        <w:jc w:val="center"/>
        <w:textAlignment w:val="center"/>
        <w:outlineLvl w:val="0"/>
        <w:rPr>
          <w:rFonts w:ascii="Times New Roman" w:hAnsi="Times New Roman" w:eastAsia="方正小标宋_GBK" w:cs="方正小标宋_GBK"/>
          <w:kern w:val="0"/>
          <w:sz w:val="44"/>
          <w:szCs w:val="44"/>
        </w:rPr>
      </w:pPr>
      <w:r>
        <w:rPr>
          <w:rFonts w:ascii="Times New Roman" w:hAnsi="Times New Roman" w:eastAsia="方正小标宋_GBK" w:cs="Times New Roman"/>
          <w:kern w:val="0"/>
          <w:sz w:val="44"/>
          <w:szCs w:val="44"/>
        </w:rPr>
        <w:t>2023</w:t>
      </w:r>
      <w:r>
        <w:rPr>
          <w:rFonts w:hint="eastAsia" w:ascii="Times New Roman" w:hAnsi="Times New Roman" w:eastAsia="方正小标宋_GBK" w:cs="方正小标宋_GBK"/>
          <w:kern w:val="0"/>
          <w:sz w:val="44"/>
          <w:szCs w:val="44"/>
        </w:rPr>
        <w:t xml:space="preserve">年全区政府性基金预算收支预算表 </w:t>
      </w:r>
    </w:p>
    <w:p>
      <w:pPr>
        <w:jc w:val="right"/>
        <w:rPr>
          <w:rFonts w:ascii="Times New Roman" w:hAnsi="Times New Roman" w:eastAsia="宋体" w:cs="Times New Roman"/>
        </w:rPr>
      </w:pPr>
      <w:r>
        <w:rPr>
          <w:rFonts w:ascii="Times New Roman" w:hAnsi="Times New Roman" w:eastAsia="宋体" w:cs="Times New Roman"/>
        </w:rPr>
        <w:tab/>
      </w:r>
      <w:r>
        <w:rPr>
          <w:rFonts w:hint="eastAsia" w:ascii="Times New Roman" w:hAnsi="Times New Roman" w:eastAsia="宋体" w:cs="Times New Roman"/>
        </w:rPr>
        <w:t xml:space="preserve"> 单位：万元 </w:t>
      </w:r>
    </w:p>
    <w:tbl>
      <w:tblPr>
        <w:tblStyle w:val="10"/>
        <w:tblW w:w="9110" w:type="dxa"/>
        <w:jc w:val="center"/>
        <w:tblInd w:w="0" w:type="dxa"/>
        <w:tblLayout w:type="fixed"/>
        <w:tblCellMar>
          <w:top w:w="0" w:type="dxa"/>
          <w:left w:w="108" w:type="dxa"/>
          <w:bottom w:w="0" w:type="dxa"/>
          <w:right w:w="108" w:type="dxa"/>
        </w:tblCellMar>
      </w:tblPr>
      <w:tblGrid>
        <w:gridCol w:w="2241"/>
        <w:gridCol w:w="1062"/>
        <w:gridCol w:w="1250"/>
        <w:gridCol w:w="2288"/>
        <w:gridCol w:w="1137"/>
        <w:gridCol w:w="1132"/>
      </w:tblGrid>
      <w:tr>
        <w:tblPrEx>
          <w:tblLayout w:type="fixed"/>
          <w:tblCellMar>
            <w:top w:w="0" w:type="dxa"/>
            <w:left w:w="108" w:type="dxa"/>
            <w:bottom w:w="0" w:type="dxa"/>
            <w:right w:w="108" w:type="dxa"/>
          </w:tblCellMar>
        </w:tblPrEx>
        <w:trPr>
          <w:trHeight w:val="964" w:hRule="atLeast"/>
          <w:jc w:val="center"/>
        </w:trPr>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收        入</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预算数</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kern w:val="0"/>
                <w:sz w:val="22"/>
                <w:lang w:bidi="ar"/>
              </w:rPr>
            </w:pPr>
            <w:r>
              <w:rPr>
                <w:rFonts w:hint="eastAsia" w:ascii="Times New Roman" w:hAnsi="Times New Roman" w:eastAsia="黑体" w:cs="黑体"/>
                <w:color w:val="000000"/>
                <w:kern w:val="0"/>
                <w:sz w:val="22"/>
                <w:lang w:bidi="ar"/>
              </w:rPr>
              <w:t>预算数为上年执行数的%</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支        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 xml:space="preserve"> 预算数 </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kern w:val="0"/>
                <w:sz w:val="22"/>
                <w:lang w:bidi="ar"/>
              </w:rPr>
            </w:pPr>
            <w:r>
              <w:rPr>
                <w:rFonts w:hint="eastAsia" w:ascii="Times New Roman" w:hAnsi="Times New Roman" w:eastAsia="黑体" w:cs="黑体"/>
                <w:color w:val="000000"/>
                <w:kern w:val="0"/>
                <w:sz w:val="22"/>
                <w:lang w:bidi="ar"/>
              </w:rPr>
              <w:t>预算数为上年预算数的%</w:t>
            </w:r>
          </w:p>
        </w:tc>
      </w:tr>
      <w:tr>
        <w:tblPrEx>
          <w:tblLayout w:type="fixed"/>
          <w:tblCellMar>
            <w:top w:w="0" w:type="dxa"/>
            <w:left w:w="108" w:type="dxa"/>
            <w:bottom w:w="0" w:type="dxa"/>
            <w:right w:w="108" w:type="dxa"/>
          </w:tblCellMar>
        </w:tblPrEx>
        <w:trPr>
          <w:trHeight w:val="510" w:hRule="atLeast"/>
          <w:jc w:val="center"/>
        </w:trPr>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总  计</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434,191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kern w:val="0"/>
                <w:sz w:val="20"/>
                <w:szCs w:val="20"/>
                <w:lang w:bidi="ar"/>
              </w:rPr>
            </w:pP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总  计</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434,191 </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kern w:val="0"/>
                <w:sz w:val="20"/>
                <w:szCs w:val="20"/>
                <w:lang w:bidi="ar"/>
              </w:rPr>
            </w:pPr>
          </w:p>
        </w:tc>
      </w:tr>
      <w:tr>
        <w:tblPrEx>
          <w:tblLayout w:type="fixed"/>
          <w:tblCellMar>
            <w:top w:w="0" w:type="dxa"/>
            <w:left w:w="108" w:type="dxa"/>
            <w:bottom w:w="0" w:type="dxa"/>
            <w:right w:w="108" w:type="dxa"/>
          </w:tblCellMar>
        </w:tblPrEx>
        <w:trPr>
          <w:trHeight w:val="510" w:hRule="atLeast"/>
          <w:jc w:val="center"/>
        </w:trPr>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本级收入合计</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b/>
                <w:bCs/>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b/>
                <w:bCs/>
                <w:color w:val="000000"/>
                <w:sz w:val="20"/>
                <w:szCs w:val="20"/>
              </w:rPr>
            </w:pP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本级支出合计</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344,375 </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72.0%</w:t>
            </w:r>
          </w:p>
        </w:tc>
      </w:tr>
      <w:tr>
        <w:tblPrEx>
          <w:tblLayout w:type="fixed"/>
          <w:tblCellMar>
            <w:top w:w="0" w:type="dxa"/>
            <w:left w:w="108" w:type="dxa"/>
            <w:bottom w:w="0" w:type="dxa"/>
            <w:right w:w="108" w:type="dxa"/>
          </w:tblCellMar>
        </w:tblPrEx>
        <w:trPr>
          <w:trHeight w:val="510" w:hRule="atLeast"/>
          <w:jc w:val="center"/>
        </w:trPr>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一、农网还贷资金收入</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一、文化旅游体育与传媒支出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二、国家电影事业发展专项资金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二、社会保障和就业支出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147 </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145.5%</w:t>
            </w:r>
          </w:p>
        </w:tc>
      </w:tr>
      <w:tr>
        <w:tblPrEx>
          <w:tblLayout w:type="fixed"/>
          <w:tblCellMar>
            <w:top w:w="0" w:type="dxa"/>
            <w:left w:w="108" w:type="dxa"/>
            <w:bottom w:w="0" w:type="dxa"/>
            <w:right w:w="108" w:type="dxa"/>
          </w:tblCellMar>
        </w:tblPrEx>
        <w:trPr>
          <w:trHeight w:val="510" w:hRule="atLeast"/>
          <w:jc w:val="center"/>
        </w:trPr>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三、国有土地收益基金收入</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三、城乡社区支出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325</w:t>
            </w:r>
            <w:r>
              <w:rPr>
                <w:rFonts w:hint="eastAsia" w:ascii="Times New Roman" w:hAnsi="Times New Roman" w:eastAsia="宋体" w:cs="Times New Roman"/>
                <w:color w:val="000000"/>
                <w:kern w:val="0"/>
                <w:sz w:val="20"/>
                <w:szCs w:val="20"/>
                <w:lang w:bidi="ar"/>
              </w:rPr>
              <w:t>,</w:t>
            </w:r>
            <w:r>
              <w:rPr>
                <w:rFonts w:ascii="Times New Roman" w:hAnsi="Times New Roman" w:eastAsia="宋体" w:cs="Times New Roman"/>
                <w:color w:val="000000"/>
                <w:kern w:val="0"/>
                <w:sz w:val="20"/>
                <w:szCs w:val="20"/>
                <w:lang w:bidi="ar"/>
              </w:rPr>
              <w:t>44</w:t>
            </w:r>
            <w:r>
              <w:rPr>
                <w:rFonts w:hint="eastAsia" w:ascii="Times New Roman" w:hAnsi="Times New Roman" w:eastAsia="宋体" w:cs="Times New Roman"/>
                <w:color w:val="000000"/>
                <w:kern w:val="0"/>
                <w:sz w:val="20"/>
                <w:szCs w:val="20"/>
                <w:lang w:val="en-US" w:eastAsia="zh-CN" w:bidi="ar"/>
              </w:rPr>
              <w:t>0</w:t>
            </w:r>
            <w:r>
              <w:rPr>
                <w:rFonts w:ascii="Times New Roman" w:hAnsi="Times New Roman" w:eastAsia="宋体" w:cs="Times New Roman"/>
                <w:color w:val="000000"/>
                <w:kern w:val="0"/>
                <w:sz w:val="20"/>
                <w:szCs w:val="20"/>
                <w:lang w:bidi="ar"/>
              </w:rPr>
              <w:t xml:space="preserve"> </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70</w:t>
            </w:r>
            <w:r>
              <w:rPr>
                <w:rFonts w:hint="eastAsia" w:ascii="Times New Roman" w:hAnsi="Times New Roman" w:eastAsia="宋体" w:cs="Times New Roman"/>
                <w:color w:val="000000"/>
                <w:kern w:val="0"/>
                <w:sz w:val="20"/>
                <w:szCs w:val="20"/>
                <w:lang w:bidi="ar"/>
              </w:rPr>
              <w:t>.</w:t>
            </w:r>
            <w:r>
              <w:rPr>
                <w:rFonts w:ascii="Times New Roman" w:hAnsi="Times New Roman" w:eastAsia="宋体" w:cs="Times New Roman"/>
                <w:color w:val="000000"/>
                <w:kern w:val="0"/>
                <w:sz w:val="20"/>
                <w:szCs w:val="20"/>
                <w:lang w:bidi="ar"/>
              </w:rPr>
              <w:t>7%</w:t>
            </w:r>
          </w:p>
        </w:tc>
      </w:tr>
      <w:tr>
        <w:tblPrEx>
          <w:tblLayout w:type="fixed"/>
          <w:tblCellMar>
            <w:top w:w="0" w:type="dxa"/>
            <w:left w:w="108" w:type="dxa"/>
            <w:bottom w:w="0" w:type="dxa"/>
            <w:right w:w="108" w:type="dxa"/>
          </w:tblCellMar>
        </w:tblPrEx>
        <w:trPr>
          <w:trHeight w:val="510" w:hRule="atLeast"/>
          <w:jc w:val="center"/>
        </w:trPr>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四、农业土地开发资金收入</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四、农林水支出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1,841 </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1</w:t>
            </w:r>
            <w:r>
              <w:rPr>
                <w:rFonts w:hint="eastAsia" w:ascii="Times New Roman" w:hAnsi="Times New Roman" w:eastAsia="宋体" w:cs="Times New Roman"/>
                <w:color w:val="000000"/>
                <w:kern w:val="0"/>
                <w:sz w:val="20"/>
                <w:szCs w:val="20"/>
                <w:lang w:bidi="ar"/>
              </w:rPr>
              <w:t>,</w:t>
            </w:r>
            <w:r>
              <w:rPr>
                <w:rFonts w:ascii="Times New Roman" w:hAnsi="Times New Roman" w:eastAsia="宋体" w:cs="Times New Roman"/>
                <w:color w:val="000000"/>
                <w:kern w:val="0"/>
                <w:sz w:val="20"/>
                <w:szCs w:val="20"/>
                <w:lang w:bidi="ar"/>
              </w:rPr>
              <w:t>979.6%</w:t>
            </w:r>
          </w:p>
        </w:tc>
      </w:tr>
      <w:tr>
        <w:tblPrEx>
          <w:tblLayout w:type="fixed"/>
          <w:tblCellMar>
            <w:top w:w="0" w:type="dxa"/>
            <w:left w:w="108" w:type="dxa"/>
            <w:bottom w:w="0" w:type="dxa"/>
            <w:right w:w="108" w:type="dxa"/>
          </w:tblCellMar>
        </w:tblPrEx>
        <w:trPr>
          <w:trHeight w:val="510" w:hRule="atLeast"/>
          <w:jc w:val="center"/>
        </w:trPr>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五、国有土地使用权出让收入</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五、交通运输支出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六、大中型水库库区基金收入</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六、其他支出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3,706 </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103.5%</w:t>
            </w:r>
          </w:p>
        </w:tc>
      </w:tr>
      <w:tr>
        <w:tblPrEx>
          <w:tblLayout w:type="fixed"/>
          <w:tblCellMar>
            <w:top w:w="0" w:type="dxa"/>
            <w:left w:w="108" w:type="dxa"/>
            <w:bottom w:w="0" w:type="dxa"/>
            <w:right w:w="108" w:type="dxa"/>
          </w:tblCellMar>
        </w:tblPrEx>
        <w:trPr>
          <w:trHeight w:val="510" w:hRule="atLeast"/>
          <w:jc w:val="center"/>
        </w:trPr>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七、彩票公益金收入</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七、债务付息支出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13</w:t>
            </w:r>
            <w:r>
              <w:rPr>
                <w:rFonts w:hint="eastAsia" w:ascii="Times New Roman" w:hAnsi="Times New Roman" w:eastAsia="宋体" w:cs="Times New Roman"/>
                <w:color w:val="000000"/>
                <w:sz w:val="20"/>
                <w:szCs w:val="20"/>
              </w:rPr>
              <w:t>,</w:t>
            </w:r>
            <w:r>
              <w:rPr>
                <w:rFonts w:ascii="Times New Roman" w:hAnsi="Times New Roman" w:eastAsia="宋体" w:cs="Times New Roman"/>
                <w:color w:val="000000"/>
                <w:sz w:val="20"/>
                <w:szCs w:val="20"/>
              </w:rPr>
              <w:t>233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93</w:t>
            </w:r>
            <w:r>
              <w:rPr>
                <w:rFonts w:hint="eastAsia" w:ascii="Times New Roman" w:hAnsi="Times New Roman" w:eastAsia="宋体" w:cs="Times New Roman"/>
                <w:color w:val="000000"/>
                <w:sz w:val="20"/>
                <w:szCs w:val="20"/>
              </w:rPr>
              <w:t>.</w:t>
            </w:r>
            <w:r>
              <w:rPr>
                <w:rFonts w:ascii="Times New Roman" w:hAnsi="Times New Roman" w:eastAsia="宋体" w:cs="Times New Roman"/>
                <w:color w:val="000000"/>
                <w:sz w:val="20"/>
                <w:szCs w:val="20"/>
              </w:rPr>
              <w:t>1</w:t>
            </w:r>
            <w:r>
              <w:rPr>
                <w:rFonts w:hint="eastAsia" w:ascii="Times New Roman" w:hAnsi="Times New Roman" w:eastAsia="宋体" w:cs="Times New Roman"/>
                <w:color w:val="000000"/>
                <w:sz w:val="20"/>
                <w:szCs w:val="20"/>
              </w:rPr>
              <w:t>%</w:t>
            </w:r>
          </w:p>
        </w:tc>
      </w:tr>
      <w:tr>
        <w:tblPrEx>
          <w:tblLayout w:type="fixed"/>
          <w:tblCellMar>
            <w:top w:w="0" w:type="dxa"/>
            <w:left w:w="108" w:type="dxa"/>
            <w:bottom w:w="0" w:type="dxa"/>
            <w:right w:w="108" w:type="dxa"/>
          </w:tblCellMar>
        </w:tblPrEx>
        <w:trPr>
          <w:trHeight w:val="510" w:hRule="atLeast"/>
          <w:jc w:val="center"/>
        </w:trPr>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八、小型水库移民扶助基金收入</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八、债务发行费用支出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200</w:t>
            </w:r>
            <w:r>
              <w:rPr>
                <w:rFonts w:hint="eastAsia" w:ascii="Times New Roman" w:hAnsi="Times New Roman" w:eastAsia="宋体" w:cs="Times New Roman"/>
                <w:color w:val="000000"/>
                <w:sz w:val="20"/>
                <w:szCs w:val="20"/>
              </w:rPr>
              <w:t>%</w:t>
            </w:r>
          </w:p>
        </w:tc>
      </w:tr>
      <w:tr>
        <w:tblPrEx>
          <w:tblLayout w:type="fixed"/>
          <w:tblCellMar>
            <w:top w:w="0" w:type="dxa"/>
            <w:left w:w="108" w:type="dxa"/>
            <w:bottom w:w="0" w:type="dxa"/>
            <w:right w:w="108" w:type="dxa"/>
          </w:tblCellMar>
        </w:tblPrEx>
        <w:trPr>
          <w:trHeight w:val="510" w:hRule="atLeast"/>
          <w:jc w:val="center"/>
        </w:trPr>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九、污水处理费收入</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九、抗疫特别国债安排的支出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十、彩票发行机构和彩票销售机构的业务费用</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宋体"/>
                <w:color w:val="000000"/>
                <w:sz w:val="20"/>
                <w:szCs w:val="20"/>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十一、城市基础设施配套费收入</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宋体" w:cs="Times New Roman"/>
                <w:color w:val="000000"/>
                <w:sz w:val="20"/>
                <w:szCs w:val="20"/>
              </w:rPr>
            </w:pP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仿宋_GB2312" w:cs="仿宋_GB2312"/>
                <w:color w:val="000000"/>
                <w:sz w:val="20"/>
                <w:szCs w:val="20"/>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宋体" w:cs="Times New Roman"/>
                <w:color w:val="000000"/>
                <w:sz w:val="20"/>
                <w:szCs w:val="20"/>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转移性收入合计</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434,191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kern w:val="0"/>
                <w:sz w:val="20"/>
                <w:szCs w:val="20"/>
                <w:lang w:bidi="ar"/>
              </w:rPr>
            </w:pP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lang w:bidi="ar"/>
              </w:rPr>
              <w:t>转移性支出合计</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0"/>
                <w:lang w:bidi="ar"/>
              </w:rPr>
              <w:t xml:space="preserve">89,816 </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
                <w:color w:val="000000"/>
                <w:kern w:val="0"/>
                <w:sz w:val="20"/>
                <w:szCs w:val="20"/>
                <w:lang w:bidi="ar"/>
              </w:rPr>
            </w:pPr>
          </w:p>
        </w:tc>
      </w:tr>
      <w:tr>
        <w:tblPrEx>
          <w:tblLayout w:type="fixed"/>
          <w:tblCellMar>
            <w:top w:w="0" w:type="dxa"/>
            <w:left w:w="108" w:type="dxa"/>
            <w:bottom w:w="0" w:type="dxa"/>
            <w:right w:w="108" w:type="dxa"/>
          </w:tblCellMar>
        </w:tblPrEx>
        <w:trPr>
          <w:trHeight w:val="510" w:hRule="atLeast"/>
          <w:jc w:val="center"/>
        </w:trPr>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一、上级补助收入</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303,639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kern w:val="0"/>
                <w:sz w:val="20"/>
                <w:szCs w:val="20"/>
                <w:lang w:bidi="ar"/>
              </w:rPr>
            </w:pP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一、上解支出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二、债务转贷收入</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二、债务还本支出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三、调入资金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三、调出资金</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89,816 </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kern w:val="0"/>
                <w:sz w:val="20"/>
                <w:szCs w:val="20"/>
                <w:lang w:bidi="ar"/>
              </w:rPr>
            </w:pPr>
          </w:p>
        </w:tc>
      </w:tr>
      <w:tr>
        <w:tblPrEx>
          <w:tblLayout w:type="fixed"/>
          <w:tblCellMar>
            <w:top w:w="0" w:type="dxa"/>
            <w:left w:w="108" w:type="dxa"/>
            <w:bottom w:w="0" w:type="dxa"/>
            <w:right w:w="108" w:type="dxa"/>
          </w:tblCellMar>
        </w:tblPrEx>
        <w:trPr>
          <w:trHeight w:val="510" w:hRule="atLeast"/>
          <w:jc w:val="center"/>
        </w:trPr>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四、上年结转</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130,552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kern w:val="0"/>
                <w:sz w:val="20"/>
                <w:szCs w:val="20"/>
                <w:lang w:bidi="ar"/>
              </w:rPr>
            </w:pP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四、结转下年</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bl>
    <w:p>
      <w:pPr>
        <w:widowControl/>
        <w:spacing w:before="120" w:beforeLines="50"/>
        <w:rPr>
          <w:rFonts w:ascii="Times New Roman" w:hAnsi="Times New Roman" w:eastAsia="宋体" w:cs="Times New Roman"/>
          <w:sz w:val="18"/>
          <w:szCs w:val="18"/>
          <w:lang w:val="zh-CN"/>
        </w:rPr>
      </w:pPr>
      <w:r>
        <w:rPr>
          <w:rFonts w:ascii="Times New Roman" w:hAnsi="Times New Roman" w:eastAsia="宋体" w:cs="Times New Roman"/>
          <w:sz w:val="18"/>
          <w:szCs w:val="18"/>
          <w:lang w:val="zh-CN"/>
        </w:rPr>
        <w:t>注：1.本表直观反映202</w:t>
      </w:r>
      <w:r>
        <w:rPr>
          <w:rFonts w:ascii="Times New Roman" w:hAnsi="Times New Roman" w:eastAsia="宋体" w:cs="Times New Roman"/>
          <w:sz w:val="18"/>
          <w:szCs w:val="18"/>
        </w:rPr>
        <w:t>3</w:t>
      </w:r>
      <w:r>
        <w:rPr>
          <w:rFonts w:ascii="Times New Roman" w:hAnsi="Times New Roman" w:eastAsia="宋体" w:cs="Times New Roman"/>
          <w:sz w:val="18"/>
          <w:szCs w:val="18"/>
          <w:lang w:val="zh-CN"/>
        </w:rPr>
        <w:t>年政府性基金预算收入与支出的平衡关系。</w:t>
      </w:r>
    </w:p>
    <w:p>
      <w:pPr>
        <w:widowControl/>
        <w:ind w:firstLine="360" w:firstLineChars="200"/>
        <w:rPr>
          <w:rFonts w:ascii="Times New Roman" w:hAnsi="Times New Roman" w:eastAsia="宋体" w:cs="Times New Roman"/>
          <w:sz w:val="18"/>
          <w:szCs w:val="18"/>
          <w:lang w:val="zh-CN"/>
        </w:rPr>
      </w:pPr>
      <w:r>
        <w:rPr>
          <w:rFonts w:ascii="Times New Roman" w:hAnsi="Times New Roman" w:eastAsia="宋体" w:cs="Times New Roman"/>
          <w:sz w:val="18"/>
          <w:szCs w:val="18"/>
        </w:rPr>
        <w:t>2</w:t>
      </w:r>
      <w:r>
        <w:rPr>
          <w:rFonts w:hint="eastAsia" w:ascii="Times New Roman" w:hAnsi="Times New Roman" w:eastAsia="宋体" w:cs="Times New Roman"/>
          <w:sz w:val="18"/>
          <w:szCs w:val="18"/>
        </w:rPr>
        <w:t>.</w:t>
      </w:r>
      <w:r>
        <w:rPr>
          <w:rFonts w:ascii="Times New Roman" w:hAnsi="Times New Roman" w:eastAsia="宋体" w:cs="Times New Roman"/>
          <w:sz w:val="18"/>
          <w:szCs w:val="18"/>
          <w:lang w:val="zh-CN"/>
        </w:rPr>
        <w:t>收入总计（本级收入合计+转移性收入合计）=支出总计（本级支出合计+转移性支出合计）。</w:t>
      </w:r>
    </w:p>
    <w:p>
      <w:pPr>
        <w:rPr>
          <w:rFonts w:ascii="Times New Roman" w:hAnsi="Times New Roman" w:eastAsia="宋体" w:cs="Times New Roman"/>
          <w:sz w:val="20"/>
          <w:szCs w:val="20"/>
          <w:lang w:val="zh-CN"/>
        </w:rPr>
      </w:pPr>
      <w:r>
        <w:rPr>
          <w:rFonts w:ascii="Times New Roman" w:hAnsi="Times New Roman" w:eastAsia="宋体" w:cs="Times New Roman"/>
          <w:sz w:val="20"/>
          <w:szCs w:val="20"/>
          <w:lang w:val="zh-CN"/>
        </w:rPr>
        <w:br w:type="page"/>
      </w:r>
    </w:p>
    <w:p>
      <w:pPr>
        <w:spacing w:line="594" w:lineRule="exact"/>
        <w:jc w:val="center"/>
        <w:rPr>
          <w:rFonts w:ascii="Times New Roman" w:hAnsi="Times New Roman" w:eastAsia="方正小标宋_GBK" w:cs="方正小标宋_GBK"/>
          <w:kern w:val="0"/>
          <w:sz w:val="44"/>
          <w:szCs w:val="44"/>
        </w:rPr>
      </w:pPr>
      <w:r>
        <w:rPr>
          <w:rFonts w:hint="eastAsia" w:ascii="Times New Roman" w:hAnsi="Times New Roman" w:eastAsia="方正小标宋_GBK" w:cs="方正小标宋_GBK"/>
          <w:kern w:val="0"/>
          <w:sz w:val="44"/>
          <w:szCs w:val="44"/>
        </w:rPr>
        <w:t>关于</w:t>
      </w:r>
      <w:r>
        <w:rPr>
          <w:rFonts w:ascii="Times New Roman" w:hAnsi="Times New Roman" w:eastAsia="方正小标宋_GBK" w:cs="Times New Roman"/>
          <w:kern w:val="0"/>
          <w:sz w:val="44"/>
          <w:szCs w:val="44"/>
        </w:rPr>
        <w:t>2023</w:t>
      </w:r>
      <w:r>
        <w:rPr>
          <w:rFonts w:hint="eastAsia" w:ascii="Times New Roman" w:hAnsi="Times New Roman" w:eastAsia="方正小标宋_GBK" w:cs="方正小标宋_GBK"/>
          <w:kern w:val="0"/>
          <w:sz w:val="44"/>
          <w:szCs w:val="44"/>
        </w:rPr>
        <w:t>年全区政府性基金预算</w:t>
      </w:r>
    </w:p>
    <w:p>
      <w:pPr>
        <w:spacing w:line="594" w:lineRule="exact"/>
        <w:jc w:val="center"/>
        <w:rPr>
          <w:rFonts w:ascii="Times New Roman" w:hAnsi="Times New Roman" w:eastAsia="方正小标宋_GBK" w:cs="方正小标宋_GBK"/>
          <w:kern w:val="0"/>
          <w:sz w:val="44"/>
          <w:szCs w:val="44"/>
        </w:rPr>
      </w:pPr>
      <w:r>
        <w:rPr>
          <w:rFonts w:hint="eastAsia" w:ascii="Times New Roman" w:hAnsi="Times New Roman" w:eastAsia="方正小标宋_GBK" w:cs="方正小标宋_GBK"/>
          <w:kern w:val="0"/>
          <w:sz w:val="44"/>
          <w:szCs w:val="44"/>
        </w:rPr>
        <w:t>支出预算情况的说明</w:t>
      </w:r>
    </w:p>
    <w:p>
      <w:pPr>
        <w:spacing w:line="594" w:lineRule="exact"/>
        <w:jc w:val="center"/>
        <w:rPr>
          <w:rFonts w:ascii="Times New Roman" w:hAnsi="Times New Roman" w:eastAsia="方正仿宋_GBK" w:cs="Times New Roman"/>
          <w:kern w:val="0"/>
          <w:sz w:val="32"/>
          <w:szCs w:val="32"/>
        </w:rPr>
      </w:pPr>
    </w:p>
    <w:p>
      <w:pPr>
        <w:spacing w:line="594"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政府性基金预算</w:t>
      </w:r>
      <w:r>
        <w:rPr>
          <w:rFonts w:hint="eastAsia" w:ascii="Times New Roman" w:hAnsi="Times New Roman" w:eastAsia="方正仿宋_GBK" w:cs="Times New Roman"/>
          <w:kern w:val="0"/>
          <w:sz w:val="32"/>
          <w:szCs w:val="32"/>
        </w:rPr>
        <w:t>按照“以收定支”的原则管理，根据收入情</w:t>
      </w:r>
      <w:r>
        <w:rPr>
          <w:rFonts w:hint="eastAsia" w:ascii="Times New Roman" w:hAnsi="Times New Roman" w:eastAsia="方正仿宋_GBK" w:cs="Times New Roman"/>
          <w:w w:val="95"/>
          <w:kern w:val="0"/>
          <w:sz w:val="32"/>
          <w:szCs w:val="32"/>
        </w:rPr>
        <w:t>况相应安排支出。</w:t>
      </w:r>
      <w:r>
        <w:rPr>
          <w:rFonts w:ascii="Times New Roman" w:hAnsi="Times New Roman" w:eastAsia="方正仿宋_GBK" w:cs="Times New Roman"/>
          <w:w w:val="95"/>
          <w:kern w:val="0"/>
          <w:sz w:val="32"/>
          <w:szCs w:val="32"/>
        </w:rPr>
        <w:t>2022</w:t>
      </w:r>
      <w:r>
        <w:rPr>
          <w:rFonts w:hint="eastAsia" w:ascii="Times New Roman" w:hAnsi="Times New Roman" w:eastAsia="方正仿宋_GBK" w:cs="Times New Roman"/>
          <w:w w:val="95"/>
          <w:kern w:val="0"/>
          <w:sz w:val="32"/>
          <w:szCs w:val="32"/>
        </w:rPr>
        <w:t>年全区政府性基金预算本级支出预算数为</w:t>
      </w:r>
      <w:r>
        <w:rPr>
          <w:rFonts w:ascii="Times New Roman" w:hAnsi="Times New Roman" w:eastAsia="方正仿宋_GBK" w:cs="Times New Roman"/>
          <w:w w:val="95"/>
          <w:kern w:val="0"/>
          <w:sz w:val="32"/>
          <w:szCs w:val="32"/>
        </w:rPr>
        <w:t>478</w:t>
      </w:r>
      <w:r>
        <w:rPr>
          <w:rFonts w:hint="eastAsia" w:ascii="Times New Roman" w:hAnsi="Times New Roman" w:eastAsia="方正仿宋_GBK" w:cs="Times New Roman"/>
          <w:w w:val="95"/>
          <w:kern w:val="0"/>
          <w:sz w:val="32"/>
          <w:szCs w:val="32"/>
        </w:rPr>
        <w:t>,</w:t>
      </w:r>
      <w:r>
        <w:rPr>
          <w:rFonts w:ascii="Times New Roman" w:hAnsi="Times New Roman" w:eastAsia="方正仿宋_GBK" w:cs="Times New Roman"/>
          <w:w w:val="95"/>
          <w:kern w:val="0"/>
          <w:sz w:val="32"/>
          <w:szCs w:val="32"/>
        </w:rPr>
        <w:t>514</w:t>
      </w:r>
      <w:r>
        <w:rPr>
          <w:rFonts w:hint="eastAsia" w:ascii="Times New Roman" w:hAnsi="Times New Roman" w:eastAsia="方正仿宋_GBK" w:cs="Times New Roman"/>
          <w:w w:val="95"/>
          <w:kern w:val="0"/>
          <w:sz w:val="32"/>
          <w:szCs w:val="32"/>
        </w:rPr>
        <w:t>万元</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w w:val="99"/>
          <w:kern w:val="0"/>
          <w:sz w:val="32"/>
          <w:szCs w:val="32"/>
        </w:rPr>
        <w:t>2023</w:t>
      </w:r>
      <w:r>
        <w:rPr>
          <w:rFonts w:hint="eastAsia" w:ascii="Times New Roman" w:hAnsi="Times New Roman" w:eastAsia="方正仿宋_GBK" w:cs="Times New Roman"/>
          <w:w w:val="99"/>
          <w:kern w:val="0"/>
          <w:sz w:val="32"/>
          <w:szCs w:val="32"/>
        </w:rPr>
        <w:t>年预算数为</w:t>
      </w:r>
      <w:r>
        <w:rPr>
          <w:rFonts w:ascii="Times New Roman" w:hAnsi="Times New Roman" w:eastAsia="方正仿宋_GBK" w:cs="Times New Roman"/>
          <w:w w:val="99"/>
          <w:kern w:val="0"/>
          <w:sz w:val="32"/>
          <w:szCs w:val="32"/>
        </w:rPr>
        <w:t>344</w:t>
      </w:r>
      <w:r>
        <w:rPr>
          <w:rFonts w:hint="eastAsia" w:ascii="Times New Roman" w:hAnsi="Times New Roman" w:eastAsia="方正仿宋_GBK" w:cs="Times New Roman"/>
          <w:w w:val="99"/>
          <w:kern w:val="0"/>
          <w:sz w:val="32"/>
          <w:szCs w:val="32"/>
        </w:rPr>
        <w:t>,</w:t>
      </w:r>
      <w:r>
        <w:rPr>
          <w:rFonts w:ascii="Times New Roman" w:hAnsi="Times New Roman" w:eastAsia="方正仿宋_GBK" w:cs="Times New Roman"/>
          <w:w w:val="99"/>
          <w:kern w:val="0"/>
          <w:sz w:val="32"/>
          <w:szCs w:val="32"/>
        </w:rPr>
        <w:t>375</w:t>
      </w:r>
      <w:r>
        <w:rPr>
          <w:rFonts w:hint="eastAsia" w:ascii="Times New Roman" w:hAnsi="Times New Roman" w:eastAsia="方正仿宋_GBK" w:cs="Times New Roman"/>
          <w:w w:val="99"/>
          <w:kern w:val="0"/>
          <w:sz w:val="32"/>
          <w:szCs w:val="32"/>
        </w:rPr>
        <w:t>万元，预算数为上年预算数的</w:t>
      </w:r>
      <w:r>
        <w:rPr>
          <w:rFonts w:ascii="Times New Roman" w:hAnsi="Times New Roman" w:eastAsia="方正仿宋_GBK" w:cs="Times New Roman"/>
          <w:w w:val="99"/>
          <w:kern w:val="0"/>
          <w:sz w:val="32"/>
          <w:szCs w:val="32"/>
        </w:rPr>
        <w:t>72</w:t>
      </w:r>
      <w:r>
        <w:rPr>
          <w:rFonts w:hint="eastAsia" w:ascii="Times New Roman" w:hAnsi="Times New Roman" w:eastAsia="方正仿宋_GBK" w:cs="Times New Roman"/>
          <w:w w:val="99"/>
          <w:kern w:val="0"/>
          <w:sz w:val="32"/>
          <w:szCs w:val="32"/>
        </w:rPr>
        <w:t>.</w:t>
      </w:r>
      <w:r>
        <w:rPr>
          <w:rFonts w:ascii="Times New Roman" w:hAnsi="Times New Roman" w:eastAsia="方正仿宋_GBK" w:cs="Times New Roman"/>
          <w:w w:val="99"/>
          <w:kern w:val="0"/>
          <w:sz w:val="32"/>
          <w:szCs w:val="32"/>
        </w:rPr>
        <w:t>0</w:t>
      </w:r>
      <w:r>
        <w:rPr>
          <w:rFonts w:hint="eastAsia" w:ascii="Times New Roman" w:hAnsi="Times New Roman" w:eastAsia="方正仿宋_GBK" w:cs="Times New Roman"/>
          <w:w w:val="99"/>
          <w:kern w:val="0"/>
          <w:sz w:val="32"/>
          <w:szCs w:val="32"/>
        </w:rPr>
        <w:t>%</w:t>
      </w:r>
      <w:r>
        <w:rPr>
          <w:rFonts w:hint="eastAsia" w:ascii="Times New Roman" w:hAnsi="Times New Roman" w:eastAsia="方正仿宋_GBK" w:cs="Times New Roman"/>
          <w:kern w:val="0"/>
          <w:sz w:val="32"/>
          <w:szCs w:val="32"/>
        </w:rPr>
        <w:t>。</w:t>
      </w:r>
    </w:p>
    <w:p>
      <w:pPr>
        <w:spacing w:line="594" w:lineRule="exact"/>
        <w:ind w:firstLine="608"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w w:val="95"/>
          <w:kern w:val="0"/>
          <w:sz w:val="32"/>
          <w:szCs w:val="32"/>
        </w:rPr>
        <w:t>社会保障和就业支出预算数为</w:t>
      </w:r>
      <w:r>
        <w:rPr>
          <w:rFonts w:ascii="Times New Roman" w:hAnsi="Times New Roman" w:eastAsia="方正仿宋_GBK" w:cs="Times New Roman"/>
          <w:w w:val="95"/>
          <w:kern w:val="0"/>
          <w:sz w:val="32"/>
          <w:szCs w:val="32"/>
        </w:rPr>
        <w:t>147</w:t>
      </w:r>
      <w:r>
        <w:rPr>
          <w:rFonts w:hint="eastAsia" w:ascii="Times New Roman" w:hAnsi="Times New Roman" w:eastAsia="方正仿宋_GBK" w:cs="Times New Roman"/>
          <w:w w:val="95"/>
          <w:kern w:val="0"/>
          <w:sz w:val="32"/>
          <w:szCs w:val="32"/>
        </w:rPr>
        <w:t>万元，为上年预算数的</w:t>
      </w:r>
      <w:r>
        <w:rPr>
          <w:rFonts w:ascii="Times New Roman" w:hAnsi="Times New Roman" w:eastAsia="方正仿宋_GBK" w:cs="Times New Roman"/>
          <w:w w:val="95"/>
          <w:kern w:val="0"/>
          <w:sz w:val="32"/>
          <w:szCs w:val="32"/>
        </w:rPr>
        <w:t>145</w:t>
      </w:r>
      <w:r>
        <w:rPr>
          <w:rFonts w:hint="eastAsia" w:ascii="Times New Roman" w:hAnsi="Times New Roman" w:eastAsia="方正仿宋_GBK" w:cs="Times New Roman"/>
          <w:w w:val="95"/>
          <w:kern w:val="0"/>
          <w:sz w:val="32"/>
          <w:szCs w:val="32"/>
        </w:rPr>
        <w:t>.</w:t>
      </w:r>
      <w:r>
        <w:rPr>
          <w:rFonts w:ascii="Times New Roman" w:hAnsi="Times New Roman" w:eastAsia="方正仿宋_GBK" w:cs="Times New Roman"/>
          <w:w w:val="95"/>
          <w:kern w:val="0"/>
          <w:sz w:val="32"/>
          <w:szCs w:val="32"/>
        </w:rPr>
        <w:t>5</w:t>
      </w:r>
      <w:r>
        <w:rPr>
          <w:rFonts w:hint="eastAsia" w:ascii="Times New Roman" w:hAnsi="Times New Roman" w:eastAsia="方正仿宋_GBK" w:cs="Times New Roman"/>
          <w:w w:val="95"/>
          <w:kern w:val="0"/>
          <w:sz w:val="32"/>
          <w:szCs w:val="32"/>
        </w:rPr>
        <w:t>%，</w:t>
      </w:r>
      <w:r>
        <w:rPr>
          <w:rFonts w:hint="eastAsia" w:ascii="Times New Roman" w:hAnsi="Times New Roman" w:eastAsia="方正仿宋_GBK" w:cs="Times New Roman"/>
          <w:kern w:val="0"/>
          <w:sz w:val="32"/>
          <w:szCs w:val="32"/>
        </w:rPr>
        <w:t>主要是大中型水库移民后期扶持基金安排的支出。</w:t>
      </w:r>
    </w:p>
    <w:p>
      <w:pPr>
        <w:spacing w:line="594" w:lineRule="exact"/>
        <w:ind w:firstLine="608"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w w:val="95"/>
          <w:kern w:val="0"/>
          <w:sz w:val="32"/>
          <w:szCs w:val="32"/>
        </w:rPr>
        <w:t>城乡社区支出预算数为</w:t>
      </w:r>
      <w:r>
        <w:rPr>
          <w:rFonts w:ascii="Times New Roman" w:hAnsi="Times New Roman" w:eastAsia="方正仿宋_GBK" w:cs="Times New Roman"/>
          <w:w w:val="95"/>
          <w:kern w:val="0"/>
          <w:sz w:val="32"/>
          <w:szCs w:val="32"/>
        </w:rPr>
        <w:t>325</w:t>
      </w:r>
      <w:r>
        <w:rPr>
          <w:rFonts w:hint="eastAsia" w:ascii="Times New Roman" w:hAnsi="Times New Roman" w:eastAsia="方正仿宋_GBK" w:cs="Times New Roman"/>
          <w:w w:val="95"/>
          <w:kern w:val="0"/>
          <w:sz w:val="32"/>
          <w:szCs w:val="32"/>
        </w:rPr>
        <w:t>,</w:t>
      </w:r>
      <w:r>
        <w:rPr>
          <w:rFonts w:ascii="Times New Roman" w:hAnsi="Times New Roman" w:eastAsia="方正仿宋_GBK" w:cs="Times New Roman"/>
          <w:w w:val="95"/>
          <w:kern w:val="0"/>
          <w:sz w:val="32"/>
          <w:szCs w:val="32"/>
        </w:rPr>
        <w:t>448</w:t>
      </w:r>
      <w:r>
        <w:rPr>
          <w:rFonts w:hint="eastAsia" w:ascii="Times New Roman" w:hAnsi="Times New Roman" w:eastAsia="方正仿宋_GBK" w:cs="Times New Roman"/>
          <w:w w:val="95"/>
          <w:kern w:val="0"/>
          <w:sz w:val="32"/>
          <w:szCs w:val="32"/>
        </w:rPr>
        <w:t>万元，为上年预算数的</w:t>
      </w:r>
      <w:r>
        <w:rPr>
          <w:rFonts w:ascii="Times New Roman" w:hAnsi="Times New Roman" w:eastAsia="方正仿宋_GBK" w:cs="Times New Roman"/>
          <w:w w:val="95"/>
          <w:kern w:val="0"/>
          <w:sz w:val="32"/>
          <w:szCs w:val="32"/>
        </w:rPr>
        <w:t>70</w:t>
      </w:r>
      <w:r>
        <w:rPr>
          <w:rFonts w:hint="eastAsia" w:ascii="Times New Roman" w:hAnsi="Times New Roman" w:eastAsia="方正仿宋_GBK" w:cs="Times New Roman"/>
          <w:w w:val="95"/>
          <w:kern w:val="0"/>
          <w:sz w:val="32"/>
          <w:szCs w:val="32"/>
        </w:rPr>
        <w:t>.</w:t>
      </w:r>
      <w:r>
        <w:rPr>
          <w:rFonts w:ascii="Times New Roman" w:hAnsi="Times New Roman" w:eastAsia="方正仿宋_GBK" w:cs="Times New Roman"/>
          <w:w w:val="95"/>
          <w:kern w:val="0"/>
          <w:sz w:val="32"/>
          <w:szCs w:val="32"/>
        </w:rPr>
        <w:t>7</w:t>
      </w:r>
      <w:r>
        <w:rPr>
          <w:rFonts w:hint="eastAsia" w:ascii="Times New Roman" w:hAnsi="Times New Roman" w:eastAsia="方正仿宋_GBK" w:cs="Times New Roman"/>
          <w:w w:val="95"/>
          <w:kern w:val="0"/>
          <w:sz w:val="32"/>
          <w:szCs w:val="32"/>
        </w:rPr>
        <w:t>%，</w:t>
      </w:r>
      <w:r>
        <w:rPr>
          <w:rFonts w:hint="eastAsia" w:ascii="Times New Roman" w:hAnsi="Times New Roman" w:eastAsia="方正仿宋_GBK" w:cs="Times New Roman"/>
          <w:kern w:val="0"/>
          <w:sz w:val="32"/>
          <w:szCs w:val="32"/>
        </w:rPr>
        <w:t>主要是</w:t>
      </w:r>
      <w:r>
        <w:rPr>
          <w:rFonts w:ascii="Times New Roman" w:hAnsi="Times New Roman" w:eastAsia="方正仿宋_GBK" w:cs="Times New Roman"/>
          <w:kern w:val="0"/>
          <w:sz w:val="32"/>
          <w:szCs w:val="32"/>
        </w:rPr>
        <w:t>2022</w:t>
      </w:r>
      <w:r>
        <w:rPr>
          <w:rFonts w:hint="eastAsia" w:ascii="Times New Roman" w:hAnsi="Times New Roman" w:eastAsia="方正仿宋_GBK" w:cs="Times New Roman"/>
          <w:kern w:val="0"/>
          <w:sz w:val="32"/>
          <w:szCs w:val="32"/>
        </w:rPr>
        <w:t>年国有土地使用权出让和城市基础设施配套费等结余资金规模较</w:t>
      </w:r>
      <w:r>
        <w:rPr>
          <w:rFonts w:ascii="Times New Roman" w:hAnsi="Times New Roman" w:eastAsia="方正仿宋_GBK" w:cs="Times New Roman"/>
          <w:kern w:val="0"/>
          <w:sz w:val="32"/>
          <w:szCs w:val="32"/>
        </w:rPr>
        <w:t>2021</w:t>
      </w:r>
      <w:r>
        <w:rPr>
          <w:rFonts w:hint="eastAsia" w:ascii="Times New Roman" w:hAnsi="Times New Roman" w:eastAsia="方正仿宋_GBK" w:cs="Times New Roman"/>
          <w:kern w:val="0"/>
          <w:sz w:val="32"/>
          <w:szCs w:val="32"/>
        </w:rPr>
        <w:t>年下降。</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农林水支出预算数为</w:t>
      </w: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841</w:t>
      </w:r>
      <w:r>
        <w:rPr>
          <w:rFonts w:hint="eastAsia" w:ascii="Times New Roman" w:hAnsi="Times New Roman" w:eastAsia="方正仿宋_GBK" w:cs="Times New Roman"/>
          <w:kern w:val="0"/>
          <w:sz w:val="32"/>
          <w:szCs w:val="32"/>
        </w:rPr>
        <w:t>万元，为上年预算数的</w:t>
      </w: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979</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6</w:t>
      </w:r>
      <w:r>
        <w:rPr>
          <w:rFonts w:hint="eastAsia" w:ascii="Times New Roman" w:hAnsi="Times New Roman" w:eastAsia="方正仿宋_GBK" w:cs="Times New Roman"/>
          <w:kern w:val="0"/>
          <w:sz w:val="32"/>
          <w:szCs w:val="32"/>
        </w:rPr>
        <w:t>%，主要是三峡水库库区基金、国家重大水利工程建设基金等安排的支出。</w:t>
      </w:r>
    </w:p>
    <w:p>
      <w:pPr>
        <w:spacing w:line="594" w:lineRule="exact"/>
        <w:ind w:firstLine="640" w:firstLineChars="200"/>
        <w:rPr>
          <w:rFonts w:ascii="Times New Roman" w:hAnsi="Times New Roman" w:eastAsia="宋体" w:cs="Times New Roman"/>
          <w:sz w:val="20"/>
          <w:szCs w:val="20"/>
          <w:lang w:val="zh-CN"/>
        </w:rPr>
      </w:pPr>
      <w:r>
        <w:rPr>
          <w:rFonts w:hint="eastAsia" w:ascii="Times New Roman" w:hAnsi="Times New Roman" w:eastAsia="方正仿宋_GBK" w:cs="Times New Roman"/>
          <w:kern w:val="0"/>
          <w:sz w:val="32"/>
          <w:szCs w:val="32"/>
        </w:rPr>
        <w:t>其他支出预算数为</w:t>
      </w:r>
      <w:r>
        <w:rPr>
          <w:rFonts w:ascii="Times New Roman" w:hAnsi="Times New Roman" w:eastAsia="方正仿宋_GBK" w:cs="Times New Roman"/>
          <w:kern w:val="0"/>
          <w:sz w:val="32"/>
          <w:szCs w:val="32"/>
        </w:rPr>
        <w:t>3</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706</w:t>
      </w:r>
      <w:r>
        <w:rPr>
          <w:rFonts w:hint="eastAsia" w:ascii="Times New Roman" w:hAnsi="Times New Roman" w:eastAsia="方正仿宋_GBK" w:cs="Times New Roman"/>
          <w:kern w:val="0"/>
          <w:sz w:val="32"/>
          <w:szCs w:val="32"/>
        </w:rPr>
        <w:t>万元，为上年预算数的</w:t>
      </w:r>
      <w:r>
        <w:rPr>
          <w:rFonts w:ascii="Times New Roman" w:hAnsi="Times New Roman" w:eastAsia="方正仿宋_GBK" w:cs="Times New Roman"/>
          <w:kern w:val="0"/>
          <w:sz w:val="32"/>
          <w:szCs w:val="32"/>
        </w:rPr>
        <w:t>103</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5</w:t>
      </w:r>
      <w:r>
        <w:rPr>
          <w:rFonts w:hint="eastAsia" w:ascii="Times New Roman" w:hAnsi="Times New Roman" w:eastAsia="方正仿宋_GBK" w:cs="Times New Roman"/>
          <w:kern w:val="0"/>
          <w:sz w:val="32"/>
          <w:szCs w:val="32"/>
        </w:rPr>
        <w:t>%，主要是彩票发行和彩票销售机构的业务费用、彩票公益金收入等安排的支出。</w:t>
      </w:r>
    </w:p>
    <w:p>
      <w:pPr>
        <w:widowControl/>
        <w:spacing w:line="580" w:lineRule="exact"/>
        <w:rPr>
          <w:rFonts w:ascii="Times New Roman" w:hAnsi="Times New Roman" w:eastAsia="方正仿宋_GBK"/>
          <w:lang w:val="zh-CN"/>
        </w:rPr>
      </w:pPr>
    </w:p>
    <w:p>
      <w:pPr>
        <w:widowControl/>
        <w:jc w:val="left"/>
        <w:rPr>
          <w:rFonts w:ascii="Times New Roman" w:hAnsi="Times New Roman" w:eastAsia="方正黑体_GBK" w:cs="方正黑体_GBK"/>
          <w:color w:val="000000"/>
          <w:kern w:val="0"/>
          <w:sz w:val="28"/>
          <w:szCs w:val="28"/>
        </w:rPr>
      </w:pPr>
      <w:r>
        <w:rPr>
          <w:rFonts w:ascii="Times New Roman" w:hAnsi="Times New Roman" w:eastAsia="方正黑体_GBK" w:cs="方正黑体_GBK"/>
          <w:color w:val="000000"/>
          <w:kern w:val="0"/>
          <w:sz w:val="28"/>
          <w:szCs w:val="28"/>
        </w:rPr>
        <w:br w:type="page"/>
      </w:r>
    </w:p>
    <w:p>
      <w:pPr>
        <w:spacing w:line="400" w:lineRule="exac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23</w:t>
      </w:r>
    </w:p>
    <w:p>
      <w:pPr>
        <w:widowControl/>
        <w:jc w:val="center"/>
        <w:textAlignment w:val="center"/>
        <w:outlineLvl w:val="0"/>
        <w:rPr>
          <w:rFonts w:ascii="Times New Roman" w:hAnsi="Times New Roman" w:eastAsia="方正小标宋_GBK" w:cs="方正小标宋_GBK"/>
          <w:kern w:val="0"/>
          <w:sz w:val="44"/>
          <w:szCs w:val="44"/>
        </w:rPr>
      </w:pPr>
      <w:r>
        <w:rPr>
          <w:rFonts w:ascii="Times New Roman" w:hAnsi="Times New Roman" w:eastAsia="方正小标宋_GBK" w:cs="Times New Roman"/>
          <w:kern w:val="0"/>
          <w:sz w:val="44"/>
          <w:szCs w:val="44"/>
        </w:rPr>
        <w:t>2023</w:t>
      </w:r>
      <w:r>
        <w:rPr>
          <w:rFonts w:hint="eastAsia" w:ascii="Times New Roman" w:hAnsi="Times New Roman" w:eastAsia="方正小标宋_GBK" w:cs="方正小标宋_GBK"/>
          <w:kern w:val="0"/>
          <w:sz w:val="44"/>
          <w:szCs w:val="44"/>
        </w:rPr>
        <w:t xml:space="preserve">年区级政府性基金预算支出预算表 </w:t>
      </w:r>
    </w:p>
    <w:p>
      <w:pPr>
        <w:jc w:val="right"/>
        <w:rPr>
          <w:rFonts w:ascii="Times New Roman" w:hAnsi="Times New Roman" w:eastAsia="宋体" w:cs="Times New Roman"/>
        </w:rPr>
      </w:pPr>
      <w:r>
        <w:rPr>
          <w:rFonts w:hint="eastAsia" w:ascii="Times New Roman" w:hAnsi="Times New Roman" w:eastAsia="宋体" w:cs="Times New Roman"/>
        </w:rPr>
        <w:t xml:space="preserve"> 单位：万元 </w:t>
      </w:r>
    </w:p>
    <w:tbl>
      <w:tblPr>
        <w:tblStyle w:val="10"/>
        <w:tblW w:w="9087" w:type="dxa"/>
        <w:tblInd w:w="0" w:type="dxa"/>
        <w:tblLayout w:type="fixed"/>
        <w:tblCellMar>
          <w:top w:w="15" w:type="dxa"/>
          <w:left w:w="15" w:type="dxa"/>
          <w:bottom w:w="15" w:type="dxa"/>
          <w:right w:w="15" w:type="dxa"/>
        </w:tblCellMar>
      </w:tblPr>
      <w:tblGrid>
        <w:gridCol w:w="1951"/>
        <w:gridCol w:w="5090"/>
        <w:gridCol w:w="2046"/>
      </w:tblGrid>
      <w:tr>
        <w:tblPrEx>
          <w:tblLayout w:type="fixed"/>
          <w:tblCellMar>
            <w:top w:w="15" w:type="dxa"/>
            <w:left w:w="15" w:type="dxa"/>
            <w:bottom w:w="15" w:type="dxa"/>
            <w:right w:w="15" w:type="dxa"/>
          </w:tblCellMar>
        </w:tblPrEx>
        <w:trPr>
          <w:trHeight w:val="340" w:hRule="atLeast"/>
          <w:tblHeader/>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科目编码</w:t>
            </w:r>
          </w:p>
        </w:tc>
        <w:tc>
          <w:tcPr>
            <w:tcW w:w="5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科目名称</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预算数</w:t>
            </w:r>
          </w:p>
        </w:tc>
      </w:tr>
      <w:tr>
        <w:tblPrEx>
          <w:tblLayout w:type="fixed"/>
          <w:tblCellMar>
            <w:top w:w="15" w:type="dxa"/>
            <w:left w:w="15" w:type="dxa"/>
            <w:bottom w:w="15" w:type="dxa"/>
            <w:right w:w="15" w:type="dxa"/>
          </w:tblCellMar>
        </w:tblPrEx>
        <w:trPr>
          <w:trHeight w:val="348" w:hRule="atLeast"/>
        </w:trPr>
        <w:tc>
          <w:tcPr>
            <w:tcW w:w="7041" w:type="dxa"/>
            <w:gridSpan w:val="2"/>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b/>
                <w:color w:val="000000"/>
                <w:szCs w:val="21"/>
              </w:rPr>
            </w:pPr>
            <w:r>
              <w:rPr>
                <w:rFonts w:hint="eastAsia" w:ascii="Times New Roman" w:hAnsi="Times New Roman" w:eastAsia="宋体" w:cs="宋体"/>
                <w:b/>
                <w:color w:val="000000"/>
                <w:kern w:val="0"/>
                <w:szCs w:val="21"/>
                <w:lang w:bidi="ar"/>
              </w:rPr>
              <w:t>本级支出合计</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Cs/>
                <w:color w:val="000000"/>
                <w:sz w:val="20"/>
                <w:szCs w:val="20"/>
              </w:rPr>
            </w:pPr>
            <w:r>
              <w:rPr>
                <w:rFonts w:ascii="Times New Roman" w:hAnsi="Times New Roman" w:eastAsia="宋体" w:cs="Times New Roman"/>
                <w:color w:val="000000"/>
                <w:kern w:val="0"/>
                <w:sz w:val="20"/>
                <w:szCs w:val="20"/>
                <w:lang w:bidi="ar"/>
              </w:rPr>
              <w:t xml:space="preserve">344,375 </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207</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b/>
                <w:color w:val="000000"/>
                <w:sz w:val="20"/>
                <w:szCs w:val="20"/>
              </w:rPr>
            </w:pPr>
            <w:r>
              <w:rPr>
                <w:rFonts w:hint="eastAsia" w:ascii="Times New Roman" w:hAnsi="Times New Roman" w:eastAsia="宋体" w:cs="宋体"/>
                <w:b/>
                <w:color w:val="000000"/>
                <w:kern w:val="0"/>
                <w:sz w:val="20"/>
                <w:szCs w:val="20"/>
                <w:lang w:bidi="ar"/>
              </w:rPr>
              <w:t xml:space="preserve">  文化旅游体育与传媒支出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bCs/>
                <w:color w:val="000000"/>
                <w:sz w:val="20"/>
                <w:szCs w:val="20"/>
              </w:rPr>
            </w:pP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20709</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b/>
                <w:color w:val="000000"/>
                <w:sz w:val="20"/>
                <w:szCs w:val="20"/>
              </w:rPr>
            </w:pPr>
            <w:r>
              <w:rPr>
                <w:rFonts w:hint="eastAsia" w:ascii="Times New Roman" w:hAnsi="Times New Roman" w:eastAsia="宋体" w:cs="宋体"/>
                <w:b/>
                <w:color w:val="000000"/>
                <w:kern w:val="0"/>
                <w:sz w:val="20"/>
                <w:szCs w:val="20"/>
                <w:lang w:bidi="ar"/>
              </w:rPr>
              <w:t xml:space="preserve">    旅游发展基金支出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bCs/>
                <w:color w:val="000000"/>
                <w:sz w:val="20"/>
                <w:szCs w:val="20"/>
              </w:rPr>
            </w:pP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2070904</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地方旅游开发项目补助</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bCs/>
                <w:color w:val="000000"/>
                <w:sz w:val="20"/>
                <w:szCs w:val="20"/>
              </w:rPr>
            </w:pP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208</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b/>
                <w:color w:val="000000"/>
                <w:sz w:val="20"/>
                <w:szCs w:val="20"/>
              </w:rPr>
            </w:pPr>
            <w:r>
              <w:rPr>
                <w:rFonts w:hint="eastAsia" w:ascii="Times New Roman" w:hAnsi="Times New Roman" w:eastAsia="宋体" w:cs="宋体"/>
                <w:b/>
                <w:color w:val="000000"/>
                <w:kern w:val="0"/>
                <w:sz w:val="20"/>
                <w:szCs w:val="20"/>
                <w:lang w:bidi="ar"/>
              </w:rPr>
              <w:t xml:space="preserve">  社会保障和就业支出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Cs/>
                <w:color w:val="000000"/>
                <w:sz w:val="20"/>
                <w:szCs w:val="20"/>
              </w:rPr>
            </w:pPr>
            <w:r>
              <w:rPr>
                <w:rFonts w:ascii="Times New Roman" w:hAnsi="Times New Roman" w:eastAsia="宋体" w:cs="Times New Roman"/>
                <w:color w:val="000000"/>
                <w:kern w:val="0"/>
                <w:sz w:val="20"/>
                <w:szCs w:val="20"/>
                <w:lang w:bidi="ar"/>
              </w:rPr>
              <w:t xml:space="preserve">147 </w:t>
            </w:r>
          </w:p>
        </w:tc>
      </w:tr>
      <w:tr>
        <w:tblPrEx>
          <w:tblLayout w:type="fixed"/>
          <w:tblCellMar>
            <w:top w:w="15" w:type="dxa"/>
            <w:left w:w="15" w:type="dxa"/>
            <w:bottom w:w="15" w:type="dxa"/>
            <w:right w:w="15" w:type="dxa"/>
          </w:tblCellMar>
        </w:tblPrEx>
        <w:trPr>
          <w:trHeight w:val="335"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20822</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b/>
                <w:color w:val="000000"/>
                <w:sz w:val="20"/>
                <w:szCs w:val="20"/>
              </w:rPr>
            </w:pPr>
            <w:r>
              <w:rPr>
                <w:rFonts w:hint="eastAsia" w:ascii="Times New Roman" w:hAnsi="Times New Roman" w:eastAsia="宋体" w:cs="宋体"/>
                <w:b/>
                <w:color w:val="000000"/>
                <w:kern w:val="0"/>
                <w:sz w:val="20"/>
                <w:szCs w:val="20"/>
                <w:lang w:bidi="ar"/>
              </w:rPr>
              <w:t xml:space="preserve">    大中型水库移民后期扶持基金支出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Cs/>
                <w:color w:val="000000"/>
                <w:sz w:val="20"/>
                <w:szCs w:val="20"/>
              </w:rPr>
            </w:pPr>
            <w:r>
              <w:rPr>
                <w:rFonts w:ascii="Times New Roman" w:hAnsi="Times New Roman" w:eastAsia="宋体" w:cs="Times New Roman"/>
                <w:color w:val="000000"/>
                <w:kern w:val="0"/>
                <w:sz w:val="20"/>
                <w:szCs w:val="20"/>
                <w:lang w:bidi="ar"/>
              </w:rPr>
              <w:t xml:space="preserve">147 </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2082201</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移民补助</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Cs/>
                <w:color w:val="000000"/>
                <w:sz w:val="20"/>
                <w:szCs w:val="20"/>
              </w:rPr>
            </w:pPr>
            <w:r>
              <w:rPr>
                <w:rFonts w:ascii="Times New Roman" w:hAnsi="Times New Roman" w:eastAsia="宋体" w:cs="Times New Roman"/>
                <w:color w:val="000000"/>
                <w:kern w:val="0"/>
                <w:sz w:val="20"/>
                <w:szCs w:val="20"/>
                <w:lang w:bidi="ar"/>
              </w:rPr>
              <w:t xml:space="preserve">147 </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2082202</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础设施建设和经济发展</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bCs/>
                <w:color w:val="000000"/>
                <w:sz w:val="20"/>
                <w:szCs w:val="20"/>
              </w:rPr>
            </w:pP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212</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b/>
                <w:color w:val="000000"/>
                <w:sz w:val="20"/>
                <w:szCs w:val="20"/>
              </w:rPr>
            </w:pPr>
            <w:r>
              <w:rPr>
                <w:rFonts w:hint="eastAsia" w:ascii="Times New Roman" w:hAnsi="Times New Roman" w:eastAsia="宋体" w:cs="宋体"/>
                <w:b/>
                <w:color w:val="000000"/>
                <w:kern w:val="0"/>
                <w:sz w:val="20"/>
                <w:szCs w:val="20"/>
                <w:lang w:bidi="ar"/>
              </w:rPr>
              <w:t xml:space="preserve">  城乡社区支出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Cs/>
                <w:color w:val="000000"/>
                <w:sz w:val="20"/>
                <w:szCs w:val="20"/>
              </w:rPr>
            </w:pPr>
            <w:r>
              <w:rPr>
                <w:rFonts w:ascii="Times New Roman" w:hAnsi="Times New Roman" w:eastAsia="宋体" w:cs="Times New Roman"/>
                <w:color w:val="000000"/>
                <w:kern w:val="0"/>
                <w:sz w:val="20"/>
                <w:szCs w:val="20"/>
                <w:lang w:bidi="ar"/>
              </w:rPr>
              <w:t>325</w:t>
            </w:r>
            <w:r>
              <w:rPr>
                <w:rFonts w:hint="eastAsia" w:ascii="Times New Roman" w:hAnsi="Times New Roman" w:eastAsia="宋体" w:cs="Times New Roman"/>
                <w:color w:val="000000"/>
                <w:kern w:val="0"/>
                <w:sz w:val="20"/>
                <w:szCs w:val="20"/>
                <w:lang w:bidi="ar"/>
              </w:rPr>
              <w:t>,</w:t>
            </w:r>
            <w:r>
              <w:rPr>
                <w:rFonts w:ascii="Times New Roman" w:hAnsi="Times New Roman" w:eastAsia="宋体" w:cs="Times New Roman"/>
                <w:color w:val="000000"/>
                <w:kern w:val="0"/>
                <w:sz w:val="20"/>
                <w:szCs w:val="20"/>
                <w:lang w:bidi="ar"/>
              </w:rPr>
              <w:t xml:space="preserve">448 </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21208</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b/>
                <w:color w:val="000000"/>
                <w:sz w:val="20"/>
                <w:szCs w:val="20"/>
              </w:rPr>
            </w:pPr>
            <w:r>
              <w:rPr>
                <w:rFonts w:hint="eastAsia" w:ascii="Times New Roman" w:hAnsi="Times New Roman" w:eastAsia="宋体" w:cs="宋体"/>
                <w:b/>
                <w:color w:val="000000"/>
                <w:kern w:val="0"/>
                <w:sz w:val="20"/>
                <w:szCs w:val="20"/>
                <w:lang w:bidi="ar"/>
              </w:rPr>
              <w:t xml:space="preserve">    国有土地使用权出让收入安排的支出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Cs/>
                <w:color w:val="000000"/>
                <w:sz w:val="20"/>
                <w:szCs w:val="20"/>
              </w:rPr>
            </w:pPr>
            <w:r>
              <w:rPr>
                <w:rFonts w:ascii="Times New Roman" w:hAnsi="Times New Roman" w:eastAsia="宋体" w:cs="Times New Roman"/>
                <w:color w:val="000000"/>
                <w:kern w:val="0"/>
                <w:sz w:val="20"/>
                <w:szCs w:val="20"/>
                <w:lang w:bidi="ar"/>
              </w:rPr>
              <w:t>320</w:t>
            </w:r>
            <w:r>
              <w:rPr>
                <w:rFonts w:hint="eastAsia" w:ascii="Times New Roman" w:hAnsi="Times New Roman" w:eastAsia="宋体" w:cs="Times New Roman"/>
                <w:color w:val="000000"/>
                <w:kern w:val="0"/>
                <w:sz w:val="20"/>
                <w:szCs w:val="20"/>
                <w:lang w:bidi="ar"/>
              </w:rPr>
              <w:t>,</w:t>
            </w:r>
            <w:r>
              <w:rPr>
                <w:rFonts w:ascii="Times New Roman" w:hAnsi="Times New Roman" w:eastAsia="宋体" w:cs="Times New Roman"/>
                <w:color w:val="000000"/>
                <w:kern w:val="0"/>
                <w:sz w:val="20"/>
                <w:szCs w:val="20"/>
                <w:lang w:bidi="ar"/>
              </w:rPr>
              <w:t xml:space="preserve">909 </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2120801</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征地和拆迁补偿支出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Cs/>
                <w:color w:val="000000"/>
                <w:sz w:val="20"/>
                <w:szCs w:val="20"/>
              </w:rPr>
            </w:pPr>
            <w:r>
              <w:rPr>
                <w:rFonts w:ascii="Times New Roman" w:hAnsi="Times New Roman" w:eastAsia="宋体" w:cs="Times New Roman"/>
                <w:color w:val="000000"/>
                <w:kern w:val="0"/>
                <w:sz w:val="20"/>
                <w:szCs w:val="20"/>
                <w:lang w:bidi="ar"/>
              </w:rPr>
              <w:t xml:space="preserve">132,523 </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2120802</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土地开发支出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bCs/>
                <w:color w:val="000000"/>
                <w:sz w:val="20"/>
                <w:szCs w:val="20"/>
              </w:rPr>
            </w:pP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2120803</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城市建设支出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bCs/>
                <w:color w:val="000000"/>
                <w:sz w:val="20"/>
                <w:szCs w:val="20"/>
              </w:rPr>
            </w:pP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2120804</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农村基础设施建设支出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Cs/>
                <w:color w:val="000000"/>
                <w:sz w:val="20"/>
                <w:szCs w:val="20"/>
              </w:rPr>
            </w:pPr>
            <w:r>
              <w:rPr>
                <w:rFonts w:ascii="Times New Roman" w:hAnsi="Times New Roman" w:eastAsia="宋体" w:cs="Times New Roman"/>
                <w:color w:val="000000"/>
                <w:kern w:val="0"/>
                <w:sz w:val="20"/>
                <w:szCs w:val="20"/>
                <w:lang w:bidi="ar"/>
              </w:rPr>
              <w:t xml:space="preserve">43 </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2120810</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棚户区改造支出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bCs/>
                <w:color w:val="000000"/>
                <w:sz w:val="20"/>
                <w:szCs w:val="20"/>
              </w:rPr>
            </w:pP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2121815</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农村社会事业支出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Cs/>
                <w:color w:val="000000"/>
                <w:sz w:val="20"/>
                <w:szCs w:val="20"/>
              </w:rPr>
            </w:pPr>
            <w:r>
              <w:rPr>
                <w:rFonts w:ascii="Times New Roman" w:hAnsi="Times New Roman" w:eastAsia="宋体" w:cs="Times New Roman"/>
                <w:color w:val="000000"/>
                <w:kern w:val="0"/>
                <w:sz w:val="20"/>
                <w:szCs w:val="20"/>
                <w:lang w:bidi="ar"/>
              </w:rPr>
              <w:t xml:space="preserve">503 </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2120899</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其他国有土地使用权出让收入安排的支出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Cs/>
                <w:color w:val="000000"/>
                <w:sz w:val="20"/>
                <w:szCs w:val="20"/>
              </w:rPr>
            </w:pPr>
            <w:r>
              <w:rPr>
                <w:rFonts w:ascii="Times New Roman" w:hAnsi="Times New Roman" w:eastAsia="宋体" w:cs="Times New Roman"/>
                <w:color w:val="000000"/>
                <w:kern w:val="0"/>
                <w:sz w:val="20"/>
                <w:szCs w:val="20"/>
                <w:lang w:bidi="ar"/>
              </w:rPr>
              <w:t>187</w:t>
            </w:r>
            <w:r>
              <w:rPr>
                <w:rFonts w:hint="eastAsia" w:ascii="Times New Roman" w:hAnsi="Times New Roman" w:eastAsia="宋体" w:cs="Times New Roman"/>
                <w:color w:val="000000"/>
                <w:kern w:val="0"/>
                <w:sz w:val="20"/>
                <w:szCs w:val="20"/>
                <w:lang w:bidi="ar"/>
              </w:rPr>
              <w:t>,</w:t>
            </w:r>
            <w:r>
              <w:rPr>
                <w:rFonts w:ascii="Times New Roman" w:hAnsi="Times New Roman" w:eastAsia="宋体" w:cs="Times New Roman"/>
                <w:color w:val="000000"/>
                <w:kern w:val="0"/>
                <w:sz w:val="20"/>
                <w:szCs w:val="20"/>
                <w:lang w:bidi="ar"/>
              </w:rPr>
              <w:t xml:space="preserve">840 </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b/>
                <w:bCs/>
                <w:color w:val="000000"/>
                <w:kern w:val="0"/>
                <w:sz w:val="20"/>
                <w:szCs w:val="20"/>
                <w:lang w:bidi="ar"/>
              </w:rPr>
              <w:t>21213</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b/>
                <w:color w:val="000000"/>
                <w:sz w:val="20"/>
                <w:szCs w:val="20"/>
              </w:rPr>
            </w:pPr>
            <w:r>
              <w:rPr>
                <w:rFonts w:hint="eastAsia" w:ascii="Times New Roman" w:hAnsi="Times New Roman" w:eastAsia="宋体" w:cs="宋体"/>
                <w:b/>
                <w:color w:val="000000"/>
                <w:kern w:val="0"/>
                <w:sz w:val="20"/>
                <w:szCs w:val="20"/>
                <w:lang w:bidi="ar"/>
              </w:rPr>
              <w:t xml:space="preserve">    城市基础设施配套费安排的支出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Cs/>
                <w:color w:val="000000"/>
                <w:sz w:val="20"/>
                <w:szCs w:val="20"/>
              </w:rPr>
            </w:pPr>
            <w:r>
              <w:rPr>
                <w:rFonts w:ascii="Times New Roman" w:hAnsi="Times New Roman" w:eastAsia="宋体" w:cs="Times New Roman"/>
                <w:color w:val="000000"/>
                <w:kern w:val="0"/>
                <w:sz w:val="20"/>
                <w:szCs w:val="20"/>
                <w:lang w:bidi="ar"/>
              </w:rPr>
              <w:t xml:space="preserve">4,539 </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2121301</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城市公共设施</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Cs/>
                <w:color w:val="000000"/>
                <w:sz w:val="20"/>
                <w:szCs w:val="20"/>
              </w:rPr>
            </w:pPr>
            <w:r>
              <w:rPr>
                <w:rFonts w:ascii="Times New Roman" w:hAnsi="Times New Roman" w:eastAsia="宋体" w:cs="Times New Roman"/>
                <w:color w:val="000000"/>
                <w:kern w:val="0"/>
                <w:sz w:val="20"/>
                <w:szCs w:val="20"/>
                <w:lang w:bidi="ar"/>
              </w:rPr>
              <w:t xml:space="preserve">4,250 </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2121399</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其他城市基础设施配套费安排的支出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Cs/>
                <w:color w:val="000000"/>
                <w:sz w:val="20"/>
                <w:szCs w:val="20"/>
              </w:rPr>
            </w:pPr>
            <w:r>
              <w:rPr>
                <w:rFonts w:ascii="Times New Roman" w:hAnsi="Times New Roman" w:eastAsia="宋体" w:cs="Times New Roman"/>
                <w:color w:val="000000"/>
                <w:kern w:val="0"/>
                <w:sz w:val="20"/>
                <w:szCs w:val="20"/>
                <w:lang w:bidi="ar"/>
              </w:rPr>
              <w:t xml:space="preserve">289 </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b/>
                <w:bCs/>
                <w:color w:val="000000"/>
                <w:kern w:val="0"/>
                <w:sz w:val="20"/>
                <w:szCs w:val="20"/>
                <w:lang w:bidi="ar"/>
              </w:rPr>
              <w:t>21216</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b/>
                <w:color w:val="000000"/>
                <w:sz w:val="20"/>
                <w:szCs w:val="20"/>
              </w:rPr>
            </w:pPr>
            <w:r>
              <w:rPr>
                <w:rFonts w:hint="eastAsia" w:ascii="Times New Roman" w:hAnsi="Times New Roman" w:eastAsia="宋体" w:cs="宋体"/>
                <w:b/>
                <w:color w:val="000000"/>
                <w:kern w:val="0"/>
                <w:sz w:val="20"/>
                <w:szCs w:val="20"/>
                <w:lang w:bidi="ar"/>
              </w:rPr>
              <w:t xml:space="preserve">    棚户区改造专项债券收入安排的支出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bCs/>
                <w:color w:val="000000"/>
                <w:sz w:val="20"/>
                <w:szCs w:val="20"/>
              </w:rPr>
            </w:pP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2121601</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征地和拆迁补偿支出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bCs/>
                <w:color w:val="000000"/>
                <w:sz w:val="20"/>
                <w:szCs w:val="20"/>
              </w:rPr>
            </w:pP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213</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b/>
                <w:color w:val="000000"/>
                <w:sz w:val="20"/>
                <w:szCs w:val="20"/>
              </w:rPr>
            </w:pPr>
            <w:r>
              <w:rPr>
                <w:rFonts w:hint="eastAsia" w:ascii="Times New Roman" w:hAnsi="Times New Roman" w:eastAsia="宋体" w:cs="宋体"/>
                <w:b/>
                <w:color w:val="000000"/>
                <w:kern w:val="0"/>
                <w:sz w:val="20"/>
                <w:szCs w:val="20"/>
                <w:lang w:bidi="ar"/>
              </w:rPr>
              <w:t xml:space="preserve">  农林水支出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Cs/>
                <w:color w:val="000000"/>
                <w:sz w:val="20"/>
                <w:szCs w:val="20"/>
              </w:rPr>
            </w:pPr>
            <w:r>
              <w:rPr>
                <w:rFonts w:ascii="Times New Roman" w:hAnsi="Times New Roman" w:eastAsia="宋体" w:cs="Times New Roman"/>
                <w:color w:val="000000"/>
                <w:kern w:val="0"/>
                <w:sz w:val="20"/>
                <w:szCs w:val="20"/>
                <w:lang w:bidi="ar"/>
              </w:rPr>
              <w:t xml:space="preserve">1,841 </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21367</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b/>
                <w:color w:val="000000"/>
                <w:sz w:val="20"/>
                <w:szCs w:val="20"/>
              </w:rPr>
            </w:pPr>
            <w:r>
              <w:rPr>
                <w:rFonts w:hint="eastAsia" w:ascii="Times New Roman" w:hAnsi="Times New Roman" w:eastAsia="宋体" w:cs="宋体"/>
                <w:b/>
                <w:color w:val="000000"/>
                <w:kern w:val="0"/>
                <w:sz w:val="20"/>
                <w:szCs w:val="20"/>
                <w:lang w:bidi="ar"/>
              </w:rPr>
              <w:t xml:space="preserve">    三峡水库库区基金支出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Cs/>
                <w:color w:val="000000"/>
                <w:sz w:val="20"/>
                <w:szCs w:val="20"/>
              </w:rPr>
            </w:pPr>
            <w:r>
              <w:rPr>
                <w:rFonts w:ascii="Times New Roman" w:hAnsi="Times New Roman" w:eastAsia="宋体" w:cs="Times New Roman"/>
                <w:color w:val="000000"/>
                <w:kern w:val="0"/>
                <w:sz w:val="20"/>
                <w:szCs w:val="20"/>
                <w:lang w:bidi="ar"/>
              </w:rPr>
              <w:t xml:space="preserve">55 </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2136701</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基础设施建设和经济发展</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Cs/>
                <w:color w:val="000000"/>
                <w:sz w:val="20"/>
                <w:szCs w:val="20"/>
              </w:rPr>
            </w:pPr>
            <w:r>
              <w:rPr>
                <w:rFonts w:ascii="Times New Roman" w:hAnsi="Times New Roman" w:eastAsia="宋体" w:cs="Times New Roman"/>
                <w:color w:val="000000"/>
                <w:kern w:val="0"/>
                <w:sz w:val="20"/>
                <w:szCs w:val="20"/>
                <w:lang w:bidi="ar"/>
              </w:rPr>
              <w:t xml:space="preserve">34 </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2136702</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解决移民遗留问题</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Cs/>
                <w:color w:val="000000"/>
                <w:sz w:val="20"/>
                <w:szCs w:val="20"/>
              </w:rPr>
            </w:pPr>
            <w:r>
              <w:rPr>
                <w:rFonts w:ascii="Times New Roman" w:hAnsi="Times New Roman" w:eastAsia="宋体" w:cs="Times New Roman"/>
                <w:color w:val="000000"/>
                <w:kern w:val="0"/>
                <w:sz w:val="20"/>
                <w:szCs w:val="20"/>
                <w:lang w:bidi="ar"/>
              </w:rPr>
              <w:t xml:space="preserve">1 </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2136799</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其他三峡水库库区基金支出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Cs/>
                <w:color w:val="000000"/>
                <w:sz w:val="20"/>
                <w:szCs w:val="20"/>
              </w:rPr>
            </w:pPr>
            <w:r>
              <w:rPr>
                <w:rFonts w:ascii="Times New Roman" w:hAnsi="Times New Roman" w:eastAsia="宋体" w:cs="Times New Roman"/>
                <w:color w:val="000000"/>
                <w:kern w:val="0"/>
                <w:sz w:val="20"/>
                <w:szCs w:val="20"/>
                <w:lang w:bidi="ar"/>
              </w:rPr>
              <w:t xml:space="preserve">20 </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b/>
                <w:bCs/>
                <w:color w:val="000000"/>
                <w:kern w:val="0"/>
                <w:sz w:val="20"/>
                <w:szCs w:val="20"/>
                <w:lang w:bidi="ar"/>
              </w:rPr>
              <w:t>21369</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b/>
                <w:color w:val="000000"/>
                <w:sz w:val="20"/>
                <w:szCs w:val="20"/>
              </w:rPr>
            </w:pPr>
            <w:r>
              <w:rPr>
                <w:rFonts w:hint="eastAsia" w:ascii="Times New Roman" w:hAnsi="Times New Roman" w:eastAsia="宋体" w:cs="宋体"/>
                <w:b/>
                <w:color w:val="000000"/>
                <w:kern w:val="0"/>
                <w:sz w:val="20"/>
                <w:szCs w:val="20"/>
                <w:lang w:bidi="ar"/>
              </w:rPr>
              <w:t xml:space="preserve">    国家重大水利工程建设基金安排的支出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Cs/>
                <w:color w:val="000000"/>
                <w:sz w:val="20"/>
                <w:szCs w:val="20"/>
              </w:rPr>
            </w:pPr>
            <w:r>
              <w:rPr>
                <w:rFonts w:ascii="Times New Roman" w:hAnsi="Times New Roman" w:eastAsia="宋体" w:cs="Times New Roman"/>
                <w:color w:val="000000"/>
                <w:kern w:val="0"/>
                <w:sz w:val="20"/>
                <w:szCs w:val="20"/>
                <w:lang w:bidi="ar"/>
              </w:rPr>
              <w:t xml:space="preserve">1,786 </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2136902</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三峡后续工作</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Cs/>
                <w:color w:val="000000"/>
                <w:sz w:val="20"/>
                <w:szCs w:val="20"/>
              </w:rPr>
            </w:pPr>
            <w:r>
              <w:rPr>
                <w:rFonts w:ascii="Times New Roman" w:hAnsi="Times New Roman" w:eastAsia="宋体" w:cs="Times New Roman"/>
                <w:color w:val="000000"/>
                <w:kern w:val="0"/>
                <w:sz w:val="20"/>
                <w:szCs w:val="20"/>
                <w:lang w:bidi="ar"/>
              </w:rPr>
              <w:t xml:space="preserve">1,786 </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b/>
                <w:bCs/>
                <w:color w:val="000000"/>
                <w:kern w:val="0"/>
                <w:sz w:val="20"/>
                <w:szCs w:val="20"/>
                <w:lang w:bidi="ar"/>
              </w:rPr>
              <w:t>229</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b/>
                <w:color w:val="000000"/>
                <w:sz w:val="20"/>
                <w:szCs w:val="20"/>
              </w:rPr>
            </w:pPr>
            <w:r>
              <w:rPr>
                <w:rFonts w:hint="eastAsia" w:ascii="Times New Roman" w:hAnsi="Times New Roman" w:eastAsia="宋体" w:cs="宋体"/>
                <w:b/>
                <w:color w:val="000000"/>
                <w:kern w:val="0"/>
                <w:sz w:val="20"/>
                <w:szCs w:val="20"/>
                <w:lang w:bidi="ar"/>
              </w:rPr>
              <w:t xml:space="preserve">  其他支出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Cs/>
                <w:color w:val="000000"/>
                <w:sz w:val="20"/>
                <w:szCs w:val="20"/>
              </w:rPr>
            </w:pPr>
            <w:r>
              <w:rPr>
                <w:rFonts w:ascii="Times New Roman" w:hAnsi="Times New Roman" w:eastAsia="宋体" w:cs="Times New Roman"/>
                <w:color w:val="000000"/>
                <w:kern w:val="0"/>
                <w:sz w:val="20"/>
                <w:szCs w:val="20"/>
                <w:lang w:bidi="ar"/>
              </w:rPr>
              <w:t xml:space="preserve">3,706 </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b/>
                <w:bCs/>
                <w:color w:val="000000"/>
                <w:kern w:val="0"/>
                <w:sz w:val="20"/>
                <w:szCs w:val="20"/>
                <w:lang w:bidi="ar"/>
              </w:rPr>
              <w:t>22904</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b/>
                <w:color w:val="000000"/>
                <w:sz w:val="20"/>
                <w:szCs w:val="20"/>
              </w:rPr>
            </w:pPr>
            <w:r>
              <w:rPr>
                <w:rFonts w:hint="eastAsia" w:ascii="Times New Roman" w:hAnsi="Times New Roman" w:eastAsia="宋体" w:cs="宋体"/>
                <w:b/>
                <w:color w:val="000000"/>
                <w:kern w:val="0"/>
                <w:sz w:val="20"/>
                <w:szCs w:val="20"/>
                <w:lang w:bidi="ar"/>
              </w:rPr>
              <w:t xml:space="preserve">    其他政府性基金及对应专项债务收入安排的支出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bCs/>
                <w:color w:val="000000"/>
                <w:sz w:val="20"/>
                <w:szCs w:val="20"/>
              </w:rPr>
            </w:pP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2290402</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其他地方自行试点项目收益专项债券收入安排的支出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bCs/>
                <w:color w:val="000000"/>
                <w:sz w:val="20"/>
                <w:szCs w:val="20"/>
              </w:rPr>
            </w:pP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b/>
                <w:bCs/>
                <w:color w:val="000000"/>
                <w:kern w:val="0"/>
                <w:sz w:val="20"/>
                <w:szCs w:val="20"/>
                <w:lang w:bidi="ar"/>
              </w:rPr>
              <w:t>22908</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b/>
                <w:color w:val="000000"/>
                <w:sz w:val="20"/>
                <w:szCs w:val="20"/>
              </w:rPr>
            </w:pPr>
            <w:r>
              <w:rPr>
                <w:rFonts w:hint="eastAsia" w:ascii="Times New Roman" w:hAnsi="Times New Roman" w:eastAsia="宋体" w:cs="宋体"/>
                <w:b/>
                <w:color w:val="000000"/>
                <w:kern w:val="0"/>
                <w:sz w:val="20"/>
                <w:szCs w:val="20"/>
                <w:lang w:bidi="ar"/>
              </w:rPr>
              <w:t xml:space="preserve">    彩票发行销售机构业务费安排的支出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bCs/>
                <w:color w:val="000000"/>
                <w:sz w:val="20"/>
                <w:szCs w:val="20"/>
              </w:rPr>
            </w:pP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2290808</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彩票市场调控资金支出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bCs/>
                <w:color w:val="000000"/>
                <w:sz w:val="20"/>
                <w:szCs w:val="20"/>
              </w:rPr>
            </w:pP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2290899</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其他彩票发行销售机构业务费安排的支出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bCs/>
                <w:color w:val="000000"/>
                <w:sz w:val="20"/>
                <w:szCs w:val="20"/>
              </w:rPr>
            </w:pP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b/>
                <w:bCs/>
                <w:color w:val="000000"/>
                <w:kern w:val="0"/>
                <w:sz w:val="20"/>
                <w:szCs w:val="20"/>
                <w:lang w:bidi="ar"/>
              </w:rPr>
              <w:t>22960</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b/>
                <w:color w:val="000000"/>
                <w:sz w:val="20"/>
                <w:szCs w:val="20"/>
              </w:rPr>
            </w:pPr>
            <w:r>
              <w:rPr>
                <w:rFonts w:hint="eastAsia" w:ascii="Times New Roman" w:hAnsi="Times New Roman" w:eastAsia="宋体" w:cs="宋体"/>
                <w:b/>
                <w:color w:val="000000"/>
                <w:kern w:val="0"/>
                <w:sz w:val="20"/>
                <w:szCs w:val="20"/>
                <w:lang w:bidi="ar"/>
              </w:rPr>
              <w:t xml:space="preserve">    彩票公益金安排的支出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Cs/>
                <w:color w:val="000000"/>
                <w:sz w:val="20"/>
                <w:szCs w:val="20"/>
              </w:rPr>
            </w:pPr>
            <w:r>
              <w:rPr>
                <w:rFonts w:ascii="Times New Roman" w:hAnsi="Times New Roman" w:eastAsia="宋体" w:cs="Times New Roman"/>
                <w:color w:val="000000"/>
                <w:kern w:val="0"/>
                <w:sz w:val="20"/>
                <w:szCs w:val="20"/>
                <w:lang w:bidi="ar"/>
              </w:rPr>
              <w:t xml:space="preserve">3,706 </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2296002</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用于社会福利的彩票公益金支出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Cs/>
                <w:color w:val="000000"/>
                <w:sz w:val="20"/>
                <w:szCs w:val="20"/>
              </w:rPr>
            </w:pPr>
            <w:r>
              <w:rPr>
                <w:rFonts w:ascii="Times New Roman" w:hAnsi="Times New Roman" w:eastAsia="宋体" w:cs="Times New Roman"/>
                <w:color w:val="000000"/>
                <w:kern w:val="0"/>
                <w:sz w:val="20"/>
                <w:szCs w:val="20"/>
                <w:lang w:bidi="ar"/>
              </w:rPr>
              <w:t xml:space="preserve">1,368 </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2296003</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用于体育事业的彩票公益金支出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Cs/>
                <w:color w:val="000000"/>
                <w:sz w:val="20"/>
                <w:szCs w:val="20"/>
              </w:rPr>
            </w:pPr>
            <w:r>
              <w:rPr>
                <w:rFonts w:ascii="Times New Roman" w:hAnsi="Times New Roman" w:eastAsia="宋体" w:cs="Times New Roman"/>
                <w:color w:val="000000"/>
                <w:kern w:val="0"/>
                <w:sz w:val="20"/>
                <w:szCs w:val="20"/>
                <w:lang w:bidi="ar"/>
              </w:rPr>
              <w:t xml:space="preserve">2,126 </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2296004</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用于教育事业的彩票公益金支出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Cs/>
                <w:color w:val="000000"/>
                <w:sz w:val="20"/>
                <w:szCs w:val="20"/>
              </w:rPr>
            </w:pPr>
            <w:r>
              <w:rPr>
                <w:rFonts w:ascii="Times New Roman" w:hAnsi="Times New Roman" w:eastAsia="宋体" w:cs="Times New Roman"/>
                <w:color w:val="000000"/>
                <w:kern w:val="0"/>
                <w:sz w:val="20"/>
                <w:szCs w:val="20"/>
                <w:lang w:bidi="ar"/>
              </w:rPr>
              <w:t xml:space="preserve">63 </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2296006</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用于残疾人事业的彩票公益金支出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Cs/>
                <w:color w:val="000000"/>
                <w:sz w:val="20"/>
                <w:szCs w:val="20"/>
              </w:rPr>
            </w:pPr>
            <w:r>
              <w:rPr>
                <w:rFonts w:ascii="Times New Roman" w:hAnsi="Times New Roman" w:eastAsia="宋体" w:cs="Times New Roman"/>
                <w:color w:val="000000"/>
                <w:kern w:val="0"/>
                <w:sz w:val="20"/>
                <w:szCs w:val="20"/>
                <w:lang w:bidi="ar"/>
              </w:rPr>
              <w:t xml:space="preserve">83 </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2296013</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用于城乡医疗救助的彩票公益金支出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bCs/>
                <w:color w:val="000000"/>
                <w:sz w:val="20"/>
                <w:szCs w:val="20"/>
              </w:rPr>
            </w:pP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2296099</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用于其他社会公益事业的彩票公益金支出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bCs/>
                <w:color w:val="000000"/>
                <w:sz w:val="20"/>
                <w:szCs w:val="20"/>
              </w:rPr>
            </w:pPr>
            <w:r>
              <w:rPr>
                <w:rFonts w:ascii="Times New Roman" w:hAnsi="Times New Roman" w:eastAsia="宋体" w:cs="Times New Roman"/>
                <w:color w:val="000000"/>
                <w:kern w:val="0"/>
                <w:sz w:val="20"/>
                <w:szCs w:val="20"/>
                <w:lang w:bidi="ar"/>
              </w:rPr>
              <w:t xml:space="preserve">66 </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232</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b/>
                <w:color w:val="000000"/>
                <w:sz w:val="20"/>
                <w:szCs w:val="20"/>
              </w:rPr>
            </w:pPr>
            <w:r>
              <w:rPr>
                <w:rFonts w:hint="eastAsia" w:ascii="Times New Roman" w:hAnsi="Times New Roman" w:eastAsia="宋体" w:cs="宋体"/>
                <w:b/>
                <w:color w:val="000000"/>
                <w:kern w:val="0"/>
                <w:sz w:val="20"/>
                <w:szCs w:val="20"/>
                <w:lang w:bidi="ar"/>
              </w:rPr>
              <w:t xml:space="preserve">  债务付息支出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bCs/>
                <w:color w:val="000000"/>
                <w:sz w:val="20"/>
                <w:szCs w:val="20"/>
              </w:rPr>
            </w:pPr>
            <w:r>
              <w:rPr>
                <w:rFonts w:ascii="Times New Roman" w:hAnsi="Times New Roman" w:eastAsia="宋体" w:cs="Times New Roman"/>
                <w:bCs/>
                <w:color w:val="000000"/>
                <w:sz w:val="20"/>
                <w:szCs w:val="20"/>
              </w:rPr>
              <w:t>13</w:t>
            </w:r>
            <w:r>
              <w:rPr>
                <w:rFonts w:hint="eastAsia" w:ascii="Times New Roman" w:hAnsi="Times New Roman" w:eastAsia="宋体" w:cs="Times New Roman"/>
                <w:bCs/>
                <w:color w:val="000000"/>
                <w:sz w:val="20"/>
                <w:szCs w:val="20"/>
              </w:rPr>
              <w:t>,</w:t>
            </w:r>
            <w:r>
              <w:rPr>
                <w:rFonts w:ascii="Times New Roman" w:hAnsi="Times New Roman" w:eastAsia="宋体" w:cs="Times New Roman"/>
                <w:bCs/>
                <w:color w:val="000000"/>
                <w:sz w:val="20"/>
                <w:szCs w:val="20"/>
              </w:rPr>
              <w:t>225</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23204</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b/>
                <w:color w:val="000000"/>
                <w:sz w:val="20"/>
                <w:szCs w:val="20"/>
              </w:rPr>
            </w:pPr>
            <w:r>
              <w:rPr>
                <w:rFonts w:hint="eastAsia" w:ascii="Times New Roman" w:hAnsi="Times New Roman" w:eastAsia="宋体" w:cs="宋体"/>
                <w:b/>
                <w:color w:val="000000"/>
                <w:kern w:val="0"/>
                <w:sz w:val="20"/>
                <w:szCs w:val="20"/>
                <w:lang w:bidi="ar"/>
              </w:rPr>
              <w:t xml:space="preserve">    地方政府专项债务付息支出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bCs/>
                <w:color w:val="000000"/>
                <w:sz w:val="20"/>
                <w:szCs w:val="20"/>
              </w:rPr>
            </w:pPr>
            <w:r>
              <w:rPr>
                <w:rFonts w:ascii="Times New Roman" w:hAnsi="Times New Roman" w:eastAsia="宋体" w:cs="Times New Roman"/>
                <w:bCs/>
                <w:color w:val="000000"/>
                <w:sz w:val="20"/>
                <w:szCs w:val="20"/>
              </w:rPr>
              <w:t>13</w:t>
            </w:r>
            <w:r>
              <w:rPr>
                <w:rFonts w:hint="eastAsia" w:ascii="Times New Roman" w:hAnsi="Times New Roman" w:eastAsia="宋体" w:cs="Times New Roman"/>
                <w:bCs/>
                <w:color w:val="000000"/>
                <w:sz w:val="20"/>
                <w:szCs w:val="20"/>
              </w:rPr>
              <w:t>,</w:t>
            </w:r>
            <w:r>
              <w:rPr>
                <w:rFonts w:ascii="Times New Roman" w:hAnsi="Times New Roman" w:eastAsia="宋体" w:cs="Times New Roman"/>
                <w:bCs/>
                <w:color w:val="000000"/>
                <w:sz w:val="20"/>
                <w:szCs w:val="20"/>
              </w:rPr>
              <w:t>225</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2320411</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国有土地使用权出让金债务付息支出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bCs/>
                <w:color w:val="000000"/>
                <w:sz w:val="20"/>
                <w:szCs w:val="20"/>
              </w:rPr>
            </w:pPr>
            <w:r>
              <w:rPr>
                <w:rFonts w:ascii="Times New Roman" w:hAnsi="Times New Roman" w:eastAsia="宋体" w:cs="Times New Roman"/>
                <w:bCs/>
                <w:color w:val="000000"/>
                <w:sz w:val="20"/>
                <w:szCs w:val="20"/>
              </w:rPr>
              <w:t>2</w:t>
            </w:r>
            <w:r>
              <w:rPr>
                <w:rFonts w:hint="eastAsia" w:ascii="Times New Roman" w:hAnsi="Times New Roman" w:eastAsia="宋体" w:cs="Times New Roman"/>
                <w:bCs/>
                <w:color w:val="000000"/>
                <w:sz w:val="20"/>
                <w:szCs w:val="20"/>
              </w:rPr>
              <w:t>,</w:t>
            </w:r>
            <w:r>
              <w:rPr>
                <w:rFonts w:ascii="Times New Roman" w:hAnsi="Times New Roman" w:eastAsia="宋体" w:cs="Times New Roman"/>
                <w:bCs/>
                <w:color w:val="000000"/>
                <w:sz w:val="20"/>
                <w:szCs w:val="20"/>
              </w:rPr>
              <w:t>369</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2320431</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土地储备专项债券付息支出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bCs/>
                <w:color w:val="000000"/>
                <w:sz w:val="20"/>
                <w:szCs w:val="20"/>
              </w:rPr>
            </w:pPr>
            <w:r>
              <w:rPr>
                <w:rFonts w:ascii="Times New Roman" w:hAnsi="Times New Roman" w:eastAsia="宋体" w:cs="Times New Roman"/>
                <w:bCs/>
                <w:color w:val="000000"/>
                <w:sz w:val="20"/>
                <w:szCs w:val="20"/>
              </w:rPr>
              <w:t>5</w:t>
            </w:r>
            <w:r>
              <w:rPr>
                <w:rFonts w:hint="eastAsia" w:ascii="Times New Roman" w:hAnsi="Times New Roman" w:eastAsia="宋体" w:cs="Times New Roman"/>
                <w:bCs/>
                <w:color w:val="000000"/>
                <w:sz w:val="20"/>
                <w:szCs w:val="20"/>
              </w:rPr>
              <w:t>,</w:t>
            </w:r>
            <w:r>
              <w:rPr>
                <w:rFonts w:ascii="Times New Roman" w:hAnsi="Times New Roman" w:eastAsia="宋体" w:cs="Times New Roman"/>
                <w:bCs/>
                <w:color w:val="000000"/>
                <w:sz w:val="20"/>
                <w:szCs w:val="20"/>
              </w:rPr>
              <w:t>745</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2320433</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棚户区改造专项债券付息支出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bCs/>
                <w:color w:val="000000"/>
                <w:sz w:val="20"/>
                <w:szCs w:val="20"/>
              </w:rPr>
            </w:pPr>
            <w:r>
              <w:rPr>
                <w:rFonts w:ascii="Times New Roman" w:hAnsi="Times New Roman" w:eastAsia="宋体" w:cs="Times New Roman"/>
                <w:bCs/>
                <w:color w:val="000000"/>
                <w:sz w:val="20"/>
                <w:szCs w:val="20"/>
              </w:rPr>
              <w:t>338</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2320498</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其他地方自行试点项目收益专项债券付息支出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bCs/>
                <w:color w:val="000000"/>
                <w:sz w:val="20"/>
                <w:szCs w:val="20"/>
              </w:rPr>
            </w:pPr>
            <w:r>
              <w:rPr>
                <w:rFonts w:ascii="Times New Roman" w:hAnsi="Times New Roman" w:eastAsia="宋体" w:cs="Times New Roman"/>
                <w:bCs/>
                <w:color w:val="000000"/>
                <w:sz w:val="20"/>
                <w:szCs w:val="20"/>
              </w:rPr>
              <w:t>4</w:t>
            </w:r>
            <w:r>
              <w:rPr>
                <w:rFonts w:hint="eastAsia" w:ascii="Times New Roman" w:hAnsi="Times New Roman" w:eastAsia="宋体" w:cs="Times New Roman"/>
                <w:bCs/>
                <w:color w:val="000000"/>
                <w:sz w:val="20"/>
                <w:szCs w:val="20"/>
              </w:rPr>
              <w:t>,</w:t>
            </w:r>
            <w:r>
              <w:rPr>
                <w:rFonts w:ascii="Times New Roman" w:hAnsi="Times New Roman" w:eastAsia="宋体" w:cs="Times New Roman"/>
                <w:bCs/>
                <w:color w:val="000000"/>
                <w:sz w:val="20"/>
                <w:szCs w:val="20"/>
              </w:rPr>
              <w:t>773</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b/>
                <w:bCs/>
                <w:color w:val="000000"/>
                <w:kern w:val="0"/>
                <w:sz w:val="20"/>
                <w:szCs w:val="20"/>
                <w:lang w:bidi="ar"/>
              </w:rPr>
              <w:t>233</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b/>
                <w:color w:val="000000"/>
                <w:sz w:val="20"/>
                <w:szCs w:val="20"/>
              </w:rPr>
            </w:pPr>
            <w:r>
              <w:rPr>
                <w:rFonts w:hint="eastAsia" w:ascii="Times New Roman" w:hAnsi="Times New Roman" w:eastAsia="宋体" w:cs="宋体"/>
                <w:b/>
                <w:color w:val="000000"/>
                <w:kern w:val="0"/>
                <w:sz w:val="20"/>
                <w:szCs w:val="20"/>
                <w:lang w:bidi="ar"/>
              </w:rPr>
              <w:t xml:space="preserve"> 债务发行费支出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bCs/>
                <w:color w:val="000000"/>
                <w:sz w:val="20"/>
                <w:szCs w:val="20"/>
              </w:rPr>
            </w:pPr>
            <w:r>
              <w:rPr>
                <w:rFonts w:ascii="Times New Roman" w:hAnsi="Times New Roman" w:eastAsia="宋体" w:cs="Times New Roman"/>
                <w:bCs/>
                <w:color w:val="000000"/>
                <w:sz w:val="20"/>
                <w:szCs w:val="20"/>
              </w:rPr>
              <w:t>8</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23304</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b/>
                <w:bCs/>
                <w:color w:val="000000"/>
                <w:sz w:val="20"/>
                <w:szCs w:val="20"/>
              </w:rPr>
            </w:pPr>
            <w:r>
              <w:rPr>
                <w:rFonts w:hint="eastAsia" w:ascii="Times New Roman" w:hAnsi="Times New Roman" w:eastAsia="宋体" w:cs="宋体"/>
                <w:b/>
                <w:bCs/>
                <w:color w:val="000000"/>
                <w:kern w:val="0"/>
                <w:sz w:val="20"/>
                <w:szCs w:val="20"/>
                <w:lang w:bidi="ar"/>
              </w:rPr>
              <w:t xml:space="preserve">   地方政府专项债务发行费用支出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bCs/>
                <w:color w:val="000000"/>
                <w:sz w:val="20"/>
                <w:szCs w:val="20"/>
              </w:rPr>
            </w:pPr>
            <w:r>
              <w:rPr>
                <w:rFonts w:ascii="Times New Roman" w:hAnsi="Times New Roman" w:eastAsia="宋体" w:cs="Times New Roman"/>
                <w:bCs/>
                <w:color w:val="000000"/>
                <w:sz w:val="20"/>
                <w:szCs w:val="20"/>
              </w:rPr>
              <w:t>8</w:t>
            </w:r>
          </w:p>
        </w:tc>
      </w:tr>
      <w:tr>
        <w:tblPrEx>
          <w:tblLayout w:type="fixed"/>
          <w:tblCellMar>
            <w:top w:w="15" w:type="dxa"/>
            <w:left w:w="15" w:type="dxa"/>
            <w:bottom w:w="15" w:type="dxa"/>
            <w:right w:w="15" w:type="dxa"/>
          </w:tblCellMar>
        </w:tblPrEx>
        <w:trPr>
          <w:trHeight w:val="348"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2330411</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国有土地使用权出让金债务发行费用支出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bCs/>
                <w:color w:val="000000"/>
                <w:sz w:val="20"/>
                <w:szCs w:val="20"/>
              </w:rPr>
            </w:pP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2330431</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宋体"/>
                <w:color w:val="000000"/>
                <w:kern w:val="0"/>
                <w:sz w:val="20"/>
                <w:szCs w:val="20"/>
                <w:lang w:bidi="ar"/>
              </w:rPr>
            </w:pPr>
            <w:r>
              <w:rPr>
                <w:rFonts w:hint="eastAsia" w:ascii="Times New Roman" w:hAnsi="Times New Roman" w:eastAsia="宋体" w:cs="宋体"/>
                <w:color w:val="000000"/>
                <w:kern w:val="0"/>
                <w:sz w:val="20"/>
                <w:szCs w:val="20"/>
                <w:lang w:bidi="ar"/>
              </w:rPr>
              <w:t>土地储备专项债券发行费用支出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bCs/>
                <w:color w:val="000000"/>
                <w:sz w:val="20"/>
                <w:szCs w:val="20"/>
              </w:rPr>
            </w:pPr>
            <w:r>
              <w:rPr>
                <w:rFonts w:ascii="Times New Roman" w:hAnsi="Times New Roman" w:eastAsia="宋体" w:cs="Times New Roman"/>
                <w:bCs/>
                <w:color w:val="000000"/>
                <w:sz w:val="20"/>
                <w:szCs w:val="20"/>
              </w:rPr>
              <w:t>8</w:t>
            </w: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2330433</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ind w:firstLine="600" w:firstLineChars="300"/>
              <w:jc w:val="left"/>
              <w:textAlignment w:val="center"/>
              <w:rPr>
                <w:rFonts w:ascii="Times New Roman" w:hAnsi="Times New Roman" w:eastAsia="宋体" w:cs="宋体"/>
                <w:color w:val="000000"/>
                <w:kern w:val="0"/>
                <w:sz w:val="20"/>
                <w:szCs w:val="20"/>
                <w:lang w:bidi="ar"/>
              </w:rPr>
            </w:pPr>
            <w:r>
              <w:rPr>
                <w:rFonts w:hint="eastAsia" w:ascii="Times New Roman" w:hAnsi="Times New Roman" w:eastAsia="宋体" w:cs="宋体"/>
                <w:color w:val="000000"/>
                <w:kern w:val="0"/>
                <w:sz w:val="20"/>
                <w:szCs w:val="20"/>
                <w:lang w:bidi="ar"/>
              </w:rPr>
              <w:t>棚户区改造专项债券发行费用支出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bCs/>
                <w:color w:val="000000"/>
                <w:sz w:val="20"/>
                <w:szCs w:val="20"/>
              </w:rPr>
            </w:pPr>
          </w:p>
        </w:tc>
      </w:tr>
      <w:tr>
        <w:tblPrEx>
          <w:tblLayout w:type="fixed"/>
          <w:tblCellMar>
            <w:top w:w="15" w:type="dxa"/>
            <w:left w:w="15" w:type="dxa"/>
            <w:bottom w:w="15" w:type="dxa"/>
            <w:right w:w="15" w:type="dxa"/>
          </w:tblCellMar>
        </w:tblPrEx>
        <w:trPr>
          <w:trHeight w:val="34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2330498</w:t>
            </w:r>
          </w:p>
        </w:tc>
        <w:tc>
          <w:tcPr>
            <w:tcW w:w="5090" w:type="dxa"/>
            <w:tcBorders>
              <w:top w:val="single" w:color="000000" w:sz="4" w:space="0"/>
              <w:left w:val="single" w:color="000000" w:sz="4" w:space="0"/>
              <w:bottom w:val="single" w:color="000000" w:sz="4" w:space="0"/>
            </w:tcBorders>
            <w:shd w:val="clear" w:color="auto" w:fill="auto"/>
            <w:vAlign w:val="center"/>
          </w:tcPr>
          <w:p>
            <w:pPr>
              <w:widowControl/>
              <w:ind w:firstLine="400" w:firstLineChars="200"/>
              <w:jc w:val="left"/>
              <w:textAlignment w:val="center"/>
              <w:rPr>
                <w:rFonts w:ascii="Times New Roman" w:hAnsi="Times New Roman" w:eastAsia="宋体" w:cs="宋体"/>
                <w:color w:val="000000"/>
                <w:kern w:val="0"/>
                <w:sz w:val="20"/>
                <w:szCs w:val="20"/>
                <w:lang w:bidi="ar"/>
              </w:rPr>
            </w:pPr>
            <w:r>
              <w:rPr>
                <w:rFonts w:hint="eastAsia" w:ascii="Times New Roman" w:hAnsi="Times New Roman" w:eastAsia="宋体" w:cs="宋体"/>
                <w:color w:val="000000"/>
                <w:kern w:val="0"/>
                <w:sz w:val="20"/>
                <w:szCs w:val="20"/>
                <w:lang w:bidi="ar"/>
              </w:rPr>
              <w:t>其他地方自行试点项目收益专项债券发行费用支出</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bCs/>
                <w:color w:val="000000"/>
                <w:sz w:val="20"/>
                <w:szCs w:val="20"/>
              </w:rPr>
            </w:pPr>
          </w:p>
        </w:tc>
      </w:tr>
    </w:tbl>
    <w:p>
      <w:pPr>
        <w:spacing w:before="120" w:beforeLines="50"/>
        <w:jc w:val="left"/>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注：</w:t>
      </w:r>
      <w:r>
        <w:rPr>
          <w:rFonts w:ascii="Times New Roman" w:hAnsi="Times New Roman" w:eastAsia="宋体" w:cs="宋体"/>
          <w:color w:val="000000"/>
          <w:sz w:val="18"/>
          <w:szCs w:val="18"/>
        </w:rPr>
        <w:t>21208</w:t>
      </w:r>
      <w:r>
        <w:rPr>
          <w:rFonts w:hint="eastAsia" w:ascii="Times New Roman" w:hAnsi="Times New Roman" w:eastAsia="宋体" w:cs="宋体"/>
          <w:color w:val="000000"/>
          <w:sz w:val="18"/>
          <w:szCs w:val="18"/>
        </w:rPr>
        <w:t>其他国有土地使用权出让收入安排的支出中，含棚户区改造政府购买服务支出。</w:t>
      </w:r>
    </w:p>
    <w:p>
      <w:pPr>
        <w:widowControl/>
        <w:rPr>
          <w:rFonts w:ascii="Times New Roman" w:hAnsi="Times New Roman" w:eastAsia="方正黑体_GBK" w:cs="方正黑体_GBK"/>
          <w:color w:val="000000"/>
          <w:kern w:val="0"/>
          <w:sz w:val="28"/>
          <w:szCs w:val="28"/>
        </w:rPr>
      </w:pPr>
      <w:r>
        <w:rPr>
          <w:rFonts w:ascii="Times New Roman" w:hAnsi="Times New Roman" w:eastAsia="方正黑体_GBK" w:cs="方正黑体_GBK"/>
          <w:color w:val="000000"/>
          <w:kern w:val="0"/>
          <w:sz w:val="28"/>
          <w:szCs w:val="28"/>
        </w:rPr>
        <w:br w:type="page"/>
      </w:r>
    </w:p>
    <w:p>
      <w:pPr>
        <w:spacing w:line="400" w:lineRule="exac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24</w:t>
      </w:r>
    </w:p>
    <w:p>
      <w:pPr>
        <w:widowControl/>
        <w:jc w:val="center"/>
        <w:textAlignment w:val="center"/>
        <w:outlineLvl w:val="0"/>
        <w:rPr>
          <w:rFonts w:ascii="Times New Roman" w:hAnsi="Times New Roman" w:eastAsia="方正小标宋_GBK" w:cs="方正小标宋_GBK"/>
          <w:w w:val="95"/>
          <w:kern w:val="0"/>
          <w:sz w:val="44"/>
          <w:szCs w:val="44"/>
        </w:rPr>
      </w:pPr>
      <w:r>
        <w:rPr>
          <w:rFonts w:ascii="Times New Roman" w:hAnsi="Times New Roman" w:eastAsia="方正小标宋_GBK" w:cs="Times New Roman"/>
          <w:w w:val="95"/>
          <w:kern w:val="0"/>
          <w:sz w:val="44"/>
          <w:szCs w:val="44"/>
        </w:rPr>
        <w:t>2023</w:t>
      </w:r>
      <w:r>
        <w:rPr>
          <w:rFonts w:hint="eastAsia" w:ascii="Times New Roman" w:hAnsi="Times New Roman" w:eastAsia="方正小标宋_GBK" w:cs="方正小标宋_GBK"/>
          <w:w w:val="95"/>
          <w:kern w:val="0"/>
          <w:sz w:val="44"/>
          <w:szCs w:val="44"/>
        </w:rPr>
        <w:t>年区级政府性基金预算转移支付收支预算表</w:t>
      </w:r>
    </w:p>
    <w:p>
      <w:pPr>
        <w:jc w:val="right"/>
        <w:rPr>
          <w:rFonts w:ascii="Times New Roman" w:hAnsi="Times New Roman" w:eastAsia="宋体" w:cs="Times New Roman"/>
        </w:rPr>
      </w:pPr>
      <w:r>
        <w:rPr>
          <w:rFonts w:hint="eastAsia" w:ascii="Times New Roman" w:hAnsi="Times New Roman" w:eastAsia="宋体" w:cs="Times New Roman"/>
        </w:rPr>
        <w:t>单位：万元</w:t>
      </w:r>
    </w:p>
    <w:tbl>
      <w:tblPr>
        <w:tblStyle w:val="10"/>
        <w:tblW w:w="9022" w:type="dxa"/>
        <w:tblInd w:w="91" w:type="dxa"/>
        <w:tblLayout w:type="fixed"/>
        <w:tblCellMar>
          <w:top w:w="0" w:type="dxa"/>
          <w:left w:w="108" w:type="dxa"/>
          <w:bottom w:w="0" w:type="dxa"/>
          <w:right w:w="108" w:type="dxa"/>
        </w:tblCellMar>
      </w:tblPr>
      <w:tblGrid>
        <w:gridCol w:w="3310"/>
        <w:gridCol w:w="1226"/>
        <w:gridCol w:w="3306"/>
        <w:gridCol w:w="1180"/>
      </w:tblGrid>
      <w:tr>
        <w:tblPrEx>
          <w:tblLayout w:type="fixed"/>
          <w:tblCellMar>
            <w:top w:w="0" w:type="dxa"/>
            <w:left w:w="108" w:type="dxa"/>
            <w:bottom w:w="0" w:type="dxa"/>
            <w:right w:w="108" w:type="dxa"/>
          </w:tblCellMar>
        </w:tblPrEx>
        <w:trPr>
          <w:trHeight w:val="652" w:hRule="atLeast"/>
        </w:trPr>
        <w:tc>
          <w:tcPr>
            <w:tcW w:w="3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收       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预算数</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支        出</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预算数</w:t>
            </w:r>
          </w:p>
        </w:tc>
      </w:tr>
      <w:tr>
        <w:tblPrEx>
          <w:tblLayout w:type="fixed"/>
          <w:tblCellMar>
            <w:top w:w="0" w:type="dxa"/>
            <w:left w:w="108" w:type="dxa"/>
            <w:bottom w:w="0" w:type="dxa"/>
            <w:right w:w="108" w:type="dxa"/>
          </w:tblCellMar>
        </w:tblPrEx>
        <w:trPr>
          <w:trHeight w:val="454" w:hRule="atLeast"/>
        </w:trPr>
        <w:tc>
          <w:tcPr>
            <w:tcW w:w="3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2"/>
                <w:lang w:bidi="ar"/>
              </w:rPr>
              <w:t>上级补助收入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303,639</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2"/>
                <w:lang w:bidi="ar"/>
              </w:rPr>
              <w:t>补助下级支出</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54" w:hRule="atLeast"/>
        </w:trPr>
        <w:tc>
          <w:tcPr>
            <w:tcW w:w="3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旅游发展基金收入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0"/>
                <w:szCs w:val="20"/>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54" w:hRule="atLeast"/>
        </w:trPr>
        <w:tc>
          <w:tcPr>
            <w:tcW w:w="3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大中型水库移民后期扶持基金收入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58</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0"/>
                <w:szCs w:val="20"/>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54" w:hRule="atLeast"/>
        </w:trPr>
        <w:tc>
          <w:tcPr>
            <w:tcW w:w="3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国有土地使用权出让相关收入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300,094</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宋体"/>
                <w:color w:val="000000"/>
                <w:sz w:val="20"/>
                <w:szCs w:val="20"/>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54" w:hRule="atLeast"/>
        </w:trPr>
        <w:tc>
          <w:tcPr>
            <w:tcW w:w="3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国有土地收益基金相关收入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宋体"/>
                <w:color w:val="000000"/>
                <w:sz w:val="20"/>
                <w:szCs w:val="20"/>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54" w:hRule="atLeast"/>
        </w:trPr>
        <w:tc>
          <w:tcPr>
            <w:tcW w:w="3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城市基础设施配套费相关收入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0"/>
                <w:szCs w:val="20"/>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54" w:hRule="atLeast"/>
        </w:trPr>
        <w:tc>
          <w:tcPr>
            <w:tcW w:w="3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三峡水库库区基金收入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23</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0"/>
                <w:szCs w:val="20"/>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54" w:hRule="atLeast"/>
        </w:trPr>
        <w:tc>
          <w:tcPr>
            <w:tcW w:w="3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国家重大水利工程建设基金相关收入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w:t>
            </w:r>
            <w:r>
              <w:rPr>
                <w:rFonts w:hint="eastAsia" w:ascii="Times New Roman" w:hAnsi="Times New Roman" w:eastAsia="宋体" w:cs="Times New Roman"/>
                <w:color w:val="000000"/>
                <w:kern w:val="0"/>
                <w:sz w:val="20"/>
                <w:szCs w:val="20"/>
                <w:lang w:bidi="ar"/>
              </w:rPr>
              <w:t>,</w:t>
            </w:r>
            <w:r>
              <w:rPr>
                <w:rFonts w:ascii="Times New Roman" w:hAnsi="Times New Roman" w:eastAsia="宋体" w:cs="Times New Roman"/>
                <w:color w:val="000000"/>
                <w:kern w:val="0"/>
                <w:sz w:val="20"/>
                <w:szCs w:val="20"/>
                <w:lang w:bidi="ar"/>
              </w:rPr>
              <w:t>786</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0"/>
                <w:szCs w:val="20"/>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54" w:hRule="atLeast"/>
        </w:trPr>
        <w:tc>
          <w:tcPr>
            <w:tcW w:w="3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彩票发行机构和彩票销售机构的业务费用</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宋体"/>
                <w:color w:val="000000"/>
                <w:sz w:val="20"/>
                <w:szCs w:val="20"/>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20"/>
                <w:szCs w:val="20"/>
              </w:rPr>
            </w:pPr>
          </w:p>
        </w:tc>
      </w:tr>
      <w:tr>
        <w:tblPrEx>
          <w:tblLayout w:type="fixed"/>
          <w:tblCellMar>
            <w:top w:w="0" w:type="dxa"/>
            <w:left w:w="108" w:type="dxa"/>
            <w:bottom w:w="0" w:type="dxa"/>
            <w:right w:w="108" w:type="dxa"/>
          </w:tblCellMar>
        </w:tblPrEx>
        <w:trPr>
          <w:trHeight w:val="454" w:hRule="atLeast"/>
        </w:trPr>
        <w:tc>
          <w:tcPr>
            <w:tcW w:w="3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彩票公益金收入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1,678</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0"/>
                <w:szCs w:val="20"/>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Times New Roman" w:hAnsi="Times New Roman" w:eastAsia="宋体" w:cs="Times New Roman"/>
                <w:color w:val="000000"/>
                <w:sz w:val="20"/>
                <w:szCs w:val="20"/>
              </w:rPr>
            </w:pPr>
          </w:p>
        </w:tc>
      </w:tr>
    </w:tbl>
    <w:p>
      <w:pPr>
        <w:widowControl/>
        <w:spacing w:line="580" w:lineRule="exact"/>
        <w:rPr>
          <w:rFonts w:ascii="Times New Roman" w:hAnsi="Times New Roman" w:eastAsia="方正仿宋_GBK"/>
          <w:lang w:val="zh-CN"/>
        </w:rPr>
      </w:pPr>
    </w:p>
    <w:p>
      <w:pPr>
        <w:widowControl/>
        <w:spacing w:line="580" w:lineRule="exact"/>
        <w:rPr>
          <w:rFonts w:ascii="Times New Roman" w:hAnsi="Times New Roman" w:eastAsia="方正仿宋_GBK"/>
          <w:lang w:val="zh-CN"/>
        </w:rPr>
      </w:pPr>
    </w:p>
    <w:p>
      <w:pPr>
        <w:widowControl/>
        <w:jc w:val="left"/>
        <w:rPr>
          <w:rFonts w:ascii="Times New Roman" w:hAnsi="Times New Roman" w:eastAsia="方正黑体_GBK" w:cs="方正黑体_GBK"/>
          <w:color w:val="000000"/>
          <w:kern w:val="0"/>
          <w:sz w:val="28"/>
          <w:szCs w:val="28"/>
        </w:rPr>
      </w:pPr>
      <w:r>
        <w:rPr>
          <w:rFonts w:ascii="Times New Roman" w:hAnsi="Times New Roman" w:eastAsia="方正黑体_GBK" w:cs="方正黑体_GBK"/>
          <w:color w:val="000000"/>
          <w:kern w:val="0"/>
          <w:sz w:val="28"/>
          <w:szCs w:val="28"/>
        </w:rPr>
        <w:br w:type="page"/>
      </w:r>
    </w:p>
    <w:p>
      <w:pPr>
        <w:spacing w:line="400" w:lineRule="exac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25</w:t>
      </w:r>
    </w:p>
    <w:p>
      <w:pPr>
        <w:widowControl/>
        <w:jc w:val="center"/>
        <w:textAlignment w:val="center"/>
        <w:outlineLvl w:val="0"/>
        <w:rPr>
          <w:rFonts w:ascii="Times New Roman" w:hAnsi="Times New Roman" w:eastAsia="方正小标宋_GBK" w:cs="方正小标宋_GBK"/>
          <w:w w:val="95"/>
          <w:kern w:val="0"/>
          <w:sz w:val="44"/>
          <w:szCs w:val="44"/>
        </w:rPr>
      </w:pPr>
      <w:r>
        <w:rPr>
          <w:rFonts w:ascii="Times New Roman" w:hAnsi="Times New Roman" w:eastAsia="方正小标宋_GBK" w:cs="Times New Roman"/>
          <w:w w:val="95"/>
          <w:kern w:val="0"/>
          <w:sz w:val="44"/>
          <w:szCs w:val="44"/>
        </w:rPr>
        <w:t>2023</w:t>
      </w:r>
      <w:r>
        <w:rPr>
          <w:rFonts w:hint="eastAsia" w:ascii="Times New Roman" w:hAnsi="Times New Roman" w:eastAsia="方正小标宋_GBK" w:cs="方正小标宋_GBK"/>
          <w:w w:val="95"/>
          <w:kern w:val="0"/>
          <w:sz w:val="44"/>
          <w:szCs w:val="44"/>
        </w:rPr>
        <w:t>年区级政府性基金预算转移支付支出预算表</w:t>
      </w:r>
    </w:p>
    <w:p>
      <w:pPr>
        <w:widowControl/>
        <w:jc w:val="center"/>
        <w:textAlignment w:val="center"/>
        <w:outlineLvl w:val="0"/>
        <w:rPr>
          <w:rFonts w:ascii="Times New Roman" w:hAnsi="Times New Roman" w:eastAsia="方正小标宋_GBK" w:cs="方正小标宋_GBK"/>
          <w:color w:val="000000"/>
          <w:kern w:val="0"/>
          <w:sz w:val="32"/>
          <w:szCs w:val="32"/>
        </w:rPr>
      </w:pPr>
      <w:bookmarkStart w:id="15" w:name="_Toc3217"/>
      <w:r>
        <w:rPr>
          <w:rFonts w:hint="eastAsia" w:ascii="Times New Roman" w:hAnsi="Times New Roman" w:eastAsia="方正小标宋_GBK" w:cs="方正小标宋_GBK"/>
          <w:color w:val="000000"/>
          <w:kern w:val="0"/>
          <w:sz w:val="32"/>
          <w:szCs w:val="32"/>
        </w:rPr>
        <w:t>（分地区）</w:t>
      </w:r>
      <w:bookmarkEnd w:id="15"/>
    </w:p>
    <w:p>
      <w:pPr>
        <w:jc w:val="right"/>
        <w:rPr>
          <w:rFonts w:ascii="Times New Roman" w:hAnsi="Times New Roman" w:eastAsia="宋体" w:cs="Times New Roman"/>
        </w:rPr>
      </w:pPr>
      <w:r>
        <w:rPr>
          <w:rFonts w:hint="eastAsia" w:ascii="Times New Roman" w:hAnsi="Times New Roman" w:eastAsia="宋体" w:cs="Times New Roman"/>
        </w:rPr>
        <w:t>单位：万元</w:t>
      </w:r>
    </w:p>
    <w:tbl>
      <w:tblPr>
        <w:tblStyle w:val="10"/>
        <w:tblW w:w="9237" w:type="dxa"/>
        <w:jc w:val="center"/>
        <w:tblInd w:w="0" w:type="dxa"/>
        <w:tblLayout w:type="fixed"/>
        <w:tblCellMar>
          <w:top w:w="0" w:type="dxa"/>
          <w:left w:w="0" w:type="dxa"/>
          <w:bottom w:w="0" w:type="dxa"/>
          <w:right w:w="0" w:type="dxa"/>
        </w:tblCellMar>
      </w:tblPr>
      <w:tblGrid>
        <w:gridCol w:w="3539"/>
        <w:gridCol w:w="5698"/>
      </w:tblGrid>
      <w:tr>
        <w:tblPrEx>
          <w:tblLayout w:type="fixed"/>
          <w:tblCellMar>
            <w:top w:w="0" w:type="dxa"/>
            <w:left w:w="0" w:type="dxa"/>
            <w:bottom w:w="0" w:type="dxa"/>
            <w:right w:w="0" w:type="dxa"/>
          </w:tblCellMar>
        </w:tblPrEx>
        <w:trPr>
          <w:trHeight w:val="645" w:hRule="atLeast"/>
          <w:jc w:val="center"/>
        </w:trPr>
        <w:tc>
          <w:tcPr>
            <w:tcW w:w="3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rPr>
              <w:t>单位名称</w:t>
            </w:r>
          </w:p>
        </w:tc>
        <w:tc>
          <w:tcPr>
            <w:tcW w:w="5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rPr>
              <w:t>预算数</w:t>
            </w:r>
          </w:p>
        </w:tc>
      </w:tr>
      <w:tr>
        <w:tblPrEx>
          <w:tblLayout w:type="fixed"/>
          <w:tblCellMar>
            <w:top w:w="0" w:type="dxa"/>
            <w:left w:w="0" w:type="dxa"/>
            <w:bottom w:w="0" w:type="dxa"/>
            <w:right w:w="0" w:type="dxa"/>
          </w:tblCellMar>
        </w:tblPrEx>
        <w:trPr>
          <w:trHeight w:val="500" w:hRule="atLeast"/>
          <w:jc w:val="center"/>
        </w:trPr>
        <w:tc>
          <w:tcPr>
            <w:tcW w:w="3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rPr>
              <w:t>补助镇合计</w:t>
            </w:r>
          </w:p>
        </w:tc>
        <w:tc>
          <w:tcPr>
            <w:tcW w:w="5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b/>
                <w:color w:val="000000"/>
                <w:sz w:val="22"/>
              </w:rPr>
            </w:pPr>
          </w:p>
        </w:tc>
      </w:tr>
      <w:tr>
        <w:tblPrEx>
          <w:tblLayout w:type="fixed"/>
          <w:tblCellMar>
            <w:top w:w="0" w:type="dxa"/>
            <w:left w:w="0" w:type="dxa"/>
            <w:bottom w:w="0" w:type="dxa"/>
            <w:right w:w="0" w:type="dxa"/>
          </w:tblCellMar>
        </w:tblPrEx>
        <w:trPr>
          <w:trHeight w:val="500" w:hRule="atLeast"/>
          <w:jc w:val="center"/>
        </w:trPr>
        <w:tc>
          <w:tcPr>
            <w:tcW w:w="3539" w:type="dxa"/>
            <w:tcBorders>
              <w:top w:val="single" w:color="000000" w:sz="4" w:space="0"/>
              <w:left w:val="single" w:color="000000" w:sz="4" w:space="0"/>
              <w:bottom w:val="single" w:color="auto"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p>
        </w:tc>
        <w:tc>
          <w:tcPr>
            <w:tcW w:w="5698" w:type="dxa"/>
            <w:tcBorders>
              <w:top w:val="single" w:color="000000" w:sz="4" w:space="0"/>
              <w:left w:val="single" w:color="000000" w:sz="4" w:space="0"/>
              <w:bottom w:val="single" w:color="auto"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p>
        </w:tc>
      </w:tr>
      <w:tr>
        <w:tblPrEx>
          <w:tblLayout w:type="fixed"/>
          <w:tblCellMar>
            <w:top w:w="0" w:type="dxa"/>
            <w:left w:w="0" w:type="dxa"/>
            <w:bottom w:w="0" w:type="dxa"/>
            <w:right w:w="0" w:type="dxa"/>
          </w:tblCellMar>
        </w:tblPrEx>
        <w:trPr>
          <w:trHeight w:val="500" w:hRule="atLeast"/>
          <w:jc w:val="center"/>
        </w:trPr>
        <w:tc>
          <w:tcPr>
            <w:tcW w:w="3539"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p>
        </w:tc>
        <w:tc>
          <w:tcPr>
            <w:tcW w:w="5698"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p>
        </w:tc>
      </w:tr>
    </w:tbl>
    <w:p>
      <w:pPr>
        <w:spacing w:before="120" w:beforeLines="50"/>
        <w:jc w:val="left"/>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注：</w:t>
      </w:r>
      <w:r>
        <w:rPr>
          <w:rFonts w:ascii="Times New Roman" w:hAnsi="Times New Roman" w:eastAsia="宋体" w:cs="宋体"/>
          <w:color w:val="000000"/>
          <w:sz w:val="18"/>
          <w:szCs w:val="18"/>
        </w:rPr>
        <w:t>2023</w:t>
      </w:r>
      <w:r>
        <w:rPr>
          <w:rFonts w:hint="eastAsia" w:ascii="Times New Roman" w:hAnsi="Times New Roman" w:eastAsia="宋体" w:cs="宋体"/>
          <w:color w:val="000000"/>
          <w:sz w:val="18"/>
          <w:szCs w:val="18"/>
        </w:rPr>
        <w:t>年无政府性基金预算转移支付支出。</w:t>
      </w:r>
    </w:p>
    <w:p>
      <w:pPr>
        <w:widowControl/>
        <w:spacing w:line="580" w:lineRule="exact"/>
        <w:rPr>
          <w:rFonts w:ascii="Times New Roman" w:hAnsi="Times New Roman" w:eastAsia="方正仿宋_GBK"/>
          <w:lang w:val="zh-CN"/>
        </w:rPr>
      </w:pPr>
    </w:p>
    <w:p>
      <w:pPr>
        <w:widowControl/>
        <w:spacing w:line="580" w:lineRule="exact"/>
        <w:rPr>
          <w:rFonts w:ascii="Times New Roman" w:hAnsi="Times New Roman" w:eastAsia="方正仿宋_GBK"/>
          <w:lang w:val="zh-CN"/>
        </w:rPr>
      </w:pPr>
    </w:p>
    <w:p>
      <w:pPr>
        <w:widowControl/>
        <w:spacing w:line="580" w:lineRule="exact"/>
        <w:rPr>
          <w:rFonts w:ascii="Times New Roman" w:hAnsi="Times New Roman" w:eastAsia="方正仿宋_GBK"/>
          <w:lang w:val="zh-CN"/>
        </w:rPr>
      </w:pPr>
    </w:p>
    <w:p>
      <w:pPr>
        <w:widowControl/>
        <w:jc w:val="left"/>
        <w:rPr>
          <w:rFonts w:ascii="Times New Roman" w:hAnsi="Times New Roman" w:eastAsia="方正黑体_GBK" w:cs="方正黑体_GBK"/>
          <w:color w:val="000000"/>
          <w:kern w:val="0"/>
          <w:sz w:val="28"/>
          <w:szCs w:val="28"/>
        </w:rPr>
      </w:pPr>
      <w:r>
        <w:rPr>
          <w:rFonts w:ascii="Times New Roman" w:hAnsi="Times New Roman" w:eastAsia="方正黑体_GBK" w:cs="方正黑体_GBK"/>
          <w:color w:val="000000"/>
          <w:kern w:val="0"/>
          <w:sz w:val="28"/>
          <w:szCs w:val="28"/>
        </w:rPr>
        <w:br w:type="page"/>
      </w:r>
    </w:p>
    <w:p>
      <w:pPr>
        <w:spacing w:line="400" w:lineRule="exac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26</w:t>
      </w:r>
    </w:p>
    <w:p>
      <w:pPr>
        <w:widowControl/>
        <w:jc w:val="center"/>
        <w:textAlignment w:val="center"/>
        <w:outlineLvl w:val="0"/>
        <w:rPr>
          <w:rFonts w:ascii="Times New Roman" w:hAnsi="Times New Roman" w:eastAsia="方正小标宋_GBK" w:cs="方正小标宋_GBK"/>
          <w:w w:val="95"/>
          <w:kern w:val="0"/>
          <w:sz w:val="44"/>
          <w:szCs w:val="44"/>
        </w:rPr>
      </w:pPr>
      <w:bookmarkStart w:id="16" w:name="_Toc20630"/>
      <w:bookmarkStart w:id="17" w:name="_Toc16660"/>
      <w:r>
        <w:rPr>
          <w:rFonts w:ascii="Times New Roman" w:hAnsi="Times New Roman" w:eastAsia="方正小标宋_GBK" w:cs="Times New Roman"/>
          <w:w w:val="95"/>
          <w:kern w:val="0"/>
          <w:sz w:val="44"/>
          <w:szCs w:val="44"/>
        </w:rPr>
        <w:t>2023</w:t>
      </w:r>
      <w:r>
        <w:rPr>
          <w:rFonts w:hint="eastAsia" w:ascii="Times New Roman" w:hAnsi="Times New Roman" w:eastAsia="方正小标宋_GBK" w:cs="方正小标宋_GBK"/>
          <w:w w:val="95"/>
          <w:kern w:val="0"/>
          <w:sz w:val="44"/>
          <w:szCs w:val="44"/>
        </w:rPr>
        <w:t>年区级政府性基金预算转移支付支出预算表</w:t>
      </w:r>
      <w:bookmarkEnd w:id="16"/>
      <w:bookmarkEnd w:id="17"/>
    </w:p>
    <w:p>
      <w:pPr>
        <w:widowControl/>
        <w:jc w:val="center"/>
        <w:textAlignment w:val="center"/>
        <w:outlineLvl w:val="0"/>
        <w:rPr>
          <w:rFonts w:ascii="Times New Roman" w:hAnsi="Times New Roman" w:eastAsia="方正小标宋_GBK" w:cs="方正小标宋_GBK"/>
          <w:color w:val="000000"/>
          <w:kern w:val="0"/>
          <w:sz w:val="32"/>
          <w:szCs w:val="32"/>
        </w:rPr>
      </w:pPr>
      <w:bookmarkStart w:id="18" w:name="_Toc3219"/>
      <w:r>
        <w:rPr>
          <w:rFonts w:hint="eastAsia" w:ascii="Times New Roman" w:hAnsi="Times New Roman" w:eastAsia="方正小标宋_GBK" w:cs="方正小标宋_GBK"/>
          <w:color w:val="000000"/>
          <w:kern w:val="0"/>
          <w:sz w:val="32"/>
          <w:szCs w:val="32"/>
        </w:rPr>
        <w:t>（分项目）</w:t>
      </w:r>
      <w:bookmarkEnd w:id="18"/>
    </w:p>
    <w:p>
      <w:pPr>
        <w:jc w:val="right"/>
        <w:rPr>
          <w:rFonts w:ascii="Times New Roman" w:hAnsi="Times New Roman" w:eastAsia="宋体" w:cs="Times New Roman"/>
        </w:rPr>
      </w:pPr>
      <w:r>
        <w:rPr>
          <w:rFonts w:hint="eastAsia" w:ascii="Times New Roman" w:hAnsi="Times New Roman" w:eastAsia="宋体" w:cs="Times New Roman"/>
        </w:rPr>
        <w:t>单位：万元</w:t>
      </w:r>
    </w:p>
    <w:tbl>
      <w:tblPr>
        <w:tblStyle w:val="10"/>
        <w:tblW w:w="9139" w:type="dxa"/>
        <w:jc w:val="center"/>
        <w:tblInd w:w="0" w:type="dxa"/>
        <w:tblLayout w:type="fixed"/>
        <w:tblCellMar>
          <w:top w:w="0" w:type="dxa"/>
          <w:left w:w="0" w:type="dxa"/>
          <w:bottom w:w="0" w:type="dxa"/>
          <w:right w:w="0" w:type="dxa"/>
        </w:tblCellMar>
      </w:tblPr>
      <w:tblGrid>
        <w:gridCol w:w="6816"/>
        <w:gridCol w:w="2323"/>
      </w:tblGrid>
      <w:tr>
        <w:tblPrEx>
          <w:tblLayout w:type="fixed"/>
          <w:tblCellMar>
            <w:top w:w="0" w:type="dxa"/>
            <w:left w:w="0" w:type="dxa"/>
            <w:bottom w:w="0" w:type="dxa"/>
            <w:right w:w="0" w:type="dxa"/>
          </w:tblCellMar>
        </w:tblPrEx>
        <w:trPr>
          <w:trHeight w:val="480" w:hRule="atLeast"/>
          <w:jc w:val="center"/>
        </w:trPr>
        <w:tc>
          <w:tcPr>
            <w:tcW w:w="6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rPr>
              <w:t>项   目</w:t>
            </w:r>
          </w:p>
        </w:tc>
        <w:tc>
          <w:tcPr>
            <w:tcW w:w="23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rPr>
              <w:t>预算数</w:t>
            </w:r>
          </w:p>
        </w:tc>
      </w:tr>
      <w:tr>
        <w:tblPrEx>
          <w:tblLayout w:type="fixed"/>
          <w:tblCellMar>
            <w:top w:w="0" w:type="dxa"/>
            <w:left w:w="0" w:type="dxa"/>
            <w:bottom w:w="0" w:type="dxa"/>
            <w:right w:w="0" w:type="dxa"/>
          </w:tblCellMar>
        </w:tblPrEx>
        <w:trPr>
          <w:trHeight w:val="606" w:hRule="atLeast"/>
          <w:jc w:val="center"/>
        </w:trPr>
        <w:tc>
          <w:tcPr>
            <w:tcW w:w="6816"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2"/>
              </w:rPr>
              <w:t>补助镇合计</w:t>
            </w:r>
          </w:p>
        </w:tc>
        <w:tc>
          <w:tcPr>
            <w:tcW w:w="2323"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2"/>
              </w:rPr>
            </w:pPr>
          </w:p>
        </w:tc>
      </w:tr>
      <w:tr>
        <w:tblPrEx>
          <w:tblLayout w:type="fixed"/>
          <w:tblCellMar>
            <w:top w:w="0" w:type="dxa"/>
            <w:left w:w="0" w:type="dxa"/>
            <w:bottom w:w="0" w:type="dxa"/>
            <w:right w:w="0" w:type="dxa"/>
          </w:tblCellMar>
        </w:tblPrEx>
        <w:trPr>
          <w:trHeight w:val="606" w:hRule="atLeast"/>
          <w:jc w:val="center"/>
        </w:trPr>
        <w:tc>
          <w:tcPr>
            <w:tcW w:w="6816"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黑体" w:cs="黑体"/>
                <w:color w:val="000000"/>
                <w:kern w:val="0"/>
                <w:sz w:val="22"/>
              </w:rPr>
            </w:pPr>
          </w:p>
        </w:tc>
        <w:tc>
          <w:tcPr>
            <w:tcW w:w="2323"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2"/>
              </w:rPr>
            </w:pPr>
          </w:p>
        </w:tc>
      </w:tr>
      <w:tr>
        <w:tblPrEx>
          <w:tblLayout w:type="fixed"/>
          <w:tblCellMar>
            <w:top w:w="0" w:type="dxa"/>
            <w:left w:w="0" w:type="dxa"/>
            <w:bottom w:w="0" w:type="dxa"/>
            <w:right w:w="0" w:type="dxa"/>
          </w:tblCellMar>
        </w:tblPrEx>
        <w:trPr>
          <w:trHeight w:val="543" w:hRule="atLeast"/>
          <w:jc w:val="center"/>
        </w:trPr>
        <w:tc>
          <w:tcPr>
            <w:tcW w:w="68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p>
        </w:tc>
        <w:tc>
          <w:tcPr>
            <w:tcW w:w="23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p>
        </w:tc>
      </w:tr>
    </w:tbl>
    <w:p>
      <w:pPr>
        <w:spacing w:before="120" w:beforeLines="50"/>
        <w:jc w:val="left"/>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注：</w:t>
      </w:r>
      <w:r>
        <w:rPr>
          <w:rFonts w:ascii="Times New Roman" w:hAnsi="Times New Roman" w:eastAsia="宋体" w:cs="宋体"/>
          <w:color w:val="000000"/>
          <w:sz w:val="18"/>
          <w:szCs w:val="18"/>
        </w:rPr>
        <w:t>2023</w:t>
      </w:r>
      <w:r>
        <w:rPr>
          <w:rFonts w:hint="eastAsia" w:ascii="Times New Roman" w:hAnsi="Times New Roman" w:eastAsia="宋体" w:cs="宋体"/>
          <w:color w:val="000000"/>
          <w:sz w:val="18"/>
          <w:szCs w:val="18"/>
        </w:rPr>
        <w:t>年无政府性基金预算转移支付支出。</w:t>
      </w:r>
    </w:p>
    <w:p>
      <w:pPr>
        <w:widowControl/>
        <w:spacing w:line="580" w:lineRule="exact"/>
        <w:rPr>
          <w:rFonts w:ascii="Times New Roman" w:hAnsi="Times New Roman" w:eastAsia="方正仿宋_GBK"/>
          <w:lang w:val="zh-CN"/>
        </w:rPr>
      </w:pPr>
    </w:p>
    <w:p>
      <w:pPr>
        <w:widowControl/>
        <w:spacing w:line="580" w:lineRule="exact"/>
        <w:rPr>
          <w:rFonts w:ascii="Times New Roman" w:hAnsi="Times New Roman" w:eastAsia="方正仿宋_GBK"/>
          <w:lang w:val="zh-CN"/>
        </w:rPr>
      </w:pPr>
    </w:p>
    <w:p>
      <w:pPr>
        <w:widowControl/>
        <w:spacing w:line="580" w:lineRule="exact"/>
        <w:rPr>
          <w:rFonts w:ascii="Times New Roman" w:hAnsi="Times New Roman" w:eastAsia="方正仿宋_GBK"/>
          <w:lang w:val="zh-CN"/>
        </w:rPr>
      </w:pPr>
    </w:p>
    <w:p>
      <w:pPr>
        <w:widowControl/>
        <w:jc w:val="left"/>
        <w:textAlignment w:val="center"/>
        <w:rPr>
          <w:rFonts w:ascii="Times New Roman" w:hAnsi="Times New Roman" w:eastAsia="方正黑体_GBK" w:cs="方正黑体_GBK"/>
          <w:color w:val="000000"/>
          <w:kern w:val="0"/>
          <w:sz w:val="28"/>
          <w:szCs w:val="28"/>
        </w:rPr>
      </w:pPr>
    </w:p>
    <w:p>
      <w:pPr>
        <w:widowControl/>
        <w:jc w:val="left"/>
        <w:textAlignment w:val="center"/>
        <w:rPr>
          <w:rFonts w:ascii="Times New Roman" w:hAnsi="Times New Roman" w:eastAsia="方正黑体_GBK" w:cs="方正黑体_GBK"/>
          <w:color w:val="000000"/>
          <w:kern w:val="0"/>
          <w:sz w:val="28"/>
          <w:szCs w:val="28"/>
        </w:rPr>
      </w:pPr>
    </w:p>
    <w:p>
      <w:pPr>
        <w:widowControl/>
        <w:jc w:val="left"/>
        <w:rPr>
          <w:rFonts w:ascii="Times New Roman" w:hAnsi="Times New Roman" w:eastAsia="方正黑体_GBK" w:cs="方正黑体_GBK"/>
          <w:color w:val="000000"/>
          <w:kern w:val="0"/>
          <w:sz w:val="28"/>
          <w:szCs w:val="28"/>
        </w:rPr>
      </w:pPr>
      <w:r>
        <w:rPr>
          <w:rFonts w:ascii="Times New Roman" w:hAnsi="Times New Roman" w:eastAsia="方正黑体_GBK" w:cs="方正黑体_GBK"/>
          <w:color w:val="000000"/>
          <w:kern w:val="0"/>
          <w:sz w:val="28"/>
          <w:szCs w:val="28"/>
        </w:rPr>
        <w:br w:type="page"/>
      </w:r>
    </w:p>
    <w:p>
      <w:pPr>
        <w:spacing w:line="400" w:lineRule="exac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27</w:t>
      </w:r>
    </w:p>
    <w:p>
      <w:pPr>
        <w:widowControl/>
        <w:jc w:val="center"/>
        <w:textAlignment w:val="center"/>
        <w:outlineLvl w:val="0"/>
        <w:rPr>
          <w:rFonts w:ascii="Times New Roman" w:hAnsi="Times New Roman" w:eastAsia="方正小标宋_GBK" w:cs="方正小标宋_GBK"/>
          <w:kern w:val="0"/>
          <w:sz w:val="44"/>
          <w:szCs w:val="44"/>
        </w:rPr>
      </w:pPr>
      <w:bookmarkStart w:id="19" w:name="_Toc27420"/>
      <w:bookmarkStart w:id="20" w:name="_Toc29064"/>
      <w:r>
        <w:rPr>
          <w:rFonts w:ascii="Times New Roman" w:hAnsi="Times New Roman" w:eastAsia="方正小标宋_GBK" w:cs="Times New Roman"/>
          <w:kern w:val="0"/>
          <w:sz w:val="44"/>
          <w:szCs w:val="44"/>
        </w:rPr>
        <w:t>2023</w:t>
      </w:r>
      <w:r>
        <w:rPr>
          <w:rFonts w:hint="eastAsia" w:ascii="Times New Roman" w:hAnsi="Times New Roman" w:eastAsia="方正小标宋_GBK" w:cs="方正小标宋_GBK"/>
          <w:kern w:val="0"/>
          <w:sz w:val="44"/>
          <w:szCs w:val="44"/>
        </w:rPr>
        <w:t>年全区国有资本经营预算收支预算表</w:t>
      </w:r>
      <w:bookmarkEnd w:id="19"/>
      <w:bookmarkEnd w:id="20"/>
      <w:r>
        <w:rPr>
          <w:rFonts w:hint="eastAsia" w:ascii="Times New Roman" w:hAnsi="Times New Roman" w:eastAsia="方正小标宋_GBK" w:cs="方正小标宋_GBK"/>
          <w:kern w:val="0"/>
          <w:sz w:val="44"/>
          <w:szCs w:val="44"/>
        </w:rPr>
        <w:t xml:space="preserve"> </w:t>
      </w:r>
    </w:p>
    <w:p>
      <w:pPr>
        <w:jc w:val="right"/>
        <w:rPr>
          <w:rFonts w:ascii="Times New Roman" w:hAnsi="Times New Roman" w:eastAsia="宋体" w:cs="Times New Roman"/>
        </w:rPr>
      </w:pP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hint="eastAsia" w:ascii="Times New Roman" w:hAnsi="Times New Roman" w:eastAsia="宋体" w:cs="Times New Roman"/>
        </w:rPr>
        <w:t xml:space="preserve"> 单位：万元 </w:t>
      </w:r>
    </w:p>
    <w:tbl>
      <w:tblPr>
        <w:tblStyle w:val="10"/>
        <w:tblW w:w="9183" w:type="dxa"/>
        <w:jc w:val="center"/>
        <w:tblInd w:w="0" w:type="dxa"/>
        <w:tblLayout w:type="fixed"/>
        <w:tblCellMar>
          <w:top w:w="0" w:type="dxa"/>
          <w:left w:w="0" w:type="dxa"/>
          <w:bottom w:w="0" w:type="dxa"/>
          <w:right w:w="0" w:type="dxa"/>
        </w:tblCellMar>
      </w:tblPr>
      <w:tblGrid>
        <w:gridCol w:w="2061"/>
        <w:gridCol w:w="1000"/>
        <w:gridCol w:w="1500"/>
        <w:gridCol w:w="1945"/>
        <w:gridCol w:w="1192"/>
        <w:gridCol w:w="1485"/>
      </w:tblGrid>
      <w:tr>
        <w:tblPrEx>
          <w:tblLayout w:type="fixed"/>
          <w:tblCellMar>
            <w:top w:w="0" w:type="dxa"/>
            <w:left w:w="0" w:type="dxa"/>
            <w:bottom w:w="0" w:type="dxa"/>
            <w:right w:w="0" w:type="dxa"/>
          </w:tblCellMar>
        </w:tblPrEx>
        <w:trPr>
          <w:trHeight w:val="652" w:hRule="atLeast"/>
          <w:jc w:val="center"/>
        </w:trPr>
        <w:tc>
          <w:tcPr>
            <w:tcW w:w="20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收        入</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 xml:space="preserve"> 预算数 </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kern w:val="0"/>
                <w:sz w:val="22"/>
                <w:lang w:bidi="ar"/>
              </w:rPr>
            </w:pPr>
            <w:r>
              <w:rPr>
                <w:rFonts w:hint="eastAsia" w:ascii="Times New Roman" w:hAnsi="Times New Roman" w:eastAsia="黑体" w:cs="黑体"/>
                <w:color w:val="000000"/>
                <w:kern w:val="0"/>
                <w:sz w:val="22"/>
                <w:lang w:bidi="ar"/>
              </w:rPr>
              <w:t>预算数为上年执行数的%</w:t>
            </w:r>
          </w:p>
        </w:tc>
        <w:tc>
          <w:tcPr>
            <w:tcW w:w="1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支        出</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 xml:space="preserve"> 预算数 </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kern w:val="0"/>
                <w:sz w:val="22"/>
                <w:lang w:bidi="ar"/>
              </w:rPr>
            </w:pPr>
            <w:r>
              <w:rPr>
                <w:rFonts w:hint="eastAsia" w:ascii="Times New Roman" w:hAnsi="Times New Roman" w:eastAsia="黑体" w:cs="黑体"/>
                <w:color w:val="000000"/>
                <w:kern w:val="0"/>
                <w:sz w:val="22"/>
                <w:lang w:bidi="ar"/>
              </w:rPr>
              <w:t>预算数为上年预算数的%</w:t>
            </w:r>
          </w:p>
        </w:tc>
      </w:tr>
      <w:tr>
        <w:tblPrEx>
          <w:tblLayout w:type="fixed"/>
          <w:tblCellMar>
            <w:top w:w="0" w:type="dxa"/>
            <w:left w:w="0" w:type="dxa"/>
            <w:bottom w:w="0" w:type="dxa"/>
            <w:right w:w="0" w:type="dxa"/>
          </w:tblCellMar>
        </w:tblPrEx>
        <w:trPr>
          <w:trHeight w:val="454" w:hRule="atLeast"/>
          <w:jc w:val="center"/>
        </w:trPr>
        <w:tc>
          <w:tcPr>
            <w:tcW w:w="20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总  计</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2"/>
              </w:rPr>
            </w:pPr>
            <w:r>
              <w:rPr>
                <w:rFonts w:ascii="Times New Roman" w:hAnsi="Times New Roman" w:eastAsia="宋体" w:cs="Times New Roman"/>
                <w:b/>
                <w:bCs/>
                <w:color w:val="000000"/>
                <w:kern w:val="0"/>
                <w:sz w:val="22"/>
                <w:lang w:bidi="ar"/>
              </w:rPr>
              <w:t xml:space="preserve">3,939 </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b/>
                <w:bCs/>
                <w:color w:val="000000"/>
                <w:kern w:val="0"/>
                <w:sz w:val="22"/>
                <w:lang w:bidi="ar"/>
              </w:rPr>
            </w:pPr>
          </w:p>
        </w:tc>
        <w:tc>
          <w:tcPr>
            <w:tcW w:w="1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总  计</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2"/>
              </w:rPr>
            </w:pPr>
            <w:r>
              <w:rPr>
                <w:rFonts w:ascii="Times New Roman" w:hAnsi="Times New Roman" w:eastAsia="宋体" w:cs="Times New Roman"/>
                <w:b/>
                <w:bCs/>
                <w:color w:val="000000"/>
                <w:kern w:val="0"/>
                <w:sz w:val="22"/>
                <w:lang w:bidi="ar"/>
              </w:rPr>
              <w:t xml:space="preserve"> 3,939 </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b/>
                <w:bCs/>
                <w:color w:val="000000"/>
                <w:kern w:val="0"/>
                <w:sz w:val="22"/>
                <w:lang w:bidi="ar"/>
              </w:rPr>
            </w:pPr>
          </w:p>
        </w:tc>
      </w:tr>
      <w:tr>
        <w:tblPrEx>
          <w:tblLayout w:type="fixed"/>
          <w:tblCellMar>
            <w:top w:w="0" w:type="dxa"/>
            <w:left w:w="0" w:type="dxa"/>
            <w:bottom w:w="0" w:type="dxa"/>
            <w:right w:w="0" w:type="dxa"/>
          </w:tblCellMar>
        </w:tblPrEx>
        <w:trPr>
          <w:trHeight w:val="454" w:hRule="atLeast"/>
          <w:jc w:val="center"/>
        </w:trPr>
        <w:tc>
          <w:tcPr>
            <w:tcW w:w="20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本级收入合计</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3,939 </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54.0%</w:t>
            </w:r>
          </w:p>
        </w:tc>
        <w:tc>
          <w:tcPr>
            <w:tcW w:w="1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本级支出合计</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2,000 </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40.0%</w:t>
            </w:r>
          </w:p>
        </w:tc>
      </w:tr>
      <w:tr>
        <w:tblPrEx>
          <w:tblLayout w:type="fixed"/>
          <w:tblCellMar>
            <w:top w:w="0" w:type="dxa"/>
            <w:left w:w="0" w:type="dxa"/>
            <w:bottom w:w="0" w:type="dxa"/>
            <w:right w:w="0" w:type="dxa"/>
          </w:tblCellMar>
        </w:tblPrEx>
        <w:trPr>
          <w:trHeight w:val="454" w:hRule="atLeast"/>
          <w:jc w:val="center"/>
        </w:trPr>
        <w:tc>
          <w:tcPr>
            <w:tcW w:w="20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一、利润收入</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3,939 </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54.0%</w:t>
            </w:r>
          </w:p>
        </w:tc>
        <w:tc>
          <w:tcPr>
            <w:tcW w:w="1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一、解决历史遗留问题及改革成本支出</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kern w:val="0"/>
                <w:sz w:val="20"/>
                <w:szCs w:val="20"/>
                <w:lang w:bidi="ar"/>
              </w:rPr>
            </w:pPr>
          </w:p>
        </w:tc>
      </w:tr>
      <w:tr>
        <w:tblPrEx>
          <w:tblLayout w:type="fixed"/>
          <w:tblCellMar>
            <w:top w:w="0" w:type="dxa"/>
            <w:left w:w="0" w:type="dxa"/>
            <w:bottom w:w="0" w:type="dxa"/>
            <w:right w:w="0" w:type="dxa"/>
          </w:tblCellMar>
        </w:tblPrEx>
        <w:trPr>
          <w:trHeight w:val="454" w:hRule="atLeast"/>
          <w:jc w:val="center"/>
        </w:trPr>
        <w:tc>
          <w:tcPr>
            <w:tcW w:w="20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二、股利、股息收入</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c>
          <w:tcPr>
            <w:tcW w:w="1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“三供一业”移交补助支出</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0"/>
                <w:szCs w:val="20"/>
              </w:rPr>
            </w:pPr>
          </w:p>
        </w:tc>
      </w:tr>
      <w:tr>
        <w:tblPrEx>
          <w:tblLayout w:type="fixed"/>
          <w:tblCellMar>
            <w:top w:w="0" w:type="dxa"/>
            <w:left w:w="0" w:type="dxa"/>
            <w:bottom w:w="0" w:type="dxa"/>
            <w:right w:w="0" w:type="dxa"/>
          </w:tblCellMar>
        </w:tblPrEx>
        <w:trPr>
          <w:trHeight w:val="454" w:hRule="atLeast"/>
          <w:jc w:val="center"/>
        </w:trPr>
        <w:tc>
          <w:tcPr>
            <w:tcW w:w="20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宋体"/>
                <w:color w:val="000000"/>
                <w:sz w:val="20"/>
                <w:szCs w:val="20"/>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c>
          <w:tcPr>
            <w:tcW w:w="1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其他历史遗留及改革成本支出</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0"/>
                <w:szCs w:val="20"/>
              </w:rPr>
            </w:pPr>
          </w:p>
        </w:tc>
      </w:tr>
      <w:tr>
        <w:tblPrEx>
          <w:tblLayout w:type="fixed"/>
          <w:tblCellMar>
            <w:top w:w="0" w:type="dxa"/>
            <w:left w:w="0" w:type="dxa"/>
            <w:bottom w:w="0" w:type="dxa"/>
            <w:right w:w="0" w:type="dxa"/>
          </w:tblCellMar>
        </w:tblPrEx>
        <w:trPr>
          <w:trHeight w:val="454" w:hRule="atLeast"/>
          <w:jc w:val="center"/>
        </w:trPr>
        <w:tc>
          <w:tcPr>
            <w:tcW w:w="20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宋体"/>
                <w:color w:val="000000"/>
                <w:sz w:val="20"/>
                <w:szCs w:val="20"/>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0"/>
                <w:szCs w:val="20"/>
              </w:rPr>
            </w:pPr>
          </w:p>
        </w:tc>
        <w:tc>
          <w:tcPr>
            <w:tcW w:w="1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二、国有企业资本金注入</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2,000 </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40.0%</w:t>
            </w:r>
          </w:p>
        </w:tc>
      </w:tr>
      <w:tr>
        <w:tblPrEx>
          <w:tblLayout w:type="fixed"/>
          <w:tblCellMar>
            <w:top w:w="0" w:type="dxa"/>
            <w:left w:w="0" w:type="dxa"/>
            <w:bottom w:w="0" w:type="dxa"/>
            <w:right w:w="0" w:type="dxa"/>
          </w:tblCellMar>
        </w:tblPrEx>
        <w:trPr>
          <w:trHeight w:val="454" w:hRule="atLeast"/>
          <w:jc w:val="center"/>
        </w:trPr>
        <w:tc>
          <w:tcPr>
            <w:tcW w:w="20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宋体"/>
                <w:color w:val="000000"/>
                <w:sz w:val="20"/>
                <w:szCs w:val="20"/>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c>
          <w:tcPr>
            <w:tcW w:w="1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支持科技进步支出</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0"/>
                <w:szCs w:val="20"/>
              </w:rPr>
            </w:pPr>
          </w:p>
        </w:tc>
      </w:tr>
      <w:tr>
        <w:tblPrEx>
          <w:tblLayout w:type="fixed"/>
          <w:tblCellMar>
            <w:top w:w="0" w:type="dxa"/>
            <w:left w:w="0" w:type="dxa"/>
            <w:bottom w:w="0" w:type="dxa"/>
            <w:right w:w="0" w:type="dxa"/>
          </w:tblCellMar>
        </w:tblPrEx>
        <w:trPr>
          <w:trHeight w:val="454" w:hRule="atLeast"/>
          <w:jc w:val="center"/>
        </w:trPr>
        <w:tc>
          <w:tcPr>
            <w:tcW w:w="20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宋体"/>
                <w:color w:val="000000"/>
                <w:sz w:val="20"/>
                <w:szCs w:val="20"/>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c>
          <w:tcPr>
            <w:tcW w:w="1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其他国有企业资本金注入</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2,000 </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40.0%</w:t>
            </w:r>
          </w:p>
        </w:tc>
      </w:tr>
      <w:tr>
        <w:tblPrEx>
          <w:tblLayout w:type="fixed"/>
          <w:tblCellMar>
            <w:top w:w="0" w:type="dxa"/>
            <w:left w:w="0" w:type="dxa"/>
            <w:bottom w:w="0" w:type="dxa"/>
            <w:right w:w="0" w:type="dxa"/>
          </w:tblCellMar>
        </w:tblPrEx>
        <w:trPr>
          <w:trHeight w:val="454" w:hRule="atLeast"/>
          <w:jc w:val="center"/>
        </w:trPr>
        <w:tc>
          <w:tcPr>
            <w:tcW w:w="2061"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rPr>
                <w:rFonts w:ascii="Times New Roman" w:hAnsi="Times New Roman" w:eastAsia="宋体" w:cs="宋体"/>
                <w:color w:val="000000"/>
                <w:sz w:val="20"/>
                <w:szCs w:val="20"/>
              </w:rPr>
            </w:pPr>
          </w:p>
        </w:tc>
        <w:tc>
          <w:tcPr>
            <w:tcW w:w="100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c>
          <w:tcPr>
            <w:tcW w:w="1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三、金融企业国有资本经营预算支出</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b/>
                <w:color w:val="000000"/>
                <w:sz w:val="20"/>
                <w:szCs w:val="20"/>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b/>
                <w:color w:val="000000"/>
                <w:sz w:val="20"/>
                <w:szCs w:val="20"/>
              </w:rPr>
            </w:pPr>
          </w:p>
        </w:tc>
      </w:tr>
      <w:tr>
        <w:tblPrEx>
          <w:tblLayout w:type="fixed"/>
          <w:tblCellMar>
            <w:top w:w="0" w:type="dxa"/>
            <w:left w:w="0" w:type="dxa"/>
            <w:bottom w:w="0" w:type="dxa"/>
            <w:right w:w="0" w:type="dxa"/>
          </w:tblCellMar>
        </w:tblPrEx>
        <w:trPr>
          <w:trHeight w:val="454" w:hRule="atLeast"/>
          <w:jc w:val="center"/>
        </w:trPr>
        <w:tc>
          <w:tcPr>
            <w:tcW w:w="2061"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bottom"/>
          </w:tcPr>
          <w:p>
            <w:pPr>
              <w:rPr>
                <w:rFonts w:ascii="Times New Roman" w:hAnsi="Times New Roman" w:eastAsia="宋体" w:cs="宋体"/>
                <w:color w:val="000000"/>
                <w:sz w:val="20"/>
                <w:szCs w:val="20"/>
              </w:rPr>
            </w:pPr>
          </w:p>
        </w:tc>
        <w:tc>
          <w:tcPr>
            <w:tcW w:w="100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c>
          <w:tcPr>
            <w:tcW w:w="1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资本性支出</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r>
      <w:tr>
        <w:tblPrEx>
          <w:tblLayout w:type="fixed"/>
          <w:tblCellMar>
            <w:top w:w="0" w:type="dxa"/>
            <w:left w:w="0" w:type="dxa"/>
            <w:bottom w:w="0" w:type="dxa"/>
            <w:right w:w="0" w:type="dxa"/>
          </w:tblCellMar>
        </w:tblPrEx>
        <w:trPr>
          <w:trHeight w:val="454" w:hRule="atLeast"/>
          <w:jc w:val="center"/>
        </w:trPr>
        <w:tc>
          <w:tcPr>
            <w:tcW w:w="20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rPr>
                <w:rFonts w:ascii="Times New Roman" w:hAnsi="Times New Roman" w:eastAsia="宋体" w:cs="宋体"/>
                <w:color w:val="000000"/>
                <w:sz w:val="20"/>
                <w:szCs w:val="20"/>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c>
          <w:tcPr>
            <w:tcW w:w="1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其他金融国有资本经营预算支出</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r>
      <w:tr>
        <w:tblPrEx>
          <w:tblLayout w:type="fixed"/>
          <w:tblCellMar>
            <w:top w:w="0" w:type="dxa"/>
            <w:left w:w="0" w:type="dxa"/>
            <w:bottom w:w="0" w:type="dxa"/>
            <w:right w:w="0" w:type="dxa"/>
          </w:tblCellMar>
        </w:tblPrEx>
        <w:trPr>
          <w:trHeight w:val="454" w:hRule="atLeast"/>
          <w:jc w:val="center"/>
        </w:trPr>
        <w:tc>
          <w:tcPr>
            <w:tcW w:w="20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rPr>
                <w:rFonts w:ascii="Times New Roman" w:hAnsi="Times New Roman" w:eastAsia="宋体" w:cs="宋体"/>
                <w:color w:val="000000"/>
                <w:sz w:val="20"/>
                <w:szCs w:val="20"/>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c>
          <w:tcPr>
            <w:tcW w:w="1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四、其他国有资本经营预算支出</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b/>
                <w:color w:val="000000"/>
                <w:sz w:val="20"/>
                <w:szCs w:val="20"/>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b/>
                <w:color w:val="000000"/>
                <w:sz w:val="20"/>
                <w:szCs w:val="20"/>
              </w:rPr>
            </w:pPr>
          </w:p>
        </w:tc>
      </w:tr>
      <w:tr>
        <w:tblPrEx>
          <w:tblLayout w:type="fixed"/>
          <w:tblCellMar>
            <w:top w:w="0" w:type="dxa"/>
            <w:left w:w="0" w:type="dxa"/>
            <w:bottom w:w="0" w:type="dxa"/>
            <w:right w:w="0" w:type="dxa"/>
          </w:tblCellMar>
        </w:tblPrEx>
        <w:trPr>
          <w:trHeight w:val="454" w:hRule="atLeast"/>
          <w:jc w:val="center"/>
        </w:trPr>
        <w:tc>
          <w:tcPr>
            <w:tcW w:w="20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rPr>
                <w:rFonts w:ascii="Times New Roman" w:hAnsi="Times New Roman" w:eastAsia="宋体" w:cs="宋体"/>
                <w:color w:val="000000"/>
                <w:sz w:val="20"/>
                <w:szCs w:val="20"/>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c>
          <w:tcPr>
            <w:tcW w:w="1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其他国有资本经营预算支出  </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r>
      <w:tr>
        <w:tblPrEx>
          <w:tblLayout w:type="fixed"/>
          <w:tblCellMar>
            <w:top w:w="0" w:type="dxa"/>
            <w:left w:w="0" w:type="dxa"/>
            <w:bottom w:w="0" w:type="dxa"/>
            <w:right w:w="0" w:type="dxa"/>
          </w:tblCellMar>
        </w:tblPrEx>
        <w:trPr>
          <w:trHeight w:val="454" w:hRule="atLeast"/>
          <w:jc w:val="center"/>
        </w:trPr>
        <w:tc>
          <w:tcPr>
            <w:tcW w:w="20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转移性收入合计</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c>
          <w:tcPr>
            <w:tcW w:w="1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转移性支出合计</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b/>
                <w:color w:val="000000"/>
                <w:sz w:val="20"/>
                <w:szCs w:val="20"/>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b/>
                <w:color w:val="000000"/>
                <w:sz w:val="20"/>
                <w:szCs w:val="20"/>
              </w:rPr>
            </w:pPr>
          </w:p>
        </w:tc>
      </w:tr>
      <w:tr>
        <w:tblPrEx>
          <w:tblLayout w:type="fixed"/>
          <w:tblCellMar>
            <w:top w:w="0" w:type="dxa"/>
            <w:left w:w="0" w:type="dxa"/>
            <w:bottom w:w="0" w:type="dxa"/>
            <w:right w:w="0" w:type="dxa"/>
          </w:tblCellMar>
        </w:tblPrEx>
        <w:trPr>
          <w:trHeight w:val="454" w:hRule="atLeast"/>
          <w:jc w:val="center"/>
        </w:trPr>
        <w:tc>
          <w:tcPr>
            <w:tcW w:w="20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一、上级补助收入</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c>
          <w:tcPr>
            <w:tcW w:w="1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一、调出资金</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1,939 </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kern w:val="0"/>
                <w:sz w:val="20"/>
                <w:szCs w:val="20"/>
                <w:lang w:bidi="ar"/>
              </w:rPr>
            </w:pPr>
          </w:p>
        </w:tc>
      </w:tr>
      <w:tr>
        <w:tblPrEx>
          <w:tblLayout w:type="fixed"/>
          <w:tblCellMar>
            <w:top w:w="0" w:type="dxa"/>
            <w:left w:w="0" w:type="dxa"/>
            <w:bottom w:w="0" w:type="dxa"/>
            <w:right w:w="0" w:type="dxa"/>
          </w:tblCellMar>
        </w:tblPrEx>
        <w:trPr>
          <w:trHeight w:val="454" w:hRule="atLeast"/>
          <w:jc w:val="center"/>
        </w:trPr>
        <w:tc>
          <w:tcPr>
            <w:tcW w:w="20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二、上年结转</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c>
          <w:tcPr>
            <w:tcW w:w="1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二、结转下年</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r>
    </w:tbl>
    <w:p>
      <w:pPr>
        <w:spacing w:before="120" w:beforeLines="50"/>
        <w:jc w:val="left"/>
        <w:rPr>
          <w:rFonts w:ascii="Times New Roman" w:hAnsi="Times New Roman" w:eastAsia="宋体" w:cs="宋体"/>
          <w:color w:val="000000"/>
          <w:sz w:val="18"/>
          <w:szCs w:val="18"/>
        </w:rPr>
      </w:pPr>
      <w:r>
        <w:rPr>
          <w:rFonts w:ascii="Times New Roman" w:hAnsi="Times New Roman" w:eastAsia="宋体" w:cs="宋体"/>
          <w:color w:val="000000"/>
          <w:sz w:val="18"/>
          <w:szCs w:val="18"/>
        </w:rPr>
        <w:t>注：1.本表直观反映2023年国有资本经营预算收入与支出的平衡关系。</w:t>
      </w:r>
    </w:p>
    <w:p>
      <w:pPr>
        <w:widowControl/>
        <w:spacing w:line="240" w:lineRule="atLeast"/>
        <w:rPr>
          <w:rFonts w:ascii="Times New Roman" w:hAnsi="Times New Roman" w:eastAsia="方正仿宋_GBK"/>
          <w:sz w:val="18"/>
          <w:szCs w:val="18"/>
          <w:lang w:val="zh-CN"/>
        </w:rPr>
      </w:pPr>
      <w:r>
        <w:rPr>
          <w:rFonts w:ascii="Times New Roman" w:hAnsi="Times New Roman" w:eastAsia="宋体" w:cs="Times New Roman"/>
          <w:sz w:val="18"/>
          <w:szCs w:val="18"/>
          <w:lang w:val="zh-CN"/>
        </w:rPr>
        <w:t xml:space="preserve">    2.收入总计（本级收入合计+转移性收入合计）=支出总计（本级支出合计+转移性支出合计）。</w:t>
      </w:r>
    </w:p>
    <w:p>
      <w:pPr>
        <w:rPr>
          <w:rFonts w:ascii="Times New Roman" w:hAnsi="Times New Roman" w:eastAsia="方正仿宋_GBK"/>
          <w:lang w:val="zh-CN"/>
        </w:rPr>
      </w:pPr>
      <w:r>
        <w:rPr>
          <w:rFonts w:ascii="Times New Roman" w:hAnsi="Times New Roman" w:eastAsia="方正仿宋_GBK"/>
          <w:lang w:val="zh-CN"/>
        </w:rPr>
        <w:br w:type="page"/>
      </w:r>
    </w:p>
    <w:p>
      <w:pPr>
        <w:widowControl/>
        <w:spacing w:line="594"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w:t>
      </w:r>
      <w:r>
        <w:rPr>
          <w:rFonts w:ascii="Times New Roman" w:hAnsi="Times New Roman" w:eastAsia="方正小标宋_GBK" w:cs="Times New Roman"/>
          <w:sz w:val="44"/>
          <w:szCs w:val="44"/>
        </w:rPr>
        <w:t>2023</w:t>
      </w:r>
      <w:r>
        <w:rPr>
          <w:rFonts w:hint="eastAsia" w:ascii="Times New Roman" w:hAnsi="Times New Roman" w:eastAsia="方正小标宋_GBK" w:cs="方正小标宋_GBK"/>
          <w:sz w:val="44"/>
          <w:szCs w:val="44"/>
        </w:rPr>
        <w:t>年全区国有资本经营预算的说明</w:t>
      </w:r>
    </w:p>
    <w:p>
      <w:pPr>
        <w:widowControl/>
        <w:spacing w:line="594" w:lineRule="exact"/>
        <w:jc w:val="center"/>
        <w:rPr>
          <w:rFonts w:ascii="Times New Roman" w:hAnsi="Times New Roman" w:eastAsia="方正仿宋_GBK" w:cs="Times New Roman"/>
          <w:sz w:val="32"/>
          <w:szCs w:val="32"/>
        </w:rPr>
      </w:pP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w:t>
      </w:r>
      <w:r>
        <w:rPr>
          <w:rFonts w:hint="eastAsia" w:ascii="Times New Roman" w:hAnsi="Times New Roman" w:eastAsia="方正仿宋_GBK" w:cs="Times New Roman"/>
          <w:sz w:val="32"/>
          <w:szCs w:val="32"/>
        </w:rPr>
        <w:t>全区</w:t>
      </w:r>
      <w:r>
        <w:rPr>
          <w:rFonts w:ascii="Times New Roman" w:hAnsi="Times New Roman" w:eastAsia="方正仿宋_GBK" w:cs="Times New Roman"/>
          <w:sz w:val="32"/>
          <w:szCs w:val="32"/>
        </w:rPr>
        <w:t>国有资本经营预算</w:t>
      </w:r>
      <w:r>
        <w:rPr>
          <w:rFonts w:hint="eastAsia" w:ascii="Times New Roman" w:hAnsi="Times New Roman" w:eastAsia="方正仿宋_GBK" w:cs="Times New Roman"/>
          <w:sz w:val="32"/>
          <w:szCs w:val="32"/>
        </w:rPr>
        <w:t>本级</w:t>
      </w:r>
      <w:r>
        <w:rPr>
          <w:rFonts w:ascii="Times New Roman" w:hAnsi="Times New Roman" w:eastAsia="方正仿宋_GBK" w:cs="Times New Roman"/>
          <w:sz w:val="32"/>
          <w:szCs w:val="32"/>
        </w:rPr>
        <w:t>收入执行数为7</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294万元，2023年预算数为3</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939万元，预算数为上年执行数的54</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0%</w:t>
      </w:r>
      <w:r>
        <w:rPr>
          <w:rFonts w:hint="eastAsia" w:ascii="Times New Roman" w:hAnsi="Times New Roman" w:eastAsia="方正仿宋_GBK" w:cs="Times New Roman"/>
          <w:sz w:val="32"/>
          <w:szCs w:val="32"/>
        </w:rPr>
        <w:t>，主要根据区属国有企业</w:t>
      </w:r>
      <w:r>
        <w:rPr>
          <w:rFonts w:ascii="Times New Roman" w:hAnsi="Times New Roman" w:eastAsia="方正仿宋_GBK" w:cs="Times New Roman"/>
          <w:sz w:val="32"/>
          <w:szCs w:val="32"/>
        </w:rPr>
        <w:t>2022</w:t>
      </w:r>
      <w:r>
        <w:rPr>
          <w:rFonts w:hint="eastAsia" w:ascii="Times New Roman" w:hAnsi="Times New Roman" w:eastAsia="方正仿宋_GBK" w:cs="Times New Roman"/>
          <w:sz w:val="32"/>
          <w:szCs w:val="32"/>
        </w:rPr>
        <w:t>年经营情况测算。</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2022</w:t>
      </w:r>
      <w:r>
        <w:rPr>
          <w:rFonts w:hint="eastAsia" w:ascii="Times New Roman" w:hAnsi="Times New Roman" w:eastAsia="方正仿宋_GBK" w:cs="Times New Roman"/>
          <w:sz w:val="32"/>
          <w:szCs w:val="32"/>
        </w:rPr>
        <w:t>年全区国有资本经营预算本级支出预算数为</w:t>
      </w: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000</w:t>
      </w:r>
      <w:r>
        <w:rPr>
          <w:rFonts w:hint="eastAsia" w:ascii="Times New Roman" w:hAnsi="Times New Roman" w:eastAsia="方正仿宋_GBK" w:cs="Times New Roman"/>
          <w:sz w:val="32"/>
          <w:szCs w:val="32"/>
        </w:rPr>
        <w:t>万元，</w:t>
      </w:r>
      <w:r>
        <w:rPr>
          <w:rFonts w:ascii="Times New Roman" w:hAnsi="Times New Roman" w:eastAsia="方正仿宋_GBK" w:cs="Times New Roman"/>
          <w:sz w:val="32"/>
          <w:szCs w:val="32"/>
        </w:rPr>
        <w:t>2023</w:t>
      </w:r>
      <w:r>
        <w:rPr>
          <w:rFonts w:hint="eastAsia" w:ascii="Times New Roman" w:hAnsi="Times New Roman" w:eastAsia="方正仿宋_GBK" w:cs="Times New Roman"/>
          <w:sz w:val="32"/>
          <w:szCs w:val="32"/>
        </w:rPr>
        <w:t>年预算数为</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000</w:t>
      </w:r>
      <w:r>
        <w:rPr>
          <w:rFonts w:hint="eastAsia" w:ascii="Times New Roman" w:hAnsi="Times New Roman" w:eastAsia="方正仿宋_GBK" w:cs="Times New Roman"/>
          <w:sz w:val="32"/>
          <w:szCs w:val="32"/>
        </w:rPr>
        <w:t>万元，预算数为上年预算数的</w:t>
      </w:r>
      <w:r>
        <w:rPr>
          <w:rFonts w:ascii="Times New Roman" w:hAnsi="Times New Roman" w:eastAsia="方正仿宋_GBK" w:cs="Times New Roman"/>
          <w:sz w:val="32"/>
          <w:szCs w:val="32"/>
        </w:rPr>
        <w:t>40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0</w:t>
      </w:r>
      <w:r>
        <w:rPr>
          <w:rFonts w:hint="eastAsia" w:ascii="Times New Roman" w:hAnsi="Times New Roman" w:eastAsia="方正仿宋_GBK" w:cs="Times New Roman"/>
          <w:sz w:val="32"/>
          <w:szCs w:val="32"/>
        </w:rPr>
        <w:t>%，主要是注入国有企业资本金。</w:t>
      </w:r>
    </w:p>
    <w:p>
      <w:pPr>
        <w:widowControl/>
        <w:spacing w:line="594" w:lineRule="exact"/>
        <w:jc w:val="center"/>
        <w:rPr>
          <w:rFonts w:ascii="Times New Roman" w:hAnsi="Times New Roman" w:eastAsia="方正仿宋_GBK" w:cs="Times New Roman"/>
          <w:sz w:val="32"/>
          <w:szCs w:val="32"/>
        </w:rPr>
      </w:pPr>
    </w:p>
    <w:p>
      <w:pPr>
        <w:widowControl/>
        <w:spacing w:line="240" w:lineRule="atLeast"/>
        <w:jc w:val="center"/>
        <w:rPr>
          <w:rFonts w:ascii="Times New Roman" w:hAnsi="Times New Roman" w:eastAsia="方正仿宋_GBK" w:cs="方正仿宋_GBK"/>
          <w:sz w:val="32"/>
          <w:szCs w:val="32"/>
        </w:rPr>
      </w:pPr>
    </w:p>
    <w:p>
      <w:pPr>
        <w:widowControl/>
        <w:spacing w:line="240" w:lineRule="atLeast"/>
        <w:jc w:val="center"/>
        <w:rPr>
          <w:rFonts w:ascii="Times New Roman" w:hAnsi="Times New Roman" w:eastAsia="方正仿宋_GBK" w:cs="方正仿宋_GBK"/>
          <w:sz w:val="32"/>
          <w:szCs w:val="32"/>
        </w:rPr>
      </w:pPr>
    </w:p>
    <w:p>
      <w:pPr>
        <w:widowControl/>
        <w:spacing w:line="240" w:lineRule="atLeast"/>
        <w:jc w:val="center"/>
        <w:rPr>
          <w:rFonts w:ascii="Times New Roman" w:hAnsi="Times New Roman" w:eastAsia="方正仿宋_GBK"/>
          <w:lang w:val="zh-CN"/>
        </w:rPr>
      </w:pPr>
    </w:p>
    <w:p>
      <w:pPr>
        <w:widowControl/>
        <w:jc w:val="left"/>
        <w:textAlignment w:val="center"/>
        <w:rPr>
          <w:rFonts w:ascii="Times New Roman" w:hAnsi="Times New Roman" w:eastAsia="方正黑体_GBK" w:cs="方正黑体_GBK"/>
          <w:color w:val="000000"/>
          <w:kern w:val="0"/>
          <w:sz w:val="28"/>
          <w:szCs w:val="28"/>
        </w:rPr>
      </w:pPr>
    </w:p>
    <w:p>
      <w:pPr>
        <w:widowControl/>
        <w:jc w:val="left"/>
        <w:textAlignment w:val="center"/>
        <w:rPr>
          <w:rFonts w:ascii="Times New Roman" w:hAnsi="Times New Roman" w:eastAsia="方正黑体_GBK" w:cs="方正黑体_GBK"/>
          <w:color w:val="000000"/>
          <w:kern w:val="0"/>
          <w:sz w:val="28"/>
          <w:szCs w:val="28"/>
        </w:rPr>
      </w:pPr>
    </w:p>
    <w:p>
      <w:pPr>
        <w:widowControl/>
        <w:jc w:val="left"/>
        <w:rPr>
          <w:rFonts w:ascii="Times New Roman" w:hAnsi="Times New Roman" w:eastAsia="方正黑体_GBK" w:cs="方正黑体_GBK"/>
          <w:color w:val="000000"/>
          <w:kern w:val="0"/>
          <w:sz w:val="28"/>
          <w:szCs w:val="28"/>
        </w:rPr>
      </w:pPr>
      <w:r>
        <w:rPr>
          <w:rFonts w:ascii="Times New Roman" w:hAnsi="Times New Roman" w:eastAsia="方正黑体_GBK" w:cs="方正黑体_GBK"/>
          <w:color w:val="000000"/>
          <w:kern w:val="0"/>
          <w:sz w:val="28"/>
          <w:szCs w:val="28"/>
        </w:rPr>
        <w:br w:type="page"/>
      </w:r>
    </w:p>
    <w:p>
      <w:pPr>
        <w:spacing w:line="400" w:lineRule="exac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28</w:t>
      </w:r>
    </w:p>
    <w:p>
      <w:pPr>
        <w:widowControl/>
        <w:jc w:val="center"/>
        <w:textAlignment w:val="center"/>
        <w:outlineLvl w:val="0"/>
        <w:rPr>
          <w:rFonts w:ascii="Times New Roman" w:hAnsi="Times New Roman" w:eastAsia="方正小标宋_GBK" w:cs="方正小标宋_GBK"/>
          <w:kern w:val="0"/>
          <w:sz w:val="44"/>
          <w:szCs w:val="44"/>
        </w:rPr>
      </w:pPr>
      <w:bookmarkStart w:id="21" w:name="_Toc24646"/>
      <w:bookmarkStart w:id="22" w:name="_Toc20758"/>
      <w:r>
        <w:rPr>
          <w:rFonts w:ascii="Times New Roman" w:hAnsi="Times New Roman" w:eastAsia="方正小标宋_GBK" w:cs="Times New Roman"/>
          <w:kern w:val="0"/>
          <w:sz w:val="44"/>
          <w:szCs w:val="44"/>
        </w:rPr>
        <w:t>2023</w:t>
      </w:r>
      <w:r>
        <w:rPr>
          <w:rFonts w:hint="eastAsia" w:ascii="Times New Roman" w:hAnsi="Times New Roman" w:eastAsia="方正小标宋_GBK" w:cs="方正小标宋_GBK"/>
          <w:kern w:val="0"/>
          <w:sz w:val="44"/>
          <w:szCs w:val="44"/>
        </w:rPr>
        <w:t>年全区社会保险基金预算收支预算表</w:t>
      </w:r>
      <w:bookmarkEnd w:id="21"/>
      <w:bookmarkEnd w:id="22"/>
    </w:p>
    <w:p>
      <w:pPr>
        <w:jc w:val="right"/>
        <w:rPr>
          <w:rFonts w:ascii="Times New Roman" w:hAnsi="Times New Roman" w:eastAsia="宋体" w:cs="Times New Roman"/>
        </w:rPr>
      </w:pPr>
      <w:r>
        <w:rPr>
          <w:rFonts w:hint="eastAsia" w:ascii="Times New Roman" w:hAnsi="Times New Roman" w:eastAsia="宋体" w:cs="Times New Roman"/>
        </w:rPr>
        <w:t>单位：万元</w:t>
      </w:r>
    </w:p>
    <w:tbl>
      <w:tblPr>
        <w:tblStyle w:val="10"/>
        <w:tblW w:w="9058" w:type="dxa"/>
        <w:jc w:val="center"/>
        <w:tblInd w:w="0" w:type="dxa"/>
        <w:tblLayout w:type="fixed"/>
        <w:tblCellMar>
          <w:top w:w="0" w:type="dxa"/>
          <w:left w:w="0" w:type="dxa"/>
          <w:bottom w:w="0" w:type="dxa"/>
          <w:right w:w="0" w:type="dxa"/>
        </w:tblCellMar>
      </w:tblPr>
      <w:tblGrid>
        <w:gridCol w:w="3273"/>
        <w:gridCol w:w="827"/>
        <w:gridCol w:w="3834"/>
        <w:gridCol w:w="1124"/>
      </w:tblGrid>
      <w:tr>
        <w:tblPrEx>
          <w:tblLayout w:type="fixed"/>
          <w:tblCellMar>
            <w:top w:w="0" w:type="dxa"/>
            <w:left w:w="0" w:type="dxa"/>
            <w:bottom w:w="0" w:type="dxa"/>
            <w:right w:w="0" w:type="dxa"/>
          </w:tblCellMar>
        </w:tblPrEx>
        <w:trPr>
          <w:trHeight w:val="652" w:hRule="atLeast"/>
          <w:jc w:val="center"/>
        </w:trPr>
        <w:tc>
          <w:tcPr>
            <w:tcW w:w="327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rPr>
              <w:t>收      入</w:t>
            </w:r>
          </w:p>
        </w:tc>
        <w:tc>
          <w:tcPr>
            <w:tcW w:w="8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rPr>
              <w:t>预算数</w:t>
            </w:r>
          </w:p>
        </w:tc>
        <w:tc>
          <w:tcPr>
            <w:tcW w:w="38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rPr>
              <w:t>支       出</w:t>
            </w:r>
          </w:p>
        </w:tc>
        <w:tc>
          <w:tcPr>
            <w:tcW w:w="112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rPr>
              <w:t>预算数</w:t>
            </w:r>
          </w:p>
        </w:tc>
      </w:tr>
      <w:tr>
        <w:tblPrEx>
          <w:tblLayout w:type="fixed"/>
          <w:tblCellMar>
            <w:top w:w="0" w:type="dxa"/>
            <w:left w:w="0" w:type="dxa"/>
            <w:bottom w:w="0" w:type="dxa"/>
            <w:right w:w="0" w:type="dxa"/>
          </w:tblCellMar>
        </w:tblPrEx>
        <w:trPr>
          <w:trHeight w:val="454" w:hRule="atLeast"/>
          <w:jc w:val="center"/>
        </w:trPr>
        <w:tc>
          <w:tcPr>
            <w:tcW w:w="327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rPr>
              <w:t>总  计</w:t>
            </w:r>
          </w:p>
        </w:tc>
        <w:tc>
          <w:tcPr>
            <w:tcW w:w="8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宋体" w:cs="宋体"/>
                <w:b/>
                <w:color w:val="000000"/>
                <w:sz w:val="20"/>
                <w:szCs w:val="20"/>
              </w:rPr>
            </w:pPr>
          </w:p>
        </w:tc>
        <w:tc>
          <w:tcPr>
            <w:tcW w:w="38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rPr>
              <w:t>总  计</w:t>
            </w:r>
          </w:p>
        </w:tc>
        <w:tc>
          <w:tcPr>
            <w:tcW w:w="112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宋体" w:cs="宋体"/>
                <w:b/>
                <w:color w:val="000000"/>
                <w:sz w:val="20"/>
                <w:szCs w:val="20"/>
              </w:rPr>
            </w:pPr>
          </w:p>
        </w:tc>
      </w:tr>
      <w:tr>
        <w:tblPrEx>
          <w:tblLayout w:type="fixed"/>
          <w:tblCellMar>
            <w:top w:w="0" w:type="dxa"/>
            <w:left w:w="0" w:type="dxa"/>
            <w:bottom w:w="0" w:type="dxa"/>
            <w:right w:w="0" w:type="dxa"/>
          </w:tblCellMar>
        </w:tblPrEx>
        <w:trPr>
          <w:trHeight w:val="454" w:hRule="atLeast"/>
          <w:jc w:val="center"/>
        </w:trPr>
        <w:tc>
          <w:tcPr>
            <w:tcW w:w="327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rPr>
              <w:t>全区收入合计</w:t>
            </w:r>
          </w:p>
        </w:tc>
        <w:tc>
          <w:tcPr>
            <w:tcW w:w="8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宋体" w:cs="宋体"/>
                <w:b/>
                <w:color w:val="000000"/>
                <w:sz w:val="20"/>
                <w:szCs w:val="20"/>
              </w:rPr>
            </w:pPr>
          </w:p>
        </w:tc>
        <w:tc>
          <w:tcPr>
            <w:tcW w:w="38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rPr>
              <w:t>全区支出合计</w:t>
            </w:r>
          </w:p>
        </w:tc>
        <w:tc>
          <w:tcPr>
            <w:tcW w:w="112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宋体" w:cs="宋体"/>
                <w:b/>
                <w:color w:val="000000"/>
                <w:sz w:val="20"/>
                <w:szCs w:val="20"/>
              </w:rPr>
            </w:pPr>
          </w:p>
        </w:tc>
      </w:tr>
      <w:tr>
        <w:tblPrEx>
          <w:tblLayout w:type="fixed"/>
          <w:tblCellMar>
            <w:top w:w="0" w:type="dxa"/>
            <w:left w:w="0" w:type="dxa"/>
            <w:bottom w:w="0" w:type="dxa"/>
            <w:right w:w="0" w:type="dxa"/>
          </w:tblCellMar>
        </w:tblPrEx>
        <w:trPr>
          <w:trHeight w:val="454" w:hRule="atLeast"/>
          <w:jc w:val="center"/>
        </w:trPr>
        <w:tc>
          <w:tcPr>
            <w:tcW w:w="327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rPr>
              <w:t>一、基本养老保险基金收入</w:t>
            </w:r>
          </w:p>
        </w:tc>
        <w:tc>
          <w:tcPr>
            <w:tcW w:w="8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宋体" w:cs="宋体"/>
                <w:color w:val="000000"/>
                <w:sz w:val="20"/>
                <w:szCs w:val="20"/>
              </w:rPr>
            </w:pPr>
          </w:p>
        </w:tc>
        <w:tc>
          <w:tcPr>
            <w:tcW w:w="38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rPr>
              <w:t>一、基本养老保险基金支出</w:t>
            </w:r>
          </w:p>
        </w:tc>
        <w:tc>
          <w:tcPr>
            <w:tcW w:w="112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宋体" w:cs="宋体"/>
                <w:color w:val="000000"/>
                <w:sz w:val="20"/>
                <w:szCs w:val="20"/>
              </w:rPr>
            </w:pPr>
          </w:p>
        </w:tc>
      </w:tr>
      <w:tr>
        <w:tblPrEx>
          <w:tblLayout w:type="fixed"/>
          <w:tblCellMar>
            <w:top w:w="0" w:type="dxa"/>
            <w:left w:w="0" w:type="dxa"/>
            <w:bottom w:w="0" w:type="dxa"/>
            <w:right w:w="0" w:type="dxa"/>
          </w:tblCellMar>
        </w:tblPrEx>
        <w:trPr>
          <w:trHeight w:val="454" w:hRule="atLeast"/>
          <w:jc w:val="center"/>
        </w:trPr>
        <w:tc>
          <w:tcPr>
            <w:tcW w:w="327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rPr>
              <w:t>城镇企业职工基本养老保险基金</w:t>
            </w:r>
          </w:p>
        </w:tc>
        <w:tc>
          <w:tcPr>
            <w:tcW w:w="8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宋体" w:cs="宋体"/>
                <w:color w:val="000000"/>
                <w:sz w:val="20"/>
                <w:szCs w:val="20"/>
              </w:rPr>
            </w:pPr>
          </w:p>
        </w:tc>
        <w:tc>
          <w:tcPr>
            <w:tcW w:w="38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rPr>
              <w:t>城镇企业职工基本养老保险基金</w:t>
            </w:r>
          </w:p>
        </w:tc>
        <w:tc>
          <w:tcPr>
            <w:tcW w:w="112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宋体" w:cs="宋体"/>
                <w:color w:val="000000"/>
                <w:sz w:val="20"/>
                <w:szCs w:val="20"/>
              </w:rPr>
            </w:pPr>
          </w:p>
        </w:tc>
      </w:tr>
      <w:tr>
        <w:tblPrEx>
          <w:tblLayout w:type="fixed"/>
          <w:tblCellMar>
            <w:top w:w="0" w:type="dxa"/>
            <w:left w:w="0" w:type="dxa"/>
            <w:bottom w:w="0" w:type="dxa"/>
            <w:right w:w="0" w:type="dxa"/>
          </w:tblCellMar>
        </w:tblPrEx>
        <w:trPr>
          <w:trHeight w:val="454" w:hRule="atLeast"/>
          <w:jc w:val="center"/>
        </w:trPr>
        <w:tc>
          <w:tcPr>
            <w:tcW w:w="327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rPr>
              <w:t>城乡居民社会养老保险基金</w:t>
            </w:r>
          </w:p>
        </w:tc>
        <w:tc>
          <w:tcPr>
            <w:tcW w:w="8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宋体" w:cs="宋体"/>
                <w:color w:val="000000"/>
                <w:sz w:val="20"/>
                <w:szCs w:val="20"/>
              </w:rPr>
            </w:pPr>
          </w:p>
        </w:tc>
        <w:tc>
          <w:tcPr>
            <w:tcW w:w="38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rPr>
              <w:t>城乡居民社会养老保险基金</w:t>
            </w:r>
          </w:p>
        </w:tc>
        <w:tc>
          <w:tcPr>
            <w:tcW w:w="112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宋体" w:cs="宋体"/>
                <w:color w:val="000000"/>
                <w:sz w:val="20"/>
                <w:szCs w:val="20"/>
              </w:rPr>
            </w:pPr>
          </w:p>
        </w:tc>
      </w:tr>
      <w:tr>
        <w:tblPrEx>
          <w:tblLayout w:type="fixed"/>
          <w:tblCellMar>
            <w:top w:w="0" w:type="dxa"/>
            <w:left w:w="0" w:type="dxa"/>
            <w:bottom w:w="0" w:type="dxa"/>
            <w:right w:w="0" w:type="dxa"/>
          </w:tblCellMar>
        </w:tblPrEx>
        <w:trPr>
          <w:trHeight w:val="454" w:hRule="atLeast"/>
          <w:jc w:val="center"/>
        </w:trPr>
        <w:tc>
          <w:tcPr>
            <w:tcW w:w="327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rPr>
              <w:t>机关事业养老保险基金</w:t>
            </w:r>
          </w:p>
        </w:tc>
        <w:tc>
          <w:tcPr>
            <w:tcW w:w="8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宋体" w:cs="宋体"/>
                <w:color w:val="000000"/>
                <w:sz w:val="20"/>
                <w:szCs w:val="20"/>
              </w:rPr>
            </w:pPr>
          </w:p>
        </w:tc>
        <w:tc>
          <w:tcPr>
            <w:tcW w:w="38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rPr>
              <w:t>机关事业养老保险基金</w:t>
            </w:r>
          </w:p>
        </w:tc>
        <w:tc>
          <w:tcPr>
            <w:tcW w:w="112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宋体" w:cs="宋体"/>
                <w:color w:val="000000"/>
                <w:sz w:val="20"/>
                <w:szCs w:val="20"/>
              </w:rPr>
            </w:pPr>
          </w:p>
        </w:tc>
      </w:tr>
      <w:tr>
        <w:tblPrEx>
          <w:tblLayout w:type="fixed"/>
          <w:tblCellMar>
            <w:top w:w="0" w:type="dxa"/>
            <w:left w:w="0" w:type="dxa"/>
            <w:bottom w:w="0" w:type="dxa"/>
            <w:right w:w="0" w:type="dxa"/>
          </w:tblCellMar>
        </w:tblPrEx>
        <w:trPr>
          <w:trHeight w:val="454" w:hRule="atLeast"/>
          <w:jc w:val="center"/>
        </w:trPr>
        <w:tc>
          <w:tcPr>
            <w:tcW w:w="327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rPr>
              <w:t>二、基本医疗保险基金收入</w:t>
            </w:r>
          </w:p>
        </w:tc>
        <w:tc>
          <w:tcPr>
            <w:tcW w:w="8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宋体" w:cs="宋体"/>
                <w:color w:val="000000"/>
                <w:sz w:val="20"/>
                <w:szCs w:val="20"/>
              </w:rPr>
            </w:pPr>
          </w:p>
        </w:tc>
        <w:tc>
          <w:tcPr>
            <w:tcW w:w="38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rPr>
              <w:t>二、基本医疗保险基金支出</w:t>
            </w:r>
          </w:p>
        </w:tc>
        <w:tc>
          <w:tcPr>
            <w:tcW w:w="112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宋体" w:cs="宋体"/>
                <w:color w:val="000000"/>
                <w:sz w:val="20"/>
                <w:szCs w:val="20"/>
              </w:rPr>
            </w:pPr>
          </w:p>
        </w:tc>
      </w:tr>
      <w:tr>
        <w:tblPrEx>
          <w:tblLayout w:type="fixed"/>
          <w:tblCellMar>
            <w:top w:w="0" w:type="dxa"/>
            <w:left w:w="0" w:type="dxa"/>
            <w:bottom w:w="0" w:type="dxa"/>
            <w:right w:w="0" w:type="dxa"/>
          </w:tblCellMar>
        </w:tblPrEx>
        <w:trPr>
          <w:trHeight w:val="454" w:hRule="atLeast"/>
          <w:jc w:val="center"/>
        </w:trPr>
        <w:tc>
          <w:tcPr>
            <w:tcW w:w="327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rPr>
              <w:t>城镇职工基本医疗保险基金</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（含生育保险）</w:t>
            </w:r>
          </w:p>
        </w:tc>
        <w:tc>
          <w:tcPr>
            <w:tcW w:w="8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宋体" w:cs="宋体"/>
                <w:color w:val="000000"/>
                <w:sz w:val="20"/>
                <w:szCs w:val="20"/>
              </w:rPr>
            </w:pPr>
          </w:p>
        </w:tc>
        <w:tc>
          <w:tcPr>
            <w:tcW w:w="38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rPr>
              <w:t>城镇职工基本医疗保险基金（含生育保险）</w:t>
            </w:r>
          </w:p>
        </w:tc>
        <w:tc>
          <w:tcPr>
            <w:tcW w:w="112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宋体" w:cs="宋体"/>
                <w:color w:val="000000"/>
                <w:sz w:val="20"/>
                <w:szCs w:val="20"/>
              </w:rPr>
            </w:pPr>
          </w:p>
        </w:tc>
      </w:tr>
      <w:tr>
        <w:tblPrEx>
          <w:tblLayout w:type="fixed"/>
          <w:tblCellMar>
            <w:top w:w="0" w:type="dxa"/>
            <w:left w:w="0" w:type="dxa"/>
            <w:bottom w:w="0" w:type="dxa"/>
            <w:right w:w="0" w:type="dxa"/>
          </w:tblCellMar>
        </w:tblPrEx>
        <w:trPr>
          <w:trHeight w:val="454" w:hRule="atLeast"/>
          <w:jc w:val="center"/>
        </w:trPr>
        <w:tc>
          <w:tcPr>
            <w:tcW w:w="327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rPr>
              <w:t>城乡居民合作医疗保险基金</w:t>
            </w:r>
          </w:p>
        </w:tc>
        <w:tc>
          <w:tcPr>
            <w:tcW w:w="8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宋体" w:cs="宋体"/>
                <w:color w:val="000000"/>
                <w:sz w:val="20"/>
                <w:szCs w:val="20"/>
              </w:rPr>
            </w:pPr>
          </w:p>
        </w:tc>
        <w:tc>
          <w:tcPr>
            <w:tcW w:w="38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200" w:firstLineChars="100"/>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rPr>
              <w:t>城乡居民合作医疗保险基金</w:t>
            </w:r>
          </w:p>
        </w:tc>
        <w:tc>
          <w:tcPr>
            <w:tcW w:w="112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宋体" w:cs="宋体"/>
                <w:color w:val="000000"/>
                <w:sz w:val="20"/>
                <w:szCs w:val="20"/>
              </w:rPr>
            </w:pPr>
          </w:p>
        </w:tc>
      </w:tr>
      <w:tr>
        <w:tblPrEx>
          <w:tblLayout w:type="fixed"/>
          <w:tblCellMar>
            <w:top w:w="0" w:type="dxa"/>
            <w:left w:w="0" w:type="dxa"/>
            <w:bottom w:w="0" w:type="dxa"/>
            <w:right w:w="0" w:type="dxa"/>
          </w:tblCellMar>
        </w:tblPrEx>
        <w:trPr>
          <w:trHeight w:val="454" w:hRule="atLeast"/>
          <w:jc w:val="center"/>
        </w:trPr>
        <w:tc>
          <w:tcPr>
            <w:tcW w:w="327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rPr>
              <w:t>三、失业保险基金收入</w:t>
            </w:r>
          </w:p>
        </w:tc>
        <w:tc>
          <w:tcPr>
            <w:tcW w:w="8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宋体" w:cs="宋体"/>
                <w:color w:val="000000"/>
                <w:sz w:val="20"/>
                <w:szCs w:val="20"/>
              </w:rPr>
            </w:pPr>
          </w:p>
        </w:tc>
        <w:tc>
          <w:tcPr>
            <w:tcW w:w="38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rPr>
              <w:t>三、失业保险基金支出</w:t>
            </w:r>
          </w:p>
        </w:tc>
        <w:tc>
          <w:tcPr>
            <w:tcW w:w="112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宋体" w:cs="宋体"/>
                <w:color w:val="000000"/>
                <w:sz w:val="20"/>
                <w:szCs w:val="20"/>
              </w:rPr>
            </w:pPr>
          </w:p>
        </w:tc>
      </w:tr>
      <w:tr>
        <w:tblPrEx>
          <w:tblLayout w:type="fixed"/>
          <w:tblCellMar>
            <w:top w:w="0" w:type="dxa"/>
            <w:left w:w="0" w:type="dxa"/>
            <w:bottom w:w="0" w:type="dxa"/>
            <w:right w:w="0" w:type="dxa"/>
          </w:tblCellMar>
        </w:tblPrEx>
        <w:trPr>
          <w:trHeight w:val="454" w:hRule="atLeast"/>
          <w:jc w:val="center"/>
        </w:trPr>
        <w:tc>
          <w:tcPr>
            <w:tcW w:w="327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rPr>
              <w:t>四、工伤保险基金收入</w:t>
            </w:r>
          </w:p>
        </w:tc>
        <w:tc>
          <w:tcPr>
            <w:tcW w:w="8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宋体" w:cs="宋体"/>
                <w:color w:val="000000"/>
                <w:sz w:val="20"/>
                <w:szCs w:val="20"/>
              </w:rPr>
            </w:pPr>
          </w:p>
        </w:tc>
        <w:tc>
          <w:tcPr>
            <w:tcW w:w="38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rPr>
              <w:t>四、工伤保险基金支出</w:t>
            </w:r>
          </w:p>
        </w:tc>
        <w:tc>
          <w:tcPr>
            <w:tcW w:w="112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eastAsia="宋体" w:cs="宋体"/>
                <w:color w:val="000000"/>
                <w:sz w:val="20"/>
                <w:szCs w:val="20"/>
              </w:rPr>
            </w:pPr>
          </w:p>
        </w:tc>
      </w:tr>
      <w:tr>
        <w:tblPrEx>
          <w:tblLayout w:type="fixed"/>
          <w:tblCellMar>
            <w:top w:w="0" w:type="dxa"/>
            <w:left w:w="0" w:type="dxa"/>
            <w:bottom w:w="0" w:type="dxa"/>
            <w:right w:w="0" w:type="dxa"/>
          </w:tblCellMar>
        </w:tblPrEx>
        <w:trPr>
          <w:trHeight w:val="454" w:hRule="atLeast"/>
          <w:jc w:val="center"/>
        </w:trPr>
        <w:tc>
          <w:tcPr>
            <w:tcW w:w="327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eastAsia="仿宋_GB2312" w:cs="仿宋_GB2312"/>
                <w:color w:val="000000"/>
                <w:sz w:val="20"/>
                <w:szCs w:val="20"/>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eastAsia="仿宋_GB2312" w:cs="仿宋_GB2312"/>
                <w:color w:val="000000"/>
                <w:sz w:val="20"/>
                <w:szCs w:val="20"/>
              </w:rPr>
            </w:pPr>
          </w:p>
        </w:tc>
        <w:tc>
          <w:tcPr>
            <w:tcW w:w="38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Times New Roman" w:hAnsi="Times New Roman" w:eastAsia="黑体" w:cs="黑体"/>
                <w:color w:val="000000"/>
                <w:sz w:val="20"/>
                <w:szCs w:val="20"/>
              </w:rPr>
            </w:pPr>
            <w:r>
              <w:rPr>
                <w:rFonts w:hint="eastAsia" w:ascii="Times New Roman" w:hAnsi="Times New Roman" w:eastAsia="黑体" w:cs="黑体"/>
                <w:color w:val="000000"/>
                <w:kern w:val="0"/>
                <w:sz w:val="20"/>
                <w:szCs w:val="20"/>
              </w:rPr>
              <w:t>本年收支结余</w:t>
            </w:r>
          </w:p>
        </w:tc>
        <w:tc>
          <w:tcPr>
            <w:tcW w:w="112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eastAsia="仿宋_GB2312" w:cs="仿宋_GB2312"/>
                <w:color w:val="000000"/>
                <w:sz w:val="20"/>
                <w:szCs w:val="20"/>
              </w:rPr>
            </w:pPr>
          </w:p>
        </w:tc>
      </w:tr>
    </w:tbl>
    <w:p>
      <w:pPr>
        <w:spacing w:before="120" w:beforeLines="50"/>
        <w:jc w:val="left"/>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注：社保基金收支预算由市级统筹，区级此表无数据。</w:t>
      </w:r>
    </w:p>
    <w:p>
      <w:pPr>
        <w:widowControl/>
        <w:jc w:val="left"/>
        <w:rPr>
          <w:rFonts w:ascii="Times New Roman" w:hAnsi="Times New Roman" w:eastAsia="方正黑体_GBK" w:cs="方正黑体_GBK"/>
          <w:color w:val="000000"/>
          <w:kern w:val="0"/>
          <w:sz w:val="28"/>
          <w:szCs w:val="28"/>
        </w:rPr>
      </w:pPr>
    </w:p>
    <w:p>
      <w:pPr>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br w:type="page"/>
      </w:r>
    </w:p>
    <w:p>
      <w:pPr>
        <w:spacing w:line="400" w:lineRule="exac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29</w:t>
      </w:r>
      <w:r>
        <w:rPr>
          <w:rFonts w:ascii="Times New Roman" w:hAnsi="Times New Roman" w:eastAsia="方正黑体_GBK" w:cs="方正黑体_GBK"/>
          <w:kern w:val="0"/>
          <w:sz w:val="28"/>
          <w:szCs w:val="28"/>
        </w:rPr>
        <w:tab/>
      </w:r>
      <w:r>
        <w:rPr>
          <w:rFonts w:ascii="Times New Roman" w:hAnsi="Times New Roman" w:eastAsia="方正黑体_GBK" w:cs="方正黑体_GBK"/>
          <w:kern w:val="0"/>
          <w:sz w:val="28"/>
          <w:szCs w:val="28"/>
        </w:rPr>
        <w:tab/>
      </w:r>
    </w:p>
    <w:p>
      <w:pPr>
        <w:widowControl/>
        <w:jc w:val="center"/>
        <w:textAlignment w:val="center"/>
        <w:outlineLvl w:val="0"/>
        <w:rPr>
          <w:rFonts w:ascii="Times New Roman" w:hAnsi="Times New Roman" w:eastAsia="方正小标宋_GBK" w:cs="方正小标宋_GBK"/>
          <w:kern w:val="0"/>
          <w:sz w:val="44"/>
          <w:szCs w:val="44"/>
        </w:rPr>
      </w:pPr>
      <w:bookmarkStart w:id="23" w:name="_Toc16566"/>
      <w:bookmarkStart w:id="24" w:name="_Toc11627"/>
      <w:r>
        <w:rPr>
          <w:rFonts w:ascii="Times New Roman" w:hAnsi="Times New Roman" w:eastAsia="方正小标宋_GBK" w:cs="Times New Roman"/>
          <w:kern w:val="0"/>
          <w:sz w:val="44"/>
          <w:szCs w:val="44"/>
        </w:rPr>
        <w:t>2023</w:t>
      </w:r>
      <w:r>
        <w:rPr>
          <w:rFonts w:hint="eastAsia" w:ascii="Times New Roman" w:hAnsi="Times New Roman" w:eastAsia="方正小标宋_GBK" w:cs="方正小标宋_GBK"/>
          <w:kern w:val="0"/>
          <w:sz w:val="44"/>
          <w:szCs w:val="44"/>
        </w:rPr>
        <w:t>年全区“三公”经费预算表</w:t>
      </w:r>
      <w:bookmarkEnd w:id="23"/>
      <w:bookmarkEnd w:id="24"/>
    </w:p>
    <w:p>
      <w:pPr>
        <w:jc w:val="right"/>
        <w:rPr>
          <w:rFonts w:ascii="Times New Roman" w:hAnsi="Times New Roman" w:eastAsia="宋体" w:cs="Times New Roman"/>
        </w:rPr>
      </w:pPr>
      <w:r>
        <w:rPr>
          <w:rFonts w:ascii="Times New Roman" w:hAnsi="Times New Roman" w:eastAsia="宋体" w:cs="Times New Roman"/>
        </w:rPr>
        <w:tab/>
      </w:r>
      <w:r>
        <w:rPr>
          <w:rFonts w:ascii="Times New Roman" w:hAnsi="Times New Roman" w:eastAsia="宋体" w:cs="Times New Roman"/>
        </w:rPr>
        <w:tab/>
      </w:r>
      <w:r>
        <w:rPr>
          <w:rFonts w:hint="eastAsia" w:ascii="Times New Roman" w:hAnsi="Times New Roman" w:eastAsia="宋体" w:cs="Times New Roman"/>
        </w:rPr>
        <w:t>单位：万元</w:t>
      </w:r>
    </w:p>
    <w:tbl>
      <w:tblPr>
        <w:tblStyle w:val="10"/>
        <w:tblW w:w="9049" w:type="dxa"/>
        <w:tblInd w:w="0" w:type="dxa"/>
        <w:tblLayout w:type="fixed"/>
        <w:tblCellMar>
          <w:top w:w="0" w:type="dxa"/>
          <w:left w:w="0" w:type="dxa"/>
          <w:bottom w:w="0" w:type="dxa"/>
          <w:right w:w="0" w:type="dxa"/>
        </w:tblCellMar>
      </w:tblPr>
      <w:tblGrid>
        <w:gridCol w:w="3576"/>
        <w:gridCol w:w="2736"/>
        <w:gridCol w:w="2737"/>
      </w:tblGrid>
      <w:tr>
        <w:tblPrEx>
          <w:tblLayout w:type="fixed"/>
          <w:tblCellMar>
            <w:top w:w="0" w:type="dxa"/>
            <w:left w:w="0" w:type="dxa"/>
            <w:bottom w:w="0" w:type="dxa"/>
            <w:right w:w="0" w:type="dxa"/>
          </w:tblCellMar>
        </w:tblPrEx>
        <w:trPr>
          <w:trHeight w:val="850"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40" w:lineRule="atLeast"/>
              <w:jc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项           目</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ascii="Times New Roman" w:hAnsi="Times New Roman" w:eastAsia="黑体" w:cs="Times New Roman"/>
                <w:color w:val="000000"/>
                <w:kern w:val="0"/>
                <w:sz w:val="22"/>
                <w:lang w:bidi="ar"/>
              </w:rPr>
              <w:t>2022</w:t>
            </w:r>
            <w:r>
              <w:rPr>
                <w:rFonts w:hint="eastAsia" w:ascii="Times New Roman" w:hAnsi="Times New Roman" w:eastAsia="黑体" w:cs="黑体"/>
                <w:color w:val="000000"/>
                <w:kern w:val="0"/>
                <w:sz w:val="22"/>
                <w:lang w:bidi="ar"/>
              </w:rPr>
              <w:t>年预算数</w:t>
            </w: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ascii="Times New Roman" w:hAnsi="Times New Roman" w:eastAsia="黑体" w:cs="Times New Roman"/>
                <w:color w:val="000000"/>
                <w:kern w:val="0"/>
                <w:sz w:val="22"/>
                <w:lang w:bidi="ar"/>
              </w:rPr>
              <w:t>2023</w:t>
            </w:r>
            <w:r>
              <w:rPr>
                <w:rFonts w:hint="eastAsia" w:ascii="Times New Roman" w:hAnsi="Times New Roman" w:eastAsia="黑体" w:cs="黑体"/>
                <w:color w:val="000000"/>
                <w:kern w:val="0"/>
                <w:sz w:val="22"/>
                <w:lang w:bidi="ar"/>
              </w:rPr>
              <w:t>年预算数</w:t>
            </w:r>
          </w:p>
        </w:tc>
      </w:tr>
      <w:tr>
        <w:tblPrEx>
          <w:tblLayout w:type="fixed"/>
          <w:tblCellMar>
            <w:top w:w="0" w:type="dxa"/>
            <w:left w:w="0" w:type="dxa"/>
            <w:bottom w:w="0" w:type="dxa"/>
            <w:right w:w="0" w:type="dxa"/>
          </w:tblCellMar>
        </w:tblPrEx>
        <w:trPr>
          <w:trHeight w:val="567"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b/>
                <w:color w:val="000000"/>
                <w:sz w:val="22"/>
              </w:rPr>
            </w:pPr>
            <w:r>
              <w:rPr>
                <w:rFonts w:hint="eastAsia" w:ascii="Times New Roman" w:hAnsi="Times New Roman" w:eastAsia="宋体" w:cs="宋体"/>
                <w:b/>
                <w:bCs/>
                <w:color w:val="000000"/>
                <w:kern w:val="0"/>
                <w:sz w:val="22"/>
                <w:lang w:bidi="ar"/>
              </w:rPr>
              <w:t>合       计</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黑体" w:cs="Times New Roman"/>
                <w:b/>
                <w:color w:val="000000"/>
                <w:sz w:val="22"/>
              </w:rPr>
            </w:pPr>
            <w:r>
              <w:rPr>
                <w:rFonts w:ascii="Times New Roman" w:hAnsi="Times New Roman" w:eastAsia="宋体" w:cs="Times New Roman"/>
                <w:b/>
                <w:color w:val="000000"/>
                <w:kern w:val="0"/>
                <w:sz w:val="22"/>
                <w:lang w:bidi="ar"/>
              </w:rPr>
              <w:t xml:space="preserve">2,118 </w:t>
            </w: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黑体" w:cs="Times New Roman"/>
                <w:b/>
                <w:color w:val="000000"/>
                <w:sz w:val="22"/>
              </w:rPr>
            </w:pPr>
            <w:r>
              <w:rPr>
                <w:rFonts w:ascii="Times New Roman" w:hAnsi="Times New Roman" w:eastAsia="宋体" w:cs="Times New Roman"/>
                <w:b/>
                <w:color w:val="000000"/>
                <w:kern w:val="0"/>
                <w:sz w:val="22"/>
                <w:lang w:bidi="ar"/>
              </w:rPr>
              <w:t xml:space="preserve">2,117 </w:t>
            </w:r>
          </w:p>
        </w:tc>
      </w:tr>
      <w:tr>
        <w:tblPrEx>
          <w:tblLayout w:type="fixed"/>
          <w:tblCellMar>
            <w:top w:w="0" w:type="dxa"/>
            <w:left w:w="0" w:type="dxa"/>
            <w:bottom w:w="0" w:type="dxa"/>
            <w:right w:w="0" w:type="dxa"/>
          </w:tblCellMar>
        </w:tblPrEx>
        <w:trPr>
          <w:trHeight w:val="567"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ascii="Times New Roman" w:hAnsi="Times New Roman" w:eastAsia="宋体" w:cs="Times New Roman"/>
                <w:color w:val="000000"/>
                <w:kern w:val="0"/>
                <w:sz w:val="20"/>
                <w:szCs w:val="20"/>
                <w:lang w:bidi="ar"/>
              </w:rPr>
              <w:t>1</w:t>
            </w:r>
            <w:r>
              <w:rPr>
                <w:rFonts w:hint="eastAsia" w:ascii="Times New Roman" w:hAnsi="Times New Roman" w:eastAsia="宋体" w:cs="宋体"/>
                <w:color w:val="000000"/>
                <w:kern w:val="0"/>
                <w:sz w:val="20"/>
                <w:szCs w:val="20"/>
                <w:lang w:bidi="ar"/>
              </w:rPr>
              <w:t>、因公出国（境）费用</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19 </w:t>
            </w: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 </w:t>
            </w:r>
          </w:p>
        </w:tc>
      </w:tr>
      <w:tr>
        <w:tblPrEx>
          <w:tblLayout w:type="fixed"/>
          <w:tblCellMar>
            <w:top w:w="0" w:type="dxa"/>
            <w:left w:w="0" w:type="dxa"/>
            <w:bottom w:w="0" w:type="dxa"/>
            <w:right w:w="0" w:type="dxa"/>
          </w:tblCellMar>
        </w:tblPrEx>
        <w:trPr>
          <w:trHeight w:val="567"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ascii="Times New Roman" w:hAnsi="Times New Roman" w:eastAsia="宋体" w:cs="Times New Roman"/>
                <w:color w:val="000000"/>
                <w:kern w:val="0"/>
                <w:sz w:val="20"/>
                <w:szCs w:val="20"/>
                <w:lang w:bidi="ar"/>
              </w:rPr>
              <w:t>2</w:t>
            </w:r>
            <w:r>
              <w:rPr>
                <w:rFonts w:hint="eastAsia" w:ascii="Times New Roman" w:hAnsi="Times New Roman" w:eastAsia="宋体" w:cs="宋体"/>
                <w:color w:val="000000"/>
                <w:kern w:val="0"/>
                <w:sz w:val="20"/>
                <w:szCs w:val="20"/>
                <w:lang w:bidi="ar"/>
              </w:rPr>
              <w:t>、公务接待费</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229 </w:t>
            </w: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215 </w:t>
            </w:r>
          </w:p>
        </w:tc>
      </w:tr>
      <w:tr>
        <w:tblPrEx>
          <w:tblLayout w:type="fixed"/>
          <w:tblCellMar>
            <w:top w:w="0" w:type="dxa"/>
            <w:left w:w="0" w:type="dxa"/>
            <w:bottom w:w="0" w:type="dxa"/>
            <w:right w:w="0" w:type="dxa"/>
          </w:tblCellMar>
        </w:tblPrEx>
        <w:trPr>
          <w:trHeight w:val="567"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ascii="Times New Roman" w:hAnsi="Times New Roman" w:eastAsia="宋体" w:cs="Times New Roman"/>
                <w:color w:val="000000"/>
                <w:kern w:val="0"/>
                <w:sz w:val="20"/>
                <w:szCs w:val="20"/>
                <w:lang w:bidi="ar"/>
              </w:rPr>
              <w:t>3</w:t>
            </w:r>
            <w:r>
              <w:rPr>
                <w:rFonts w:hint="eastAsia" w:ascii="Times New Roman" w:hAnsi="Times New Roman" w:eastAsia="宋体" w:cs="宋体"/>
                <w:color w:val="000000"/>
                <w:kern w:val="0"/>
                <w:sz w:val="20"/>
                <w:szCs w:val="20"/>
                <w:lang w:bidi="ar"/>
              </w:rPr>
              <w:t>、公务用车购置及运行维护费</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1,871 </w:t>
            </w: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1,892 </w:t>
            </w:r>
          </w:p>
        </w:tc>
      </w:tr>
      <w:tr>
        <w:tblPrEx>
          <w:tblLayout w:type="fixed"/>
          <w:tblCellMar>
            <w:top w:w="0" w:type="dxa"/>
            <w:left w:w="0" w:type="dxa"/>
            <w:bottom w:w="0" w:type="dxa"/>
            <w:right w:w="0" w:type="dxa"/>
          </w:tblCellMar>
        </w:tblPrEx>
        <w:trPr>
          <w:trHeight w:val="567"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其中：（</w:t>
            </w:r>
            <w:r>
              <w:rPr>
                <w:rFonts w:ascii="Times New Roman" w:hAnsi="Times New Roman" w:eastAsia="宋体" w:cs="Times New Roman"/>
                <w:color w:val="000000"/>
                <w:kern w:val="0"/>
                <w:sz w:val="20"/>
                <w:szCs w:val="20"/>
                <w:lang w:bidi="ar"/>
              </w:rPr>
              <w:t>1</w:t>
            </w:r>
            <w:r>
              <w:rPr>
                <w:rFonts w:hint="eastAsia" w:ascii="Times New Roman" w:hAnsi="Times New Roman" w:eastAsia="宋体" w:cs="宋体"/>
                <w:color w:val="000000"/>
                <w:kern w:val="0"/>
                <w:sz w:val="20"/>
                <w:szCs w:val="20"/>
                <w:lang w:bidi="ar"/>
              </w:rPr>
              <w:t>）公务用车运行维护费</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1,537 </w:t>
            </w: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1,616 </w:t>
            </w:r>
          </w:p>
        </w:tc>
      </w:tr>
      <w:tr>
        <w:tblPrEx>
          <w:tblLayout w:type="fixed"/>
          <w:tblCellMar>
            <w:top w:w="0" w:type="dxa"/>
            <w:left w:w="0" w:type="dxa"/>
            <w:bottom w:w="0" w:type="dxa"/>
            <w:right w:w="0" w:type="dxa"/>
          </w:tblCellMar>
        </w:tblPrEx>
        <w:trPr>
          <w:trHeight w:val="567"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w:t>
            </w:r>
            <w:r>
              <w:rPr>
                <w:rFonts w:ascii="Times New Roman" w:hAnsi="Times New Roman" w:eastAsia="宋体" w:cs="Times New Roman"/>
                <w:color w:val="000000"/>
                <w:kern w:val="0"/>
                <w:sz w:val="20"/>
                <w:szCs w:val="20"/>
                <w:lang w:bidi="ar"/>
              </w:rPr>
              <w:t>2</w:t>
            </w:r>
            <w:r>
              <w:rPr>
                <w:rFonts w:hint="eastAsia" w:ascii="Times New Roman" w:hAnsi="Times New Roman" w:eastAsia="宋体" w:cs="宋体"/>
                <w:color w:val="000000"/>
                <w:kern w:val="0"/>
                <w:sz w:val="20"/>
                <w:szCs w:val="20"/>
                <w:lang w:bidi="ar"/>
              </w:rPr>
              <w:t>）公务用车购置</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333 </w:t>
            </w: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276 </w:t>
            </w:r>
          </w:p>
        </w:tc>
      </w:tr>
    </w:tbl>
    <w:p>
      <w:pPr>
        <w:widowControl/>
        <w:spacing w:line="580" w:lineRule="exact"/>
        <w:rPr>
          <w:rFonts w:ascii="Times New Roman" w:hAnsi="Times New Roman" w:eastAsia="方正仿宋_GBK"/>
          <w:lang w:val="zh-CN"/>
        </w:rPr>
      </w:pPr>
    </w:p>
    <w:p>
      <w:pPr>
        <w:widowControl/>
        <w:spacing w:line="580" w:lineRule="exact"/>
        <w:rPr>
          <w:rFonts w:ascii="Times New Roman" w:hAnsi="Times New Roman" w:eastAsia="方正仿宋_GBK"/>
          <w:lang w:val="zh-CN"/>
        </w:rPr>
      </w:pPr>
    </w:p>
    <w:p>
      <w:pPr>
        <w:widowControl/>
        <w:spacing w:line="580" w:lineRule="exact"/>
        <w:rPr>
          <w:rFonts w:ascii="Times New Roman" w:hAnsi="Times New Roman" w:eastAsia="方正仿宋_GBK"/>
          <w:lang w:val="zh-CN"/>
        </w:rPr>
      </w:pPr>
    </w:p>
    <w:p>
      <w:pPr>
        <w:widowControl/>
        <w:spacing w:line="580" w:lineRule="exact"/>
        <w:rPr>
          <w:rFonts w:ascii="Times New Roman" w:hAnsi="Times New Roman" w:eastAsia="方正仿宋_GBK"/>
          <w:lang w:val="zh-CN"/>
        </w:rPr>
      </w:pPr>
    </w:p>
    <w:p>
      <w:pPr>
        <w:widowControl/>
        <w:jc w:val="left"/>
        <w:textAlignment w:val="center"/>
        <w:rPr>
          <w:rFonts w:ascii="Times New Roman" w:hAnsi="Times New Roman" w:eastAsia="方正黑体_GBK" w:cs="方正黑体_GBK"/>
          <w:color w:val="000000"/>
          <w:kern w:val="0"/>
          <w:sz w:val="28"/>
          <w:szCs w:val="28"/>
        </w:rPr>
      </w:pPr>
    </w:p>
    <w:p>
      <w:pPr>
        <w:widowControl/>
        <w:jc w:val="left"/>
        <w:textAlignment w:val="center"/>
        <w:rPr>
          <w:rFonts w:ascii="Times New Roman" w:hAnsi="Times New Roman" w:eastAsia="方正黑体_GBK" w:cs="方正黑体_GBK"/>
          <w:color w:val="000000"/>
          <w:kern w:val="0"/>
          <w:sz w:val="28"/>
          <w:szCs w:val="28"/>
        </w:rPr>
      </w:pPr>
    </w:p>
    <w:p>
      <w:pPr>
        <w:widowControl/>
        <w:jc w:val="left"/>
        <w:rPr>
          <w:rFonts w:ascii="Times New Roman" w:hAnsi="Times New Roman" w:eastAsia="方正黑体_GBK" w:cs="方正黑体_GBK"/>
          <w:color w:val="000000"/>
          <w:kern w:val="0"/>
          <w:sz w:val="28"/>
          <w:szCs w:val="28"/>
        </w:rPr>
      </w:pPr>
      <w:r>
        <w:rPr>
          <w:rFonts w:ascii="Times New Roman" w:hAnsi="Times New Roman" w:eastAsia="方正黑体_GBK" w:cs="方正黑体_GBK"/>
          <w:color w:val="000000"/>
          <w:kern w:val="0"/>
          <w:sz w:val="28"/>
          <w:szCs w:val="28"/>
        </w:rPr>
        <w:br w:type="page"/>
      </w:r>
    </w:p>
    <w:p>
      <w:pPr>
        <w:spacing w:line="400" w:lineRule="exac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30</w:t>
      </w:r>
    </w:p>
    <w:p>
      <w:pPr>
        <w:widowControl/>
        <w:jc w:val="center"/>
        <w:textAlignment w:val="center"/>
        <w:outlineLvl w:val="0"/>
        <w:rPr>
          <w:rFonts w:ascii="Times New Roman" w:hAnsi="Times New Roman" w:eastAsia="方正小标宋_GBK" w:cs="方正小标宋_GBK"/>
          <w:kern w:val="0"/>
          <w:sz w:val="44"/>
          <w:szCs w:val="44"/>
        </w:rPr>
      </w:pPr>
      <w:bookmarkStart w:id="25" w:name="_Toc1687"/>
      <w:bookmarkStart w:id="26" w:name="_Toc27853"/>
      <w:r>
        <w:rPr>
          <w:rFonts w:ascii="Times New Roman" w:hAnsi="Times New Roman" w:eastAsia="方正小标宋_GBK" w:cs="Times New Roman"/>
          <w:kern w:val="0"/>
          <w:sz w:val="44"/>
          <w:szCs w:val="44"/>
        </w:rPr>
        <w:t>2022</w:t>
      </w:r>
      <w:r>
        <w:rPr>
          <w:rFonts w:hint="eastAsia" w:ascii="Times New Roman" w:hAnsi="Times New Roman" w:eastAsia="方正小标宋_GBK" w:cs="方正小标宋_GBK"/>
          <w:kern w:val="0"/>
          <w:sz w:val="44"/>
          <w:szCs w:val="44"/>
        </w:rPr>
        <w:t>年地方政府债务限额及余额情况表</w:t>
      </w:r>
      <w:bookmarkEnd w:id="25"/>
      <w:bookmarkEnd w:id="26"/>
    </w:p>
    <w:p>
      <w:pPr>
        <w:jc w:val="right"/>
        <w:rPr>
          <w:rFonts w:ascii="Times New Roman" w:hAnsi="Times New Roman" w:eastAsia="宋体" w:cs="Times New Roman"/>
        </w:rPr>
      </w:pP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单位：亿元</w:t>
      </w:r>
    </w:p>
    <w:tbl>
      <w:tblPr>
        <w:tblStyle w:val="10"/>
        <w:tblW w:w="9040" w:type="dxa"/>
        <w:jc w:val="center"/>
        <w:tblInd w:w="0" w:type="dxa"/>
        <w:tblLayout w:type="fixed"/>
        <w:tblCellMar>
          <w:top w:w="0" w:type="dxa"/>
          <w:left w:w="0" w:type="dxa"/>
          <w:bottom w:w="0" w:type="dxa"/>
          <w:right w:w="0" w:type="dxa"/>
        </w:tblCellMar>
      </w:tblPr>
      <w:tblGrid>
        <w:gridCol w:w="2056"/>
        <w:gridCol w:w="1164"/>
        <w:gridCol w:w="1164"/>
        <w:gridCol w:w="1164"/>
        <w:gridCol w:w="1164"/>
        <w:gridCol w:w="1164"/>
        <w:gridCol w:w="1164"/>
      </w:tblGrid>
      <w:tr>
        <w:tblPrEx>
          <w:tblLayout w:type="fixed"/>
          <w:tblCellMar>
            <w:top w:w="0" w:type="dxa"/>
            <w:left w:w="0" w:type="dxa"/>
            <w:bottom w:w="0" w:type="dxa"/>
            <w:right w:w="0" w:type="dxa"/>
          </w:tblCellMar>
        </w:tblPrEx>
        <w:trPr>
          <w:trHeight w:val="960" w:hRule="atLeast"/>
          <w:jc w:val="center"/>
        </w:trPr>
        <w:tc>
          <w:tcPr>
            <w:tcW w:w="2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地   区</w:t>
            </w:r>
          </w:p>
        </w:tc>
        <w:tc>
          <w:tcPr>
            <w:tcW w:w="349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ascii="Times New Roman" w:hAnsi="Times New Roman" w:eastAsia="黑体" w:cs="Times New Roman"/>
                <w:color w:val="000000"/>
                <w:kern w:val="0"/>
                <w:sz w:val="22"/>
                <w:lang w:bidi="ar"/>
              </w:rPr>
              <w:t>2022</w:t>
            </w:r>
            <w:r>
              <w:rPr>
                <w:rFonts w:hint="eastAsia" w:ascii="Times New Roman" w:hAnsi="Times New Roman" w:eastAsia="黑体" w:cs="黑体"/>
                <w:color w:val="000000"/>
                <w:kern w:val="0"/>
                <w:sz w:val="22"/>
                <w:lang w:bidi="ar"/>
              </w:rPr>
              <w:t>年债务限额</w:t>
            </w:r>
          </w:p>
        </w:tc>
        <w:tc>
          <w:tcPr>
            <w:tcW w:w="349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ascii="Times New Roman" w:hAnsi="Times New Roman" w:eastAsia="黑体" w:cs="Times New Roman"/>
                <w:color w:val="000000"/>
                <w:kern w:val="0"/>
                <w:sz w:val="22"/>
                <w:lang w:bidi="ar"/>
              </w:rPr>
              <w:t>2022</w:t>
            </w:r>
            <w:r>
              <w:rPr>
                <w:rFonts w:hint="eastAsia" w:ascii="Times New Roman" w:hAnsi="Times New Roman" w:eastAsia="黑体" w:cs="黑体"/>
                <w:color w:val="000000"/>
                <w:kern w:val="0"/>
                <w:sz w:val="22"/>
                <w:lang w:bidi="ar"/>
              </w:rPr>
              <w:t>年债务余额预计执行数</w:t>
            </w:r>
          </w:p>
        </w:tc>
      </w:tr>
      <w:tr>
        <w:tblPrEx>
          <w:tblLayout w:type="fixed"/>
          <w:tblCellMar>
            <w:top w:w="0" w:type="dxa"/>
            <w:left w:w="0" w:type="dxa"/>
            <w:bottom w:w="0" w:type="dxa"/>
            <w:right w:w="0" w:type="dxa"/>
          </w:tblCellMar>
        </w:tblPrEx>
        <w:trPr>
          <w:trHeight w:val="960" w:hRule="atLeast"/>
          <w:jc w:val="center"/>
        </w:trPr>
        <w:tc>
          <w:tcPr>
            <w:tcW w:w="2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imes New Roman" w:hAnsi="Times New Roman" w:eastAsia="黑体" w:cs="黑体"/>
                <w:color w:val="000000"/>
                <w:sz w:val="2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小计</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一般债务</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专项债务</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小计</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一般债务</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专项债务</w:t>
            </w:r>
          </w:p>
        </w:tc>
      </w:tr>
      <w:tr>
        <w:tblPrEx>
          <w:tblLayout w:type="fixed"/>
          <w:tblCellMar>
            <w:top w:w="0" w:type="dxa"/>
            <w:left w:w="0" w:type="dxa"/>
            <w:bottom w:w="0" w:type="dxa"/>
            <w:right w:w="0" w:type="dxa"/>
          </w:tblCellMar>
        </w:tblPrEx>
        <w:trPr>
          <w:trHeight w:val="960" w:hRule="atLeast"/>
          <w:jc w:val="center"/>
        </w:trPr>
        <w:tc>
          <w:tcPr>
            <w:tcW w:w="2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公  式</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A=B+C</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B</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C</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D=E+F</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E</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F</w:t>
            </w:r>
          </w:p>
        </w:tc>
      </w:tr>
      <w:tr>
        <w:tblPrEx>
          <w:tblLayout w:type="fixed"/>
          <w:tblCellMar>
            <w:top w:w="0" w:type="dxa"/>
            <w:left w:w="0" w:type="dxa"/>
            <w:bottom w:w="0" w:type="dxa"/>
            <w:right w:w="0" w:type="dxa"/>
          </w:tblCellMar>
        </w:tblPrEx>
        <w:trPr>
          <w:trHeight w:val="960" w:hRule="atLeast"/>
          <w:jc w:val="center"/>
        </w:trPr>
        <w:tc>
          <w:tcPr>
            <w:tcW w:w="2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大渡口区</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102.55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65.95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36.60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102.55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65.95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36.60 </w:t>
            </w:r>
          </w:p>
        </w:tc>
      </w:tr>
    </w:tbl>
    <w:p>
      <w:pPr>
        <w:spacing w:before="120" w:beforeLines="50"/>
        <w:jc w:val="left"/>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注：</w:t>
      </w:r>
      <w:r>
        <w:rPr>
          <w:rFonts w:ascii="Times New Roman" w:hAnsi="Times New Roman" w:eastAsia="宋体" w:cs="宋体"/>
          <w:color w:val="000000"/>
          <w:sz w:val="18"/>
          <w:szCs w:val="18"/>
        </w:rPr>
        <w:t>1</w:t>
      </w:r>
      <w:r>
        <w:rPr>
          <w:rFonts w:hint="eastAsia" w:ascii="Times New Roman" w:hAnsi="Times New Roman" w:eastAsia="宋体" w:cs="宋体"/>
          <w:color w:val="000000"/>
          <w:sz w:val="18"/>
          <w:szCs w:val="18"/>
        </w:rPr>
        <w:t>.本表反映上一年度本地区、本级及所属地区政府债务限额及余额预计执行数。</w:t>
      </w:r>
    </w:p>
    <w:p>
      <w:pPr>
        <w:jc w:val="left"/>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 xml:space="preserve">    </w:t>
      </w:r>
      <w:r>
        <w:rPr>
          <w:rFonts w:ascii="Times New Roman" w:hAnsi="Times New Roman" w:eastAsia="宋体" w:cs="宋体"/>
          <w:color w:val="000000"/>
          <w:sz w:val="18"/>
          <w:szCs w:val="18"/>
        </w:rPr>
        <w:t>2</w:t>
      </w:r>
      <w:r>
        <w:rPr>
          <w:rFonts w:hint="eastAsia" w:ascii="Times New Roman" w:hAnsi="Times New Roman" w:eastAsia="宋体" w:cs="宋体"/>
          <w:color w:val="000000"/>
          <w:sz w:val="18"/>
          <w:szCs w:val="18"/>
        </w:rPr>
        <w:t>.本表由县级以上地方各级财政部门在本级人民代表大会批准预算后二十日内公开。</w:t>
      </w:r>
    </w:p>
    <w:p>
      <w:pPr>
        <w:widowControl/>
        <w:spacing w:line="580" w:lineRule="exact"/>
        <w:rPr>
          <w:rFonts w:ascii="Times New Roman" w:hAnsi="Times New Roman" w:eastAsia="方正仿宋_GBK"/>
          <w:lang w:val="zh-CN"/>
        </w:rPr>
      </w:pPr>
    </w:p>
    <w:p>
      <w:pPr>
        <w:widowControl/>
        <w:spacing w:line="580" w:lineRule="exact"/>
        <w:rPr>
          <w:rFonts w:ascii="Times New Roman" w:hAnsi="Times New Roman" w:eastAsia="方正仿宋_GBK"/>
          <w:lang w:val="zh-CN"/>
        </w:rPr>
      </w:pPr>
    </w:p>
    <w:p>
      <w:pPr>
        <w:widowControl/>
        <w:jc w:val="left"/>
        <w:textAlignment w:val="center"/>
        <w:rPr>
          <w:rFonts w:ascii="Times New Roman" w:hAnsi="Times New Roman" w:eastAsia="方正黑体_GBK" w:cs="方正黑体_GBK"/>
          <w:color w:val="000000"/>
          <w:kern w:val="0"/>
          <w:sz w:val="28"/>
          <w:szCs w:val="28"/>
        </w:rPr>
      </w:pPr>
    </w:p>
    <w:p>
      <w:pPr>
        <w:widowControl/>
        <w:jc w:val="left"/>
        <w:textAlignment w:val="center"/>
        <w:rPr>
          <w:rFonts w:ascii="Times New Roman" w:hAnsi="Times New Roman" w:eastAsia="方正黑体_GBK" w:cs="方正黑体_GBK"/>
          <w:color w:val="000000"/>
          <w:kern w:val="0"/>
          <w:sz w:val="28"/>
          <w:szCs w:val="28"/>
        </w:rPr>
      </w:pPr>
    </w:p>
    <w:p>
      <w:pPr>
        <w:widowControl/>
        <w:jc w:val="left"/>
        <w:textAlignment w:val="center"/>
        <w:rPr>
          <w:rFonts w:ascii="Times New Roman" w:hAnsi="Times New Roman" w:eastAsia="方正黑体_GBK" w:cs="方正黑体_GBK"/>
          <w:color w:val="000000"/>
          <w:kern w:val="0"/>
          <w:sz w:val="28"/>
          <w:szCs w:val="28"/>
        </w:rPr>
      </w:pPr>
    </w:p>
    <w:p>
      <w:pPr>
        <w:widowControl/>
        <w:jc w:val="left"/>
        <w:rPr>
          <w:rFonts w:ascii="Times New Roman" w:hAnsi="Times New Roman" w:eastAsia="方正黑体_GBK" w:cs="方正黑体_GBK"/>
          <w:color w:val="000000"/>
          <w:kern w:val="0"/>
          <w:sz w:val="28"/>
          <w:szCs w:val="28"/>
        </w:rPr>
      </w:pPr>
      <w:r>
        <w:rPr>
          <w:rFonts w:ascii="Times New Roman" w:hAnsi="Times New Roman" w:eastAsia="方正黑体_GBK" w:cs="方正黑体_GBK"/>
          <w:color w:val="000000"/>
          <w:kern w:val="0"/>
          <w:sz w:val="28"/>
          <w:szCs w:val="28"/>
        </w:rPr>
        <w:br w:type="page"/>
      </w:r>
    </w:p>
    <w:p>
      <w:pPr>
        <w:spacing w:line="400" w:lineRule="exac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31</w:t>
      </w:r>
    </w:p>
    <w:p>
      <w:pPr>
        <w:widowControl/>
        <w:jc w:val="center"/>
        <w:textAlignment w:val="center"/>
        <w:outlineLvl w:val="0"/>
        <w:rPr>
          <w:rFonts w:ascii="Times New Roman" w:hAnsi="Times New Roman" w:eastAsia="方正小标宋_GBK" w:cs="方正小标宋_GBK"/>
          <w:kern w:val="0"/>
          <w:sz w:val="44"/>
          <w:szCs w:val="44"/>
        </w:rPr>
      </w:pPr>
      <w:bookmarkStart w:id="27" w:name="_Toc19041"/>
      <w:bookmarkStart w:id="28" w:name="_Toc8550"/>
      <w:r>
        <w:rPr>
          <w:rFonts w:ascii="Times New Roman" w:hAnsi="Times New Roman" w:eastAsia="方正小标宋_GBK" w:cs="Times New Roman"/>
          <w:kern w:val="0"/>
          <w:sz w:val="44"/>
          <w:szCs w:val="44"/>
        </w:rPr>
        <w:t>2022</w:t>
      </w:r>
      <w:r>
        <w:rPr>
          <w:rFonts w:hint="eastAsia" w:ascii="Times New Roman" w:hAnsi="Times New Roman" w:eastAsia="方正小标宋_GBK" w:cs="方正小标宋_GBK"/>
          <w:kern w:val="0"/>
          <w:sz w:val="44"/>
          <w:szCs w:val="44"/>
        </w:rPr>
        <w:t>年和</w:t>
      </w:r>
      <w:r>
        <w:rPr>
          <w:rFonts w:ascii="Times New Roman" w:hAnsi="Times New Roman" w:eastAsia="方正小标宋_GBK" w:cs="Times New Roman"/>
          <w:kern w:val="0"/>
          <w:sz w:val="44"/>
          <w:szCs w:val="44"/>
        </w:rPr>
        <w:t>2023</w:t>
      </w:r>
      <w:r>
        <w:rPr>
          <w:rFonts w:hint="eastAsia" w:ascii="Times New Roman" w:hAnsi="Times New Roman" w:eastAsia="方正小标宋_GBK" w:cs="方正小标宋_GBK"/>
          <w:kern w:val="0"/>
          <w:sz w:val="44"/>
          <w:szCs w:val="44"/>
        </w:rPr>
        <w:t>年地方政府一般债务情况表</w:t>
      </w:r>
      <w:bookmarkEnd w:id="27"/>
      <w:bookmarkEnd w:id="28"/>
    </w:p>
    <w:p>
      <w:pPr>
        <w:jc w:val="right"/>
        <w:rPr>
          <w:rFonts w:ascii="Times New Roman" w:hAnsi="Times New Roman" w:eastAsia="宋体" w:cs="Times New Roman"/>
        </w:rPr>
      </w:pPr>
      <w:r>
        <w:rPr>
          <w:rFonts w:ascii="Times New Roman" w:hAnsi="Times New Roman" w:eastAsia="宋体" w:cs="Times New Roman"/>
        </w:rPr>
        <w:tab/>
      </w:r>
      <w:r>
        <w:rPr>
          <w:rFonts w:ascii="Times New Roman" w:hAnsi="Times New Roman" w:eastAsia="宋体" w:cs="Times New Roman"/>
        </w:rPr>
        <w:tab/>
      </w:r>
      <w:r>
        <w:rPr>
          <w:rFonts w:hint="eastAsia" w:ascii="Times New Roman" w:hAnsi="Times New Roman" w:eastAsia="宋体" w:cs="Times New Roman"/>
        </w:rPr>
        <w:t>单位：亿元</w:t>
      </w:r>
    </w:p>
    <w:tbl>
      <w:tblPr>
        <w:tblStyle w:val="10"/>
        <w:tblW w:w="9018" w:type="dxa"/>
        <w:jc w:val="center"/>
        <w:tblInd w:w="0" w:type="dxa"/>
        <w:tblLayout w:type="fixed"/>
        <w:tblCellMar>
          <w:top w:w="0" w:type="dxa"/>
          <w:left w:w="0" w:type="dxa"/>
          <w:bottom w:w="0" w:type="dxa"/>
          <w:right w:w="0" w:type="dxa"/>
        </w:tblCellMar>
      </w:tblPr>
      <w:tblGrid>
        <w:gridCol w:w="5682"/>
        <w:gridCol w:w="1668"/>
        <w:gridCol w:w="1668"/>
      </w:tblGrid>
      <w:tr>
        <w:tblPrEx>
          <w:tblLayout w:type="fixed"/>
          <w:tblCellMar>
            <w:top w:w="0" w:type="dxa"/>
            <w:left w:w="0" w:type="dxa"/>
            <w:bottom w:w="0" w:type="dxa"/>
            <w:right w:w="0" w:type="dxa"/>
          </w:tblCellMar>
        </w:tblPrEx>
        <w:trPr>
          <w:trHeight w:val="652" w:hRule="atLeast"/>
          <w:jc w:val="center"/>
        </w:trPr>
        <w:tc>
          <w:tcPr>
            <w:tcW w:w="5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项    目</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预算数</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执行数</w:t>
            </w:r>
          </w:p>
        </w:tc>
      </w:tr>
      <w:tr>
        <w:tblPrEx>
          <w:tblLayout w:type="fixed"/>
          <w:tblCellMar>
            <w:top w:w="0" w:type="dxa"/>
            <w:left w:w="0" w:type="dxa"/>
            <w:bottom w:w="0" w:type="dxa"/>
            <w:right w:w="0" w:type="dxa"/>
          </w:tblCellMar>
        </w:tblPrEx>
        <w:trPr>
          <w:trHeight w:val="567" w:hRule="atLeast"/>
          <w:jc w:val="center"/>
        </w:trPr>
        <w:tc>
          <w:tcPr>
            <w:tcW w:w="5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一、</w:t>
            </w:r>
            <w:r>
              <w:rPr>
                <w:rFonts w:ascii="Times New Roman" w:hAnsi="Times New Roman" w:eastAsia="宋体" w:cs="Times New Roman"/>
                <w:color w:val="000000"/>
                <w:kern w:val="0"/>
                <w:sz w:val="20"/>
                <w:szCs w:val="20"/>
                <w:lang w:bidi="ar"/>
              </w:rPr>
              <w:t>2021</w:t>
            </w:r>
            <w:r>
              <w:rPr>
                <w:rFonts w:hint="eastAsia" w:ascii="Times New Roman" w:hAnsi="Times New Roman" w:eastAsia="宋体" w:cs="宋体"/>
                <w:color w:val="000000"/>
                <w:kern w:val="0"/>
                <w:sz w:val="20"/>
                <w:szCs w:val="20"/>
                <w:lang w:bidi="ar"/>
              </w:rPr>
              <w:t>年末地方政府一般债务余额实际数</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62.77 </w:t>
            </w:r>
          </w:p>
        </w:tc>
      </w:tr>
      <w:tr>
        <w:tblPrEx>
          <w:tblLayout w:type="fixed"/>
          <w:tblCellMar>
            <w:top w:w="0" w:type="dxa"/>
            <w:left w:w="0" w:type="dxa"/>
            <w:bottom w:w="0" w:type="dxa"/>
            <w:right w:w="0" w:type="dxa"/>
          </w:tblCellMar>
        </w:tblPrEx>
        <w:trPr>
          <w:trHeight w:val="567" w:hRule="atLeast"/>
          <w:jc w:val="center"/>
        </w:trPr>
        <w:tc>
          <w:tcPr>
            <w:tcW w:w="5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二、</w:t>
            </w:r>
            <w:r>
              <w:rPr>
                <w:rFonts w:ascii="Times New Roman" w:hAnsi="Times New Roman" w:eastAsia="宋体" w:cs="Times New Roman"/>
                <w:color w:val="000000"/>
                <w:kern w:val="0"/>
                <w:sz w:val="20"/>
                <w:szCs w:val="20"/>
                <w:lang w:bidi="ar"/>
              </w:rPr>
              <w:t>2022</w:t>
            </w:r>
            <w:r>
              <w:rPr>
                <w:rFonts w:hint="eastAsia" w:ascii="Times New Roman" w:hAnsi="Times New Roman" w:eastAsia="宋体" w:cs="宋体"/>
                <w:color w:val="000000"/>
                <w:kern w:val="0"/>
                <w:sz w:val="20"/>
                <w:szCs w:val="20"/>
                <w:lang w:bidi="ar"/>
              </w:rPr>
              <w:t>年末地方政府一般债务限额</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65.95 </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65.95 </w:t>
            </w:r>
          </w:p>
        </w:tc>
      </w:tr>
      <w:tr>
        <w:tblPrEx>
          <w:tblLayout w:type="fixed"/>
          <w:tblCellMar>
            <w:top w:w="0" w:type="dxa"/>
            <w:left w:w="0" w:type="dxa"/>
            <w:bottom w:w="0" w:type="dxa"/>
            <w:right w:w="0" w:type="dxa"/>
          </w:tblCellMar>
        </w:tblPrEx>
        <w:trPr>
          <w:trHeight w:val="567" w:hRule="atLeast"/>
          <w:jc w:val="center"/>
        </w:trPr>
        <w:tc>
          <w:tcPr>
            <w:tcW w:w="5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三、</w:t>
            </w:r>
            <w:r>
              <w:rPr>
                <w:rFonts w:ascii="Times New Roman" w:hAnsi="Times New Roman" w:eastAsia="宋体" w:cs="Times New Roman"/>
                <w:color w:val="000000"/>
                <w:kern w:val="0"/>
                <w:sz w:val="20"/>
                <w:szCs w:val="20"/>
                <w:lang w:bidi="ar"/>
              </w:rPr>
              <w:t>2022</w:t>
            </w:r>
            <w:r>
              <w:rPr>
                <w:rFonts w:hint="eastAsia" w:ascii="Times New Roman" w:hAnsi="Times New Roman" w:eastAsia="宋体" w:cs="宋体"/>
                <w:color w:val="000000"/>
                <w:kern w:val="0"/>
                <w:sz w:val="20"/>
                <w:szCs w:val="20"/>
                <w:lang w:bidi="ar"/>
              </w:rPr>
              <w:t>年地方政府一般债务发行额</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w:t>
            </w:r>
            <w:r>
              <w:rPr>
                <w:rFonts w:hint="eastAsia" w:ascii="Times New Roman" w:hAnsi="Times New Roman" w:eastAsia="宋体" w:cs="Times New Roman"/>
                <w:color w:val="000000"/>
                <w:kern w:val="0"/>
                <w:sz w:val="20"/>
                <w:szCs w:val="20"/>
                <w:lang w:bidi="ar"/>
              </w:rPr>
              <w:t>.</w:t>
            </w:r>
            <w:r>
              <w:rPr>
                <w:rFonts w:ascii="Times New Roman" w:hAnsi="Times New Roman" w:eastAsia="宋体" w:cs="Times New Roman"/>
                <w:color w:val="000000"/>
                <w:kern w:val="0"/>
                <w:sz w:val="20"/>
                <w:szCs w:val="20"/>
                <w:lang w:bidi="ar"/>
              </w:rPr>
              <w:t>73</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w:t>
            </w:r>
            <w:r>
              <w:rPr>
                <w:rFonts w:hint="eastAsia" w:ascii="Times New Roman" w:hAnsi="Times New Roman" w:eastAsia="宋体" w:cs="Times New Roman"/>
                <w:color w:val="000000"/>
                <w:kern w:val="0"/>
                <w:sz w:val="20"/>
                <w:szCs w:val="20"/>
                <w:lang w:bidi="ar"/>
              </w:rPr>
              <w:t>.</w:t>
            </w:r>
            <w:r>
              <w:rPr>
                <w:rFonts w:ascii="Times New Roman" w:hAnsi="Times New Roman" w:eastAsia="宋体" w:cs="Times New Roman"/>
                <w:color w:val="000000"/>
                <w:kern w:val="0"/>
                <w:sz w:val="20"/>
                <w:szCs w:val="20"/>
                <w:lang w:bidi="ar"/>
              </w:rPr>
              <w:t xml:space="preserve">73 </w:t>
            </w:r>
          </w:p>
        </w:tc>
      </w:tr>
      <w:tr>
        <w:tblPrEx>
          <w:tblLayout w:type="fixed"/>
          <w:tblCellMar>
            <w:top w:w="0" w:type="dxa"/>
            <w:left w:w="0" w:type="dxa"/>
            <w:bottom w:w="0" w:type="dxa"/>
            <w:right w:w="0" w:type="dxa"/>
          </w:tblCellMar>
        </w:tblPrEx>
        <w:trPr>
          <w:trHeight w:val="567" w:hRule="atLeast"/>
          <w:jc w:val="center"/>
        </w:trPr>
        <w:tc>
          <w:tcPr>
            <w:tcW w:w="5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其中：中央转贷地方的国际金融组织和外国政府贷款</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0"/>
                <w:szCs w:val="20"/>
              </w:rPr>
            </w:pP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0"/>
                <w:szCs w:val="20"/>
              </w:rPr>
            </w:pPr>
          </w:p>
        </w:tc>
      </w:tr>
      <w:tr>
        <w:tblPrEx>
          <w:tblLayout w:type="fixed"/>
          <w:tblCellMar>
            <w:top w:w="0" w:type="dxa"/>
            <w:left w:w="0" w:type="dxa"/>
            <w:bottom w:w="0" w:type="dxa"/>
            <w:right w:w="0" w:type="dxa"/>
          </w:tblCellMar>
        </w:tblPrEx>
        <w:trPr>
          <w:trHeight w:val="567" w:hRule="atLeast"/>
          <w:jc w:val="center"/>
        </w:trPr>
        <w:tc>
          <w:tcPr>
            <w:tcW w:w="5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 xml:space="preserve">          </w:t>
            </w:r>
            <w:r>
              <w:rPr>
                <w:rFonts w:ascii="Times New Roman" w:hAnsi="Times New Roman" w:eastAsia="宋体" w:cs="Times New Roman"/>
                <w:color w:val="000000"/>
                <w:kern w:val="0"/>
                <w:sz w:val="20"/>
                <w:szCs w:val="20"/>
                <w:lang w:bidi="ar"/>
              </w:rPr>
              <w:t>2022</w:t>
            </w:r>
            <w:r>
              <w:rPr>
                <w:rFonts w:hint="eastAsia" w:ascii="Times New Roman" w:hAnsi="Times New Roman" w:eastAsia="宋体" w:cs="宋体"/>
                <w:color w:val="000000"/>
                <w:kern w:val="0"/>
                <w:sz w:val="20"/>
                <w:szCs w:val="20"/>
                <w:lang w:bidi="ar"/>
              </w:rPr>
              <w:t>年地方政府一般债券发行额</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2.00 </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2.00 </w:t>
            </w:r>
          </w:p>
        </w:tc>
      </w:tr>
      <w:tr>
        <w:tblPrEx>
          <w:tblLayout w:type="fixed"/>
          <w:tblCellMar>
            <w:top w:w="0" w:type="dxa"/>
            <w:left w:w="0" w:type="dxa"/>
            <w:bottom w:w="0" w:type="dxa"/>
            <w:right w:w="0" w:type="dxa"/>
          </w:tblCellMar>
        </w:tblPrEx>
        <w:trPr>
          <w:trHeight w:val="567" w:hRule="atLeast"/>
          <w:jc w:val="center"/>
        </w:trPr>
        <w:tc>
          <w:tcPr>
            <w:tcW w:w="5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四、</w:t>
            </w:r>
            <w:r>
              <w:rPr>
                <w:rFonts w:ascii="Times New Roman" w:hAnsi="Times New Roman" w:eastAsia="宋体" w:cs="Times New Roman"/>
                <w:color w:val="000000"/>
                <w:kern w:val="0"/>
                <w:sz w:val="20"/>
                <w:szCs w:val="20"/>
                <w:lang w:bidi="ar"/>
              </w:rPr>
              <w:t>2022</w:t>
            </w:r>
            <w:r>
              <w:rPr>
                <w:rFonts w:hint="eastAsia" w:ascii="Times New Roman" w:hAnsi="Times New Roman" w:eastAsia="宋体" w:cs="宋体"/>
                <w:color w:val="000000"/>
                <w:kern w:val="0"/>
                <w:sz w:val="20"/>
                <w:szCs w:val="20"/>
                <w:lang w:bidi="ar"/>
              </w:rPr>
              <w:t>年地方政府一般债务还本支出</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9.73 </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9.73 </w:t>
            </w:r>
          </w:p>
        </w:tc>
      </w:tr>
      <w:tr>
        <w:tblPrEx>
          <w:tblLayout w:type="fixed"/>
          <w:tblCellMar>
            <w:top w:w="0" w:type="dxa"/>
            <w:left w:w="0" w:type="dxa"/>
            <w:bottom w:w="0" w:type="dxa"/>
            <w:right w:w="0" w:type="dxa"/>
          </w:tblCellMar>
        </w:tblPrEx>
        <w:trPr>
          <w:trHeight w:val="567" w:hRule="atLeast"/>
          <w:jc w:val="center"/>
        </w:trPr>
        <w:tc>
          <w:tcPr>
            <w:tcW w:w="5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五、</w:t>
            </w:r>
            <w:r>
              <w:rPr>
                <w:rFonts w:ascii="Times New Roman" w:hAnsi="Times New Roman" w:eastAsia="宋体" w:cs="Times New Roman"/>
                <w:color w:val="000000"/>
                <w:kern w:val="0"/>
                <w:sz w:val="20"/>
                <w:szCs w:val="20"/>
                <w:lang w:bidi="ar"/>
              </w:rPr>
              <w:t>2022</w:t>
            </w:r>
            <w:r>
              <w:rPr>
                <w:rFonts w:hint="eastAsia" w:ascii="Times New Roman" w:hAnsi="Times New Roman" w:eastAsia="宋体" w:cs="宋体"/>
                <w:color w:val="000000"/>
                <w:kern w:val="0"/>
                <w:sz w:val="20"/>
                <w:szCs w:val="20"/>
                <w:lang w:bidi="ar"/>
              </w:rPr>
              <w:t>年末地方政府一般债务余额预计执行数</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65.95 </w:t>
            </w:r>
          </w:p>
        </w:tc>
      </w:tr>
      <w:tr>
        <w:tblPrEx>
          <w:tblLayout w:type="fixed"/>
          <w:tblCellMar>
            <w:top w:w="0" w:type="dxa"/>
            <w:left w:w="0" w:type="dxa"/>
            <w:bottom w:w="0" w:type="dxa"/>
            <w:right w:w="0" w:type="dxa"/>
          </w:tblCellMar>
        </w:tblPrEx>
        <w:trPr>
          <w:trHeight w:val="567" w:hRule="atLeast"/>
          <w:jc w:val="center"/>
        </w:trPr>
        <w:tc>
          <w:tcPr>
            <w:tcW w:w="5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六、</w:t>
            </w:r>
            <w:r>
              <w:rPr>
                <w:rFonts w:ascii="Times New Roman" w:hAnsi="Times New Roman" w:eastAsia="宋体" w:cs="Times New Roman"/>
                <w:color w:val="000000"/>
                <w:kern w:val="0"/>
                <w:sz w:val="20"/>
                <w:szCs w:val="20"/>
                <w:lang w:bidi="ar"/>
              </w:rPr>
              <w:t>2023</w:t>
            </w:r>
            <w:r>
              <w:rPr>
                <w:rFonts w:hint="eastAsia" w:ascii="Times New Roman" w:hAnsi="Times New Roman" w:eastAsia="宋体" w:cs="宋体"/>
                <w:color w:val="000000"/>
                <w:kern w:val="0"/>
                <w:sz w:val="20"/>
                <w:szCs w:val="20"/>
                <w:lang w:bidi="ar"/>
              </w:rPr>
              <w:t>年地方财政赤字（</w:t>
            </w:r>
            <w:r>
              <w:rPr>
                <w:rFonts w:ascii="Times New Roman" w:hAnsi="Times New Roman" w:eastAsia="宋体" w:cs="Times New Roman"/>
                <w:color w:val="000000"/>
                <w:kern w:val="0"/>
                <w:sz w:val="20"/>
                <w:szCs w:val="20"/>
                <w:lang w:bidi="ar"/>
              </w:rPr>
              <w:t>2023</w:t>
            </w:r>
            <w:r>
              <w:rPr>
                <w:rFonts w:hint="eastAsia" w:ascii="Times New Roman" w:hAnsi="Times New Roman" w:eastAsia="宋体" w:cs="宋体"/>
                <w:color w:val="000000"/>
                <w:kern w:val="0"/>
                <w:sz w:val="20"/>
                <w:szCs w:val="20"/>
                <w:lang w:bidi="ar"/>
              </w:rPr>
              <w:t>年地方政府一般债务新增限额）</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0"/>
                <w:szCs w:val="20"/>
              </w:rPr>
            </w:pP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0"/>
                <w:szCs w:val="20"/>
              </w:rPr>
            </w:pPr>
          </w:p>
        </w:tc>
      </w:tr>
      <w:tr>
        <w:tblPrEx>
          <w:tblLayout w:type="fixed"/>
          <w:tblCellMar>
            <w:top w:w="0" w:type="dxa"/>
            <w:left w:w="0" w:type="dxa"/>
            <w:bottom w:w="0" w:type="dxa"/>
            <w:right w:w="0" w:type="dxa"/>
          </w:tblCellMar>
        </w:tblPrEx>
        <w:trPr>
          <w:trHeight w:val="567" w:hRule="atLeast"/>
          <w:jc w:val="center"/>
        </w:trPr>
        <w:tc>
          <w:tcPr>
            <w:tcW w:w="5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七、</w:t>
            </w:r>
            <w:r>
              <w:rPr>
                <w:rFonts w:ascii="Times New Roman" w:hAnsi="Times New Roman" w:eastAsia="宋体" w:cs="Times New Roman"/>
                <w:color w:val="000000"/>
                <w:kern w:val="0"/>
                <w:sz w:val="20"/>
                <w:szCs w:val="20"/>
                <w:lang w:bidi="ar"/>
              </w:rPr>
              <w:t>2023</w:t>
            </w:r>
            <w:r>
              <w:rPr>
                <w:rFonts w:hint="eastAsia" w:ascii="Times New Roman" w:hAnsi="Times New Roman" w:eastAsia="宋体" w:cs="宋体"/>
                <w:color w:val="000000"/>
                <w:kern w:val="0"/>
                <w:sz w:val="20"/>
                <w:szCs w:val="20"/>
                <w:lang w:bidi="ar"/>
              </w:rPr>
              <w:t>年地方政府一般债务限额</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65</w:t>
            </w:r>
            <w:r>
              <w:rPr>
                <w:rFonts w:hint="eastAsia" w:ascii="Times New Roman" w:hAnsi="Times New Roman" w:eastAsia="宋体" w:cs="Times New Roman"/>
                <w:color w:val="000000"/>
                <w:sz w:val="20"/>
                <w:szCs w:val="20"/>
              </w:rPr>
              <w:t>.</w:t>
            </w:r>
            <w:r>
              <w:rPr>
                <w:rFonts w:ascii="Times New Roman" w:hAnsi="Times New Roman" w:eastAsia="宋体" w:cs="Times New Roman"/>
                <w:color w:val="000000"/>
                <w:sz w:val="20"/>
                <w:szCs w:val="20"/>
              </w:rPr>
              <w:t>95</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0"/>
                <w:szCs w:val="20"/>
              </w:rPr>
            </w:pPr>
          </w:p>
        </w:tc>
      </w:tr>
    </w:tbl>
    <w:p>
      <w:pPr>
        <w:spacing w:before="120" w:beforeLines="50"/>
        <w:ind w:left="504" w:hanging="503" w:hangingChars="280"/>
        <w:jc w:val="left"/>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注：</w:t>
      </w:r>
      <w:r>
        <w:rPr>
          <w:rFonts w:ascii="Times New Roman" w:hAnsi="Times New Roman" w:eastAsia="宋体" w:cs="宋体"/>
          <w:color w:val="000000"/>
          <w:sz w:val="18"/>
          <w:szCs w:val="18"/>
        </w:rPr>
        <w:t>1</w:t>
      </w:r>
      <w:r>
        <w:rPr>
          <w:rFonts w:hint="eastAsia" w:ascii="Times New Roman" w:hAnsi="Times New Roman" w:eastAsia="宋体" w:cs="宋体"/>
          <w:color w:val="000000"/>
          <w:sz w:val="18"/>
          <w:szCs w:val="18"/>
        </w:rPr>
        <w:t xml:space="preserve">.本表反映本地区上两年度一般债务余额，上一年度一般债务限额、发行额、还本支出及余额，本年度财政赤字及一般债务限额。                                           </w:t>
      </w:r>
    </w:p>
    <w:p>
      <w:pPr>
        <w:ind w:firstLine="360" w:firstLineChars="200"/>
        <w:jc w:val="left"/>
        <w:rPr>
          <w:rFonts w:ascii="Times New Roman" w:hAnsi="Times New Roman" w:eastAsia="宋体" w:cs="宋体"/>
          <w:color w:val="000000"/>
          <w:sz w:val="18"/>
          <w:szCs w:val="18"/>
        </w:rPr>
      </w:pPr>
      <w:r>
        <w:rPr>
          <w:rFonts w:ascii="Times New Roman" w:hAnsi="Times New Roman" w:eastAsia="宋体" w:cs="宋体"/>
          <w:color w:val="000000"/>
          <w:sz w:val="18"/>
          <w:szCs w:val="18"/>
        </w:rPr>
        <w:t>2</w:t>
      </w:r>
      <w:r>
        <w:rPr>
          <w:rFonts w:hint="eastAsia" w:ascii="Times New Roman" w:hAnsi="Times New Roman" w:eastAsia="宋体" w:cs="宋体"/>
          <w:color w:val="000000"/>
          <w:sz w:val="18"/>
          <w:szCs w:val="18"/>
        </w:rPr>
        <w:t xml:space="preserve">.本表由县级以上地方各级财政部门在本级人民代表大会批准预算后二十日内公开。     </w:t>
      </w:r>
    </w:p>
    <w:p>
      <w:pPr>
        <w:widowControl/>
        <w:spacing w:line="580" w:lineRule="exact"/>
        <w:rPr>
          <w:rFonts w:ascii="Times New Roman" w:hAnsi="Times New Roman" w:eastAsia="方正仿宋_GBK"/>
          <w:lang w:val="zh-CN"/>
        </w:rPr>
      </w:pPr>
    </w:p>
    <w:p>
      <w:pPr>
        <w:widowControl/>
        <w:spacing w:line="580" w:lineRule="exact"/>
        <w:rPr>
          <w:rFonts w:ascii="Times New Roman" w:hAnsi="Times New Roman" w:eastAsia="方正仿宋_GBK"/>
          <w:lang w:val="zh-CN"/>
        </w:rPr>
      </w:pPr>
    </w:p>
    <w:p>
      <w:pPr>
        <w:widowControl/>
        <w:jc w:val="left"/>
        <w:textAlignment w:val="center"/>
        <w:rPr>
          <w:rFonts w:ascii="Times New Roman" w:hAnsi="Times New Roman" w:eastAsia="方正黑体_GBK" w:cs="方正黑体_GBK"/>
          <w:color w:val="000000"/>
          <w:kern w:val="0"/>
          <w:sz w:val="28"/>
          <w:szCs w:val="28"/>
        </w:rPr>
      </w:pPr>
    </w:p>
    <w:p>
      <w:pPr>
        <w:widowControl/>
        <w:jc w:val="left"/>
        <w:rPr>
          <w:rFonts w:ascii="Times New Roman" w:hAnsi="Times New Roman" w:eastAsia="方正黑体_GBK" w:cs="方正黑体_GBK"/>
          <w:color w:val="000000"/>
          <w:kern w:val="0"/>
          <w:sz w:val="28"/>
          <w:szCs w:val="28"/>
        </w:rPr>
      </w:pPr>
      <w:r>
        <w:rPr>
          <w:rFonts w:ascii="Times New Roman" w:hAnsi="Times New Roman" w:eastAsia="方正黑体_GBK" w:cs="方正黑体_GBK"/>
          <w:color w:val="000000"/>
          <w:kern w:val="0"/>
          <w:sz w:val="28"/>
          <w:szCs w:val="28"/>
        </w:rPr>
        <w:br w:type="page"/>
      </w:r>
    </w:p>
    <w:p>
      <w:pPr>
        <w:spacing w:line="400" w:lineRule="exac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32</w:t>
      </w:r>
      <w:r>
        <w:rPr>
          <w:rFonts w:ascii="Times New Roman" w:hAnsi="Times New Roman" w:eastAsia="方正黑体_GBK" w:cs="方正黑体_GBK"/>
          <w:kern w:val="0"/>
          <w:sz w:val="28"/>
          <w:szCs w:val="28"/>
        </w:rPr>
        <w:tab/>
      </w:r>
      <w:r>
        <w:rPr>
          <w:rFonts w:ascii="Times New Roman" w:hAnsi="Times New Roman" w:eastAsia="方正黑体_GBK" w:cs="方正黑体_GBK"/>
          <w:kern w:val="0"/>
          <w:sz w:val="28"/>
          <w:szCs w:val="28"/>
        </w:rPr>
        <w:tab/>
      </w:r>
    </w:p>
    <w:p>
      <w:pPr>
        <w:widowControl/>
        <w:jc w:val="center"/>
        <w:textAlignment w:val="center"/>
        <w:outlineLvl w:val="0"/>
        <w:rPr>
          <w:rFonts w:ascii="Times New Roman" w:hAnsi="Times New Roman" w:eastAsia="方正小标宋_GBK" w:cs="方正小标宋_GBK"/>
          <w:kern w:val="0"/>
          <w:sz w:val="44"/>
          <w:szCs w:val="44"/>
        </w:rPr>
      </w:pPr>
      <w:bookmarkStart w:id="29" w:name="_Toc944"/>
      <w:bookmarkStart w:id="30" w:name="_Toc13774"/>
      <w:r>
        <w:rPr>
          <w:rFonts w:ascii="Times New Roman" w:hAnsi="Times New Roman" w:eastAsia="方正小标宋_GBK" w:cs="Times New Roman"/>
          <w:kern w:val="0"/>
          <w:sz w:val="44"/>
          <w:szCs w:val="44"/>
        </w:rPr>
        <w:t>2022</w:t>
      </w:r>
      <w:r>
        <w:rPr>
          <w:rFonts w:hint="eastAsia" w:ascii="Times New Roman" w:hAnsi="Times New Roman" w:eastAsia="方正小标宋_GBK" w:cs="方正小标宋_GBK"/>
          <w:kern w:val="0"/>
          <w:sz w:val="44"/>
          <w:szCs w:val="44"/>
        </w:rPr>
        <w:t>年和</w:t>
      </w:r>
      <w:r>
        <w:rPr>
          <w:rFonts w:ascii="Times New Roman" w:hAnsi="Times New Roman" w:eastAsia="方正小标宋_GBK" w:cs="Times New Roman"/>
          <w:kern w:val="0"/>
          <w:sz w:val="44"/>
          <w:szCs w:val="44"/>
        </w:rPr>
        <w:t>2023</w:t>
      </w:r>
      <w:r>
        <w:rPr>
          <w:rFonts w:hint="eastAsia" w:ascii="Times New Roman" w:hAnsi="Times New Roman" w:eastAsia="方正小标宋_GBK" w:cs="方正小标宋_GBK"/>
          <w:kern w:val="0"/>
          <w:sz w:val="44"/>
          <w:szCs w:val="44"/>
        </w:rPr>
        <w:t>年地方政府专项债务情况表</w:t>
      </w:r>
      <w:bookmarkEnd w:id="29"/>
      <w:bookmarkEnd w:id="30"/>
    </w:p>
    <w:p>
      <w:pPr>
        <w:jc w:val="right"/>
        <w:rPr>
          <w:rFonts w:ascii="Times New Roman" w:hAnsi="Times New Roman" w:eastAsia="宋体" w:cs="Times New Roman"/>
        </w:rPr>
      </w:pPr>
      <w:r>
        <w:rPr>
          <w:rFonts w:ascii="Times New Roman" w:hAnsi="Times New Roman" w:eastAsia="宋体" w:cs="Times New Roman"/>
        </w:rPr>
        <w:tab/>
      </w:r>
      <w:r>
        <w:rPr>
          <w:rFonts w:ascii="Times New Roman" w:hAnsi="Times New Roman" w:eastAsia="宋体" w:cs="Times New Roman"/>
        </w:rPr>
        <w:tab/>
      </w:r>
      <w:r>
        <w:rPr>
          <w:rFonts w:hint="eastAsia" w:ascii="Times New Roman" w:hAnsi="Times New Roman" w:eastAsia="宋体" w:cs="Times New Roman"/>
        </w:rPr>
        <w:t>单位：亿元</w:t>
      </w:r>
    </w:p>
    <w:tbl>
      <w:tblPr>
        <w:tblStyle w:val="10"/>
        <w:tblW w:w="8986" w:type="dxa"/>
        <w:jc w:val="center"/>
        <w:tblInd w:w="0" w:type="dxa"/>
        <w:tblLayout w:type="fixed"/>
        <w:tblCellMar>
          <w:top w:w="0" w:type="dxa"/>
          <w:left w:w="0" w:type="dxa"/>
          <w:bottom w:w="0" w:type="dxa"/>
          <w:right w:w="0" w:type="dxa"/>
        </w:tblCellMar>
      </w:tblPr>
      <w:tblGrid>
        <w:gridCol w:w="4690"/>
        <w:gridCol w:w="2148"/>
        <w:gridCol w:w="2148"/>
      </w:tblGrid>
      <w:tr>
        <w:tblPrEx>
          <w:tblLayout w:type="fixed"/>
          <w:tblCellMar>
            <w:top w:w="0" w:type="dxa"/>
            <w:left w:w="0" w:type="dxa"/>
            <w:bottom w:w="0" w:type="dxa"/>
            <w:right w:w="0" w:type="dxa"/>
          </w:tblCellMar>
        </w:tblPrEx>
        <w:trPr>
          <w:trHeight w:val="652" w:hRule="atLeast"/>
          <w:jc w:val="center"/>
        </w:trPr>
        <w:tc>
          <w:tcPr>
            <w:tcW w:w="46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项    目</w:t>
            </w:r>
          </w:p>
        </w:tc>
        <w:tc>
          <w:tcPr>
            <w:tcW w:w="2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预算数</w:t>
            </w:r>
          </w:p>
        </w:tc>
        <w:tc>
          <w:tcPr>
            <w:tcW w:w="2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执行数</w:t>
            </w:r>
          </w:p>
        </w:tc>
      </w:tr>
      <w:tr>
        <w:tblPrEx>
          <w:tblLayout w:type="fixed"/>
          <w:tblCellMar>
            <w:top w:w="0" w:type="dxa"/>
            <w:left w:w="0" w:type="dxa"/>
            <w:bottom w:w="0" w:type="dxa"/>
            <w:right w:w="0" w:type="dxa"/>
          </w:tblCellMar>
        </w:tblPrEx>
        <w:trPr>
          <w:trHeight w:val="567" w:hRule="atLeast"/>
          <w:jc w:val="center"/>
        </w:trPr>
        <w:tc>
          <w:tcPr>
            <w:tcW w:w="46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一、</w:t>
            </w:r>
            <w:r>
              <w:rPr>
                <w:rFonts w:ascii="Times New Roman" w:hAnsi="Times New Roman" w:eastAsia="宋体" w:cs="Times New Roman"/>
                <w:color w:val="000000"/>
                <w:kern w:val="0"/>
                <w:sz w:val="20"/>
                <w:szCs w:val="20"/>
                <w:lang w:bidi="ar"/>
              </w:rPr>
              <w:t>2021</w:t>
            </w:r>
            <w:r>
              <w:rPr>
                <w:rFonts w:hint="eastAsia" w:ascii="Times New Roman" w:hAnsi="Times New Roman" w:eastAsia="宋体" w:cs="宋体"/>
                <w:color w:val="000000"/>
                <w:kern w:val="0"/>
                <w:sz w:val="20"/>
                <w:szCs w:val="20"/>
                <w:lang w:bidi="ar"/>
              </w:rPr>
              <w:t>年末地方政府专项债务余额实际数</w:t>
            </w:r>
          </w:p>
        </w:tc>
        <w:tc>
          <w:tcPr>
            <w:tcW w:w="2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p>
        </w:tc>
        <w:tc>
          <w:tcPr>
            <w:tcW w:w="2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36.60 </w:t>
            </w:r>
          </w:p>
        </w:tc>
      </w:tr>
      <w:tr>
        <w:tblPrEx>
          <w:tblLayout w:type="fixed"/>
          <w:tblCellMar>
            <w:top w:w="0" w:type="dxa"/>
            <w:left w:w="0" w:type="dxa"/>
            <w:bottom w:w="0" w:type="dxa"/>
            <w:right w:w="0" w:type="dxa"/>
          </w:tblCellMar>
        </w:tblPrEx>
        <w:trPr>
          <w:trHeight w:val="567" w:hRule="atLeast"/>
          <w:jc w:val="center"/>
        </w:trPr>
        <w:tc>
          <w:tcPr>
            <w:tcW w:w="46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二、</w:t>
            </w:r>
            <w:r>
              <w:rPr>
                <w:rFonts w:ascii="Times New Roman" w:hAnsi="Times New Roman" w:eastAsia="宋体" w:cs="Times New Roman"/>
                <w:color w:val="000000"/>
                <w:kern w:val="0"/>
                <w:sz w:val="20"/>
                <w:szCs w:val="20"/>
                <w:lang w:bidi="ar"/>
              </w:rPr>
              <w:t>2022</w:t>
            </w:r>
            <w:r>
              <w:rPr>
                <w:rFonts w:hint="eastAsia" w:ascii="Times New Roman" w:hAnsi="Times New Roman" w:eastAsia="宋体" w:cs="宋体"/>
                <w:color w:val="000000"/>
                <w:kern w:val="0"/>
                <w:sz w:val="20"/>
                <w:szCs w:val="20"/>
                <w:lang w:bidi="ar"/>
              </w:rPr>
              <w:t>年末地方政府专项债务限额</w:t>
            </w:r>
          </w:p>
        </w:tc>
        <w:tc>
          <w:tcPr>
            <w:tcW w:w="2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36.60 </w:t>
            </w:r>
          </w:p>
        </w:tc>
        <w:tc>
          <w:tcPr>
            <w:tcW w:w="2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36.60 </w:t>
            </w:r>
          </w:p>
        </w:tc>
      </w:tr>
      <w:tr>
        <w:tblPrEx>
          <w:tblLayout w:type="fixed"/>
          <w:tblCellMar>
            <w:top w:w="0" w:type="dxa"/>
            <w:left w:w="0" w:type="dxa"/>
            <w:bottom w:w="0" w:type="dxa"/>
            <w:right w:w="0" w:type="dxa"/>
          </w:tblCellMar>
        </w:tblPrEx>
        <w:trPr>
          <w:trHeight w:val="567" w:hRule="atLeast"/>
          <w:jc w:val="center"/>
        </w:trPr>
        <w:tc>
          <w:tcPr>
            <w:tcW w:w="46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三、</w:t>
            </w:r>
            <w:r>
              <w:rPr>
                <w:rFonts w:ascii="Times New Roman" w:hAnsi="Times New Roman" w:eastAsia="宋体" w:cs="Times New Roman"/>
                <w:color w:val="000000"/>
                <w:kern w:val="0"/>
                <w:sz w:val="20"/>
                <w:szCs w:val="20"/>
                <w:lang w:bidi="ar"/>
              </w:rPr>
              <w:t>2022</w:t>
            </w:r>
            <w:r>
              <w:rPr>
                <w:rFonts w:hint="eastAsia" w:ascii="Times New Roman" w:hAnsi="Times New Roman" w:eastAsia="宋体" w:cs="宋体"/>
                <w:color w:val="000000"/>
                <w:kern w:val="0"/>
                <w:sz w:val="20"/>
                <w:szCs w:val="20"/>
                <w:lang w:bidi="ar"/>
              </w:rPr>
              <w:t>年地方政府专项债务发行额</w:t>
            </w:r>
          </w:p>
        </w:tc>
        <w:tc>
          <w:tcPr>
            <w:tcW w:w="2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w:t>
            </w:r>
            <w:r>
              <w:rPr>
                <w:rFonts w:hint="eastAsia" w:ascii="Times New Roman" w:hAnsi="Times New Roman" w:eastAsia="宋体" w:cs="Times New Roman"/>
                <w:color w:val="000000"/>
                <w:kern w:val="0"/>
                <w:sz w:val="20"/>
                <w:szCs w:val="20"/>
                <w:lang w:bidi="ar"/>
              </w:rPr>
              <w:t>.</w:t>
            </w:r>
            <w:r>
              <w:rPr>
                <w:rFonts w:ascii="Times New Roman" w:hAnsi="Times New Roman" w:eastAsia="宋体" w:cs="Times New Roman"/>
                <w:color w:val="000000"/>
                <w:kern w:val="0"/>
                <w:sz w:val="20"/>
                <w:szCs w:val="20"/>
                <w:lang w:bidi="ar"/>
              </w:rPr>
              <w:t xml:space="preserve">60 </w:t>
            </w:r>
          </w:p>
        </w:tc>
        <w:tc>
          <w:tcPr>
            <w:tcW w:w="2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w:t>
            </w:r>
            <w:r>
              <w:rPr>
                <w:rFonts w:hint="eastAsia" w:ascii="Times New Roman" w:hAnsi="Times New Roman" w:eastAsia="宋体" w:cs="Times New Roman"/>
                <w:color w:val="000000"/>
                <w:kern w:val="0"/>
                <w:sz w:val="20"/>
                <w:szCs w:val="20"/>
                <w:lang w:bidi="ar"/>
              </w:rPr>
              <w:t>.</w:t>
            </w:r>
            <w:r>
              <w:rPr>
                <w:rFonts w:ascii="Times New Roman" w:hAnsi="Times New Roman" w:eastAsia="宋体" w:cs="Times New Roman"/>
                <w:color w:val="000000"/>
                <w:kern w:val="0"/>
                <w:sz w:val="20"/>
                <w:szCs w:val="20"/>
                <w:lang w:bidi="ar"/>
              </w:rPr>
              <w:t xml:space="preserve">60 </w:t>
            </w:r>
          </w:p>
        </w:tc>
      </w:tr>
      <w:tr>
        <w:tblPrEx>
          <w:tblLayout w:type="fixed"/>
          <w:tblCellMar>
            <w:top w:w="0" w:type="dxa"/>
            <w:left w:w="0" w:type="dxa"/>
            <w:bottom w:w="0" w:type="dxa"/>
            <w:right w:w="0" w:type="dxa"/>
          </w:tblCellMar>
        </w:tblPrEx>
        <w:trPr>
          <w:trHeight w:val="567" w:hRule="atLeast"/>
          <w:jc w:val="center"/>
        </w:trPr>
        <w:tc>
          <w:tcPr>
            <w:tcW w:w="46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四、</w:t>
            </w:r>
            <w:r>
              <w:rPr>
                <w:rFonts w:ascii="Times New Roman" w:hAnsi="Times New Roman" w:eastAsia="宋体" w:cs="Times New Roman"/>
                <w:color w:val="000000"/>
                <w:kern w:val="0"/>
                <w:sz w:val="20"/>
                <w:szCs w:val="20"/>
                <w:lang w:bidi="ar"/>
              </w:rPr>
              <w:t>2022</w:t>
            </w:r>
            <w:r>
              <w:rPr>
                <w:rFonts w:hint="eastAsia" w:ascii="Times New Roman" w:hAnsi="Times New Roman" w:eastAsia="宋体" w:cs="宋体"/>
                <w:color w:val="000000"/>
                <w:kern w:val="0"/>
                <w:sz w:val="20"/>
                <w:szCs w:val="20"/>
                <w:lang w:bidi="ar"/>
              </w:rPr>
              <w:t>年地方政府专项债务还本支出</w:t>
            </w:r>
          </w:p>
        </w:tc>
        <w:tc>
          <w:tcPr>
            <w:tcW w:w="2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8.60 </w:t>
            </w:r>
          </w:p>
        </w:tc>
        <w:tc>
          <w:tcPr>
            <w:tcW w:w="2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8.60 </w:t>
            </w:r>
          </w:p>
        </w:tc>
      </w:tr>
      <w:tr>
        <w:tblPrEx>
          <w:tblLayout w:type="fixed"/>
          <w:tblCellMar>
            <w:top w:w="0" w:type="dxa"/>
            <w:left w:w="0" w:type="dxa"/>
            <w:bottom w:w="0" w:type="dxa"/>
            <w:right w:w="0" w:type="dxa"/>
          </w:tblCellMar>
        </w:tblPrEx>
        <w:trPr>
          <w:trHeight w:val="567" w:hRule="atLeast"/>
          <w:jc w:val="center"/>
        </w:trPr>
        <w:tc>
          <w:tcPr>
            <w:tcW w:w="46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五、</w:t>
            </w:r>
            <w:r>
              <w:rPr>
                <w:rFonts w:ascii="Times New Roman" w:hAnsi="Times New Roman" w:eastAsia="宋体" w:cs="Times New Roman"/>
                <w:color w:val="000000"/>
                <w:kern w:val="0"/>
                <w:sz w:val="20"/>
                <w:szCs w:val="20"/>
                <w:lang w:bidi="ar"/>
              </w:rPr>
              <w:t>2022</w:t>
            </w:r>
            <w:r>
              <w:rPr>
                <w:rFonts w:hint="eastAsia" w:ascii="Times New Roman" w:hAnsi="Times New Roman" w:eastAsia="宋体" w:cs="宋体"/>
                <w:color w:val="000000"/>
                <w:kern w:val="0"/>
                <w:sz w:val="20"/>
                <w:szCs w:val="20"/>
                <w:lang w:bidi="ar"/>
              </w:rPr>
              <w:t>年末地方政府专项债务余额预计执行数</w:t>
            </w:r>
          </w:p>
        </w:tc>
        <w:tc>
          <w:tcPr>
            <w:tcW w:w="2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w:t>
            </w:r>
          </w:p>
        </w:tc>
        <w:tc>
          <w:tcPr>
            <w:tcW w:w="2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36.60 </w:t>
            </w:r>
          </w:p>
        </w:tc>
      </w:tr>
      <w:tr>
        <w:tblPrEx>
          <w:tblLayout w:type="fixed"/>
          <w:tblCellMar>
            <w:top w:w="0" w:type="dxa"/>
            <w:left w:w="0" w:type="dxa"/>
            <w:bottom w:w="0" w:type="dxa"/>
            <w:right w:w="0" w:type="dxa"/>
          </w:tblCellMar>
        </w:tblPrEx>
        <w:trPr>
          <w:trHeight w:val="567" w:hRule="atLeast"/>
          <w:jc w:val="center"/>
        </w:trPr>
        <w:tc>
          <w:tcPr>
            <w:tcW w:w="46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六、</w:t>
            </w:r>
            <w:r>
              <w:rPr>
                <w:rFonts w:ascii="Times New Roman" w:hAnsi="Times New Roman" w:eastAsia="宋体" w:cs="Times New Roman"/>
                <w:color w:val="000000"/>
                <w:kern w:val="0"/>
                <w:sz w:val="20"/>
                <w:szCs w:val="20"/>
                <w:lang w:bidi="ar"/>
              </w:rPr>
              <w:t>2023</w:t>
            </w:r>
            <w:r>
              <w:rPr>
                <w:rFonts w:hint="eastAsia" w:ascii="Times New Roman" w:hAnsi="Times New Roman" w:eastAsia="宋体" w:cs="宋体"/>
                <w:color w:val="000000"/>
                <w:kern w:val="0"/>
                <w:sz w:val="20"/>
                <w:szCs w:val="20"/>
                <w:lang w:bidi="ar"/>
              </w:rPr>
              <w:t>年地方政府专项债务新增限额</w:t>
            </w:r>
          </w:p>
        </w:tc>
        <w:tc>
          <w:tcPr>
            <w:tcW w:w="2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1.00 </w:t>
            </w:r>
          </w:p>
        </w:tc>
        <w:tc>
          <w:tcPr>
            <w:tcW w:w="2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1.00 </w:t>
            </w:r>
          </w:p>
        </w:tc>
      </w:tr>
      <w:tr>
        <w:tblPrEx>
          <w:tblLayout w:type="fixed"/>
          <w:tblCellMar>
            <w:top w:w="0" w:type="dxa"/>
            <w:left w:w="0" w:type="dxa"/>
            <w:bottom w:w="0" w:type="dxa"/>
            <w:right w:w="0" w:type="dxa"/>
          </w:tblCellMar>
        </w:tblPrEx>
        <w:trPr>
          <w:trHeight w:val="567" w:hRule="atLeast"/>
          <w:jc w:val="center"/>
        </w:trPr>
        <w:tc>
          <w:tcPr>
            <w:tcW w:w="46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七、</w:t>
            </w:r>
            <w:r>
              <w:rPr>
                <w:rFonts w:ascii="Times New Roman" w:hAnsi="Times New Roman" w:eastAsia="宋体" w:cs="Times New Roman"/>
                <w:color w:val="000000"/>
                <w:kern w:val="0"/>
                <w:sz w:val="20"/>
                <w:szCs w:val="20"/>
                <w:lang w:bidi="ar"/>
              </w:rPr>
              <w:t>2023</w:t>
            </w:r>
            <w:r>
              <w:rPr>
                <w:rFonts w:hint="eastAsia" w:ascii="Times New Roman" w:hAnsi="Times New Roman" w:eastAsia="宋体" w:cs="宋体"/>
                <w:color w:val="000000"/>
                <w:kern w:val="0"/>
                <w:sz w:val="20"/>
                <w:szCs w:val="20"/>
                <w:lang w:bidi="ar"/>
              </w:rPr>
              <w:t>年末地方政府专项债务限额</w:t>
            </w:r>
          </w:p>
        </w:tc>
        <w:tc>
          <w:tcPr>
            <w:tcW w:w="2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37</w:t>
            </w:r>
            <w:r>
              <w:rPr>
                <w:rFonts w:hint="eastAsia" w:ascii="Times New Roman" w:hAnsi="Times New Roman" w:eastAsia="宋体" w:cs="Times New Roman"/>
                <w:color w:val="000000"/>
                <w:sz w:val="20"/>
                <w:szCs w:val="20"/>
              </w:rPr>
              <w:t>.</w:t>
            </w:r>
            <w:r>
              <w:rPr>
                <w:rFonts w:ascii="Times New Roman" w:hAnsi="Times New Roman" w:eastAsia="宋体" w:cs="Times New Roman"/>
                <w:color w:val="000000"/>
                <w:sz w:val="20"/>
                <w:szCs w:val="20"/>
              </w:rPr>
              <w:t>6</w:t>
            </w:r>
          </w:p>
        </w:tc>
        <w:tc>
          <w:tcPr>
            <w:tcW w:w="21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0"/>
                <w:szCs w:val="20"/>
              </w:rPr>
            </w:pPr>
          </w:p>
        </w:tc>
      </w:tr>
    </w:tbl>
    <w:p>
      <w:pPr>
        <w:widowControl/>
        <w:spacing w:before="120" w:beforeLines="50"/>
        <w:ind w:left="504" w:hanging="503" w:hangingChars="280"/>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注：</w:t>
      </w:r>
      <w:r>
        <w:rPr>
          <w:rFonts w:ascii="Times New Roman" w:hAnsi="Times New Roman" w:eastAsia="宋体" w:cs="Times New Roman"/>
          <w:color w:val="000000"/>
          <w:kern w:val="0"/>
          <w:sz w:val="18"/>
          <w:szCs w:val="18"/>
        </w:rPr>
        <w:t>1</w:t>
      </w:r>
      <w:r>
        <w:rPr>
          <w:rFonts w:hint="eastAsia" w:ascii="Times New Roman" w:hAnsi="Times New Roman" w:eastAsia="宋体" w:cs="宋体"/>
          <w:color w:val="000000"/>
          <w:kern w:val="0"/>
          <w:sz w:val="18"/>
          <w:szCs w:val="18"/>
        </w:rPr>
        <w:t>.本表反映本地区上两年度专项债务余额，上一年度专项债务限额、发行额、还本额及余额，本年度专项债务新增限额及限额。</w:t>
      </w:r>
    </w:p>
    <w:p>
      <w:pPr>
        <w:widowControl/>
        <w:ind w:firstLine="360" w:firstLineChars="200"/>
        <w:textAlignment w:val="center"/>
        <w:rPr>
          <w:rFonts w:ascii="Times New Roman" w:hAnsi="Times New Roman" w:eastAsia="宋体" w:cs="宋体"/>
          <w:color w:val="000000"/>
          <w:kern w:val="0"/>
          <w:sz w:val="18"/>
          <w:szCs w:val="18"/>
        </w:rPr>
      </w:pPr>
      <w:r>
        <w:rPr>
          <w:rFonts w:ascii="Times New Roman" w:hAnsi="Times New Roman" w:eastAsia="宋体" w:cs="Times New Roman"/>
          <w:color w:val="000000"/>
          <w:kern w:val="0"/>
          <w:sz w:val="18"/>
          <w:szCs w:val="18"/>
        </w:rPr>
        <w:t>2</w:t>
      </w:r>
      <w:r>
        <w:rPr>
          <w:rFonts w:hint="eastAsia" w:ascii="Times New Roman" w:hAnsi="Times New Roman" w:eastAsia="宋体" w:cs="宋体"/>
          <w:color w:val="000000"/>
          <w:kern w:val="0"/>
          <w:sz w:val="18"/>
          <w:szCs w:val="18"/>
        </w:rPr>
        <w:t>.本表由县级以上地方各级财政部门在本级人民代表大会批准预算后二十日内公开。</w:t>
      </w:r>
    </w:p>
    <w:p>
      <w:pPr>
        <w:widowControl/>
        <w:spacing w:line="580" w:lineRule="exact"/>
        <w:rPr>
          <w:rFonts w:ascii="Times New Roman" w:hAnsi="Times New Roman" w:eastAsia="方正仿宋_GBK"/>
          <w:lang w:val="zh-CN"/>
        </w:rPr>
      </w:pPr>
    </w:p>
    <w:p>
      <w:pPr>
        <w:widowControl/>
        <w:spacing w:line="580" w:lineRule="exact"/>
        <w:rPr>
          <w:rFonts w:ascii="Times New Roman" w:hAnsi="Times New Roman" w:eastAsia="方正仿宋_GBK"/>
          <w:lang w:val="zh-CN"/>
        </w:rPr>
      </w:pPr>
    </w:p>
    <w:p>
      <w:pPr>
        <w:widowControl/>
        <w:jc w:val="left"/>
        <w:rPr>
          <w:rFonts w:ascii="Times New Roman" w:hAnsi="Times New Roman" w:eastAsia="方正黑体_GBK" w:cs="方正黑体_GBK"/>
          <w:color w:val="000000"/>
          <w:kern w:val="0"/>
          <w:sz w:val="28"/>
          <w:szCs w:val="28"/>
        </w:rPr>
      </w:pPr>
      <w:r>
        <w:rPr>
          <w:rFonts w:ascii="Times New Roman" w:hAnsi="Times New Roman" w:eastAsia="方正黑体_GBK" w:cs="方正黑体_GBK"/>
          <w:color w:val="000000"/>
          <w:kern w:val="0"/>
          <w:sz w:val="28"/>
          <w:szCs w:val="28"/>
        </w:rPr>
        <w:br w:type="page"/>
      </w:r>
    </w:p>
    <w:p>
      <w:pPr>
        <w:spacing w:line="400" w:lineRule="exac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33</w:t>
      </w:r>
      <w:r>
        <w:rPr>
          <w:rFonts w:ascii="Times New Roman" w:hAnsi="Times New Roman" w:eastAsia="方正黑体_GBK" w:cs="方正黑体_GBK"/>
          <w:kern w:val="0"/>
          <w:sz w:val="28"/>
          <w:szCs w:val="28"/>
        </w:rPr>
        <w:tab/>
      </w:r>
      <w:r>
        <w:rPr>
          <w:rFonts w:ascii="Times New Roman" w:hAnsi="Times New Roman" w:eastAsia="方正黑体_GBK" w:cs="方正黑体_GBK"/>
          <w:kern w:val="0"/>
          <w:sz w:val="28"/>
          <w:szCs w:val="28"/>
        </w:rPr>
        <w:tab/>
      </w:r>
      <w:r>
        <w:rPr>
          <w:rFonts w:ascii="Times New Roman" w:hAnsi="Times New Roman" w:eastAsia="方正黑体_GBK" w:cs="方正黑体_GBK"/>
          <w:kern w:val="0"/>
          <w:sz w:val="28"/>
          <w:szCs w:val="28"/>
        </w:rPr>
        <w:tab/>
      </w:r>
    </w:p>
    <w:p>
      <w:pPr>
        <w:widowControl/>
        <w:jc w:val="center"/>
        <w:textAlignment w:val="center"/>
        <w:outlineLvl w:val="0"/>
        <w:rPr>
          <w:rFonts w:ascii="Times New Roman" w:hAnsi="Times New Roman" w:eastAsia="方正小标宋_GBK" w:cs="方正小标宋_GBK"/>
          <w:w w:val="85"/>
          <w:kern w:val="0"/>
          <w:sz w:val="44"/>
          <w:szCs w:val="44"/>
        </w:rPr>
      </w:pPr>
      <w:bookmarkStart w:id="31" w:name="_Toc15091"/>
      <w:bookmarkStart w:id="32" w:name="_Toc692"/>
      <w:r>
        <w:rPr>
          <w:rFonts w:ascii="Times New Roman" w:hAnsi="Times New Roman" w:eastAsia="方正小标宋_GBK" w:cs="Times New Roman"/>
          <w:w w:val="85"/>
          <w:kern w:val="0"/>
          <w:sz w:val="44"/>
          <w:szCs w:val="44"/>
        </w:rPr>
        <w:t>2022</w:t>
      </w:r>
      <w:r>
        <w:rPr>
          <w:rFonts w:hint="eastAsia" w:ascii="Times New Roman" w:hAnsi="Times New Roman" w:eastAsia="方正小标宋_GBK" w:cs="方正小标宋_GBK"/>
          <w:w w:val="85"/>
          <w:kern w:val="0"/>
          <w:sz w:val="44"/>
          <w:szCs w:val="44"/>
        </w:rPr>
        <w:t>年和</w:t>
      </w:r>
      <w:r>
        <w:rPr>
          <w:rFonts w:ascii="Times New Roman" w:hAnsi="Times New Roman" w:eastAsia="方正小标宋_GBK" w:cs="Times New Roman"/>
          <w:w w:val="85"/>
          <w:kern w:val="0"/>
          <w:sz w:val="44"/>
          <w:szCs w:val="44"/>
        </w:rPr>
        <w:t>2023</w:t>
      </w:r>
      <w:r>
        <w:rPr>
          <w:rFonts w:hint="eastAsia" w:ascii="Times New Roman" w:hAnsi="Times New Roman" w:eastAsia="方正小标宋_GBK" w:cs="方正小标宋_GBK"/>
          <w:w w:val="85"/>
          <w:kern w:val="0"/>
          <w:sz w:val="44"/>
          <w:szCs w:val="44"/>
        </w:rPr>
        <w:t>年地方政府债券发行及还本付息情况表</w:t>
      </w:r>
      <w:bookmarkEnd w:id="31"/>
      <w:bookmarkEnd w:id="32"/>
    </w:p>
    <w:p>
      <w:pPr>
        <w:jc w:val="right"/>
        <w:rPr>
          <w:rFonts w:ascii="Times New Roman" w:hAnsi="Times New Roman" w:eastAsia="宋体" w:cs="Times New Roman"/>
        </w:rPr>
      </w:pP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单位：亿元</w:t>
      </w:r>
    </w:p>
    <w:tbl>
      <w:tblPr>
        <w:tblStyle w:val="10"/>
        <w:tblW w:w="9010" w:type="dxa"/>
        <w:jc w:val="center"/>
        <w:tblInd w:w="0" w:type="dxa"/>
        <w:tblLayout w:type="fixed"/>
        <w:tblCellMar>
          <w:top w:w="0" w:type="dxa"/>
          <w:left w:w="0" w:type="dxa"/>
          <w:bottom w:w="0" w:type="dxa"/>
          <w:right w:w="0" w:type="dxa"/>
        </w:tblCellMar>
      </w:tblPr>
      <w:tblGrid>
        <w:gridCol w:w="3610"/>
        <w:gridCol w:w="1800"/>
        <w:gridCol w:w="1800"/>
        <w:gridCol w:w="1800"/>
      </w:tblGrid>
      <w:tr>
        <w:tblPrEx>
          <w:tblLayout w:type="fixed"/>
          <w:tblCellMar>
            <w:top w:w="0" w:type="dxa"/>
            <w:left w:w="0" w:type="dxa"/>
            <w:bottom w:w="0" w:type="dxa"/>
            <w:right w:w="0" w:type="dxa"/>
          </w:tblCellMar>
        </w:tblPrEx>
        <w:trPr>
          <w:trHeight w:val="454" w:hRule="atLeast"/>
          <w:jc w:val="center"/>
        </w:trPr>
        <w:tc>
          <w:tcPr>
            <w:tcW w:w="3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b/>
                <w:color w:val="000000"/>
                <w:sz w:val="22"/>
              </w:rPr>
            </w:pPr>
            <w:r>
              <w:rPr>
                <w:rFonts w:ascii="Times New Roman" w:hAnsi="Times New Roman" w:eastAsia="宋体" w:cs="宋体"/>
                <w:b/>
                <w:bCs/>
                <w:color w:val="000000"/>
                <w:kern w:val="0"/>
                <w:sz w:val="22"/>
                <w:lang w:bidi="ar"/>
              </w:rPr>
              <w:t>项    目</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b/>
                <w:color w:val="000000"/>
                <w:sz w:val="22"/>
              </w:rPr>
            </w:pPr>
            <w:r>
              <w:rPr>
                <w:rFonts w:ascii="Times New Roman" w:hAnsi="Times New Roman" w:eastAsia="宋体" w:cs="宋体"/>
                <w:b/>
                <w:bCs/>
                <w:color w:val="000000"/>
                <w:kern w:val="0"/>
                <w:sz w:val="22"/>
                <w:lang w:bidi="ar"/>
              </w:rPr>
              <w:t>公式</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b/>
                <w:color w:val="000000"/>
                <w:sz w:val="22"/>
              </w:rPr>
            </w:pPr>
            <w:r>
              <w:rPr>
                <w:rFonts w:ascii="Times New Roman" w:hAnsi="Times New Roman" w:eastAsia="宋体" w:cs="宋体"/>
                <w:b/>
                <w:bCs/>
                <w:color w:val="000000"/>
                <w:kern w:val="0"/>
                <w:sz w:val="22"/>
                <w:lang w:bidi="ar"/>
              </w:rPr>
              <w:t>本地区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b/>
                <w:color w:val="000000"/>
                <w:sz w:val="22"/>
              </w:rPr>
            </w:pPr>
            <w:r>
              <w:rPr>
                <w:rFonts w:ascii="Times New Roman" w:hAnsi="Times New Roman" w:eastAsia="宋体" w:cs="宋体"/>
                <w:b/>
                <w:bCs/>
                <w:color w:val="000000"/>
                <w:kern w:val="0"/>
                <w:sz w:val="22"/>
                <w:lang w:bidi="ar"/>
              </w:rPr>
              <w:t>本级</w:t>
            </w:r>
          </w:p>
        </w:tc>
      </w:tr>
      <w:tr>
        <w:tblPrEx>
          <w:tblLayout w:type="fixed"/>
          <w:tblCellMar>
            <w:top w:w="0" w:type="dxa"/>
            <w:left w:w="0" w:type="dxa"/>
            <w:bottom w:w="0" w:type="dxa"/>
            <w:right w:w="0" w:type="dxa"/>
          </w:tblCellMar>
        </w:tblPrEx>
        <w:trPr>
          <w:trHeight w:val="454" w:hRule="atLeast"/>
          <w:jc w:val="center"/>
        </w:trPr>
        <w:tc>
          <w:tcPr>
            <w:tcW w:w="3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一、</w:t>
            </w:r>
            <w:r>
              <w:rPr>
                <w:rFonts w:ascii="Times New Roman" w:hAnsi="Times New Roman" w:eastAsia="宋体" w:cs="Times New Roman"/>
                <w:color w:val="000000"/>
                <w:kern w:val="0"/>
                <w:sz w:val="20"/>
                <w:szCs w:val="20"/>
                <w:lang w:bidi="ar"/>
              </w:rPr>
              <w:t>2022</w:t>
            </w:r>
            <w:r>
              <w:rPr>
                <w:rFonts w:ascii="Times New Roman" w:hAnsi="Times New Roman" w:eastAsia="宋体" w:cs="宋体"/>
                <w:color w:val="000000"/>
                <w:kern w:val="0"/>
                <w:sz w:val="20"/>
                <w:szCs w:val="20"/>
                <w:lang w:bidi="ar"/>
              </w:rPr>
              <w:t>年发行预计执行数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A=B+D</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20.33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20.33 </w:t>
            </w:r>
          </w:p>
        </w:tc>
      </w:tr>
      <w:tr>
        <w:tblPrEx>
          <w:tblLayout w:type="fixed"/>
          <w:tblCellMar>
            <w:top w:w="0" w:type="dxa"/>
            <w:left w:w="0" w:type="dxa"/>
            <w:bottom w:w="0" w:type="dxa"/>
            <w:right w:w="0" w:type="dxa"/>
          </w:tblCellMar>
        </w:tblPrEx>
        <w:trPr>
          <w:trHeight w:val="454" w:hRule="atLeast"/>
          <w:jc w:val="center"/>
        </w:trPr>
        <w:tc>
          <w:tcPr>
            <w:tcW w:w="3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（一）一般债券</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B</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11.73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11.73 </w:t>
            </w:r>
          </w:p>
        </w:tc>
      </w:tr>
      <w:tr>
        <w:tblPrEx>
          <w:tblLayout w:type="fixed"/>
          <w:tblCellMar>
            <w:top w:w="0" w:type="dxa"/>
            <w:left w:w="0" w:type="dxa"/>
            <w:bottom w:w="0" w:type="dxa"/>
            <w:right w:w="0" w:type="dxa"/>
          </w:tblCellMar>
        </w:tblPrEx>
        <w:trPr>
          <w:trHeight w:val="454" w:hRule="atLeast"/>
          <w:jc w:val="center"/>
        </w:trPr>
        <w:tc>
          <w:tcPr>
            <w:tcW w:w="3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 xml:space="preserve">   其中：再融资债券</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C</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9.73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9.73 </w:t>
            </w:r>
          </w:p>
        </w:tc>
      </w:tr>
      <w:tr>
        <w:tblPrEx>
          <w:tblLayout w:type="fixed"/>
          <w:tblCellMar>
            <w:top w:w="0" w:type="dxa"/>
            <w:left w:w="0" w:type="dxa"/>
            <w:bottom w:w="0" w:type="dxa"/>
            <w:right w:w="0" w:type="dxa"/>
          </w:tblCellMar>
        </w:tblPrEx>
        <w:trPr>
          <w:trHeight w:val="454" w:hRule="atLeast"/>
          <w:jc w:val="center"/>
        </w:trPr>
        <w:tc>
          <w:tcPr>
            <w:tcW w:w="3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（二）专项债券</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D</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8.60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8.60 </w:t>
            </w:r>
          </w:p>
        </w:tc>
      </w:tr>
      <w:tr>
        <w:tblPrEx>
          <w:tblLayout w:type="fixed"/>
          <w:tblCellMar>
            <w:top w:w="0" w:type="dxa"/>
            <w:left w:w="0" w:type="dxa"/>
            <w:bottom w:w="0" w:type="dxa"/>
            <w:right w:w="0" w:type="dxa"/>
          </w:tblCellMar>
        </w:tblPrEx>
        <w:trPr>
          <w:trHeight w:val="454" w:hRule="atLeast"/>
          <w:jc w:val="center"/>
        </w:trPr>
        <w:tc>
          <w:tcPr>
            <w:tcW w:w="3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 xml:space="preserve">   其中：再融资债券</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E</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8.40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8.40 </w:t>
            </w:r>
          </w:p>
        </w:tc>
      </w:tr>
      <w:tr>
        <w:tblPrEx>
          <w:tblLayout w:type="fixed"/>
          <w:tblCellMar>
            <w:top w:w="0" w:type="dxa"/>
            <w:left w:w="0" w:type="dxa"/>
            <w:bottom w:w="0" w:type="dxa"/>
            <w:right w:w="0" w:type="dxa"/>
          </w:tblCellMar>
        </w:tblPrEx>
        <w:trPr>
          <w:trHeight w:val="454" w:hRule="atLeast"/>
          <w:jc w:val="center"/>
        </w:trPr>
        <w:tc>
          <w:tcPr>
            <w:tcW w:w="3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二、</w:t>
            </w:r>
            <w:r>
              <w:rPr>
                <w:rFonts w:ascii="Times New Roman" w:hAnsi="Times New Roman" w:eastAsia="宋体" w:cs="Times New Roman"/>
                <w:color w:val="000000"/>
                <w:kern w:val="0"/>
                <w:sz w:val="20"/>
                <w:szCs w:val="20"/>
                <w:lang w:bidi="ar"/>
              </w:rPr>
              <w:t>2022</w:t>
            </w:r>
            <w:r>
              <w:rPr>
                <w:rFonts w:ascii="Times New Roman" w:hAnsi="Times New Roman" w:eastAsia="宋体" w:cs="宋体"/>
                <w:color w:val="000000"/>
                <w:kern w:val="0"/>
                <w:sz w:val="20"/>
                <w:szCs w:val="20"/>
                <w:lang w:bidi="ar"/>
              </w:rPr>
              <w:t>年还本支出预计执行数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F=G+H</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18.33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18.33 </w:t>
            </w:r>
          </w:p>
        </w:tc>
      </w:tr>
      <w:tr>
        <w:tblPrEx>
          <w:tblLayout w:type="fixed"/>
          <w:tblCellMar>
            <w:top w:w="0" w:type="dxa"/>
            <w:left w:w="0" w:type="dxa"/>
            <w:bottom w:w="0" w:type="dxa"/>
            <w:right w:w="0" w:type="dxa"/>
          </w:tblCellMar>
        </w:tblPrEx>
        <w:trPr>
          <w:trHeight w:val="454" w:hRule="atLeast"/>
          <w:jc w:val="center"/>
        </w:trPr>
        <w:tc>
          <w:tcPr>
            <w:tcW w:w="3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（一）一般债券</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G</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9.73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9.73 </w:t>
            </w:r>
          </w:p>
        </w:tc>
      </w:tr>
      <w:tr>
        <w:tblPrEx>
          <w:tblLayout w:type="fixed"/>
          <w:tblCellMar>
            <w:top w:w="0" w:type="dxa"/>
            <w:left w:w="0" w:type="dxa"/>
            <w:bottom w:w="0" w:type="dxa"/>
            <w:right w:w="0" w:type="dxa"/>
          </w:tblCellMar>
        </w:tblPrEx>
        <w:trPr>
          <w:trHeight w:val="454" w:hRule="atLeast"/>
          <w:jc w:val="center"/>
        </w:trPr>
        <w:tc>
          <w:tcPr>
            <w:tcW w:w="3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（二）专项债券</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H</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8.60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8.60 </w:t>
            </w:r>
          </w:p>
        </w:tc>
      </w:tr>
      <w:tr>
        <w:tblPrEx>
          <w:tblLayout w:type="fixed"/>
          <w:tblCellMar>
            <w:top w:w="0" w:type="dxa"/>
            <w:left w:w="0" w:type="dxa"/>
            <w:bottom w:w="0" w:type="dxa"/>
            <w:right w:w="0" w:type="dxa"/>
          </w:tblCellMar>
        </w:tblPrEx>
        <w:trPr>
          <w:trHeight w:val="454" w:hRule="atLeast"/>
          <w:jc w:val="center"/>
        </w:trPr>
        <w:tc>
          <w:tcPr>
            <w:tcW w:w="3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三、</w:t>
            </w:r>
            <w:r>
              <w:rPr>
                <w:rFonts w:ascii="Times New Roman" w:hAnsi="Times New Roman" w:eastAsia="宋体" w:cs="Times New Roman"/>
                <w:color w:val="000000"/>
                <w:kern w:val="0"/>
                <w:sz w:val="20"/>
                <w:szCs w:val="20"/>
                <w:lang w:bidi="ar"/>
              </w:rPr>
              <w:t>2022</w:t>
            </w:r>
            <w:r>
              <w:rPr>
                <w:rFonts w:ascii="Times New Roman" w:hAnsi="Times New Roman" w:eastAsia="宋体" w:cs="宋体"/>
                <w:color w:val="000000"/>
                <w:kern w:val="0"/>
                <w:sz w:val="20"/>
                <w:szCs w:val="20"/>
                <w:lang w:bidi="ar"/>
              </w:rPr>
              <w:t>年付息支出预计执行数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I=J+K</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3.00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3.00 </w:t>
            </w:r>
          </w:p>
        </w:tc>
      </w:tr>
      <w:tr>
        <w:tblPrEx>
          <w:tblLayout w:type="fixed"/>
          <w:tblCellMar>
            <w:top w:w="0" w:type="dxa"/>
            <w:left w:w="0" w:type="dxa"/>
            <w:bottom w:w="0" w:type="dxa"/>
            <w:right w:w="0" w:type="dxa"/>
          </w:tblCellMar>
        </w:tblPrEx>
        <w:trPr>
          <w:trHeight w:val="454" w:hRule="atLeast"/>
          <w:jc w:val="center"/>
        </w:trPr>
        <w:tc>
          <w:tcPr>
            <w:tcW w:w="3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（一）一般债券</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J</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right"/>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1.58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right"/>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1.58 </w:t>
            </w:r>
          </w:p>
        </w:tc>
      </w:tr>
      <w:tr>
        <w:tblPrEx>
          <w:tblLayout w:type="fixed"/>
          <w:tblCellMar>
            <w:top w:w="0" w:type="dxa"/>
            <w:left w:w="0" w:type="dxa"/>
            <w:bottom w:w="0" w:type="dxa"/>
            <w:right w:w="0" w:type="dxa"/>
          </w:tblCellMar>
        </w:tblPrEx>
        <w:trPr>
          <w:trHeight w:val="454" w:hRule="atLeast"/>
          <w:jc w:val="center"/>
        </w:trPr>
        <w:tc>
          <w:tcPr>
            <w:tcW w:w="3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（二）专项债券</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K</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right"/>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1.42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right"/>
              <w:textAlignment w:val="bottom"/>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1.42 </w:t>
            </w:r>
          </w:p>
        </w:tc>
      </w:tr>
      <w:tr>
        <w:tblPrEx>
          <w:tblLayout w:type="fixed"/>
          <w:tblCellMar>
            <w:top w:w="0" w:type="dxa"/>
            <w:left w:w="0" w:type="dxa"/>
            <w:bottom w:w="0" w:type="dxa"/>
            <w:right w:w="0" w:type="dxa"/>
          </w:tblCellMar>
        </w:tblPrEx>
        <w:trPr>
          <w:trHeight w:val="454" w:hRule="atLeast"/>
          <w:jc w:val="center"/>
        </w:trPr>
        <w:tc>
          <w:tcPr>
            <w:tcW w:w="3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四、</w:t>
            </w:r>
            <w:r>
              <w:rPr>
                <w:rFonts w:ascii="Times New Roman" w:hAnsi="Times New Roman" w:eastAsia="宋体" w:cs="Times New Roman"/>
                <w:color w:val="000000"/>
                <w:kern w:val="0"/>
                <w:sz w:val="20"/>
                <w:szCs w:val="20"/>
                <w:lang w:bidi="ar"/>
              </w:rPr>
              <w:t>2023</w:t>
            </w:r>
            <w:r>
              <w:rPr>
                <w:rFonts w:ascii="Times New Roman" w:hAnsi="Times New Roman" w:eastAsia="宋体" w:cs="宋体"/>
                <w:color w:val="000000"/>
                <w:kern w:val="0"/>
                <w:sz w:val="20"/>
                <w:szCs w:val="20"/>
                <w:lang w:bidi="ar"/>
              </w:rPr>
              <w:t>年还本支出预算数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L=M+O</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20.19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20.19 </w:t>
            </w:r>
          </w:p>
        </w:tc>
      </w:tr>
      <w:tr>
        <w:tblPrEx>
          <w:tblLayout w:type="fixed"/>
          <w:tblCellMar>
            <w:top w:w="0" w:type="dxa"/>
            <w:left w:w="0" w:type="dxa"/>
            <w:bottom w:w="0" w:type="dxa"/>
            <w:right w:w="0" w:type="dxa"/>
          </w:tblCellMar>
        </w:tblPrEx>
        <w:trPr>
          <w:trHeight w:val="454" w:hRule="atLeast"/>
          <w:jc w:val="center"/>
        </w:trPr>
        <w:tc>
          <w:tcPr>
            <w:tcW w:w="3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（一）一般债券</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M</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5.19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5.19 </w:t>
            </w:r>
          </w:p>
        </w:tc>
      </w:tr>
      <w:tr>
        <w:tblPrEx>
          <w:tblLayout w:type="fixed"/>
          <w:tblCellMar>
            <w:top w:w="0" w:type="dxa"/>
            <w:left w:w="0" w:type="dxa"/>
            <w:bottom w:w="0" w:type="dxa"/>
            <w:right w:w="0" w:type="dxa"/>
          </w:tblCellMar>
        </w:tblPrEx>
        <w:trPr>
          <w:trHeight w:val="454" w:hRule="atLeast"/>
          <w:jc w:val="center"/>
        </w:trPr>
        <w:tc>
          <w:tcPr>
            <w:tcW w:w="3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 xml:space="preserve">   其中：再融资</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imes New Roman" w:hAnsi="Times New Roman" w:eastAsia="宋体" w:cs="宋体"/>
                <w:color w:val="000000"/>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5.09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5.09 </w:t>
            </w:r>
          </w:p>
        </w:tc>
      </w:tr>
      <w:tr>
        <w:tblPrEx>
          <w:tblLayout w:type="fixed"/>
          <w:tblCellMar>
            <w:top w:w="0" w:type="dxa"/>
            <w:left w:w="0" w:type="dxa"/>
            <w:bottom w:w="0" w:type="dxa"/>
            <w:right w:w="0" w:type="dxa"/>
          </w:tblCellMar>
        </w:tblPrEx>
        <w:trPr>
          <w:trHeight w:val="454" w:hRule="atLeast"/>
          <w:jc w:val="center"/>
        </w:trPr>
        <w:tc>
          <w:tcPr>
            <w:tcW w:w="3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 xml:space="preserve">         财政预算安排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N</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0.10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0.10 </w:t>
            </w:r>
          </w:p>
        </w:tc>
      </w:tr>
      <w:tr>
        <w:tblPrEx>
          <w:tblLayout w:type="fixed"/>
          <w:tblCellMar>
            <w:top w:w="0" w:type="dxa"/>
            <w:left w:w="0" w:type="dxa"/>
            <w:bottom w:w="0" w:type="dxa"/>
            <w:right w:w="0" w:type="dxa"/>
          </w:tblCellMar>
        </w:tblPrEx>
        <w:trPr>
          <w:trHeight w:val="454" w:hRule="atLeast"/>
          <w:jc w:val="center"/>
        </w:trPr>
        <w:tc>
          <w:tcPr>
            <w:tcW w:w="3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（二）专项债券</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O</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15.00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15.00 </w:t>
            </w:r>
          </w:p>
        </w:tc>
      </w:tr>
      <w:tr>
        <w:tblPrEx>
          <w:tblLayout w:type="fixed"/>
          <w:tblCellMar>
            <w:top w:w="0" w:type="dxa"/>
            <w:left w:w="0" w:type="dxa"/>
            <w:bottom w:w="0" w:type="dxa"/>
            <w:right w:w="0" w:type="dxa"/>
          </w:tblCellMar>
        </w:tblPrEx>
        <w:trPr>
          <w:trHeight w:val="454" w:hRule="atLeast"/>
          <w:jc w:val="center"/>
        </w:trPr>
        <w:tc>
          <w:tcPr>
            <w:tcW w:w="3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 xml:space="preserve">   其中：再融资</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imes New Roman" w:hAnsi="Times New Roman" w:eastAsia="宋体" w:cs="宋体"/>
                <w:color w:val="000000"/>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15.00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15.00 </w:t>
            </w:r>
          </w:p>
        </w:tc>
      </w:tr>
      <w:tr>
        <w:tblPrEx>
          <w:tblLayout w:type="fixed"/>
          <w:tblCellMar>
            <w:top w:w="0" w:type="dxa"/>
            <w:left w:w="0" w:type="dxa"/>
            <w:bottom w:w="0" w:type="dxa"/>
            <w:right w:w="0" w:type="dxa"/>
          </w:tblCellMar>
        </w:tblPrEx>
        <w:trPr>
          <w:trHeight w:val="454" w:hRule="atLeast"/>
          <w:jc w:val="center"/>
        </w:trPr>
        <w:tc>
          <w:tcPr>
            <w:tcW w:w="3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 xml:space="preserve">         财政预算安排</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P</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Times New Roman" w:hAnsi="Times New Roman" w:eastAsia="宋体" w:cs="Times New Roman"/>
                <w:color w:val="000000"/>
                <w:sz w:val="20"/>
                <w:szCs w:val="20"/>
              </w:rPr>
            </w:pPr>
          </w:p>
        </w:tc>
      </w:tr>
      <w:tr>
        <w:tblPrEx>
          <w:tblLayout w:type="fixed"/>
          <w:tblCellMar>
            <w:top w:w="0" w:type="dxa"/>
            <w:left w:w="0" w:type="dxa"/>
            <w:bottom w:w="0" w:type="dxa"/>
            <w:right w:w="0" w:type="dxa"/>
          </w:tblCellMar>
        </w:tblPrEx>
        <w:trPr>
          <w:trHeight w:val="454" w:hRule="atLeast"/>
          <w:jc w:val="center"/>
        </w:trPr>
        <w:tc>
          <w:tcPr>
            <w:tcW w:w="3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五、</w:t>
            </w:r>
            <w:r>
              <w:rPr>
                <w:rFonts w:ascii="Times New Roman" w:hAnsi="Times New Roman" w:eastAsia="宋体" w:cs="Times New Roman"/>
                <w:color w:val="000000"/>
                <w:kern w:val="0"/>
                <w:sz w:val="20"/>
                <w:szCs w:val="20"/>
                <w:lang w:bidi="ar"/>
              </w:rPr>
              <w:t>2023</w:t>
            </w:r>
            <w:r>
              <w:rPr>
                <w:rFonts w:ascii="Times New Roman" w:hAnsi="Times New Roman" w:eastAsia="宋体" w:cs="宋体"/>
                <w:color w:val="000000"/>
                <w:kern w:val="0"/>
                <w:sz w:val="20"/>
                <w:szCs w:val="20"/>
                <w:lang w:bidi="ar"/>
              </w:rPr>
              <w:t>年付息支出预算数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Q=R+S</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2.89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2.89 </w:t>
            </w:r>
          </w:p>
        </w:tc>
      </w:tr>
      <w:tr>
        <w:tblPrEx>
          <w:tblLayout w:type="fixed"/>
          <w:tblCellMar>
            <w:top w:w="0" w:type="dxa"/>
            <w:left w:w="0" w:type="dxa"/>
            <w:bottom w:w="0" w:type="dxa"/>
            <w:right w:w="0" w:type="dxa"/>
          </w:tblCellMar>
        </w:tblPrEx>
        <w:trPr>
          <w:trHeight w:val="454" w:hRule="atLeast"/>
          <w:jc w:val="center"/>
        </w:trPr>
        <w:tc>
          <w:tcPr>
            <w:tcW w:w="3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（一）一般债券</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R</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1.57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1.57 </w:t>
            </w:r>
          </w:p>
        </w:tc>
      </w:tr>
      <w:tr>
        <w:tblPrEx>
          <w:tblLayout w:type="fixed"/>
          <w:tblCellMar>
            <w:top w:w="0" w:type="dxa"/>
            <w:left w:w="0" w:type="dxa"/>
            <w:bottom w:w="0" w:type="dxa"/>
            <w:right w:w="0" w:type="dxa"/>
          </w:tblCellMar>
        </w:tblPrEx>
        <w:trPr>
          <w:trHeight w:val="454" w:hRule="atLeast"/>
          <w:jc w:val="center"/>
        </w:trPr>
        <w:tc>
          <w:tcPr>
            <w:tcW w:w="3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（二）专项债券</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ascii="Times New Roman" w:hAnsi="Times New Roman" w:eastAsia="宋体" w:cs="宋体"/>
                <w:color w:val="000000"/>
                <w:kern w:val="0"/>
                <w:sz w:val="20"/>
                <w:szCs w:val="20"/>
                <w:lang w:bidi="ar"/>
              </w:rPr>
              <w:t>S</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1.32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1.32 </w:t>
            </w:r>
          </w:p>
        </w:tc>
      </w:tr>
      <w:tr>
        <w:tblPrEx>
          <w:tblLayout w:type="fixed"/>
          <w:tblCellMar>
            <w:top w:w="0" w:type="dxa"/>
            <w:left w:w="0" w:type="dxa"/>
            <w:bottom w:w="0" w:type="dxa"/>
            <w:right w:w="0" w:type="dxa"/>
          </w:tblCellMar>
        </w:tblPrEx>
        <w:trPr>
          <w:trHeight w:val="454" w:hRule="atLeast"/>
          <w:jc w:val="center"/>
        </w:trPr>
        <w:tc>
          <w:tcPr>
            <w:tcW w:w="9010" w:type="dxa"/>
            <w:gridSpan w:val="4"/>
            <w:tcBorders>
              <w:top w:val="nil"/>
              <w:left w:val="nil"/>
              <w:bottom w:val="nil"/>
              <w:right w:val="nil"/>
            </w:tcBorders>
            <w:shd w:val="clear" w:color="auto" w:fill="auto"/>
            <w:tcMar>
              <w:top w:w="12" w:type="dxa"/>
              <w:left w:w="12" w:type="dxa"/>
              <w:right w:w="12" w:type="dxa"/>
            </w:tcMar>
            <w:vAlign w:val="center"/>
          </w:tcPr>
          <w:p>
            <w:pPr>
              <w:widowControl/>
              <w:spacing w:before="120" w:beforeLines="50"/>
              <w:ind w:left="504" w:hanging="503" w:hangingChars="280"/>
              <w:jc w:val="left"/>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注：</w:t>
            </w:r>
            <w:r>
              <w:rPr>
                <w:rFonts w:ascii="Times New Roman" w:hAnsi="Times New Roman" w:eastAsia="宋体" w:cs="Times New Roman"/>
                <w:color w:val="000000"/>
                <w:kern w:val="0"/>
                <w:sz w:val="18"/>
                <w:szCs w:val="18"/>
              </w:rPr>
              <w:t>1</w:t>
            </w:r>
            <w:r>
              <w:rPr>
                <w:rFonts w:hint="eastAsia" w:ascii="Times New Roman" w:hAnsi="Times New Roman" w:eastAsia="宋体" w:cs="宋体"/>
                <w:color w:val="000000"/>
                <w:kern w:val="0"/>
                <w:sz w:val="18"/>
                <w:szCs w:val="18"/>
              </w:rPr>
              <w:t>.本表反映本地区上一年度地方政府债券（含再融资债券）发行及还本付息支出预计执行数、本年度地方政府债券还本付息预算数等。</w:t>
            </w:r>
          </w:p>
          <w:p>
            <w:pPr>
              <w:widowControl/>
              <w:ind w:firstLine="360" w:firstLineChars="200"/>
              <w:jc w:val="left"/>
              <w:textAlignment w:val="center"/>
              <w:rPr>
                <w:rFonts w:ascii="Times New Roman" w:hAnsi="Times New Roman" w:eastAsia="宋体" w:cs="宋体"/>
                <w:color w:val="000000"/>
                <w:sz w:val="18"/>
                <w:szCs w:val="18"/>
              </w:rPr>
            </w:pPr>
            <w:r>
              <w:rPr>
                <w:rFonts w:ascii="Times New Roman" w:hAnsi="Times New Roman" w:eastAsia="宋体" w:cs="Times New Roman"/>
                <w:color w:val="000000"/>
                <w:kern w:val="0"/>
                <w:sz w:val="18"/>
                <w:szCs w:val="18"/>
              </w:rPr>
              <w:t>2</w:t>
            </w:r>
            <w:r>
              <w:rPr>
                <w:rFonts w:hint="eastAsia" w:ascii="Times New Roman" w:hAnsi="Times New Roman" w:eastAsia="宋体" w:cs="宋体"/>
                <w:color w:val="000000"/>
                <w:kern w:val="0"/>
                <w:sz w:val="18"/>
                <w:szCs w:val="18"/>
              </w:rPr>
              <w:t>.本表由县级以上地方各级财政部门在本级人民代表大会批准预算后二十日内公开。</w:t>
            </w:r>
          </w:p>
        </w:tc>
      </w:tr>
    </w:tbl>
    <w:p>
      <w:pPr>
        <w:rPr>
          <w:rFonts w:ascii="Times New Roman" w:hAnsi="Times New Roman" w:eastAsia="方正仿宋_GBK"/>
          <w:lang w:val="zh-CN"/>
        </w:rPr>
      </w:pPr>
      <w:r>
        <w:rPr>
          <w:rFonts w:ascii="Times New Roman" w:hAnsi="Times New Roman" w:eastAsia="方正仿宋_GBK"/>
          <w:lang w:val="zh-CN"/>
        </w:rPr>
        <w:br w:type="page"/>
      </w:r>
    </w:p>
    <w:p>
      <w:pPr>
        <w:widowControl/>
        <w:jc w:val="left"/>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34</w:t>
      </w:r>
    </w:p>
    <w:p>
      <w:pPr>
        <w:spacing w:after="240" w:afterLines="100"/>
        <w:jc w:val="center"/>
        <w:textAlignment w:val="center"/>
        <w:outlineLvl w:val="0"/>
        <w:rPr>
          <w:rFonts w:ascii="Times New Roman" w:hAnsi="Times New Roman" w:eastAsia="宋体" w:cs="宋体"/>
          <w:color w:val="000000"/>
          <w:sz w:val="22"/>
        </w:rPr>
      </w:pPr>
      <w:r>
        <w:rPr>
          <w:rFonts w:hint="eastAsia" w:ascii="Times New Roman" w:hAnsi="Times New Roman" w:eastAsia="方正小标宋_GBK" w:cs="方正小标宋_GBK"/>
          <w:color w:val="000000"/>
          <w:kern w:val="0"/>
          <w:sz w:val="36"/>
          <w:szCs w:val="36"/>
          <w:lang w:bidi="ar"/>
        </w:rPr>
        <w:t>大渡口区</w:t>
      </w:r>
      <w:r>
        <w:rPr>
          <w:rFonts w:ascii="Times New Roman" w:hAnsi="Times New Roman" w:eastAsia="方正小标宋_GBK" w:cs="Times New Roman"/>
          <w:color w:val="000000"/>
          <w:kern w:val="0"/>
          <w:sz w:val="36"/>
          <w:szCs w:val="36"/>
          <w:lang w:bidi="ar"/>
        </w:rPr>
        <w:t>2022</w:t>
      </w:r>
      <w:r>
        <w:rPr>
          <w:rFonts w:hint="eastAsia" w:ascii="Times New Roman" w:hAnsi="Times New Roman" w:eastAsia="方正小标宋_GBK" w:cs="方正小标宋_GBK"/>
          <w:color w:val="000000"/>
          <w:kern w:val="0"/>
          <w:sz w:val="36"/>
          <w:szCs w:val="36"/>
          <w:lang w:bidi="ar"/>
        </w:rPr>
        <w:t>年地方政府债务指标表</w:t>
      </w:r>
    </w:p>
    <w:tbl>
      <w:tblPr>
        <w:tblStyle w:val="10"/>
        <w:tblW w:w="9053" w:type="dxa"/>
        <w:tblInd w:w="0" w:type="dxa"/>
        <w:tblLayout w:type="fixed"/>
        <w:tblCellMar>
          <w:top w:w="0" w:type="dxa"/>
          <w:left w:w="0" w:type="dxa"/>
          <w:bottom w:w="0" w:type="dxa"/>
          <w:right w:w="0" w:type="dxa"/>
        </w:tblCellMar>
      </w:tblPr>
      <w:tblGrid>
        <w:gridCol w:w="1341"/>
        <w:gridCol w:w="2212"/>
        <w:gridCol w:w="1913"/>
        <w:gridCol w:w="1325"/>
        <w:gridCol w:w="1250"/>
        <w:gridCol w:w="1012"/>
      </w:tblGrid>
      <w:tr>
        <w:tblPrEx>
          <w:tblLayout w:type="fixed"/>
          <w:tblCellMar>
            <w:top w:w="0" w:type="dxa"/>
            <w:left w:w="0" w:type="dxa"/>
            <w:bottom w:w="0" w:type="dxa"/>
            <w:right w:w="0" w:type="dxa"/>
          </w:tblCellMar>
        </w:tblPrEx>
        <w:trPr>
          <w:trHeight w:val="600" w:hRule="atLeast"/>
        </w:trPr>
        <w:tc>
          <w:tcPr>
            <w:tcW w:w="13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级次</w:t>
            </w:r>
          </w:p>
        </w:tc>
        <w:tc>
          <w:tcPr>
            <w:tcW w:w="22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政府债务率（%）</w:t>
            </w:r>
          </w:p>
        </w:tc>
        <w:tc>
          <w:tcPr>
            <w:tcW w:w="19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利息支出率（%）</w:t>
            </w:r>
          </w:p>
        </w:tc>
        <w:tc>
          <w:tcPr>
            <w:tcW w:w="35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债务年限（年）</w:t>
            </w:r>
          </w:p>
        </w:tc>
      </w:tr>
      <w:tr>
        <w:tblPrEx>
          <w:tblLayout w:type="fixed"/>
          <w:tblCellMar>
            <w:top w:w="0" w:type="dxa"/>
            <w:left w:w="0" w:type="dxa"/>
            <w:bottom w:w="0" w:type="dxa"/>
            <w:right w:w="0" w:type="dxa"/>
          </w:tblCellMar>
        </w:tblPrEx>
        <w:trPr>
          <w:trHeight w:val="500" w:hRule="atLeast"/>
        </w:trPr>
        <w:tc>
          <w:tcPr>
            <w:tcW w:w="13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黑体" w:cs="黑体"/>
                <w:color w:val="000000"/>
                <w:sz w:val="22"/>
              </w:rPr>
            </w:pPr>
          </w:p>
        </w:tc>
        <w:tc>
          <w:tcPr>
            <w:tcW w:w="22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黑体" w:cs="黑体"/>
                <w:color w:val="000000"/>
                <w:sz w:val="22"/>
              </w:rPr>
            </w:pPr>
          </w:p>
        </w:tc>
        <w:tc>
          <w:tcPr>
            <w:tcW w:w="19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黑体" w:cs="黑体"/>
                <w:color w:val="000000"/>
                <w:sz w:val="22"/>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方正黑体_GBK" w:cs="方正黑体_GBK"/>
                <w:color w:val="000000"/>
                <w:sz w:val="20"/>
                <w:szCs w:val="20"/>
              </w:rPr>
            </w:pPr>
            <w:r>
              <w:rPr>
                <w:rFonts w:hint="eastAsia" w:ascii="Times New Roman" w:hAnsi="Times New Roman" w:eastAsia="方正黑体_GBK" w:cs="方正黑体_GBK"/>
                <w:color w:val="000000"/>
                <w:kern w:val="0"/>
                <w:sz w:val="20"/>
                <w:szCs w:val="20"/>
                <w:lang w:bidi="ar"/>
              </w:rPr>
              <w:t>最长</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方正黑体_GBK" w:cs="方正黑体_GBK"/>
                <w:color w:val="000000"/>
                <w:sz w:val="20"/>
                <w:szCs w:val="20"/>
              </w:rPr>
            </w:pPr>
            <w:r>
              <w:rPr>
                <w:rFonts w:hint="eastAsia" w:ascii="Times New Roman" w:hAnsi="Times New Roman" w:eastAsia="方正黑体_GBK" w:cs="方正黑体_GBK"/>
                <w:color w:val="000000"/>
                <w:kern w:val="0"/>
                <w:sz w:val="20"/>
                <w:szCs w:val="20"/>
                <w:lang w:bidi="ar"/>
              </w:rPr>
              <w:t>最短</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方正黑体_GBK" w:cs="方正黑体_GBK"/>
                <w:color w:val="000000"/>
                <w:sz w:val="22"/>
              </w:rPr>
            </w:pPr>
            <w:r>
              <w:rPr>
                <w:rFonts w:hint="eastAsia" w:ascii="Times New Roman" w:hAnsi="Times New Roman" w:eastAsia="方正黑体_GBK" w:cs="方正黑体_GBK"/>
                <w:color w:val="000000"/>
                <w:kern w:val="0"/>
                <w:sz w:val="22"/>
                <w:lang w:bidi="ar"/>
              </w:rPr>
              <w:t>平均</w:t>
            </w:r>
          </w:p>
        </w:tc>
      </w:tr>
      <w:tr>
        <w:tblPrEx>
          <w:tblLayout w:type="fixed"/>
          <w:tblCellMar>
            <w:top w:w="0" w:type="dxa"/>
            <w:left w:w="0" w:type="dxa"/>
            <w:bottom w:w="0" w:type="dxa"/>
            <w:right w:w="0" w:type="dxa"/>
          </w:tblCellMar>
        </w:tblPrEx>
        <w:trPr>
          <w:trHeight w:val="500" w:hRule="atLeast"/>
        </w:trPr>
        <w:tc>
          <w:tcPr>
            <w:tcW w:w="1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heme="minorEastAsia"/>
                <w:color w:val="000000"/>
                <w:sz w:val="22"/>
              </w:rPr>
            </w:pPr>
            <w:r>
              <w:rPr>
                <w:rFonts w:hint="eastAsia" w:ascii="Times New Roman" w:hAnsi="Times New Roman" w:cstheme="minorEastAsia"/>
                <w:color w:val="000000"/>
                <w:kern w:val="0"/>
                <w:sz w:val="22"/>
                <w:lang w:bidi="ar"/>
              </w:rPr>
              <w:t>区级</w:t>
            </w:r>
          </w:p>
        </w:tc>
        <w:tc>
          <w:tcPr>
            <w:tcW w:w="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105%</w:t>
            </w:r>
          </w:p>
        </w:tc>
        <w:tc>
          <w:tcPr>
            <w:tcW w:w="1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3%</w:t>
            </w:r>
          </w:p>
        </w:tc>
        <w:tc>
          <w:tcPr>
            <w:tcW w:w="1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000000"/>
                <w:sz w:val="22"/>
                <w:lang w:val="en-US" w:eastAsia="zh-CN"/>
              </w:rPr>
            </w:pPr>
            <w:r>
              <w:rPr>
                <w:rFonts w:hint="eastAsia" w:ascii="Times New Roman" w:hAnsi="Times New Roman" w:eastAsia="宋体" w:cs="Times New Roman"/>
                <w:color w:val="000000"/>
                <w:sz w:val="22"/>
                <w:lang w:val="en-US" w:eastAsia="zh-CN"/>
              </w:rPr>
              <w:t>30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sz w:val="22"/>
              </w:rPr>
              <w:t>0</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宋体"/>
                <w:color w:val="000000"/>
                <w:sz w:val="22"/>
              </w:rPr>
            </w:pPr>
            <w:r>
              <w:rPr>
                <w:rFonts w:ascii="Times New Roman" w:hAnsi="Times New Roman" w:eastAsia="宋体" w:cs="Times New Roman"/>
                <w:color w:val="000000"/>
                <w:sz w:val="22"/>
              </w:rPr>
              <w:t>12</w:t>
            </w:r>
          </w:p>
        </w:tc>
      </w:tr>
    </w:tbl>
    <w:p>
      <w:pPr>
        <w:widowControl/>
        <w:spacing w:line="580" w:lineRule="exact"/>
        <w:rPr>
          <w:rFonts w:ascii="Times New Roman" w:hAnsi="Times New Roman" w:eastAsia="方正仿宋_GBK"/>
          <w:lang w:val="zh-CN"/>
        </w:rPr>
      </w:pPr>
    </w:p>
    <w:p>
      <w:pPr>
        <w:widowControl/>
        <w:jc w:val="left"/>
        <w:rPr>
          <w:rFonts w:ascii="Times New Roman" w:hAnsi="Times New Roman" w:eastAsia="方正黑体_GBK" w:cs="方正黑体_GBK"/>
          <w:color w:val="000000"/>
          <w:kern w:val="0"/>
          <w:sz w:val="28"/>
          <w:szCs w:val="28"/>
        </w:rPr>
      </w:pPr>
      <w:r>
        <w:rPr>
          <w:rFonts w:ascii="Times New Roman" w:hAnsi="Times New Roman" w:eastAsia="方正黑体_GBK" w:cs="方正黑体_GBK"/>
          <w:color w:val="000000"/>
          <w:kern w:val="0"/>
          <w:sz w:val="28"/>
          <w:szCs w:val="28"/>
        </w:rPr>
        <w:br w:type="page"/>
      </w:r>
      <w:bookmarkStart w:id="35" w:name="_GoBack"/>
      <w:bookmarkEnd w:id="35"/>
    </w:p>
    <w:p>
      <w:pPr>
        <w:spacing w:line="400" w:lineRule="exact"/>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表</w:t>
      </w:r>
      <w:r>
        <w:rPr>
          <w:rFonts w:ascii="Times New Roman" w:hAnsi="Times New Roman" w:eastAsia="方正黑体_GBK" w:cs="Times New Roman"/>
          <w:kern w:val="0"/>
          <w:sz w:val="28"/>
          <w:szCs w:val="28"/>
        </w:rPr>
        <w:t>35</w:t>
      </w:r>
    </w:p>
    <w:p>
      <w:pPr>
        <w:widowControl/>
        <w:jc w:val="center"/>
        <w:textAlignment w:val="center"/>
        <w:outlineLvl w:val="0"/>
        <w:rPr>
          <w:rFonts w:ascii="Times New Roman" w:hAnsi="Times New Roman" w:eastAsia="方正小标宋_GBK" w:cs="方正小标宋_GBK"/>
          <w:w w:val="90"/>
          <w:kern w:val="0"/>
          <w:sz w:val="44"/>
          <w:szCs w:val="44"/>
          <w:highlight w:val="yellow"/>
        </w:rPr>
      </w:pPr>
      <w:bookmarkStart w:id="33" w:name="_Toc22536"/>
      <w:bookmarkStart w:id="34" w:name="_Toc23445"/>
      <w:r>
        <w:rPr>
          <w:rFonts w:hint="eastAsia" w:ascii="Times New Roman" w:hAnsi="Times New Roman" w:eastAsia="方正小标宋_GBK" w:cs="方正小标宋_GBK"/>
          <w:w w:val="90"/>
          <w:kern w:val="0"/>
          <w:sz w:val="44"/>
          <w:szCs w:val="44"/>
        </w:rPr>
        <w:t>大渡口区</w:t>
      </w:r>
      <w:r>
        <w:rPr>
          <w:rFonts w:ascii="Times New Roman" w:hAnsi="Times New Roman" w:eastAsia="方正小标宋_GBK" w:cs="Times New Roman"/>
          <w:w w:val="90"/>
          <w:kern w:val="0"/>
          <w:sz w:val="44"/>
          <w:szCs w:val="44"/>
        </w:rPr>
        <w:t>2023</w:t>
      </w:r>
      <w:r>
        <w:rPr>
          <w:rFonts w:hint="eastAsia" w:ascii="Times New Roman" w:hAnsi="Times New Roman" w:eastAsia="方正小标宋_GBK" w:cs="方正小标宋_GBK"/>
          <w:w w:val="90"/>
          <w:kern w:val="0"/>
          <w:sz w:val="44"/>
          <w:szCs w:val="44"/>
        </w:rPr>
        <w:t>年地方政府债务预算收支安排情况表</w:t>
      </w:r>
      <w:bookmarkEnd w:id="33"/>
      <w:bookmarkEnd w:id="34"/>
    </w:p>
    <w:p>
      <w:pPr>
        <w:jc w:val="right"/>
        <w:rPr>
          <w:rFonts w:ascii="Times New Roman" w:hAnsi="Times New Roman" w:eastAsia="宋体" w:cs="Times New Roman"/>
        </w:rPr>
      </w:pPr>
      <w:r>
        <w:rPr>
          <w:rFonts w:hint="eastAsia" w:ascii="Times New Roman" w:hAnsi="Times New Roman" w:eastAsia="宋体" w:cs="Times New Roman"/>
        </w:rPr>
        <w:t>单位：亿元</w:t>
      </w:r>
    </w:p>
    <w:tbl>
      <w:tblPr>
        <w:tblStyle w:val="10"/>
        <w:tblW w:w="8943" w:type="dxa"/>
        <w:tblInd w:w="0" w:type="dxa"/>
        <w:tblLayout w:type="fixed"/>
        <w:tblCellMar>
          <w:top w:w="0" w:type="dxa"/>
          <w:left w:w="0" w:type="dxa"/>
          <w:bottom w:w="0" w:type="dxa"/>
          <w:right w:w="0" w:type="dxa"/>
        </w:tblCellMar>
      </w:tblPr>
      <w:tblGrid>
        <w:gridCol w:w="4265"/>
        <w:gridCol w:w="1169"/>
        <w:gridCol w:w="1170"/>
        <w:gridCol w:w="1169"/>
        <w:gridCol w:w="1170"/>
      </w:tblGrid>
      <w:tr>
        <w:tblPrEx>
          <w:tblLayout w:type="fixed"/>
          <w:tblCellMar>
            <w:top w:w="0" w:type="dxa"/>
            <w:left w:w="0" w:type="dxa"/>
            <w:bottom w:w="0" w:type="dxa"/>
            <w:right w:w="0" w:type="dxa"/>
          </w:tblCellMar>
        </w:tblPrEx>
        <w:trPr>
          <w:trHeight w:val="454" w:hRule="atLeast"/>
        </w:trPr>
        <w:tc>
          <w:tcPr>
            <w:tcW w:w="4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项  目</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公式</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本地区</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本级</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黑体" w:cs="黑体"/>
                <w:color w:val="000000"/>
                <w:sz w:val="22"/>
              </w:rPr>
            </w:pPr>
            <w:r>
              <w:rPr>
                <w:rFonts w:hint="eastAsia" w:ascii="Times New Roman" w:hAnsi="Times New Roman" w:eastAsia="黑体" w:cs="黑体"/>
                <w:color w:val="000000"/>
                <w:kern w:val="0"/>
                <w:sz w:val="22"/>
                <w:lang w:bidi="ar"/>
              </w:rPr>
              <w:t>下级</w:t>
            </w:r>
          </w:p>
        </w:tc>
      </w:tr>
      <w:tr>
        <w:tblPrEx>
          <w:tblLayout w:type="fixed"/>
          <w:tblCellMar>
            <w:top w:w="0" w:type="dxa"/>
            <w:left w:w="0" w:type="dxa"/>
            <w:bottom w:w="0" w:type="dxa"/>
            <w:right w:w="0" w:type="dxa"/>
          </w:tblCellMar>
        </w:tblPrEx>
        <w:trPr>
          <w:trHeight w:val="454" w:hRule="atLeast"/>
        </w:trPr>
        <w:tc>
          <w:tcPr>
            <w:tcW w:w="4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2"/>
                <w:lang w:bidi="ar"/>
              </w:rPr>
              <w:t>一：</w:t>
            </w:r>
            <w:r>
              <w:rPr>
                <w:rFonts w:ascii="Times New Roman" w:hAnsi="Times New Roman" w:eastAsia="宋体" w:cs="Times New Roman"/>
                <w:color w:val="000000"/>
                <w:kern w:val="0"/>
                <w:sz w:val="22"/>
                <w:lang w:bidi="ar"/>
              </w:rPr>
              <w:t>2022</w:t>
            </w:r>
            <w:r>
              <w:rPr>
                <w:rFonts w:hint="eastAsia" w:ascii="Times New Roman" w:hAnsi="Times New Roman" w:eastAsia="宋体" w:cs="宋体"/>
                <w:color w:val="000000"/>
                <w:kern w:val="0"/>
                <w:sz w:val="22"/>
                <w:lang w:bidi="ar"/>
              </w:rPr>
              <w:t>年地方政府债务限额</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2"/>
                <w:lang w:bidi="ar"/>
              </w:rPr>
              <w:t>A=B+C</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102.55 </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imes New Roman" w:hAnsi="Times New Roman" w:eastAsia="宋体" w:cs="宋体"/>
                <w:color w:val="000000"/>
                <w:sz w:val="20"/>
                <w:szCs w:val="20"/>
              </w:rPr>
            </w:pPr>
          </w:p>
        </w:tc>
      </w:tr>
      <w:tr>
        <w:tblPrEx>
          <w:tblLayout w:type="fixed"/>
          <w:tblCellMar>
            <w:top w:w="0" w:type="dxa"/>
            <w:left w:w="0" w:type="dxa"/>
            <w:bottom w:w="0" w:type="dxa"/>
            <w:right w:w="0" w:type="dxa"/>
          </w:tblCellMar>
        </w:tblPrEx>
        <w:trPr>
          <w:trHeight w:val="454" w:hRule="atLeast"/>
        </w:trPr>
        <w:tc>
          <w:tcPr>
            <w:tcW w:w="4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2"/>
                <w:lang w:bidi="ar"/>
              </w:rPr>
              <w:t>其中： 一般债务限额</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2"/>
                <w:lang w:bidi="ar"/>
              </w:rPr>
              <w:t>B</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65.95 </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imes New Roman" w:hAnsi="Times New Roman" w:eastAsia="宋体" w:cs="宋体"/>
                <w:color w:val="000000"/>
                <w:sz w:val="20"/>
                <w:szCs w:val="20"/>
              </w:rPr>
            </w:pPr>
          </w:p>
        </w:tc>
      </w:tr>
      <w:tr>
        <w:tblPrEx>
          <w:tblLayout w:type="fixed"/>
          <w:tblCellMar>
            <w:top w:w="0" w:type="dxa"/>
            <w:left w:w="0" w:type="dxa"/>
            <w:bottom w:w="0" w:type="dxa"/>
            <w:right w:w="0" w:type="dxa"/>
          </w:tblCellMar>
        </w:tblPrEx>
        <w:trPr>
          <w:trHeight w:val="454" w:hRule="atLeast"/>
        </w:trPr>
        <w:tc>
          <w:tcPr>
            <w:tcW w:w="4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2"/>
                <w:lang w:bidi="ar"/>
              </w:rPr>
              <w:t xml:space="preserve">       专项债务限额</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2"/>
                <w:lang w:bidi="ar"/>
              </w:rPr>
              <w:t>C</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36.60 </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imes New Roman" w:hAnsi="Times New Roman" w:eastAsia="宋体" w:cs="宋体"/>
                <w:color w:val="000000"/>
                <w:sz w:val="20"/>
                <w:szCs w:val="20"/>
              </w:rPr>
            </w:pPr>
          </w:p>
        </w:tc>
      </w:tr>
      <w:tr>
        <w:tblPrEx>
          <w:tblLayout w:type="fixed"/>
          <w:tblCellMar>
            <w:top w:w="0" w:type="dxa"/>
            <w:left w:w="0" w:type="dxa"/>
            <w:bottom w:w="0" w:type="dxa"/>
            <w:right w:w="0" w:type="dxa"/>
          </w:tblCellMar>
        </w:tblPrEx>
        <w:trPr>
          <w:trHeight w:val="454" w:hRule="atLeast"/>
        </w:trPr>
        <w:tc>
          <w:tcPr>
            <w:tcW w:w="4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2"/>
                <w:lang w:bidi="ar"/>
              </w:rPr>
              <w:t>二：提前下达的</w:t>
            </w:r>
            <w:r>
              <w:rPr>
                <w:rFonts w:ascii="Times New Roman" w:hAnsi="Times New Roman" w:eastAsia="宋体" w:cs="Times New Roman"/>
                <w:color w:val="000000"/>
                <w:kern w:val="0"/>
                <w:sz w:val="22"/>
                <w:lang w:bidi="ar"/>
              </w:rPr>
              <w:t>2023</w:t>
            </w:r>
            <w:r>
              <w:rPr>
                <w:rFonts w:hint="eastAsia" w:ascii="Times New Roman" w:hAnsi="Times New Roman" w:eastAsia="宋体" w:cs="宋体"/>
                <w:color w:val="000000"/>
                <w:kern w:val="0"/>
                <w:sz w:val="22"/>
                <w:lang w:bidi="ar"/>
              </w:rPr>
              <w:t>年地方政府债务限额</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2"/>
                <w:lang w:bidi="ar"/>
              </w:rPr>
              <w:t>D=E+F</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1.00 </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imes New Roman" w:hAnsi="Times New Roman" w:eastAsia="宋体" w:cs="宋体"/>
                <w:color w:val="000000"/>
                <w:sz w:val="20"/>
                <w:szCs w:val="20"/>
              </w:rPr>
            </w:pPr>
          </w:p>
        </w:tc>
      </w:tr>
      <w:tr>
        <w:tblPrEx>
          <w:tblLayout w:type="fixed"/>
          <w:tblCellMar>
            <w:top w:w="0" w:type="dxa"/>
            <w:left w:w="0" w:type="dxa"/>
            <w:bottom w:w="0" w:type="dxa"/>
            <w:right w:w="0" w:type="dxa"/>
          </w:tblCellMar>
        </w:tblPrEx>
        <w:trPr>
          <w:trHeight w:val="454" w:hRule="atLeast"/>
        </w:trPr>
        <w:tc>
          <w:tcPr>
            <w:tcW w:w="4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2"/>
                <w:lang w:bidi="ar"/>
              </w:rPr>
              <w:t>其中： 一般债务限额</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2"/>
                <w:lang w:bidi="ar"/>
              </w:rPr>
              <w:t>E</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0"/>
                <w:szCs w:val="20"/>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imes New Roman" w:hAnsi="Times New Roman" w:eastAsia="宋体" w:cs="宋体"/>
                <w:color w:val="000000"/>
                <w:sz w:val="20"/>
                <w:szCs w:val="20"/>
              </w:rPr>
            </w:pPr>
          </w:p>
        </w:tc>
      </w:tr>
      <w:tr>
        <w:tblPrEx>
          <w:tblLayout w:type="fixed"/>
          <w:tblCellMar>
            <w:top w:w="0" w:type="dxa"/>
            <w:left w:w="0" w:type="dxa"/>
            <w:bottom w:w="0" w:type="dxa"/>
            <w:right w:w="0" w:type="dxa"/>
          </w:tblCellMar>
        </w:tblPrEx>
        <w:trPr>
          <w:trHeight w:val="454" w:hRule="atLeast"/>
        </w:trPr>
        <w:tc>
          <w:tcPr>
            <w:tcW w:w="4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2"/>
                <w:lang w:bidi="ar"/>
              </w:rPr>
              <w:t xml:space="preserve">       专项债务限额</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2"/>
                <w:lang w:bidi="ar"/>
              </w:rPr>
              <w:t>F</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1.00 </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imes New Roman" w:hAnsi="Times New Roman" w:eastAsia="宋体" w:cs="宋体"/>
                <w:color w:val="000000"/>
                <w:sz w:val="20"/>
                <w:szCs w:val="20"/>
              </w:rPr>
            </w:pPr>
          </w:p>
        </w:tc>
      </w:tr>
      <w:tr>
        <w:tblPrEx>
          <w:tblLayout w:type="fixed"/>
          <w:tblCellMar>
            <w:top w:w="0" w:type="dxa"/>
            <w:left w:w="0" w:type="dxa"/>
            <w:bottom w:w="0" w:type="dxa"/>
            <w:right w:w="0" w:type="dxa"/>
          </w:tblCellMar>
        </w:tblPrEx>
        <w:trPr>
          <w:trHeight w:val="454" w:hRule="atLeast"/>
        </w:trPr>
        <w:tc>
          <w:tcPr>
            <w:tcW w:w="4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kern w:val="0"/>
                <w:sz w:val="22"/>
                <w:lang w:bidi="ar"/>
              </w:rPr>
            </w:pPr>
            <w:r>
              <w:rPr>
                <w:rFonts w:hint="eastAsia" w:ascii="Times New Roman" w:hAnsi="Times New Roman" w:eastAsia="宋体" w:cs="宋体"/>
                <w:color w:val="000000"/>
                <w:kern w:val="0"/>
                <w:sz w:val="22"/>
                <w:lang w:bidi="ar"/>
              </w:rPr>
              <w:t>三、</w:t>
            </w:r>
            <w:r>
              <w:rPr>
                <w:rFonts w:ascii="Times New Roman" w:hAnsi="Times New Roman" w:eastAsia="宋体" w:cs="Times New Roman"/>
                <w:color w:val="000000"/>
                <w:kern w:val="0"/>
                <w:sz w:val="22"/>
                <w:lang w:bidi="ar"/>
              </w:rPr>
              <w:t>2023</w:t>
            </w:r>
            <w:r>
              <w:rPr>
                <w:rFonts w:hint="eastAsia" w:ascii="Times New Roman" w:hAnsi="Times New Roman" w:eastAsia="宋体" w:cs="宋体"/>
                <w:color w:val="000000"/>
                <w:kern w:val="0"/>
                <w:sz w:val="22"/>
                <w:lang w:bidi="ar"/>
              </w:rPr>
              <w:t>年政府债务限额预算数</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kern w:val="0"/>
                <w:sz w:val="22"/>
                <w:lang w:bidi="ar"/>
              </w:rPr>
            </w:pPr>
            <w:r>
              <w:rPr>
                <w:rFonts w:hint="eastAsia" w:ascii="Times New Roman" w:hAnsi="Times New Roman" w:eastAsia="宋体" w:cs="宋体"/>
                <w:color w:val="000000"/>
                <w:kern w:val="0"/>
                <w:sz w:val="22"/>
                <w:lang w:bidi="ar"/>
              </w:rPr>
              <w:t>G=H+I</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103</w:t>
            </w:r>
            <w:r>
              <w:rPr>
                <w:rFonts w:hint="eastAsia" w:ascii="Times New Roman" w:hAnsi="Times New Roman" w:eastAsia="宋体" w:cs="Times New Roman"/>
                <w:color w:val="000000"/>
                <w:kern w:val="0"/>
                <w:sz w:val="20"/>
                <w:szCs w:val="20"/>
                <w:lang w:bidi="ar"/>
              </w:rPr>
              <w:t>.</w:t>
            </w:r>
            <w:r>
              <w:rPr>
                <w:rFonts w:ascii="Times New Roman" w:hAnsi="Times New Roman" w:eastAsia="宋体" w:cs="Times New Roman"/>
                <w:color w:val="000000"/>
                <w:kern w:val="0"/>
                <w:sz w:val="20"/>
                <w:szCs w:val="20"/>
                <w:lang w:bidi="ar"/>
              </w:rPr>
              <w:t>55</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imes New Roman" w:hAnsi="Times New Roman" w:eastAsia="宋体" w:cs="宋体"/>
                <w:color w:val="000000"/>
                <w:sz w:val="20"/>
                <w:szCs w:val="20"/>
              </w:rPr>
            </w:pPr>
          </w:p>
        </w:tc>
      </w:tr>
      <w:tr>
        <w:tblPrEx>
          <w:tblLayout w:type="fixed"/>
          <w:tblCellMar>
            <w:top w:w="0" w:type="dxa"/>
            <w:left w:w="0" w:type="dxa"/>
            <w:bottom w:w="0" w:type="dxa"/>
            <w:right w:w="0" w:type="dxa"/>
          </w:tblCellMar>
        </w:tblPrEx>
        <w:trPr>
          <w:trHeight w:val="454" w:hRule="atLeast"/>
        </w:trPr>
        <w:tc>
          <w:tcPr>
            <w:tcW w:w="4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kern w:val="0"/>
                <w:sz w:val="22"/>
                <w:lang w:bidi="ar"/>
              </w:rPr>
            </w:pPr>
            <w:r>
              <w:rPr>
                <w:rFonts w:hint="eastAsia" w:ascii="Times New Roman" w:hAnsi="Times New Roman" w:eastAsia="宋体" w:cs="宋体"/>
                <w:color w:val="000000"/>
                <w:kern w:val="0"/>
                <w:sz w:val="22"/>
                <w:lang w:bidi="ar"/>
              </w:rPr>
              <w:t>其中： 一般债务限额</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kern w:val="0"/>
                <w:sz w:val="22"/>
                <w:lang w:bidi="ar"/>
              </w:rPr>
            </w:pPr>
            <w:r>
              <w:rPr>
                <w:rFonts w:hint="eastAsia" w:ascii="Times New Roman" w:hAnsi="Times New Roman" w:eastAsia="宋体" w:cs="宋体"/>
                <w:color w:val="000000"/>
                <w:kern w:val="0"/>
                <w:sz w:val="22"/>
                <w:lang w:bidi="ar"/>
              </w:rPr>
              <w:t>H</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65</w:t>
            </w:r>
            <w:r>
              <w:rPr>
                <w:rFonts w:hint="eastAsia" w:ascii="Times New Roman" w:hAnsi="Times New Roman" w:eastAsia="宋体" w:cs="Times New Roman"/>
                <w:color w:val="000000"/>
                <w:kern w:val="0"/>
                <w:sz w:val="20"/>
                <w:szCs w:val="20"/>
                <w:lang w:bidi="ar"/>
              </w:rPr>
              <w:t>.</w:t>
            </w:r>
            <w:r>
              <w:rPr>
                <w:rFonts w:ascii="Times New Roman" w:hAnsi="Times New Roman" w:eastAsia="宋体" w:cs="Times New Roman"/>
                <w:color w:val="000000"/>
                <w:kern w:val="0"/>
                <w:sz w:val="20"/>
                <w:szCs w:val="20"/>
                <w:lang w:bidi="ar"/>
              </w:rPr>
              <w:t>95</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imes New Roman" w:hAnsi="Times New Roman" w:eastAsia="宋体" w:cs="宋体"/>
                <w:color w:val="000000"/>
                <w:sz w:val="20"/>
                <w:szCs w:val="20"/>
              </w:rPr>
            </w:pPr>
          </w:p>
        </w:tc>
      </w:tr>
      <w:tr>
        <w:tblPrEx>
          <w:tblLayout w:type="fixed"/>
          <w:tblCellMar>
            <w:top w:w="0" w:type="dxa"/>
            <w:left w:w="0" w:type="dxa"/>
            <w:bottom w:w="0" w:type="dxa"/>
            <w:right w:w="0" w:type="dxa"/>
          </w:tblCellMar>
        </w:tblPrEx>
        <w:trPr>
          <w:trHeight w:val="454" w:hRule="atLeast"/>
        </w:trPr>
        <w:tc>
          <w:tcPr>
            <w:tcW w:w="4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宋体"/>
                <w:color w:val="000000"/>
                <w:kern w:val="0"/>
                <w:sz w:val="22"/>
                <w:lang w:bidi="ar"/>
              </w:rPr>
            </w:pPr>
            <w:r>
              <w:rPr>
                <w:rFonts w:hint="eastAsia" w:ascii="Times New Roman" w:hAnsi="Times New Roman" w:eastAsia="宋体" w:cs="宋体"/>
                <w:color w:val="000000"/>
                <w:kern w:val="0"/>
                <w:sz w:val="22"/>
                <w:lang w:bidi="ar"/>
              </w:rPr>
              <w:t xml:space="preserve">       专项债务限额</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宋体"/>
                <w:color w:val="000000"/>
                <w:kern w:val="0"/>
                <w:sz w:val="22"/>
                <w:lang w:bidi="ar"/>
              </w:rPr>
            </w:pPr>
            <w:r>
              <w:rPr>
                <w:rFonts w:hint="eastAsia" w:ascii="Times New Roman" w:hAnsi="Times New Roman" w:eastAsia="宋体" w:cs="宋体"/>
                <w:color w:val="000000"/>
                <w:kern w:val="0"/>
                <w:sz w:val="22"/>
                <w:lang w:bidi="ar"/>
              </w:rPr>
              <w:t>I</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37</w:t>
            </w:r>
            <w:r>
              <w:rPr>
                <w:rFonts w:hint="eastAsia" w:ascii="Times New Roman" w:hAnsi="Times New Roman" w:eastAsia="宋体" w:cs="Times New Roman"/>
                <w:color w:val="000000"/>
                <w:kern w:val="0"/>
                <w:sz w:val="20"/>
                <w:szCs w:val="20"/>
                <w:lang w:bidi="ar"/>
              </w:rPr>
              <w:t>.</w:t>
            </w:r>
            <w:r>
              <w:rPr>
                <w:rFonts w:ascii="Times New Roman" w:hAnsi="Times New Roman" w:eastAsia="宋体" w:cs="Times New Roman"/>
                <w:color w:val="000000"/>
                <w:kern w:val="0"/>
                <w:sz w:val="20"/>
                <w:szCs w:val="20"/>
                <w:lang w:bidi="ar"/>
              </w:rPr>
              <w:t>6</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imes New Roman" w:hAnsi="Times New Roman" w:eastAsia="宋体" w:cs="宋体"/>
                <w:color w:val="000000"/>
                <w:sz w:val="20"/>
                <w:szCs w:val="20"/>
              </w:rPr>
            </w:pPr>
          </w:p>
        </w:tc>
      </w:tr>
    </w:tbl>
    <w:p>
      <w:pPr>
        <w:widowControl/>
        <w:spacing w:before="120" w:beforeLines="50"/>
        <w:jc w:val="lef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注：本表反映本地区及本级预算中列示提前下达的新增地方政府债务限额情况，由县级以上地方各级财政部门在本级人民代表大会批准预算后二十日内公开。</w:t>
      </w:r>
    </w:p>
    <w:p>
      <w:pPr>
        <w:widowControl/>
        <w:spacing w:line="580" w:lineRule="exact"/>
        <w:rPr>
          <w:rFonts w:ascii="Times New Roman" w:hAnsi="Times New Roman" w:eastAsia="方正仿宋_GBK"/>
          <w:lang w:val="zh-CN"/>
        </w:rPr>
      </w:pPr>
    </w:p>
    <w:p>
      <w:pPr>
        <w:widowControl/>
        <w:spacing w:line="580" w:lineRule="exact"/>
        <w:rPr>
          <w:rFonts w:ascii="Times New Roman" w:hAnsi="Times New Roman" w:eastAsia="方正仿宋_GBK"/>
          <w:lang w:val="zh-CN"/>
        </w:rPr>
      </w:pPr>
    </w:p>
    <w:p>
      <w:pPr>
        <w:widowControl/>
        <w:spacing w:line="580" w:lineRule="exact"/>
        <w:rPr>
          <w:rFonts w:ascii="Times New Roman" w:hAnsi="Times New Roman" w:eastAsia="方正仿宋_GBK"/>
          <w:lang w:val="zh-CN"/>
        </w:rPr>
      </w:pPr>
    </w:p>
    <w:p>
      <w:pPr>
        <w:rPr>
          <w:rFonts w:ascii="Times New Roman" w:hAnsi="Times New Roman" w:eastAsia="方正仿宋_GBK"/>
          <w:lang w:val="zh-CN"/>
        </w:rPr>
      </w:pPr>
    </w:p>
    <w:sectPr>
      <w:footerReference r:id="rId5" w:type="default"/>
      <w:footerReference r:id="rId6" w:type="even"/>
      <w:pgSz w:w="11906" w:h="16838"/>
      <w:pgMar w:top="1985" w:right="1446" w:bottom="1644" w:left="1446" w:header="851" w:footer="992" w:gutter="0"/>
      <w:pgNumType w:start="1"/>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imes New Roman" w:hAnsi="Times New Roman" w:cs="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eastAsia="宋体"/>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8"/>
        <w:szCs w:val="28"/>
      </w:rPr>
      <w:id w:val="-629316237"/>
    </w:sdtPr>
    <w:sdtEndPr>
      <w:rPr>
        <w:rFonts w:ascii="Times New Roman" w:hAnsi="Times New Roman" w:cs="Times New Roman"/>
        <w:sz w:val="28"/>
        <w:szCs w:val="28"/>
      </w:rPr>
    </w:sdtEndPr>
    <w:sdtContent>
      <w:p>
        <w:pPr>
          <w:pStyle w:val="5"/>
          <w:jc w:val="right"/>
          <w:rPr>
            <w:rFonts w:ascii="Times New Roman" w:hAnsi="Times New Roman" w:cs="Times New Roman"/>
            <w:sz w:val="28"/>
            <w:szCs w:val="28"/>
          </w:rPr>
        </w:pPr>
        <w:r>
          <w:rPr>
            <w:rFonts w:cs="Times New Roman" w:asciiTheme="minorEastAsia" w:hAnsiTheme="minorEastAsia"/>
            <w:sz w:val="28"/>
            <w:szCs w:val="28"/>
          </w:rPr>
          <w:t>—</w:t>
        </w:r>
        <w:r>
          <w:rPr>
            <w:rFonts w:ascii="Times New Roman" w:hAnsi="Times New Roman" w:cs="Times New Roman"/>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PAGE   \* MERGEFORMAT</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lang w:val="zh-CN"/>
          </w:rPr>
          <w:t>1</w:t>
        </w:r>
        <w:r>
          <w:rPr>
            <w:rFonts w:hint="eastAsia" w:asciiTheme="minorEastAsia" w:hAnsiTheme="minorEastAsia" w:cstheme="minorEastAsia"/>
            <w:sz w:val="28"/>
            <w:szCs w:val="28"/>
          </w:rPr>
          <w:fldChar w:fldCharType="end"/>
        </w:r>
        <w:r>
          <w:rPr>
            <w:rFonts w:hint="eastAsia" w:ascii="Times New Roman" w:hAnsi="Times New Roman" w:cs="Times New Roman"/>
            <w:sz w:val="28"/>
            <w:szCs w:val="28"/>
          </w:rPr>
          <w:t xml:space="preserve"> </w:t>
        </w:r>
        <w:r>
          <w:rPr>
            <w:rFonts w:cs="Times New Roman" w:asciiTheme="minorEastAsia" w:hAnsiTheme="minorEastAsia"/>
            <w:sz w:val="28"/>
            <w:szCs w:val="28"/>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4"/>
        <w:szCs w:val="24"/>
      </w:rPr>
      <w:id w:val="439959910"/>
    </w:sdtPr>
    <w:sdtEndPr>
      <w:rPr>
        <w:rFonts w:ascii="宋体" w:hAnsi="宋体" w:eastAsia="宋体"/>
        <w:sz w:val="24"/>
        <w:szCs w:val="24"/>
      </w:rPr>
    </w:sdtEndPr>
    <w:sdtContent>
      <w:p>
        <w:pPr>
          <w:pStyle w:val="5"/>
          <w:rPr>
            <w:rFonts w:ascii="宋体" w:hAnsi="宋体" w:eastAsia="宋体"/>
            <w:sz w:val="24"/>
            <w:szCs w:val="24"/>
          </w:rPr>
        </w:pPr>
        <w:r>
          <w:rPr>
            <w:rFonts w:cs="Times New Roman" w:asciiTheme="minorEastAsia" w:hAnsi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PAGE   \* MERGEFORMAT</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lang w:val="zh-CN"/>
          </w:rPr>
          <w:t>2</w:t>
        </w:r>
        <w:r>
          <w:rPr>
            <w:rFonts w:hint="eastAsia" w:asciiTheme="minorEastAsia" w:hAnsiTheme="minorEastAsia" w:cstheme="minorEastAsia"/>
            <w:sz w:val="28"/>
            <w:szCs w:val="28"/>
          </w:rPr>
          <w:fldChar w:fldCharType="end"/>
        </w:r>
        <w:r>
          <w:rPr>
            <w:rFonts w:ascii="宋体" w:hAnsi="宋体" w:eastAsia="宋体"/>
            <w:sz w:val="24"/>
            <w:szCs w:val="24"/>
          </w:rPr>
          <w:t xml:space="preserve"> </w:t>
        </w:r>
        <w:r>
          <w:rPr>
            <w:rFonts w:cs="Times New Roman" w:asciiTheme="minorEastAsia" w:hAnsiTheme="minorEastAsia"/>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bordersDoNotSurroundHeader w:val="0"/>
  <w:bordersDoNotSurroundFooter w:val="0"/>
  <w:hideSpellingErrors/>
  <w:documentProtection w:enforcement="0"/>
  <w:defaultTabStop w:val="420"/>
  <w:evenAndOddHeaders w:val="1"/>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5OWU3MmE5YWM4Njk4YmM4YjRiMzkzZjNkMzRkZTcifQ=="/>
  </w:docVars>
  <w:rsids>
    <w:rsidRoot w:val="00731CDD"/>
    <w:rsid w:val="000011AC"/>
    <w:rsid w:val="00010C8B"/>
    <w:rsid w:val="000202F8"/>
    <w:rsid w:val="000227EE"/>
    <w:rsid w:val="0002284E"/>
    <w:rsid w:val="00022BF9"/>
    <w:rsid w:val="00023841"/>
    <w:rsid w:val="000378C4"/>
    <w:rsid w:val="00040150"/>
    <w:rsid w:val="0004061B"/>
    <w:rsid w:val="00050B92"/>
    <w:rsid w:val="000515AA"/>
    <w:rsid w:val="00055C31"/>
    <w:rsid w:val="000564C2"/>
    <w:rsid w:val="00065A24"/>
    <w:rsid w:val="00074680"/>
    <w:rsid w:val="0007785E"/>
    <w:rsid w:val="00083EC4"/>
    <w:rsid w:val="00093F0A"/>
    <w:rsid w:val="000A4BE6"/>
    <w:rsid w:val="000A66CF"/>
    <w:rsid w:val="000A6907"/>
    <w:rsid w:val="000B24F2"/>
    <w:rsid w:val="000B4A96"/>
    <w:rsid w:val="000C648D"/>
    <w:rsid w:val="000D1CF1"/>
    <w:rsid w:val="000D4B6F"/>
    <w:rsid w:val="000F3EAF"/>
    <w:rsid w:val="00127C56"/>
    <w:rsid w:val="00135352"/>
    <w:rsid w:val="001373BC"/>
    <w:rsid w:val="00137ACA"/>
    <w:rsid w:val="00144ACB"/>
    <w:rsid w:val="00154D1F"/>
    <w:rsid w:val="001731AE"/>
    <w:rsid w:val="00177092"/>
    <w:rsid w:val="00187728"/>
    <w:rsid w:val="00196B5F"/>
    <w:rsid w:val="001C0BCA"/>
    <w:rsid w:val="001C13C6"/>
    <w:rsid w:val="001C27F3"/>
    <w:rsid w:val="001C7A14"/>
    <w:rsid w:val="0020435A"/>
    <w:rsid w:val="00206D1C"/>
    <w:rsid w:val="00216643"/>
    <w:rsid w:val="00236722"/>
    <w:rsid w:val="002568DE"/>
    <w:rsid w:val="002625D9"/>
    <w:rsid w:val="00263C99"/>
    <w:rsid w:val="00265ACC"/>
    <w:rsid w:val="0026640C"/>
    <w:rsid w:val="0027015A"/>
    <w:rsid w:val="00281657"/>
    <w:rsid w:val="002B6773"/>
    <w:rsid w:val="002C2361"/>
    <w:rsid w:val="002D305A"/>
    <w:rsid w:val="002E165D"/>
    <w:rsid w:val="002E1F11"/>
    <w:rsid w:val="002E2214"/>
    <w:rsid w:val="003255E7"/>
    <w:rsid w:val="0033386F"/>
    <w:rsid w:val="00335167"/>
    <w:rsid w:val="0034173D"/>
    <w:rsid w:val="003418E0"/>
    <w:rsid w:val="00342667"/>
    <w:rsid w:val="00343B39"/>
    <w:rsid w:val="00344817"/>
    <w:rsid w:val="00351A83"/>
    <w:rsid w:val="00351C3B"/>
    <w:rsid w:val="003529AD"/>
    <w:rsid w:val="00357AB9"/>
    <w:rsid w:val="0036151C"/>
    <w:rsid w:val="00366299"/>
    <w:rsid w:val="003672BF"/>
    <w:rsid w:val="003825A0"/>
    <w:rsid w:val="003833DF"/>
    <w:rsid w:val="00383FE3"/>
    <w:rsid w:val="00390E53"/>
    <w:rsid w:val="003951B8"/>
    <w:rsid w:val="003E011E"/>
    <w:rsid w:val="003E1A34"/>
    <w:rsid w:val="003E4647"/>
    <w:rsid w:val="003E5FD6"/>
    <w:rsid w:val="003F72D6"/>
    <w:rsid w:val="00402395"/>
    <w:rsid w:val="00406674"/>
    <w:rsid w:val="0042732E"/>
    <w:rsid w:val="00433719"/>
    <w:rsid w:val="00437585"/>
    <w:rsid w:val="00441622"/>
    <w:rsid w:val="00446402"/>
    <w:rsid w:val="0044762A"/>
    <w:rsid w:val="00447667"/>
    <w:rsid w:val="004609A0"/>
    <w:rsid w:val="00465ADD"/>
    <w:rsid w:val="00471245"/>
    <w:rsid w:val="00476F2F"/>
    <w:rsid w:val="0048570C"/>
    <w:rsid w:val="00496318"/>
    <w:rsid w:val="004972FC"/>
    <w:rsid w:val="004A3407"/>
    <w:rsid w:val="004C1A6A"/>
    <w:rsid w:val="004C22DC"/>
    <w:rsid w:val="004C2D81"/>
    <w:rsid w:val="004C76ED"/>
    <w:rsid w:val="004D1FEC"/>
    <w:rsid w:val="004E0641"/>
    <w:rsid w:val="004E4204"/>
    <w:rsid w:val="004E5D2B"/>
    <w:rsid w:val="004F1CC0"/>
    <w:rsid w:val="0051109F"/>
    <w:rsid w:val="00511F10"/>
    <w:rsid w:val="00514933"/>
    <w:rsid w:val="00520B43"/>
    <w:rsid w:val="00523673"/>
    <w:rsid w:val="00536E5B"/>
    <w:rsid w:val="00540D0F"/>
    <w:rsid w:val="00541D4C"/>
    <w:rsid w:val="00560E2E"/>
    <w:rsid w:val="00562462"/>
    <w:rsid w:val="00564437"/>
    <w:rsid w:val="00566219"/>
    <w:rsid w:val="00573B8A"/>
    <w:rsid w:val="00573C25"/>
    <w:rsid w:val="005876A4"/>
    <w:rsid w:val="005A11B3"/>
    <w:rsid w:val="005A5803"/>
    <w:rsid w:val="005B7D67"/>
    <w:rsid w:val="005C0648"/>
    <w:rsid w:val="005D323A"/>
    <w:rsid w:val="005D3E45"/>
    <w:rsid w:val="005D6383"/>
    <w:rsid w:val="005D77A0"/>
    <w:rsid w:val="005F245E"/>
    <w:rsid w:val="00602764"/>
    <w:rsid w:val="006201EE"/>
    <w:rsid w:val="00632183"/>
    <w:rsid w:val="00641DBC"/>
    <w:rsid w:val="00664CB9"/>
    <w:rsid w:val="00667FCD"/>
    <w:rsid w:val="006855D7"/>
    <w:rsid w:val="0069254E"/>
    <w:rsid w:val="006A11CD"/>
    <w:rsid w:val="006A3CB8"/>
    <w:rsid w:val="006A5C5C"/>
    <w:rsid w:val="006C7C81"/>
    <w:rsid w:val="006C7E0A"/>
    <w:rsid w:val="006D0F78"/>
    <w:rsid w:val="006E56FC"/>
    <w:rsid w:val="006F6F8C"/>
    <w:rsid w:val="007048C6"/>
    <w:rsid w:val="00706668"/>
    <w:rsid w:val="007252FF"/>
    <w:rsid w:val="00731C0E"/>
    <w:rsid w:val="00731CDD"/>
    <w:rsid w:val="007356F9"/>
    <w:rsid w:val="00741540"/>
    <w:rsid w:val="00741D6C"/>
    <w:rsid w:val="0074338F"/>
    <w:rsid w:val="00743DDE"/>
    <w:rsid w:val="0074591D"/>
    <w:rsid w:val="007509F4"/>
    <w:rsid w:val="00753CA4"/>
    <w:rsid w:val="0076130C"/>
    <w:rsid w:val="00767206"/>
    <w:rsid w:val="00767823"/>
    <w:rsid w:val="00770884"/>
    <w:rsid w:val="007853A6"/>
    <w:rsid w:val="00785D39"/>
    <w:rsid w:val="007962AC"/>
    <w:rsid w:val="007A690A"/>
    <w:rsid w:val="007C3D5C"/>
    <w:rsid w:val="007C4AAC"/>
    <w:rsid w:val="007C64BC"/>
    <w:rsid w:val="007C7BC2"/>
    <w:rsid w:val="007E1661"/>
    <w:rsid w:val="007E5E87"/>
    <w:rsid w:val="007E64DC"/>
    <w:rsid w:val="00802A21"/>
    <w:rsid w:val="00821BC9"/>
    <w:rsid w:val="008241A1"/>
    <w:rsid w:val="008249A1"/>
    <w:rsid w:val="00826DCB"/>
    <w:rsid w:val="00826EF3"/>
    <w:rsid w:val="0082772B"/>
    <w:rsid w:val="00834215"/>
    <w:rsid w:val="008400A7"/>
    <w:rsid w:val="00843CA9"/>
    <w:rsid w:val="00845BDB"/>
    <w:rsid w:val="008462DF"/>
    <w:rsid w:val="00850612"/>
    <w:rsid w:val="008604EB"/>
    <w:rsid w:val="0086531F"/>
    <w:rsid w:val="00874350"/>
    <w:rsid w:val="008755E4"/>
    <w:rsid w:val="00884B2F"/>
    <w:rsid w:val="00886A2C"/>
    <w:rsid w:val="00886ABB"/>
    <w:rsid w:val="008A1902"/>
    <w:rsid w:val="008A2BA9"/>
    <w:rsid w:val="008A4997"/>
    <w:rsid w:val="008A4ECB"/>
    <w:rsid w:val="008A6D73"/>
    <w:rsid w:val="008B3305"/>
    <w:rsid w:val="008C4B39"/>
    <w:rsid w:val="008C6BCF"/>
    <w:rsid w:val="008D4178"/>
    <w:rsid w:val="008D54C3"/>
    <w:rsid w:val="008D6E28"/>
    <w:rsid w:val="008E5BF7"/>
    <w:rsid w:val="009074A1"/>
    <w:rsid w:val="00907A86"/>
    <w:rsid w:val="00911CD0"/>
    <w:rsid w:val="00917581"/>
    <w:rsid w:val="00924FC6"/>
    <w:rsid w:val="00933909"/>
    <w:rsid w:val="009344DD"/>
    <w:rsid w:val="00936AB9"/>
    <w:rsid w:val="00942286"/>
    <w:rsid w:val="0095198B"/>
    <w:rsid w:val="009653B7"/>
    <w:rsid w:val="00994857"/>
    <w:rsid w:val="00997D13"/>
    <w:rsid w:val="009A0150"/>
    <w:rsid w:val="009A2A39"/>
    <w:rsid w:val="009A4F6E"/>
    <w:rsid w:val="009B1202"/>
    <w:rsid w:val="009D381D"/>
    <w:rsid w:val="009D4EC1"/>
    <w:rsid w:val="009D75C6"/>
    <w:rsid w:val="009E1134"/>
    <w:rsid w:val="009E39DA"/>
    <w:rsid w:val="009E6D62"/>
    <w:rsid w:val="009F7454"/>
    <w:rsid w:val="009F7CEF"/>
    <w:rsid w:val="00A11F4F"/>
    <w:rsid w:val="00A13F8E"/>
    <w:rsid w:val="00A25903"/>
    <w:rsid w:val="00A25B95"/>
    <w:rsid w:val="00A25C95"/>
    <w:rsid w:val="00A26488"/>
    <w:rsid w:val="00A2739E"/>
    <w:rsid w:val="00A328F5"/>
    <w:rsid w:val="00A466BF"/>
    <w:rsid w:val="00A57746"/>
    <w:rsid w:val="00A62D3F"/>
    <w:rsid w:val="00A65543"/>
    <w:rsid w:val="00A65BA8"/>
    <w:rsid w:val="00A977C8"/>
    <w:rsid w:val="00AA43DE"/>
    <w:rsid w:val="00AA62D2"/>
    <w:rsid w:val="00AB19BF"/>
    <w:rsid w:val="00AB2B94"/>
    <w:rsid w:val="00AB4969"/>
    <w:rsid w:val="00AB7E10"/>
    <w:rsid w:val="00AC0951"/>
    <w:rsid w:val="00AC7644"/>
    <w:rsid w:val="00AE1572"/>
    <w:rsid w:val="00AE7A00"/>
    <w:rsid w:val="00AF495B"/>
    <w:rsid w:val="00AF4D26"/>
    <w:rsid w:val="00AF59E3"/>
    <w:rsid w:val="00B02C7C"/>
    <w:rsid w:val="00B153E4"/>
    <w:rsid w:val="00B20DCA"/>
    <w:rsid w:val="00B22492"/>
    <w:rsid w:val="00B3507A"/>
    <w:rsid w:val="00B44117"/>
    <w:rsid w:val="00B45F16"/>
    <w:rsid w:val="00B51D16"/>
    <w:rsid w:val="00B63860"/>
    <w:rsid w:val="00B74925"/>
    <w:rsid w:val="00B7587A"/>
    <w:rsid w:val="00B8324F"/>
    <w:rsid w:val="00B937F6"/>
    <w:rsid w:val="00BA2173"/>
    <w:rsid w:val="00BB4766"/>
    <w:rsid w:val="00BB4F84"/>
    <w:rsid w:val="00BC000E"/>
    <w:rsid w:val="00BC1104"/>
    <w:rsid w:val="00BC3B0C"/>
    <w:rsid w:val="00BD1D9A"/>
    <w:rsid w:val="00BD4F23"/>
    <w:rsid w:val="00BE0406"/>
    <w:rsid w:val="00BE1F75"/>
    <w:rsid w:val="00BF6B6B"/>
    <w:rsid w:val="00C04C6D"/>
    <w:rsid w:val="00C12860"/>
    <w:rsid w:val="00C165F6"/>
    <w:rsid w:val="00C4725B"/>
    <w:rsid w:val="00C72206"/>
    <w:rsid w:val="00C73B42"/>
    <w:rsid w:val="00C8094F"/>
    <w:rsid w:val="00C83DFA"/>
    <w:rsid w:val="00C85506"/>
    <w:rsid w:val="00C86648"/>
    <w:rsid w:val="00CA32B6"/>
    <w:rsid w:val="00CB164C"/>
    <w:rsid w:val="00CD77B1"/>
    <w:rsid w:val="00CE6F0F"/>
    <w:rsid w:val="00D04DA4"/>
    <w:rsid w:val="00D05742"/>
    <w:rsid w:val="00D05FCD"/>
    <w:rsid w:val="00D10551"/>
    <w:rsid w:val="00D1144F"/>
    <w:rsid w:val="00D174CC"/>
    <w:rsid w:val="00D21BD9"/>
    <w:rsid w:val="00D22476"/>
    <w:rsid w:val="00D23FB3"/>
    <w:rsid w:val="00D241E1"/>
    <w:rsid w:val="00D322DD"/>
    <w:rsid w:val="00D33F8E"/>
    <w:rsid w:val="00D37D4F"/>
    <w:rsid w:val="00D42DCC"/>
    <w:rsid w:val="00D46E92"/>
    <w:rsid w:val="00D6197A"/>
    <w:rsid w:val="00D77010"/>
    <w:rsid w:val="00D87765"/>
    <w:rsid w:val="00DA251C"/>
    <w:rsid w:val="00DA290D"/>
    <w:rsid w:val="00DD256D"/>
    <w:rsid w:val="00DE1C7B"/>
    <w:rsid w:val="00DE6242"/>
    <w:rsid w:val="00DF3A57"/>
    <w:rsid w:val="00DF4A65"/>
    <w:rsid w:val="00DF538D"/>
    <w:rsid w:val="00E01618"/>
    <w:rsid w:val="00E03331"/>
    <w:rsid w:val="00E0581A"/>
    <w:rsid w:val="00E05E65"/>
    <w:rsid w:val="00E11C86"/>
    <w:rsid w:val="00E123E7"/>
    <w:rsid w:val="00E22F43"/>
    <w:rsid w:val="00E2429D"/>
    <w:rsid w:val="00E305E5"/>
    <w:rsid w:val="00E36A5E"/>
    <w:rsid w:val="00E37E08"/>
    <w:rsid w:val="00E4286C"/>
    <w:rsid w:val="00E47874"/>
    <w:rsid w:val="00E54C60"/>
    <w:rsid w:val="00E558C4"/>
    <w:rsid w:val="00E57C44"/>
    <w:rsid w:val="00E60E21"/>
    <w:rsid w:val="00E645FA"/>
    <w:rsid w:val="00E65AAF"/>
    <w:rsid w:val="00E73DC8"/>
    <w:rsid w:val="00E75D05"/>
    <w:rsid w:val="00E80BA0"/>
    <w:rsid w:val="00E81521"/>
    <w:rsid w:val="00E93316"/>
    <w:rsid w:val="00E94605"/>
    <w:rsid w:val="00EA2383"/>
    <w:rsid w:val="00EB61C8"/>
    <w:rsid w:val="00EC0CF7"/>
    <w:rsid w:val="00EC23CE"/>
    <w:rsid w:val="00EC386B"/>
    <w:rsid w:val="00EC395D"/>
    <w:rsid w:val="00EC669E"/>
    <w:rsid w:val="00ED5254"/>
    <w:rsid w:val="00EF4B35"/>
    <w:rsid w:val="00F01462"/>
    <w:rsid w:val="00F030A2"/>
    <w:rsid w:val="00F04AEA"/>
    <w:rsid w:val="00F074E3"/>
    <w:rsid w:val="00F22F06"/>
    <w:rsid w:val="00F27DD2"/>
    <w:rsid w:val="00F32685"/>
    <w:rsid w:val="00F334CE"/>
    <w:rsid w:val="00F36DC9"/>
    <w:rsid w:val="00F70A95"/>
    <w:rsid w:val="00F72B5F"/>
    <w:rsid w:val="00F72C3C"/>
    <w:rsid w:val="00F87734"/>
    <w:rsid w:val="00FA2FCC"/>
    <w:rsid w:val="00FA342E"/>
    <w:rsid w:val="00FB7F47"/>
    <w:rsid w:val="00FE3F1D"/>
    <w:rsid w:val="00FF3E38"/>
    <w:rsid w:val="00FF4C5E"/>
    <w:rsid w:val="01205F13"/>
    <w:rsid w:val="01390E7F"/>
    <w:rsid w:val="01551D6D"/>
    <w:rsid w:val="01700463"/>
    <w:rsid w:val="01AA4679"/>
    <w:rsid w:val="01B662AD"/>
    <w:rsid w:val="01D779A5"/>
    <w:rsid w:val="01F812E6"/>
    <w:rsid w:val="01FB2325"/>
    <w:rsid w:val="020A2826"/>
    <w:rsid w:val="02612C94"/>
    <w:rsid w:val="0273490C"/>
    <w:rsid w:val="02A35FE6"/>
    <w:rsid w:val="02A72F06"/>
    <w:rsid w:val="02BC3901"/>
    <w:rsid w:val="02E462E6"/>
    <w:rsid w:val="02ED15D1"/>
    <w:rsid w:val="02EE187B"/>
    <w:rsid w:val="03041F62"/>
    <w:rsid w:val="033773C3"/>
    <w:rsid w:val="036F364D"/>
    <w:rsid w:val="03AD4085"/>
    <w:rsid w:val="03C04726"/>
    <w:rsid w:val="03C91411"/>
    <w:rsid w:val="04227018"/>
    <w:rsid w:val="046C37BD"/>
    <w:rsid w:val="048112EB"/>
    <w:rsid w:val="04B5547A"/>
    <w:rsid w:val="04C30A41"/>
    <w:rsid w:val="04DF4DE2"/>
    <w:rsid w:val="04E52838"/>
    <w:rsid w:val="05652202"/>
    <w:rsid w:val="056A4967"/>
    <w:rsid w:val="05E61D2B"/>
    <w:rsid w:val="06253391"/>
    <w:rsid w:val="06424167"/>
    <w:rsid w:val="06491379"/>
    <w:rsid w:val="065B2F5D"/>
    <w:rsid w:val="065D4F3D"/>
    <w:rsid w:val="068C216D"/>
    <w:rsid w:val="06A369B1"/>
    <w:rsid w:val="06E9650D"/>
    <w:rsid w:val="06F8411C"/>
    <w:rsid w:val="07010F30"/>
    <w:rsid w:val="074248CA"/>
    <w:rsid w:val="07B37635"/>
    <w:rsid w:val="07B74656"/>
    <w:rsid w:val="07BC374B"/>
    <w:rsid w:val="07D94E23"/>
    <w:rsid w:val="07F277DF"/>
    <w:rsid w:val="08232FAA"/>
    <w:rsid w:val="082A1150"/>
    <w:rsid w:val="083822C1"/>
    <w:rsid w:val="089F5462"/>
    <w:rsid w:val="08CA36AE"/>
    <w:rsid w:val="08F932F2"/>
    <w:rsid w:val="09B471EF"/>
    <w:rsid w:val="09C256AB"/>
    <w:rsid w:val="09CB26EE"/>
    <w:rsid w:val="09DB2488"/>
    <w:rsid w:val="0A1001F5"/>
    <w:rsid w:val="0A550321"/>
    <w:rsid w:val="0A575B27"/>
    <w:rsid w:val="0A576D78"/>
    <w:rsid w:val="0ACC1883"/>
    <w:rsid w:val="0AE40718"/>
    <w:rsid w:val="0B2E4780"/>
    <w:rsid w:val="0B340E75"/>
    <w:rsid w:val="0B484B6B"/>
    <w:rsid w:val="0B6923F0"/>
    <w:rsid w:val="0B69671C"/>
    <w:rsid w:val="0B78347C"/>
    <w:rsid w:val="0BA57F59"/>
    <w:rsid w:val="0BB579E9"/>
    <w:rsid w:val="0BB76FA0"/>
    <w:rsid w:val="0BBF2050"/>
    <w:rsid w:val="0BF82BB3"/>
    <w:rsid w:val="0C3E79DE"/>
    <w:rsid w:val="0C566D9B"/>
    <w:rsid w:val="0CAE26D5"/>
    <w:rsid w:val="0CC91090"/>
    <w:rsid w:val="0CD80E47"/>
    <w:rsid w:val="0D2C1FAF"/>
    <w:rsid w:val="0D421576"/>
    <w:rsid w:val="0DCC71BC"/>
    <w:rsid w:val="0DDD070F"/>
    <w:rsid w:val="0DF21399"/>
    <w:rsid w:val="0E206E3B"/>
    <w:rsid w:val="0E5B3282"/>
    <w:rsid w:val="0E73342A"/>
    <w:rsid w:val="0E7F2431"/>
    <w:rsid w:val="0E9C0F5D"/>
    <w:rsid w:val="0ED163B6"/>
    <w:rsid w:val="0EDD4DE0"/>
    <w:rsid w:val="0EF91D43"/>
    <w:rsid w:val="0F883A06"/>
    <w:rsid w:val="0F8B35E3"/>
    <w:rsid w:val="0FA51EA8"/>
    <w:rsid w:val="0FE9151B"/>
    <w:rsid w:val="10013820"/>
    <w:rsid w:val="1010235E"/>
    <w:rsid w:val="10164DED"/>
    <w:rsid w:val="101978B9"/>
    <w:rsid w:val="107E1254"/>
    <w:rsid w:val="10B34EF9"/>
    <w:rsid w:val="10E010BC"/>
    <w:rsid w:val="10ED229E"/>
    <w:rsid w:val="11075DF8"/>
    <w:rsid w:val="112A21D3"/>
    <w:rsid w:val="1133067D"/>
    <w:rsid w:val="114145FD"/>
    <w:rsid w:val="114444FB"/>
    <w:rsid w:val="11792014"/>
    <w:rsid w:val="11B873A4"/>
    <w:rsid w:val="11D32976"/>
    <w:rsid w:val="11F724E1"/>
    <w:rsid w:val="11FF1848"/>
    <w:rsid w:val="12241110"/>
    <w:rsid w:val="123662D1"/>
    <w:rsid w:val="123D1013"/>
    <w:rsid w:val="124F28A4"/>
    <w:rsid w:val="128E6BF4"/>
    <w:rsid w:val="1297274D"/>
    <w:rsid w:val="12C7072D"/>
    <w:rsid w:val="12E265B5"/>
    <w:rsid w:val="13136FE4"/>
    <w:rsid w:val="133B4811"/>
    <w:rsid w:val="136C4DEF"/>
    <w:rsid w:val="13A36500"/>
    <w:rsid w:val="13AF5589"/>
    <w:rsid w:val="13B62A32"/>
    <w:rsid w:val="142C4170"/>
    <w:rsid w:val="14895724"/>
    <w:rsid w:val="149256B3"/>
    <w:rsid w:val="14C00110"/>
    <w:rsid w:val="14F67898"/>
    <w:rsid w:val="14FF1FE2"/>
    <w:rsid w:val="150053A0"/>
    <w:rsid w:val="150E57BD"/>
    <w:rsid w:val="156E2EB2"/>
    <w:rsid w:val="15AD5BC0"/>
    <w:rsid w:val="15B77FC3"/>
    <w:rsid w:val="15C52BC3"/>
    <w:rsid w:val="161A5BEA"/>
    <w:rsid w:val="162E49E7"/>
    <w:rsid w:val="16403756"/>
    <w:rsid w:val="16421234"/>
    <w:rsid w:val="164C10A0"/>
    <w:rsid w:val="16532BE3"/>
    <w:rsid w:val="16541874"/>
    <w:rsid w:val="16BB68BC"/>
    <w:rsid w:val="16CC2E5B"/>
    <w:rsid w:val="16D57A28"/>
    <w:rsid w:val="16F8759D"/>
    <w:rsid w:val="171E18D6"/>
    <w:rsid w:val="17456575"/>
    <w:rsid w:val="17931A75"/>
    <w:rsid w:val="17A22B3D"/>
    <w:rsid w:val="17CE36FB"/>
    <w:rsid w:val="17EB43BA"/>
    <w:rsid w:val="183E10F4"/>
    <w:rsid w:val="186515EB"/>
    <w:rsid w:val="187874B4"/>
    <w:rsid w:val="18795A87"/>
    <w:rsid w:val="187E5DD0"/>
    <w:rsid w:val="18DC27B4"/>
    <w:rsid w:val="18F81C83"/>
    <w:rsid w:val="19115D7A"/>
    <w:rsid w:val="195B1ACA"/>
    <w:rsid w:val="1A0B6CBB"/>
    <w:rsid w:val="1A263C92"/>
    <w:rsid w:val="1A317408"/>
    <w:rsid w:val="1A7F4F94"/>
    <w:rsid w:val="1ABF559C"/>
    <w:rsid w:val="1AE252B5"/>
    <w:rsid w:val="1B272C70"/>
    <w:rsid w:val="1B8D47CC"/>
    <w:rsid w:val="1BC96BBC"/>
    <w:rsid w:val="1BDA3518"/>
    <w:rsid w:val="1BE6289B"/>
    <w:rsid w:val="1C01477F"/>
    <w:rsid w:val="1C1549B4"/>
    <w:rsid w:val="1C332600"/>
    <w:rsid w:val="1C532039"/>
    <w:rsid w:val="1C7E6633"/>
    <w:rsid w:val="1C8153B1"/>
    <w:rsid w:val="1CA01899"/>
    <w:rsid w:val="1CA01C02"/>
    <w:rsid w:val="1CC5174A"/>
    <w:rsid w:val="1CD43151"/>
    <w:rsid w:val="1D0301A7"/>
    <w:rsid w:val="1D0600A4"/>
    <w:rsid w:val="1D1707AE"/>
    <w:rsid w:val="1D3A524F"/>
    <w:rsid w:val="1D523497"/>
    <w:rsid w:val="1D5A663D"/>
    <w:rsid w:val="1D6F5A38"/>
    <w:rsid w:val="1D762ADB"/>
    <w:rsid w:val="1D8E174B"/>
    <w:rsid w:val="1D9E02A4"/>
    <w:rsid w:val="1DAE5261"/>
    <w:rsid w:val="1DCE20BC"/>
    <w:rsid w:val="1DDD2B22"/>
    <w:rsid w:val="1DDE3C77"/>
    <w:rsid w:val="1E09423D"/>
    <w:rsid w:val="1E2A14F6"/>
    <w:rsid w:val="1E3D7487"/>
    <w:rsid w:val="1EE5003A"/>
    <w:rsid w:val="1F353ED6"/>
    <w:rsid w:val="1F3F57C8"/>
    <w:rsid w:val="1F461A08"/>
    <w:rsid w:val="1F687320"/>
    <w:rsid w:val="1F6A409A"/>
    <w:rsid w:val="1F9016E2"/>
    <w:rsid w:val="1FAB1A73"/>
    <w:rsid w:val="1FF46DF6"/>
    <w:rsid w:val="1FF631DE"/>
    <w:rsid w:val="20525E84"/>
    <w:rsid w:val="209049A9"/>
    <w:rsid w:val="20A71B16"/>
    <w:rsid w:val="210C7A9E"/>
    <w:rsid w:val="21260813"/>
    <w:rsid w:val="21537C06"/>
    <w:rsid w:val="21C57175"/>
    <w:rsid w:val="21F23D1B"/>
    <w:rsid w:val="223211C8"/>
    <w:rsid w:val="22355DA9"/>
    <w:rsid w:val="22B16B60"/>
    <w:rsid w:val="22D31B08"/>
    <w:rsid w:val="22F031B9"/>
    <w:rsid w:val="233A3F79"/>
    <w:rsid w:val="234F5422"/>
    <w:rsid w:val="23677DA5"/>
    <w:rsid w:val="23832451"/>
    <w:rsid w:val="238E4292"/>
    <w:rsid w:val="23A17761"/>
    <w:rsid w:val="23C242D5"/>
    <w:rsid w:val="240C453D"/>
    <w:rsid w:val="24232EE6"/>
    <w:rsid w:val="24420B56"/>
    <w:rsid w:val="24635A7D"/>
    <w:rsid w:val="247C0BAA"/>
    <w:rsid w:val="24874128"/>
    <w:rsid w:val="24C766B2"/>
    <w:rsid w:val="24ED50E6"/>
    <w:rsid w:val="25595ED7"/>
    <w:rsid w:val="25903607"/>
    <w:rsid w:val="25A212CE"/>
    <w:rsid w:val="25AF0676"/>
    <w:rsid w:val="25C849E4"/>
    <w:rsid w:val="25E168F8"/>
    <w:rsid w:val="25E66EA1"/>
    <w:rsid w:val="25EB1909"/>
    <w:rsid w:val="25F572BE"/>
    <w:rsid w:val="26465C4D"/>
    <w:rsid w:val="264A1001"/>
    <w:rsid w:val="265064A3"/>
    <w:rsid w:val="26577829"/>
    <w:rsid w:val="2676560F"/>
    <w:rsid w:val="267E3062"/>
    <w:rsid w:val="269B3B9E"/>
    <w:rsid w:val="26B06B44"/>
    <w:rsid w:val="26B64076"/>
    <w:rsid w:val="26C66621"/>
    <w:rsid w:val="26C67B59"/>
    <w:rsid w:val="26DE0546"/>
    <w:rsid w:val="275168B8"/>
    <w:rsid w:val="275310CA"/>
    <w:rsid w:val="27745391"/>
    <w:rsid w:val="27B652E3"/>
    <w:rsid w:val="27D772CD"/>
    <w:rsid w:val="281E1931"/>
    <w:rsid w:val="282C58D6"/>
    <w:rsid w:val="283E3B15"/>
    <w:rsid w:val="284B0CD0"/>
    <w:rsid w:val="285C2678"/>
    <w:rsid w:val="286515FB"/>
    <w:rsid w:val="286E32B0"/>
    <w:rsid w:val="287652A8"/>
    <w:rsid w:val="288857FB"/>
    <w:rsid w:val="28940328"/>
    <w:rsid w:val="28AE2D53"/>
    <w:rsid w:val="28B3098C"/>
    <w:rsid w:val="28F8273E"/>
    <w:rsid w:val="291427F3"/>
    <w:rsid w:val="29416C8F"/>
    <w:rsid w:val="295C49B8"/>
    <w:rsid w:val="297D68AC"/>
    <w:rsid w:val="29827BF9"/>
    <w:rsid w:val="29963CD4"/>
    <w:rsid w:val="29A46B38"/>
    <w:rsid w:val="29A76299"/>
    <w:rsid w:val="29AB5B68"/>
    <w:rsid w:val="2A1F0CDD"/>
    <w:rsid w:val="2A4648C3"/>
    <w:rsid w:val="2A50370A"/>
    <w:rsid w:val="2A620BA0"/>
    <w:rsid w:val="2A6E6570"/>
    <w:rsid w:val="2B44259C"/>
    <w:rsid w:val="2B4811EE"/>
    <w:rsid w:val="2B4D0E91"/>
    <w:rsid w:val="2B4E057C"/>
    <w:rsid w:val="2B7D47D0"/>
    <w:rsid w:val="2BB8787F"/>
    <w:rsid w:val="2BBA30B5"/>
    <w:rsid w:val="2BFA53B1"/>
    <w:rsid w:val="2C01725B"/>
    <w:rsid w:val="2C192C91"/>
    <w:rsid w:val="2C2D5FBF"/>
    <w:rsid w:val="2C336F01"/>
    <w:rsid w:val="2C4A45DA"/>
    <w:rsid w:val="2C562F23"/>
    <w:rsid w:val="2C6C21AF"/>
    <w:rsid w:val="2CF76C38"/>
    <w:rsid w:val="2D0964B9"/>
    <w:rsid w:val="2D612D1A"/>
    <w:rsid w:val="2D915FA8"/>
    <w:rsid w:val="2D9D5AE7"/>
    <w:rsid w:val="2DC53663"/>
    <w:rsid w:val="2DD70EF5"/>
    <w:rsid w:val="2DF90708"/>
    <w:rsid w:val="2E031FE5"/>
    <w:rsid w:val="2E330106"/>
    <w:rsid w:val="2E4B08D9"/>
    <w:rsid w:val="2E6E0CC3"/>
    <w:rsid w:val="2E9A3612"/>
    <w:rsid w:val="2EB0581B"/>
    <w:rsid w:val="2EB07653"/>
    <w:rsid w:val="2EB112A8"/>
    <w:rsid w:val="2ED05F9C"/>
    <w:rsid w:val="2F2849DD"/>
    <w:rsid w:val="2F2D07EA"/>
    <w:rsid w:val="2F570503"/>
    <w:rsid w:val="2F6D34A0"/>
    <w:rsid w:val="2F7371B1"/>
    <w:rsid w:val="2F756F06"/>
    <w:rsid w:val="2F8F4411"/>
    <w:rsid w:val="2FD42622"/>
    <w:rsid w:val="2FE06603"/>
    <w:rsid w:val="2FF65868"/>
    <w:rsid w:val="2FF854DD"/>
    <w:rsid w:val="2FFC0BE7"/>
    <w:rsid w:val="300377B6"/>
    <w:rsid w:val="302D3946"/>
    <w:rsid w:val="304A08E7"/>
    <w:rsid w:val="30B6669C"/>
    <w:rsid w:val="30C30680"/>
    <w:rsid w:val="311C7794"/>
    <w:rsid w:val="3146651C"/>
    <w:rsid w:val="314B617F"/>
    <w:rsid w:val="31565DA1"/>
    <w:rsid w:val="319878F9"/>
    <w:rsid w:val="31DB3FB6"/>
    <w:rsid w:val="320A65B6"/>
    <w:rsid w:val="320B5333"/>
    <w:rsid w:val="32467C86"/>
    <w:rsid w:val="32563DEF"/>
    <w:rsid w:val="32C564E7"/>
    <w:rsid w:val="32D9440F"/>
    <w:rsid w:val="330A61AF"/>
    <w:rsid w:val="330D29F2"/>
    <w:rsid w:val="33111262"/>
    <w:rsid w:val="336147B1"/>
    <w:rsid w:val="337A1659"/>
    <w:rsid w:val="338203B6"/>
    <w:rsid w:val="338340EB"/>
    <w:rsid w:val="339512DA"/>
    <w:rsid w:val="33AA02A1"/>
    <w:rsid w:val="33EC1BA3"/>
    <w:rsid w:val="34531302"/>
    <w:rsid w:val="345924AA"/>
    <w:rsid w:val="34651F5B"/>
    <w:rsid w:val="34A929D4"/>
    <w:rsid w:val="34B8120D"/>
    <w:rsid w:val="351D73C8"/>
    <w:rsid w:val="35520D7A"/>
    <w:rsid w:val="35595BC1"/>
    <w:rsid w:val="356E4A96"/>
    <w:rsid w:val="35B53845"/>
    <w:rsid w:val="35CA4CE9"/>
    <w:rsid w:val="36201558"/>
    <w:rsid w:val="36570BD2"/>
    <w:rsid w:val="36794A14"/>
    <w:rsid w:val="36B52C58"/>
    <w:rsid w:val="36C20E92"/>
    <w:rsid w:val="37764619"/>
    <w:rsid w:val="379A61F8"/>
    <w:rsid w:val="37A05750"/>
    <w:rsid w:val="38180289"/>
    <w:rsid w:val="382A780F"/>
    <w:rsid w:val="38A77A02"/>
    <w:rsid w:val="38BD08B5"/>
    <w:rsid w:val="391E3AAE"/>
    <w:rsid w:val="39692A52"/>
    <w:rsid w:val="39A32E25"/>
    <w:rsid w:val="39A526FF"/>
    <w:rsid w:val="39AB6DF3"/>
    <w:rsid w:val="39DB6E06"/>
    <w:rsid w:val="39E37EF3"/>
    <w:rsid w:val="3A1B0086"/>
    <w:rsid w:val="3A7D5919"/>
    <w:rsid w:val="3A9120FF"/>
    <w:rsid w:val="3B0F1BD5"/>
    <w:rsid w:val="3B2B638E"/>
    <w:rsid w:val="3B6D1E97"/>
    <w:rsid w:val="3BFE3932"/>
    <w:rsid w:val="3C0E457D"/>
    <w:rsid w:val="3C2267E3"/>
    <w:rsid w:val="3C241A7A"/>
    <w:rsid w:val="3C2A1198"/>
    <w:rsid w:val="3C510962"/>
    <w:rsid w:val="3CA35B1B"/>
    <w:rsid w:val="3CA67ABB"/>
    <w:rsid w:val="3CE70500"/>
    <w:rsid w:val="3CFE26EE"/>
    <w:rsid w:val="3D003BF1"/>
    <w:rsid w:val="3D0E5A88"/>
    <w:rsid w:val="3D3B6366"/>
    <w:rsid w:val="3D411988"/>
    <w:rsid w:val="3D4B499D"/>
    <w:rsid w:val="3D656EC2"/>
    <w:rsid w:val="3D8C048E"/>
    <w:rsid w:val="3DEF432F"/>
    <w:rsid w:val="3DF16F1F"/>
    <w:rsid w:val="3E1E6F26"/>
    <w:rsid w:val="3E276E12"/>
    <w:rsid w:val="3E294734"/>
    <w:rsid w:val="3E5664B3"/>
    <w:rsid w:val="3E5C3D9F"/>
    <w:rsid w:val="3E686A1C"/>
    <w:rsid w:val="3EC7484E"/>
    <w:rsid w:val="3EE85184"/>
    <w:rsid w:val="3EF63D35"/>
    <w:rsid w:val="3F5E3599"/>
    <w:rsid w:val="3F8A653A"/>
    <w:rsid w:val="3F941B88"/>
    <w:rsid w:val="3FD26E9F"/>
    <w:rsid w:val="3FE2661F"/>
    <w:rsid w:val="40062CA4"/>
    <w:rsid w:val="403E64BA"/>
    <w:rsid w:val="405A1077"/>
    <w:rsid w:val="405A2DAB"/>
    <w:rsid w:val="408806F4"/>
    <w:rsid w:val="40A52919"/>
    <w:rsid w:val="40CF1ABD"/>
    <w:rsid w:val="40F96751"/>
    <w:rsid w:val="412E5438"/>
    <w:rsid w:val="414C2E15"/>
    <w:rsid w:val="41544153"/>
    <w:rsid w:val="415945A7"/>
    <w:rsid w:val="41882546"/>
    <w:rsid w:val="418F2CE4"/>
    <w:rsid w:val="41921FDA"/>
    <w:rsid w:val="41AD2E0D"/>
    <w:rsid w:val="41C9136E"/>
    <w:rsid w:val="420F4F79"/>
    <w:rsid w:val="42246970"/>
    <w:rsid w:val="427E6688"/>
    <w:rsid w:val="42945B70"/>
    <w:rsid w:val="42A37023"/>
    <w:rsid w:val="43277E04"/>
    <w:rsid w:val="43302B12"/>
    <w:rsid w:val="433C108D"/>
    <w:rsid w:val="43483500"/>
    <w:rsid w:val="436E783C"/>
    <w:rsid w:val="437962BC"/>
    <w:rsid w:val="438C25A6"/>
    <w:rsid w:val="43B3239C"/>
    <w:rsid w:val="43D6177C"/>
    <w:rsid w:val="44086495"/>
    <w:rsid w:val="44094451"/>
    <w:rsid w:val="441775BD"/>
    <w:rsid w:val="44397076"/>
    <w:rsid w:val="44552475"/>
    <w:rsid w:val="448127C7"/>
    <w:rsid w:val="4484596E"/>
    <w:rsid w:val="44880466"/>
    <w:rsid w:val="44B76FF1"/>
    <w:rsid w:val="44C12507"/>
    <w:rsid w:val="44ED5935"/>
    <w:rsid w:val="450856AB"/>
    <w:rsid w:val="45117B28"/>
    <w:rsid w:val="45142CC1"/>
    <w:rsid w:val="4527386C"/>
    <w:rsid w:val="454012A5"/>
    <w:rsid w:val="45461C58"/>
    <w:rsid w:val="45471D23"/>
    <w:rsid w:val="456453BE"/>
    <w:rsid w:val="456652D4"/>
    <w:rsid w:val="457B42AF"/>
    <w:rsid w:val="46005FA3"/>
    <w:rsid w:val="460A3D65"/>
    <w:rsid w:val="468F178A"/>
    <w:rsid w:val="46CF2145"/>
    <w:rsid w:val="474D105E"/>
    <w:rsid w:val="47542D8B"/>
    <w:rsid w:val="47A07BE4"/>
    <w:rsid w:val="47D33D7A"/>
    <w:rsid w:val="482E094B"/>
    <w:rsid w:val="482E2AF2"/>
    <w:rsid w:val="485201F7"/>
    <w:rsid w:val="486E580C"/>
    <w:rsid w:val="48732E6B"/>
    <w:rsid w:val="48C53E33"/>
    <w:rsid w:val="48EE7C04"/>
    <w:rsid w:val="491428D8"/>
    <w:rsid w:val="492434B8"/>
    <w:rsid w:val="4953062C"/>
    <w:rsid w:val="49644378"/>
    <w:rsid w:val="49E25D8A"/>
    <w:rsid w:val="49ED3E9A"/>
    <w:rsid w:val="4A1C27C0"/>
    <w:rsid w:val="4A283C47"/>
    <w:rsid w:val="4AAA3E99"/>
    <w:rsid w:val="4ACC2ACE"/>
    <w:rsid w:val="4AD4719D"/>
    <w:rsid w:val="4ADD37C0"/>
    <w:rsid w:val="4AE22274"/>
    <w:rsid w:val="4AE6353E"/>
    <w:rsid w:val="4AE839D8"/>
    <w:rsid w:val="4AF171BA"/>
    <w:rsid w:val="4B127B14"/>
    <w:rsid w:val="4B832DF6"/>
    <w:rsid w:val="4B88051F"/>
    <w:rsid w:val="4BE346CB"/>
    <w:rsid w:val="4BED1DC4"/>
    <w:rsid w:val="4BF548F4"/>
    <w:rsid w:val="4C351E2F"/>
    <w:rsid w:val="4C467F4C"/>
    <w:rsid w:val="4C496734"/>
    <w:rsid w:val="4C621897"/>
    <w:rsid w:val="4CD64111"/>
    <w:rsid w:val="4CE23B9E"/>
    <w:rsid w:val="4CE52C46"/>
    <w:rsid w:val="4CFC3DE9"/>
    <w:rsid w:val="4D2202BA"/>
    <w:rsid w:val="4D3B0718"/>
    <w:rsid w:val="4D8842FB"/>
    <w:rsid w:val="4D962579"/>
    <w:rsid w:val="4DE119C4"/>
    <w:rsid w:val="4E1D34CB"/>
    <w:rsid w:val="4E362320"/>
    <w:rsid w:val="4E75047F"/>
    <w:rsid w:val="4E7865B2"/>
    <w:rsid w:val="4EB2408C"/>
    <w:rsid w:val="4F4E0BDC"/>
    <w:rsid w:val="4FAC7E5D"/>
    <w:rsid w:val="4FBF7592"/>
    <w:rsid w:val="4FE112C4"/>
    <w:rsid w:val="4FE11543"/>
    <w:rsid w:val="50123D14"/>
    <w:rsid w:val="50441496"/>
    <w:rsid w:val="504C4DC5"/>
    <w:rsid w:val="5056199D"/>
    <w:rsid w:val="506E4163"/>
    <w:rsid w:val="50760F2B"/>
    <w:rsid w:val="50787FB4"/>
    <w:rsid w:val="50BF7C56"/>
    <w:rsid w:val="50D34679"/>
    <w:rsid w:val="510228AF"/>
    <w:rsid w:val="51211DA2"/>
    <w:rsid w:val="51356E5D"/>
    <w:rsid w:val="515E6701"/>
    <w:rsid w:val="5176487E"/>
    <w:rsid w:val="517C5BBF"/>
    <w:rsid w:val="5195455E"/>
    <w:rsid w:val="51A12FDF"/>
    <w:rsid w:val="51B86CFB"/>
    <w:rsid w:val="51BC59D6"/>
    <w:rsid w:val="51CC4D5C"/>
    <w:rsid w:val="51FF7589"/>
    <w:rsid w:val="52270FA7"/>
    <w:rsid w:val="52552989"/>
    <w:rsid w:val="525E65B2"/>
    <w:rsid w:val="52AF5091"/>
    <w:rsid w:val="52C37DF7"/>
    <w:rsid w:val="52D551C5"/>
    <w:rsid w:val="52E61E1C"/>
    <w:rsid w:val="52E73C04"/>
    <w:rsid w:val="52F01D73"/>
    <w:rsid w:val="53000461"/>
    <w:rsid w:val="53870106"/>
    <w:rsid w:val="539375B1"/>
    <w:rsid w:val="53994D2D"/>
    <w:rsid w:val="53A6162D"/>
    <w:rsid w:val="54432DB5"/>
    <w:rsid w:val="545E537E"/>
    <w:rsid w:val="54917810"/>
    <w:rsid w:val="549E1416"/>
    <w:rsid w:val="54C8605B"/>
    <w:rsid w:val="54F13DA9"/>
    <w:rsid w:val="550A26F8"/>
    <w:rsid w:val="554736CC"/>
    <w:rsid w:val="5549519B"/>
    <w:rsid w:val="554A4B44"/>
    <w:rsid w:val="55546CA9"/>
    <w:rsid w:val="55AF356B"/>
    <w:rsid w:val="55B85954"/>
    <w:rsid w:val="55F278DC"/>
    <w:rsid w:val="55F6743A"/>
    <w:rsid w:val="5608539A"/>
    <w:rsid w:val="56147C34"/>
    <w:rsid w:val="56152599"/>
    <w:rsid w:val="565559E7"/>
    <w:rsid w:val="56802C06"/>
    <w:rsid w:val="56C9485F"/>
    <w:rsid w:val="56CC002D"/>
    <w:rsid w:val="56DB0E04"/>
    <w:rsid w:val="570F757A"/>
    <w:rsid w:val="57157A66"/>
    <w:rsid w:val="57470FDE"/>
    <w:rsid w:val="57B832B0"/>
    <w:rsid w:val="57BE1E42"/>
    <w:rsid w:val="57C145D4"/>
    <w:rsid w:val="57C75350"/>
    <w:rsid w:val="57F20242"/>
    <w:rsid w:val="580878D4"/>
    <w:rsid w:val="58207565"/>
    <w:rsid w:val="58CB2450"/>
    <w:rsid w:val="58DA1D04"/>
    <w:rsid w:val="58E279B8"/>
    <w:rsid w:val="58E819F0"/>
    <w:rsid w:val="590F4E2C"/>
    <w:rsid w:val="591C602E"/>
    <w:rsid w:val="592418A2"/>
    <w:rsid w:val="59645980"/>
    <w:rsid w:val="596F4DE2"/>
    <w:rsid w:val="59700099"/>
    <w:rsid w:val="59702DBE"/>
    <w:rsid w:val="599E700F"/>
    <w:rsid w:val="59AE4EB5"/>
    <w:rsid w:val="59C00D69"/>
    <w:rsid w:val="59C570FC"/>
    <w:rsid w:val="59CE22EB"/>
    <w:rsid w:val="59D01B99"/>
    <w:rsid w:val="59F11950"/>
    <w:rsid w:val="59F42C05"/>
    <w:rsid w:val="59FA2AF5"/>
    <w:rsid w:val="5A0E07BB"/>
    <w:rsid w:val="5A1100FD"/>
    <w:rsid w:val="5A2220E6"/>
    <w:rsid w:val="5A225FA4"/>
    <w:rsid w:val="5A311504"/>
    <w:rsid w:val="5A5E393A"/>
    <w:rsid w:val="5A7A3135"/>
    <w:rsid w:val="5A836BA2"/>
    <w:rsid w:val="5A847675"/>
    <w:rsid w:val="5A940E4E"/>
    <w:rsid w:val="5A954455"/>
    <w:rsid w:val="5AED1B54"/>
    <w:rsid w:val="5B243F53"/>
    <w:rsid w:val="5B3239CC"/>
    <w:rsid w:val="5B370522"/>
    <w:rsid w:val="5B532CE1"/>
    <w:rsid w:val="5B967C59"/>
    <w:rsid w:val="5BAD64C5"/>
    <w:rsid w:val="5BD21191"/>
    <w:rsid w:val="5BEE3736"/>
    <w:rsid w:val="5BF5427E"/>
    <w:rsid w:val="5C2F54D2"/>
    <w:rsid w:val="5C5D4E38"/>
    <w:rsid w:val="5C9E5887"/>
    <w:rsid w:val="5CB02926"/>
    <w:rsid w:val="5CB80F13"/>
    <w:rsid w:val="5CC52761"/>
    <w:rsid w:val="5CD864F3"/>
    <w:rsid w:val="5CDF74ED"/>
    <w:rsid w:val="5CE25A17"/>
    <w:rsid w:val="5CE61EF4"/>
    <w:rsid w:val="5D0917F8"/>
    <w:rsid w:val="5DBA589C"/>
    <w:rsid w:val="5DD975C8"/>
    <w:rsid w:val="5DE33BEF"/>
    <w:rsid w:val="5DEA1B35"/>
    <w:rsid w:val="5E6A7E26"/>
    <w:rsid w:val="5E7D785C"/>
    <w:rsid w:val="5EAD0509"/>
    <w:rsid w:val="5EB24CD7"/>
    <w:rsid w:val="5F0F6299"/>
    <w:rsid w:val="5F114F39"/>
    <w:rsid w:val="5F6F3E54"/>
    <w:rsid w:val="5F7E3EF5"/>
    <w:rsid w:val="5F8B2399"/>
    <w:rsid w:val="5F9F1207"/>
    <w:rsid w:val="5F9F4F7D"/>
    <w:rsid w:val="5FA1124B"/>
    <w:rsid w:val="5FA27B50"/>
    <w:rsid w:val="5FAD2A98"/>
    <w:rsid w:val="5FC903B9"/>
    <w:rsid w:val="5FE9760B"/>
    <w:rsid w:val="5FEE115D"/>
    <w:rsid w:val="5FF802F7"/>
    <w:rsid w:val="6021331C"/>
    <w:rsid w:val="60233FDB"/>
    <w:rsid w:val="60256D83"/>
    <w:rsid w:val="603E16C2"/>
    <w:rsid w:val="60781A12"/>
    <w:rsid w:val="60862CA8"/>
    <w:rsid w:val="608841B1"/>
    <w:rsid w:val="60AB7F4C"/>
    <w:rsid w:val="60CE59A2"/>
    <w:rsid w:val="60FF78B2"/>
    <w:rsid w:val="61040D73"/>
    <w:rsid w:val="611B48AD"/>
    <w:rsid w:val="611B6750"/>
    <w:rsid w:val="6126378B"/>
    <w:rsid w:val="614A666A"/>
    <w:rsid w:val="61607514"/>
    <w:rsid w:val="61631628"/>
    <w:rsid w:val="61665097"/>
    <w:rsid w:val="617C11F9"/>
    <w:rsid w:val="61D300B9"/>
    <w:rsid w:val="61DB2967"/>
    <w:rsid w:val="61EF6D12"/>
    <w:rsid w:val="62266A1B"/>
    <w:rsid w:val="62446D4F"/>
    <w:rsid w:val="62470C14"/>
    <w:rsid w:val="62475BCB"/>
    <w:rsid w:val="624F1183"/>
    <w:rsid w:val="625C6DCB"/>
    <w:rsid w:val="6276131A"/>
    <w:rsid w:val="6294261C"/>
    <w:rsid w:val="629A5311"/>
    <w:rsid w:val="629E7A04"/>
    <w:rsid w:val="62AF4DCC"/>
    <w:rsid w:val="62CF78BE"/>
    <w:rsid w:val="63407615"/>
    <w:rsid w:val="634F31CB"/>
    <w:rsid w:val="63B54877"/>
    <w:rsid w:val="63EE7796"/>
    <w:rsid w:val="64145D8A"/>
    <w:rsid w:val="64257DE8"/>
    <w:rsid w:val="64531C01"/>
    <w:rsid w:val="647D6065"/>
    <w:rsid w:val="64A7058E"/>
    <w:rsid w:val="64AE2E96"/>
    <w:rsid w:val="64B40804"/>
    <w:rsid w:val="64CC145A"/>
    <w:rsid w:val="651644FB"/>
    <w:rsid w:val="65367435"/>
    <w:rsid w:val="657658EC"/>
    <w:rsid w:val="658E396A"/>
    <w:rsid w:val="65B336AA"/>
    <w:rsid w:val="65EB1F93"/>
    <w:rsid w:val="66062440"/>
    <w:rsid w:val="6626169F"/>
    <w:rsid w:val="66735C4E"/>
    <w:rsid w:val="669D4E44"/>
    <w:rsid w:val="66A27D82"/>
    <w:rsid w:val="66AC3F0E"/>
    <w:rsid w:val="66DC772A"/>
    <w:rsid w:val="66E54ACF"/>
    <w:rsid w:val="66F373B4"/>
    <w:rsid w:val="671369D3"/>
    <w:rsid w:val="67157965"/>
    <w:rsid w:val="672245CB"/>
    <w:rsid w:val="67361B69"/>
    <w:rsid w:val="67685818"/>
    <w:rsid w:val="677274CA"/>
    <w:rsid w:val="677B27F0"/>
    <w:rsid w:val="677E75BB"/>
    <w:rsid w:val="67D17E28"/>
    <w:rsid w:val="67D8532F"/>
    <w:rsid w:val="67DF0C9B"/>
    <w:rsid w:val="68346C46"/>
    <w:rsid w:val="686A6682"/>
    <w:rsid w:val="6876741B"/>
    <w:rsid w:val="689B1B69"/>
    <w:rsid w:val="69676537"/>
    <w:rsid w:val="69826F81"/>
    <w:rsid w:val="69BD25C8"/>
    <w:rsid w:val="69D027F8"/>
    <w:rsid w:val="69E0134A"/>
    <w:rsid w:val="6A3C0C35"/>
    <w:rsid w:val="6A605E0B"/>
    <w:rsid w:val="6A77281A"/>
    <w:rsid w:val="6A8C2728"/>
    <w:rsid w:val="6ACC01B5"/>
    <w:rsid w:val="6AD633D7"/>
    <w:rsid w:val="6AEE4C6D"/>
    <w:rsid w:val="6AF167AA"/>
    <w:rsid w:val="6AF2414D"/>
    <w:rsid w:val="6B265F2F"/>
    <w:rsid w:val="6B5564B3"/>
    <w:rsid w:val="6B63530B"/>
    <w:rsid w:val="6B892EA1"/>
    <w:rsid w:val="6B895547"/>
    <w:rsid w:val="6BC73520"/>
    <w:rsid w:val="6BCE437B"/>
    <w:rsid w:val="6BD9335E"/>
    <w:rsid w:val="6BDF0768"/>
    <w:rsid w:val="6BF5341B"/>
    <w:rsid w:val="6C41351F"/>
    <w:rsid w:val="6C656C5C"/>
    <w:rsid w:val="6C9C2824"/>
    <w:rsid w:val="6CED03A8"/>
    <w:rsid w:val="6D1C56E5"/>
    <w:rsid w:val="6D2242B5"/>
    <w:rsid w:val="6D612C8F"/>
    <w:rsid w:val="6D866E3D"/>
    <w:rsid w:val="6D934609"/>
    <w:rsid w:val="6DB82EAA"/>
    <w:rsid w:val="6DC561A5"/>
    <w:rsid w:val="6DE2573D"/>
    <w:rsid w:val="6E11638B"/>
    <w:rsid w:val="6E147D97"/>
    <w:rsid w:val="6E2765BF"/>
    <w:rsid w:val="6E3B0A81"/>
    <w:rsid w:val="6E4C0E3C"/>
    <w:rsid w:val="6E507544"/>
    <w:rsid w:val="6E5E616E"/>
    <w:rsid w:val="6EAB0A29"/>
    <w:rsid w:val="6EFA71BF"/>
    <w:rsid w:val="6F326ADD"/>
    <w:rsid w:val="6F3D7B39"/>
    <w:rsid w:val="6F3F73FB"/>
    <w:rsid w:val="6F6D7DBF"/>
    <w:rsid w:val="6F733B03"/>
    <w:rsid w:val="6F743C7F"/>
    <w:rsid w:val="6FAE43EF"/>
    <w:rsid w:val="6FB01A51"/>
    <w:rsid w:val="6FB66F7F"/>
    <w:rsid w:val="6FE96CDF"/>
    <w:rsid w:val="700843AC"/>
    <w:rsid w:val="700D04D6"/>
    <w:rsid w:val="7021616A"/>
    <w:rsid w:val="70395520"/>
    <w:rsid w:val="70475E7F"/>
    <w:rsid w:val="708D26F2"/>
    <w:rsid w:val="70E12FFF"/>
    <w:rsid w:val="70E22A18"/>
    <w:rsid w:val="70FF72C6"/>
    <w:rsid w:val="71000459"/>
    <w:rsid w:val="710C74AA"/>
    <w:rsid w:val="718C0C0E"/>
    <w:rsid w:val="71C2018C"/>
    <w:rsid w:val="71D6757D"/>
    <w:rsid w:val="722D6B72"/>
    <w:rsid w:val="72373106"/>
    <w:rsid w:val="72CC2679"/>
    <w:rsid w:val="72F051FA"/>
    <w:rsid w:val="733C763D"/>
    <w:rsid w:val="73495A4E"/>
    <w:rsid w:val="735A4D80"/>
    <w:rsid w:val="7370325E"/>
    <w:rsid w:val="7399217B"/>
    <w:rsid w:val="73BE59DE"/>
    <w:rsid w:val="73CC7132"/>
    <w:rsid w:val="73E4576A"/>
    <w:rsid w:val="7432260C"/>
    <w:rsid w:val="746E4F00"/>
    <w:rsid w:val="74C53896"/>
    <w:rsid w:val="74DD6C49"/>
    <w:rsid w:val="75003963"/>
    <w:rsid w:val="75154326"/>
    <w:rsid w:val="75262E47"/>
    <w:rsid w:val="752B49B7"/>
    <w:rsid w:val="75315432"/>
    <w:rsid w:val="753243BD"/>
    <w:rsid w:val="757971BF"/>
    <w:rsid w:val="75A174A4"/>
    <w:rsid w:val="75C03417"/>
    <w:rsid w:val="75CD2133"/>
    <w:rsid w:val="75D27A74"/>
    <w:rsid w:val="75E42A43"/>
    <w:rsid w:val="75F54B72"/>
    <w:rsid w:val="75FA2249"/>
    <w:rsid w:val="7608602D"/>
    <w:rsid w:val="761360A5"/>
    <w:rsid w:val="76677A1F"/>
    <w:rsid w:val="77242D74"/>
    <w:rsid w:val="77403E78"/>
    <w:rsid w:val="774D2B4A"/>
    <w:rsid w:val="775536AC"/>
    <w:rsid w:val="776A77A3"/>
    <w:rsid w:val="779F3609"/>
    <w:rsid w:val="779F79B3"/>
    <w:rsid w:val="77B56A42"/>
    <w:rsid w:val="782A754A"/>
    <w:rsid w:val="78412C92"/>
    <w:rsid w:val="788B2F73"/>
    <w:rsid w:val="78A60C88"/>
    <w:rsid w:val="78B33DB1"/>
    <w:rsid w:val="78B8551C"/>
    <w:rsid w:val="78D701FA"/>
    <w:rsid w:val="78D86CA1"/>
    <w:rsid w:val="78FA1AC2"/>
    <w:rsid w:val="790344DC"/>
    <w:rsid w:val="791C5AF4"/>
    <w:rsid w:val="794478D0"/>
    <w:rsid w:val="794D2325"/>
    <w:rsid w:val="794F3DBD"/>
    <w:rsid w:val="795D2CFB"/>
    <w:rsid w:val="798D7742"/>
    <w:rsid w:val="79952197"/>
    <w:rsid w:val="79DE78FA"/>
    <w:rsid w:val="79E37E7A"/>
    <w:rsid w:val="79E827A7"/>
    <w:rsid w:val="7A2B3D97"/>
    <w:rsid w:val="7A4001E7"/>
    <w:rsid w:val="7A9030E6"/>
    <w:rsid w:val="7AC53D66"/>
    <w:rsid w:val="7AE3663E"/>
    <w:rsid w:val="7B411687"/>
    <w:rsid w:val="7B4749B4"/>
    <w:rsid w:val="7B6E69B1"/>
    <w:rsid w:val="7B831A77"/>
    <w:rsid w:val="7B8A483F"/>
    <w:rsid w:val="7B9F464A"/>
    <w:rsid w:val="7C051B1D"/>
    <w:rsid w:val="7C22694B"/>
    <w:rsid w:val="7C2B1E50"/>
    <w:rsid w:val="7C403625"/>
    <w:rsid w:val="7C423795"/>
    <w:rsid w:val="7C460AA3"/>
    <w:rsid w:val="7C815F74"/>
    <w:rsid w:val="7CD151EE"/>
    <w:rsid w:val="7CF06FA2"/>
    <w:rsid w:val="7CF4419C"/>
    <w:rsid w:val="7D141470"/>
    <w:rsid w:val="7D2918A7"/>
    <w:rsid w:val="7D2D0ABD"/>
    <w:rsid w:val="7D540476"/>
    <w:rsid w:val="7D584D4B"/>
    <w:rsid w:val="7D6C3AED"/>
    <w:rsid w:val="7D8F02A4"/>
    <w:rsid w:val="7DA103C2"/>
    <w:rsid w:val="7DAC3B8A"/>
    <w:rsid w:val="7DB172DE"/>
    <w:rsid w:val="7DE022C0"/>
    <w:rsid w:val="7DF76692"/>
    <w:rsid w:val="7E063F47"/>
    <w:rsid w:val="7E150DBF"/>
    <w:rsid w:val="7E260478"/>
    <w:rsid w:val="7E7E05F3"/>
    <w:rsid w:val="7E903513"/>
    <w:rsid w:val="7E9B7C2E"/>
    <w:rsid w:val="7E9E4E26"/>
    <w:rsid w:val="7EAE2751"/>
    <w:rsid w:val="7EBE257F"/>
    <w:rsid w:val="7ED207B2"/>
    <w:rsid w:val="7F0312AB"/>
    <w:rsid w:val="7F0D6300"/>
    <w:rsid w:val="7F8A1DC3"/>
    <w:rsid w:val="7FA660D4"/>
    <w:rsid w:val="7FDE781A"/>
    <w:rsid w:val="7FEC2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toc 3"/>
    <w:basedOn w:val="1"/>
    <w:next w:val="1"/>
    <w:unhideWhenUsed/>
    <w:qFormat/>
    <w:uiPriority w:val="39"/>
    <w:pPr>
      <w:widowControl/>
      <w:spacing w:after="100" w:line="259" w:lineRule="auto"/>
      <w:ind w:left="440"/>
      <w:jc w:val="left"/>
    </w:pPr>
    <w:rPr>
      <w:rFonts w:cs="Times New Roman"/>
      <w:kern w:val="0"/>
      <w:sz w:val="22"/>
    </w:r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widowControl/>
      <w:spacing w:after="100" w:line="259" w:lineRule="auto"/>
      <w:jc w:val="left"/>
    </w:pPr>
    <w:rPr>
      <w:rFonts w:cs="Times New Roman"/>
      <w:kern w:val="0"/>
      <w:sz w:val="22"/>
    </w:rPr>
  </w:style>
  <w:style w:type="paragraph" w:styleId="8">
    <w:name w:val="toc 2"/>
    <w:basedOn w:val="1"/>
    <w:next w:val="1"/>
    <w:unhideWhenUsed/>
    <w:qFormat/>
    <w:uiPriority w:val="39"/>
    <w:pPr>
      <w:widowControl/>
      <w:spacing w:after="100" w:line="259" w:lineRule="auto"/>
      <w:ind w:left="220"/>
      <w:jc w:val="left"/>
    </w:pPr>
    <w:rPr>
      <w:rFonts w:cs="Times New Roman"/>
      <w:kern w:val="0"/>
      <w:sz w:val="22"/>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批注框文本 Char"/>
    <w:basedOn w:val="9"/>
    <w:link w:val="4"/>
    <w:semiHidden/>
    <w:qFormat/>
    <w:uiPriority w:val="99"/>
    <w:rPr>
      <w:sz w:val="18"/>
      <w:szCs w:val="18"/>
    </w:rPr>
  </w:style>
  <w:style w:type="character" w:customStyle="1" w:styleId="14">
    <w:name w:val="标题 1 Char"/>
    <w:basedOn w:val="9"/>
    <w:link w:val="2"/>
    <w:qFormat/>
    <w:uiPriority w:val="9"/>
    <w:rPr>
      <w:b/>
      <w:bCs/>
      <w:kern w:val="44"/>
      <w:sz w:val="44"/>
      <w:szCs w:val="44"/>
    </w:rPr>
  </w:style>
  <w:style w:type="paragraph" w:customStyle="1" w:styleId="15">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16">
    <w:name w:val="font71"/>
    <w:basedOn w:val="9"/>
    <w:qFormat/>
    <w:uiPriority w:val="0"/>
    <w:rPr>
      <w:rFonts w:hint="eastAsia" w:ascii="宋体" w:hAnsi="宋体" w:eastAsia="宋体" w:cs="宋体"/>
      <w:b/>
      <w:color w:val="000000"/>
      <w:sz w:val="20"/>
      <w:szCs w:val="20"/>
      <w:u w:val="none"/>
    </w:rPr>
  </w:style>
  <w:style w:type="character" w:customStyle="1" w:styleId="17">
    <w:name w:val="font121"/>
    <w:basedOn w:val="9"/>
    <w:qFormat/>
    <w:uiPriority w:val="0"/>
    <w:rPr>
      <w:rFonts w:ascii="方正仿宋_GBK" w:hAnsi="方正仿宋_GBK" w:eastAsia="方正仿宋_GBK" w:cs="方正仿宋_GBK"/>
      <w:b/>
      <w:color w:val="000000"/>
      <w:sz w:val="20"/>
      <w:szCs w:val="20"/>
      <w:u w:val="none"/>
    </w:rPr>
  </w:style>
  <w:style w:type="character" w:customStyle="1" w:styleId="18">
    <w:name w:val="font81"/>
    <w:basedOn w:val="9"/>
    <w:qFormat/>
    <w:uiPriority w:val="0"/>
    <w:rPr>
      <w:rFonts w:hint="eastAsia" w:ascii="方正黑体_GBK" w:hAnsi="方正黑体_GBK" w:eastAsia="方正黑体_GBK" w:cs="方正黑体_GBK"/>
      <w:b/>
      <w:color w:val="000000"/>
      <w:sz w:val="20"/>
      <w:szCs w:val="20"/>
      <w:u w:val="none"/>
    </w:rPr>
  </w:style>
  <w:style w:type="character" w:customStyle="1" w:styleId="19">
    <w:name w:val="font11"/>
    <w:basedOn w:val="9"/>
    <w:qFormat/>
    <w:uiPriority w:val="0"/>
    <w:rPr>
      <w:rFonts w:hint="eastAsia" w:ascii="宋体" w:hAnsi="宋体" w:eastAsia="宋体" w:cs="宋体"/>
      <w:color w:val="000000"/>
      <w:sz w:val="20"/>
      <w:szCs w:val="20"/>
      <w:u w:val="none"/>
    </w:rPr>
  </w:style>
  <w:style w:type="character" w:customStyle="1" w:styleId="20">
    <w:name w:val="font61"/>
    <w:basedOn w:val="9"/>
    <w:qFormat/>
    <w:uiPriority w:val="0"/>
    <w:rPr>
      <w:rFonts w:hint="eastAsia" w:ascii="宋体" w:hAnsi="宋体" w:eastAsia="宋体" w:cs="宋体"/>
      <w:color w:val="000000"/>
      <w:sz w:val="20"/>
      <w:szCs w:val="20"/>
      <w:u w:val="none"/>
    </w:rPr>
  </w:style>
  <w:style w:type="character" w:customStyle="1" w:styleId="21">
    <w:name w:val="font51"/>
    <w:basedOn w:val="9"/>
    <w:qFormat/>
    <w:uiPriority w:val="0"/>
    <w:rPr>
      <w:rFonts w:hint="eastAsia" w:ascii="宋体" w:hAnsi="宋体" w:eastAsia="宋体" w:cs="宋体"/>
      <w:b/>
      <w:color w:val="000000"/>
      <w:sz w:val="20"/>
      <w:szCs w:val="20"/>
      <w:u w:val="none"/>
    </w:rPr>
  </w:style>
  <w:style w:type="character" w:customStyle="1" w:styleId="22">
    <w:name w:val="font131"/>
    <w:basedOn w:val="9"/>
    <w:qFormat/>
    <w:uiPriority w:val="0"/>
    <w:rPr>
      <w:rFonts w:ascii="方正仿宋_GBK" w:hAnsi="方正仿宋_GBK" w:eastAsia="方正仿宋_GBK" w:cs="方正仿宋_GBK"/>
      <w:b/>
      <w:color w:val="000000"/>
      <w:sz w:val="20"/>
      <w:szCs w:val="20"/>
      <w:u w:val="none"/>
    </w:rPr>
  </w:style>
  <w:style w:type="character" w:customStyle="1" w:styleId="23">
    <w:name w:val="font41"/>
    <w:basedOn w:val="9"/>
    <w:qFormat/>
    <w:uiPriority w:val="0"/>
    <w:rPr>
      <w:rFonts w:hint="eastAsia" w:ascii="方正黑体_GBK" w:hAnsi="方正黑体_GBK" w:eastAsia="方正黑体_GBK" w:cs="方正黑体_GBK"/>
      <w:b/>
      <w:color w:val="000000"/>
      <w:sz w:val="20"/>
      <w:szCs w:val="20"/>
      <w:u w:val="none"/>
    </w:rPr>
  </w:style>
  <w:style w:type="character" w:customStyle="1" w:styleId="24">
    <w:name w:val="font91"/>
    <w:basedOn w:val="9"/>
    <w:qFormat/>
    <w:uiPriority w:val="0"/>
    <w:rPr>
      <w:rFonts w:hint="eastAsia" w:ascii="宋体" w:hAnsi="宋体" w:eastAsia="宋体" w:cs="宋体"/>
      <w:color w:val="000000"/>
      <w:sz w:val="22"/>
      <w:szCs w:val="22"/>
      <w:u w:val="none"/>
    </w:rPr>
  </w:style>
  <w:style w:type="character" w:customStyle="1" w:styleId="25">
    <w:name w:val="font21"/>
    <w:basedOn w:val="9"/>
    <w:qFormat/>
    <w:uiPriority w:val="0"/>
    <w:rPr>
      <w:rFonts w:hint="eastAsia" w:ascii="宋体" w:hAnsi="宋体" w:eastAsia="宋体" w:cs="宋体"/>
      <w:color w:val="000000"/>
      <w:sz w:val="20"/>
      <w:szCs w:val="20"/>
      <w:u w:val="none"/>
    </w:rPr>
  </w:style>
  <w:style w:type="character" w:customStyle="1" w:styleId="26">
    <w:name w:val="font31"/>
    <w:basedOn w:val="9"/>
    <w:qFormat/>
    <w:uiPriority w:val="0"/>
    <w:rPr>
      <w:rFonts w:hint="eastAsia" w:ascii="宋体" w:hAnsi="宋体" w:eastAsia="宋体" w:cs="宋体"/>
      <w:color w:val="000000"/>
      <w:sz w:val="20"/>
      <w:szCs w:val="20"/>
      <w:u w:val="none"/>
    </w:rPr>
  </w:style>
  <w:style w:type="character" w:customStyle="1" w:styleId="27">
    <w:name w:val="font01"/>
    <w:basedOn w:val="9"/>
    <w:qFormat/>
    <w:uiPriority w:val="0"/>
    <w:rPr>
      <w:rFonts w:hint="eastAsia" w:ascii="宋体" w:hAnsi="宋体" w:eastAsia="宋体" w:cs="宋体"/>
      <w:color w:val="000000"/>
      <w:sz w:val="20"/>
      <w:szCs w:val="20"/>
      <w:u w:val="none"/>
    </w:rPr>
  </w:style>
  <w:style w:type="character" w:customStyle="1" w:styleId="28">
    <w:name w:val="font101"/>
    <w:basedOn w:val="9"/>
    <w:qFormat/>
    <w:uiPriority w:val="0"/>
    <w:rPr>
      <w:rFonts w:hint="default" w:ascii="Times New Roman" w:hAnsi="Times New Roman" w:cs="Times New Roman"/>
      <w:color w:val="000000"/>
      <w:sz w:val="20"/>
      <w:szCs w:val="20"/>
      <w:u w:val="none"/>
    </w:rPr>
  </w:style>
  <w:style w:type="character" w:customStyle="1" w:styleId="29">
    <w:name w:val="font12"/>
    <w:basedOn w:val="9"/>
    <w:qFormat/>
    <w:uiPriority w:val="0"/>
    <w:rPr>
      <w:rFonts w:hint="default" w:ascii="Times New Roman" w:hAnsi="Times New Roman" w:cs="Times New Roman"/>
      <w:color w:val="000000"/>
      <w:sz w:val="20"/>
      <w:szCs w:val="20"/>
      <w:u w:val="none"/>
    </w:rPr>
  </w:style>
  <w:style w:type="character" w:customStyle="1" w:styleId="30">
    <w:name w:val="font111"/>
    <w:basedOn w:val="9"/>
    <w:qFormat/>
    <w:uiPriority w:val="0"/>
    <w:rPr>
      <w:rFonts w:hint="eastAsia" w:ascii="宋体" w:hAnsi="宋体" w:eastAsia="宋体" w:cs="宋体"/>
      <w:color w:val="000000"/>
      <w:sz w:val="20"/>
      <w:szCs w:val="20"/>
      <w:u w:val="none"/>
    </w:rPr>
  </w:style>
  <w:style w:type="character" w:customStyle="1" w:styleId="31">
    <w:name w:val="font112"/>
    <w:basedOn w:val="9"/>
    <w:qFormat/>
    <w:uiPriority w:val="0"/>
    <w:rPr>
      <w:rFonts w:hint="eastAsia" w:ascii="宋体" w:hAnsi="宋体" w:eastAsia="宋体" w:cs="宋体"/>
      <w:color w:val="000000"/>
      <w:sz w:val="20"/>
      <w:szCs w:val="20"/>
      <w:u w:val="none"/>
    </w:rPr>
  </w:style>
  <w:style w:type="character" w:customStyle="1" w:styleId="32">
    <w:name w:val="font14"/>
    <w:basedOn w:val="9"/>
    <w:qFormat/>
    <w:uiPriority w:val="0"/>
    <w:rPr>
      <w:rFonts w:hint="eastAsia" w:ascii="宋体" w:hAnsi="宋体" w:eastAsia="宋体" w:cs="宋体"/>
      <w:color w:val="000000"/>
      <w:sz w:val="20"/>
      <w:szCs w:val="20"/>
      <w:u w:val="none"/>
    </w:rPr>
  </w:style>
  <w:style w:type="character" w:customStyle="1" w:styleId="33">
    <w:name w:val="font151"/>
    <w:basedOn w:val="9"/>
    <w:qFormat/>
    <w:uiPriority w:val="0"/>
    <w:rPr>
      <w:rFonts w:hint="eastAsia" w:ascii="宋体" w:hAnsi="宋体" w:eastAsia="宋体" w:cs="宋体"/>
      <w:color w:val="000000"/>
      <w:sz w:val="20"/>
      <w:szCs w:val="20"/>
      <w:u w:val="none"/>
    </w:rPr>
  </w:style>
  <w:style w:type="paragraph" w:customStyle="1" w:styleId="34">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85B973-70F1-4B48-8A4D-D251D132328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86</Pages>
  <Words>24186</Words>
  <Characters>26363</Characters>
  <Lines>1550</Lines>
  <Paragraphs>1075</Paragraphs>
  <TotalTime>1458</TotalTime>
  <ScaleCrop>false</ScaleCrop>
  <LinksUpToDate>false</LinksUpToDate>
  <CharactersWithSpaces>49474</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2022-01-03T15:17:00Z</dcterms:created>
  <dc:creator>Sky123.Org</dc:creator>
  <cp:lastModifiedBy>NTKO</cp:lastModifiedBy>
  <cp:lastPrinted>2023-05-12T03:33:00Z</cp:lastPrinted>
  <dcterms:modified xsi:type="dcterms:W3CDTF">2023-08-31T06:41:05Z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DA008B6C44BB4E4C9FA94BABA531E73A</vt:lpwstr>
  </property>
</Properties>
</file>