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0" w:firstLineChars="0"/>
        <w:rPr>
          <w:rFonts w:eastAsia="方正黑体_GBK" w:cs="方正黑体_GBK"/>
          <w:color w:val="000000" w:themeColor="text1"/>
          <w:szCs w:val="32"/>
          <w14:textFill>
            <w14:solidFill>
              <w14:schemeClr w14:val="tx1"/>
            </w14:solidFill>
          </w14:textFill>
        </w:rPr>
      </w:pPr>
      <w:r>
        <w:rPr>
          <w:rFonts w:eastAsia="方正黑体_GBK" w:cs="方正黑体_GBK"/>
          <w:color w:val="000000" w:themeColor="text1"/>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-88265</wp:posOffset>
                </wp:positionV>
                <wp:extent cx="2127885" cy="7150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27885" cy="715010"/>
                        </a:xfrm>
                        <a:prstGeom prst="rect">
                          <a:avLst/>
                        </a:prstGeom>
                        <a:noFill/>
                        <a:ln w="6350">
                          <a:noFill/>
                        </a:ln>
                      </wps:spPr>
                      <wps:txbx>
                        <w:txbxContent>
                          <w:p>
                            <w:pPr>
                              <w:spacing w:line="480" w:lineRule="exact"/>
                              <w:ind w:firstLine="0" w:firstLineChars="0"/>
                              <w:outlineLvl w:val="0"/>
                              <w:rPr>
                                <w:rFonts w:eastAsia="方正黑体_GBK"/>
                                <w:color w:val="000000" w:themeColor="text1"/>
                                <w:spacing w:val="-6"/>
                                <w:sz w:val="28"/>
                                <w:szCs w:val="28"/>
                                <w14:textFill>
                                  <w14:solidFill>
                                    <w14:schemeClr w14:val="tx1"/>
                                  </w14:solidFill>
                                </w14:textFill>
                              </w:rPr>
                            </w:pPr>
                            <w:r>
                              <w:rPr>
                                <w:rFonts w:eastAsia="方正黑体_GBK"/>
                                <w:color w:val="000000" w:themeColor="text1"/>
                                <w:spacing w:val="-6"/>
                                <w:sz w:val="28"/>
                                <w:szCs w:val="28"/>
                                <w14:textFill>
                                  <w14:solidFill>
                                    <w14:schemeClr w14:val="tx1"/>
                                  </w14:solidFill>
                                </w14:textFill>
                              </w:rPr>
                              <w:t>区十</w:t>
                            </w:r>
                            <w:r>
                              <w:rPr>
                                <w:rFonts w:hint="eastAsia" w:eastAsia="方正黑体_GBK"/>
                                <w:color w:val="000000" w:themeColor="text1"/>
                                <w:spacing w:val="-6"/>
                                <w:sz w:val="28"/>
                                <w:szCs w:val="28"/>
                                <w14:textFill>
                                  <w14:solidFill>
                                    <w14:schemeClr w14:val="tx1"/>
                                  </w14:solidFill>
                                </w14:textFill>
                              </w:rPr>
                              <w:t>四</w:t>
                            </w:r>
                            <w:r>
                              <w:rPr>
                                <w:rFonts w:eastAsia="方正黑体_GBK"/>
                                <w:color w:val="000000" w:themeColor="text1"/>
                                <w:spacing w:val="-6"/>
                                <w:sz w:val="28"/>
                                <w:szCs w:val="28"/>
                                <w14:textFill>
                                  <w14:solidFill>
                                    <w14:schemeClr w14:val="tx1"/>
                                  </w14:solidFill>
                                </w14:textFill>
                              </w:rPr>
                              <w:t>届人大</w:t>
                            </w:r>
                            <w:r>
                              <w:rPr>
                                <w:rFonts w:hint="eastAsia" w:eastAsia="方正黑体_GBK"/>
                                <w:color w:val="000000" w:themeColor="text1"/>
                                <w:spacing w:val="-6"/>
                                <w:sz w:val="28"/>
                                <w:szCs w:val="28"/>
                                <w14:textFill>
                                  <w14:solidFill>
                                    <w14:schemeClr w14:val="tx1"/>
                                  </w14:solidFill>
                                </w14:textFill>
                              </w:rPr>
                              <w:t>四</w:t>
                            </w:r>
                            <w:r>
                              <w:rPr>
                                <w:rFonts w:eastAsia="方正黑体_GBK"/>
                                <w:color w:val="000000" w:themeColor="text1"/>
                                <w:spacing w:val="-6"/>
                                <w:sz w:val="28"/>
                                <w:szCs w:val="28"/>
                                <w14:textFill>
                                  <w14:solidFill>
                                    <w14:schemeClr w14:val="tx1"/>
                                  </w14:solidFill>
                                </w14:textFill>
                              </w:rPr>
                              <w:t>次会议</w:t>
                            </w:r>
                          </w:p>
                          <w:p>
                            <w:pPr>
                              <w:spacing w:line="480" w:lineRule="exact"/>
                              <w:ind w:firstLine="0" w:firstLineChars="0"/>
                              <w:outlineLvl w:val="0"/>
                              <w:rPr>
                                <w:rFonts w:eastAsia="方正黑体_GBK"/>
                                <w:color w:val="000000" w:themeColor="text1"/>
                                <w:spacing w:val="142"/>
                                <w:sz w:val="28"/>
                                <w:szCs w:val="28"/>
                                <w14:textFill>
                                  <w14:solidFill>
                                    <w14:schemeClr w14:val="tx1"/>
                                  </w14:solidFill>
                                </w14:textFill>
                              </w:rPr>
                            </w:pPr>
                            <w:r>
                              <w:rPr>
                                <w:rFonts w:eastAsia="方正黑体_GBK"/>
                                <w:color w:val="000000" w:themeColor="text1"/>
                                <w:spacing w:val="142"/>
                                <w:sz w:val="28"/>
                                <w:szCs w:val="28"/>
                                <w14:textFill>
                                  <w14:solidFill>
                                    <w14:schemeClr w14:val="tx1"/>
                                  </w14:solidFill>
                                </w14:textFill>
                              </w:rPr>
                              <w:t>文</w:t>
                            </w:r>
                            <w:r>
                              <w:rPr>
                                <w:rFonts w:hint="eastAsia" w:eastAsia="方正黑体_GBK"/>
                                <w:color w:val="000000" w:themeColor="text1"/>
                                <w:spacing w:val="28"/>
                                <w:sz w:val="28"/>
                                <w:szCs w:val="28"/>
                                <w14:textFill>
                                  <w14:solidFill>
                                    <w14:schemeClr w14:val="tx1"/>
                                  </w14:solidFill>
                                </w14:textFill>
                              </w:rPr>
                              <w:t xml:space="preserve"> </w:t>
                            </w:r>
                            <w:r>
                              <w:rPr>
                                <w:rFonts w:eastAsia="方正黑体_GBK"/>
                                <w:color w:val="000000" w:themeColor="text1"/>
                                <w:spacing w:val="142"/>
                                <w:sz w:val="28"/>
                                <w:szCs w:val="28"/>
                                <w14:textFill>
                                  <w14:solidFill>
                                    <w14:schemeClr w14:val="tx1"/>
                                  </w14:solidFill>
                                </w14:textFill>
                              </w:rPr>
                              <w:t>件</w:t>
                            </w:r>
                            <w:r>
                              <w:rPr>
                                <w:rFonts w:hint="eastAsia" w:ascii="方正仿宋_GBK" w:hAnsi="方正仿宋_GBK" w:cs="方正仿宋_GBK"/>
                                <w:color w:val="000000" w:themeColor="text1"/>
                                <w:spacing w:val="142"/>
                                <w:sz w:val="28"/>
                                <w:szCs w:val="28"/>
                                <w14:textFill>
                                  <w14:solidFill>
                                    <w14:schemeClr w14:val="tx1"/>
                                  </w14:solidFill>
                                </w14:textFill>
                              </w:rPr>
                              <w:t>（</w:t>
                            </w:r>
                            <w:r>
                              <w:rPr>
                                <w:rFonts w:hint="eastAsia" w:ascii="方正黑体_GBK" w:hAnsi="方正黑体_GBK" w:eastAsia="方正黑体_GBK" w:cs="方正黑体_GBK"/>
                                <w:color w:val="000000" w:themeColor="text1"/>
                                <w:spacing w:val="142"/>
                                <w:sz w:val="28"/>
                                <w:szCs w:val="28"/>
                                <w14:textFill>
                                  <w14:solidFill>
                                    <w14:schemeClr w14:val="tx1"/>
                                  </w14:solidFill>
                                </w14:textFill>
                              </w:rPr>
                              <w:t>八</w:t>
                            </w:r>
                            <w:r>
                              <w:rPr>
                                <w:rFonts w:hint="eastAsia" w:ascii="方正仿宋_GBK" w:hAnsi="方正仿宋_GBK" w:cs="方正仿宋_GBK"/>
                                <w:color w:val="000000" w:themeColor="text1"/>
                                <w:spacing w:val="142"/>
                                <w:sz w:val="28"/>
                                <w:szCs w:val="28"/>
                                <w14:textFill>
                                  <w14:solidFill>
                                    <w14:schemeClr w14:val="tx1"/>
                                  </w14:solidFill>
                                </w14:textFill>
                              </w:rPr>
                              <w:t>）</w:t>
                            </w:r>
                          </w:p>
                          <w:p>
                            <w:pPr>
                              <w:spacing w:line="480" w:lineRule="exact"/>
                              <w:ind w:firstLine="0" w:firstLineChars="0"/>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pt;margin-top:-6.95pt;height:56.3pt;width:167.55pt;z-index:251659264;mso-width-relative:page;mso-height-relative:page;" filled="f" stroked="f" coordsize="21600,21600" o:gfxdata="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FvLnw2wAAAAoBAAAPAAAAAAAAAAEAIAAAACIAAABk&#10;cnMvZG93bnJldi54bWxQSwECFAAUAAAACACHTuJAtP2eRDwCAABmBAAADgAAAAAAAAABACAAAAAq&#10;AQAAZHJzL2Uyb0RvYy54bWxQSwUGAAAAAAYABgBZAQAA2AUAAAAA&#10;">
                <v:fill on="f" focussize="0,0"/>
                <v:stroke on="f" weight="0.5pt"/>
                <v:imagedata o:title=""/>
                <o:lock v:ext="edit" aspectratio="f"/>
                <v:textbox>
                  <w:txbxContent>
                    <w:p>
                      <w:pPr>
                        <w:spacing w:line="480" w:lineRule="exact"/>
                        <w:ind w:firstLine="0" w:firstLineChars="0"/>
                        <w:outlineLvl w:val="0"/>
                        <w:rPr>
                          <w:rFonts w:eastAsia="方正黑体_GBK"/>
                          <w:color w:val="000000" w:themeColor="text1"/>
                          <w:spacing w:val="-6"/>
                          <w:sz w:val="28"/>
                          <w:szCs w:val="28"/>
                          <w14:textFill>
                            <w14:solidFill>
                              <w14:schemeClr w14:val="tx1"/>
                            </w14:solidFill>
                          </w14:textFill>
                        </w:rPr>
                      </w:pPr>
                      <w:r>
                        <w:rPr>
                          <w:rFonts w:eastAsia="方正黑体_GBK"/>
                          <w:color w:val="000000" w:themeColor="text1"/>
                          <w:spacing w:val="-6"/>
                          <w:sz w:val="28"/>
                          <w:szCs w:val="28"/>
                          <w14:textFill>
                            <w14:solidFill>
                              <w14:schemeClr w14:val="tx1"/>
                            </w14:solidFill>
                          </w14:textFill>
                        </w:rPr>
                        <w:t>区十</w:t>
                      </w:r>
                      <w:r>
                        <w:rPr>
                          <w:rFonts w:hint="eastAsia" w:eastAsia="方正黑体_GBK"/>
                          <w:color w:val="000000" w:themeColor="text1"/>
                          <w:spacing w:val="-6"/>
                          <w:sz w:val="28"/>
                          <w:szCs w:val="28"/>
                          <w14:textFill>
                            <w14:solidFill>
                              <w14:schemeClr w14:val="tx1"/>
                            </w14:solidFill>
                          </w14:textFill>
                        </w:rPr>
                        <w:t>四</w:t>
                      </w:r>
                      <w:r>
                        <w:rPr>
                          <w:rFonts w:eastAsia="方正黑体_GBK"/>
                          <w:color w:val="000000" w:themeColor="text1"/>
                          <w:spacing w:val="-6"/>
                          <w:sz w:val="28"/>
                          <w:szCs w:val="28"/>
                          <w14:textFill>
                            <w14:solidFill>
                              <w14:schemeClr w14:val="tx1"/>
                            </w14:solidFill>
                          </w14:textFill>
                        </w:rPr>
                        <w:t>届人大</w:t>
                      </w:r>
                      <w:r>
                        <w:rPr>
                          <w:rFonts w:hint="eastAsia" w:eastAsia="方正黑体_GBK"/>
                          <w:color w:val="000000" w:themeColor="text1"/>
                          <w:spacing w:val="-6"/>
                          <w:sz w:val="28"/>
                          <w:szCs w:val="28"/>
                          <w14:textFill>
                            <w14:solidFill>
                              <w14:schemeClr w14:val="tx1"/>
                            </w14:solidFill>
                          </w14:textFill>
                        </w:rPr>
                        <w:t>四</w:t>
                      </w:r>
                      <w:r>
                        <w:rPr>
                          <w:rFonts w:eastAsia="方正黑体_GBK"/>
                          <w:color w:val="000000" w:themeColor="text1"/>
                          <w:spacing w:val="-6"/>
                          <w:sz w:val="28"/>
                          <w:szCs w:val="28"/>
                          <w14:textFill>
                            <w14:solidFill>
                              <w14:schemeClr w14:val="tx1"/>
                            </w14:solidFill>
                          </w14:textFill>
                        </w:rPr>
                        <w:t>次会议</w:t>
                      </w:r>
                    </w:p>
                    <w:p>
                      <w:pPr>
                        <w:spacing w:line="480" w:lineRule="exact"/>
                        <w:ind w:firstLine="0" w:firstLineChars="0"/>
                        <w:outlineLvl w:val="0"/>
                        <w:rPr>
                          <w:rFonts w:eastAsia="方正黑体_GBK"/>
                          <w:color w:val="000000" w:themeColor="text1"/>
                          <w:spacing w:val="142"/>
                          <w:sz w:val="28"/>
                          <w:szCs w:val="28"/>
                          <w14:textFill>
                            <w14:solidFill>
                              <w14:schemeClr w14:val="tx1"/>
                            </w14:solidFill>
                          </w14:textFill>
                        </w:rPr>
                      </w:pPr>
                      <w:r>
                        <w:rPr>
                          <w:rFonts w:eastAsia="方正黑体_GBK"/>
                          <w:color w:val="000000" w:themeColor="text1"/>
                          <w:spacing w:val="142"/>
                          <w:sz w:val="28"/>
                          <w:szCs w:val="28"/>
                          <w14:textFill>
                            <w14:solidFill>
                              <w14:schemeClr w14:val="tx1"/>
                            </w14:solidFill>
                          </w14:textFill>
                        </w:rPr>
                        <w:t>文</w:t>
                      </w:r>
                      <w:r>
                        <w:rPr>
                          <w:rFonts w:hint="eastAsia" w:eastAsia="方正黑体_GBK"/>
                          <w:color w:val="000000" w:themeColor="text1"/>
                          <w:spacing w:val="28"/>
                          <w:sz w:val="28"/>
                          <w:szCs w:val="28"/>
                          <w14:textFill>
                            <w14:solidFill>
                              <w14:schemeClr w14:val="tx1"/>
                            </w14:solidFill>
                          </w14:textFill>
                        </w:rPr>
                        <w:t xml:space="preserve"> </w:t>
                      </w:r>
                      <w:r>
                        <w:rPr>
                          <w:rFonts w:eastAsia="方正黑体_GBK"/>
                          <w:color w:val="000000" w:themeColor="text1"/>
                          <w:spacing w:val="142"/>
                          <w:sz w:val="28"/>
                          <w:szCs w:val="28"/>
                          <w14:textFill>
                            <w14:solidFill>
                              <w14:schemeClr w14:val="tx1"/>
                            </w14:solidFill>
                          </w14:textFill>
                        </w:rPr>
                        <w:t>件</w:t>
                      </w:r>
                      <w:r>
                        <w:rPr>
                          <w:rFonts w:hint="eastAsia" w:ascii="方正仿宋_GBK" w:hAnsi="方正仿宋_GBK" w:cs="方正仿宋_GBK"/>
                          <w:color w:val="000000" w:themeColor="text1"/>
                          <w:spacing w:val="142"/>
                          <w:sz w:val="28"/>
                          <w:szCs w:val="28"/>
                          <w14:textFill>
                            <w14:solidFill>
                              <w14:schemeClr w14:val="tx1"/>
                            </w14:solidFill>
                          </w14:textFill>
                        </w:rPr>
                        <w:t>（</w:t>
                      </w:r>
                      <w:r>
                        <w:rPr>
                          <w:rFonts w:hint="eastAsia" w:ascii="方正黑体_GBK" w:hAnsi="方正黑体_GBK" w:eastAsia="方正黑体_GBK" w:cs="方正黑体_GBK"/>
                          <w:color w:val="000000" w:themeColor="text1"/>
                          <w:spacing w:val="142"/>
                          <w:sz w:val="28"/>
                          <w:szCs w:val="28"/>
                          <w14:textFill>
                            <w14:solidFill>
                              <w14:schemeClr w14:val="tx1"/>
                            </w14:solidFill>
                          </w14:textFill>
                        </w:rPr>
                        <w:t>八</w:t>
                      </w:r>
                      <w:r>
                        <w:rPr>
                          <w:rFonts w:hint="eastAsia" w:ascii="方正仿宋_GBK" w:hAnsi="方正仿宋_GBK" w:cs="方正仿宋_GBK"/>
                          <w:color w:val="000000" w:themeColor="text1"/>
                          <w:spacing w:val="142"/>
                          <w:sz w:val="28"/>
                          <w:szCs w:val="28"/>
                          <w14:textFill>
                            <w14:solidFill>
                              <w14:schemeClr w14:val="tx1"/>
                            </w14:solidFill>
                          </w14:textFill>
                        </w:rPr>
                        <w:t>）</w:t>
                      </w:r>
                    </w:p>
                    <w:p>
                      <w:pPr>
                        <w:spacing w:line="480" w:lineRule="exact"/>
                        <w:ind w:firstLine="0" w:firstLineChars="0"/>
                        <w:rPr>
                          <w:color w:val="000000" w:themeColor="text1"/>
                          <w14:textFill>
                            <w14:solidFill>
                              <w14:schemeClr w14:val="tx1"/>
                            </w14:solidFill>
                          </w14:textFill>
                        </w:rPr>
                      </w:pPr>
                    </w:p>
                  </w:txbxContent>
                </v:textbox>
              </v:shape>
            </w:pict>
          </mc:Fallback>
        </mc:AlternateContent>
      </w:r>
    </w:p>
    <w:p>
      <w:pPr>
        <w:pStyle w:val="2"/>
        <w:rPr>
          <w:color w:val="000000" w:themeColor="text1"/>
          <w14:textFill>
            <w14:solidFill>
              <w14:schemeClr w14:val="tx1"/>
            </w14:solidFill>
          </w14:textFill>
        </w:rPr>
      </w:pPr>
    </w:p>
    <w:p>
      <w:pPr>
        <w:pStyle w:val="2"/>
        <w:ind w:firstLine="0" w:firstLineChars="0"/>
        <w:jc w:val="center"/>
        <w:rPr>
          <w:color w:val="000000" w:themeColor="text1"/>
          <w14:textFill>
            <w14:solidFill>
              <w14:schemeClr w14:val="tx1"/>
            </w14:solidFill>
          </w14:textFill>
        </w:rPr>
      </w:pPr>
    </w:p>
    <w:p>
      <w:pPr>
        <w:ind w:firstLine="0" w:firstLineChars="0"/>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重庆市大渡口区</w:t>
      </w:r>
      <w:r>
        <w:rPr>
          <w:rFonts w:eastAsia="方正小标宋_GBK" w:cs="Times New Roman"/>
          <w:color w:val="000000" w:themeColor="text1"/>
          <w:sz w:val="44"/>
          <w:szCs w:val="44"/>
          <w14:textFill>
            <w14:solidFill>
              <w14:schemeClr w14:val="tx1"/>
            </w14:solidFill>
          </w14:textFill>
        </w:rPr>
        <w:t>2023</w:t>
      </w:r>
      <w:r>
        <w:rPr>
          <w:rFonts w:hint="eastAsia" w:eastAsia="方正小标宋_GBK"/>
          <w:color w:val="000000" w:themeColor="text1"/>
          <w:sz w:val="44"/>
          <w:szCs w:val="44"/>
          <w14:textFill>
            <w14:solidFill>
              <w14:schemeClr w14:val="tx1"/>
            </w14:solidFill>
          </w14:textFill>
        </w:rPr>
        <w:t>年预算执行</w:t>
      </w:r>
    </w:p>
    <w:p>
      <w:pPr>
        <w:ind w:firstLine="0" w:firstLineChars="0"/>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情况和</w:t>
      </w:r>
      <w:r>
        <w:rPr>
          <w:rFonts w:eastAsia="方正小标宋_GBK" w:cs="Times New Roman"/>
          <w:color w:val="000000" w:themeColor="text1"/>
          <w:sz w:val="44"/>
          <w:szCs w:val="44"/>
          <w14:textFill>
            <w14:solidFill>
              <w14:schemeClr w14:val="tx1"/>
            </w14:solidFill>
          </w14:textFill>
        </w:rPr>
        <w:t>2024</w:t>
      </w:r>
      <w:r>
        <w:rPr>
          <w:rFonts w:hint="eastAsia" w:eastAsia="方正小标宋_GBK"/>
          <w:color w:val="000000" w:themeColor="text1"/>
          <w:sz w:val="44"/>
          <w:szCs w:val="44"/>
          <w14:textFill>
            <w14:solidFill>
              <w14:schemeClr w14:val="tx1"/>
            </w14:solidFill>
          </w14:textFill>
        </w:rPr>
        <w:t>年预算草案的报告</w:t>
      </w:r>
    </w:p>
    <w:p>
      <w:pPr>
        <w:ind w:firstLine="0" w:firstLineChars="0"/>
        <w:jc w:val="center"/>
        <w:rPr>
          <w:rFonts w:eastAsia="方正楷体_GBK"/>
          <w:color w:val="000000" w:themeColor="text1"/>
          <w:szCs w:val="32"/>
          <w14:textFill>
            <w14:solidFill>
              <w14:schemeClr w14:val="tx1"/>
            </w14:solidFill>
          </w14:textFill>
        </w:rPr>
      </w:pPr>
    </w:p>
    <w:p>
      <w:pPr>
        <w:ind w:firstLine="0" w:firstLineChars="0"/>
        <w:jc w:val="center"/>
        <w:rPr>
          <w:rFonts w:eastAsia="方正楷体_GBK" w:cs="方正楷体_GBK"/>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重庆市大渡口区财政局</w:t>
      </w:r>
    </w:p>
    <w:p>
      <w:pPr>
        <w:ind w:firstLine="0" w:firstLineChars="0"/>
        <w:jc w:val="center"/>
        <w:rPr>
          <w:rFonts w:eastAsia="方正楷体_GBK"/>
          <w:color w:val="000000" w:themeColor="text1"/>
          <w:szCs w:val="32"/>
          <w14:textFill>
            <w14:solidFill>
              <w14:schemeClr w14:val="tx1"/>
            </w14:solidFill>
          </w14:textFill>
        </w:rPr>
      </w:pPr>
    </w:p>
    <w:p>
      <w:pPr>
        <w:ind w:firstLine="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各位代表：</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受重庆市大渡口区人民政府委托，现将大渡口区</w:t>
      </w:r>
      <w:r>
        <w:rPr>
          <w:rFonts w:cs="Times New Roman"/>
          <w:color w:val="000000" w:themeColor="text1"/>
          <w14:textFill>
            <w14:solidFill>
              <w14:schemeClr w14:val="tx1"/>
            </w14:solidFill>
          </w14:textFill>
        </w:rPr>
        <w:t>2023</w:t>
      </w:r>
      <w:r>
        <w:rPr>
          <w:color w:val="000000" w:themeColor="text1"/>
          <w14:textFill>
            <w14:solidFill>
              <w14:schemeClr w14:val="tx1"/>
            </w14:solidFill>
          </w14:textFill>
        </w:rPr>
        <w:t>年预算执行情况和</w:t>
      </w:r>
      <w:r>
        <w:rPr>
          <w:rFonts w:cs="Times New Roman"/>
          <w:color w:val="000000" w:themeColor="text1"/>
          <w14:textFill>
            <w14:solidFill>
              <w14:schemeClr w14:val="tx1"/>
            </w14:solidFill>
          </w14:textFill>
        </w:rPr>
        <w:t>2024</w:t>
      </w:r>
      <w:r>
        <w:rPr>
          <w:color w:val="000000" w:themeColor="text1"/>
          <w14:textFill>
            <w14:solidFill>
              <w14:schemeClr w14:val="tx1"/>
            </w14:solidFill>
          </w14:textFill>
        </w:rPr>
        <w:t>年预算草案的报告提请大会审查，并请</w:t>
      </w:r>
      <w:r>
        <w:rPr>
          <w:rFonts w:hint="eastAsia"/>
          <w:color w:val="000000" w:themeColor="text1"/>
          <w14:textFill>
            <w14:solidFill>
              <w14:schemeClr w14:val="tx1"/>
            </w14:solidFill>
          </w14:textFill>
        </w:rPr>
        <w:t>各位</w:t>
      </w:r>
      <w:r>
        <w:rPr>
          <w:color w:val="000000" w:themeColor="text1"/>
          <w14:textFill>
            <w14:solidFill>
              <w14:schemeClr w14:val="tx1"/>
            </w14:solidFill>
          </w14:textFill>
        </w:rPr>
        <w:t>政协委员提出意见。</w:t>
      </w:r>
    </w:p>
    <w:p>
      <w:pPr>
        <w:ind w:firstLine="640"/>
        <w:rPr>
          <w:color w:val="000000" w:themeColor="text1"/>
          <w14:textFill>
            <w14:solidFill>
              <w14:schemeClr w14:val="tx1"/>
            </w14:solidFill>
          </w14:textFill>
        </w:rPr>
      </w:pPr>
      <w:r>
        <w:rPr>
          <w:rFonts w:hint="eastAsia" w:eastAsia="方正黑体_GBK" w:cs="方正黑体_GBK"/>
          <w:color w:val="000000" w:themeColor="text1"/>
          <w14:textFill>
            <w14:solidFill>
              <w14:schemeClr w14:val="tx1"/>
            </w14:solidFill>
          </w14:textFill>
        </w:rPr>
        <w:t>一、</w:t>
      </w:r>
      <w:r>
        <w:rPr>
          <w:rFonts w:eastAsia="方正黑体_GBK" w:cs="Times New Roman"/>
          <w:color w:val="000000" w:themeColor="text1"/>
          <w:szCs w:val="32"/>
          <w14:textFill>
            <w14:solidFill>
              <w14:schemeClr w14:val="tx1"/>
            </w14:solidFill>
          </w14:textFill>
        </w:rPr>
        <w:t>2023年预算执行情况</w:t>
      </w:r>
    </w:p>
    <w:p>
      <w:pPr>
        <w:ind w:firstLine="640"/>
        <w:rPr>
          <w:color w:val="000000" w:themeColor="text1"/>
          <w14:textFill>
            <w14:solidFill>
              <w14:schemeClr w14:val="tx1"/>
            </w14:solidFill>
          </w14:textFill>
        </w:rPr>
      </w:pPr>
      <w:r>
        <w:rPr>
          <w:rFonts w:cs="Times New Roman"/>
          <w:color w:val="000000" w:themeColor="text1"/>
          <w14:textFill>
            <w14:solidFill>
              <w14:schemeClr w14:val="tx1"/>
            </w14:solidFill>
          </w14:textFill>
        </w:rPr>
        <w:t>2023</w:t>
      </w:r>
      <w:r>
        <w:rPr>
          <w:rFonts w:hint="eastAsia"/>
          <w:color w:val="000000" w:themeColor="text1"/>
          <w14:textFill>
            <w14:solidFill>
              <w14:schemeClr w14:val="tx1"/>
            </w14:solidFill>
          </w14:textFill>
        </w:rPr>
        <w:t>年，是全面贯彻党的二十大精神的开局之年，是三年新冠疫情防控转段后经济恢复发展的一年。</w:t>
      </w:r>
      <w:r>
        <w:rPr>
          <w:rFonts w:hint="eastAsia" w:cs="方正仿宋_GBK"/>
          <w:color w:val="000000" w:themeColor="text1"/>
          <w:szCs w:val="32"/>
          <w14:textFill>
            <w14:solidFill>
              <w14:schemeClr w14:val="tx1"/>
            </w14:solidFill>
          </w14:textFill>
        </w:rPr>
        <w:t>面对前所未有的困难形势和风险挑战，</w:t>
      </w:r>
      <w:r>
        <w:rPr>
          <w:rFonts w:hint="eastAsia"/>
          <w:color w:val="000000" w:themeColor="text1"/>
          <w14:textFill>
            <w14:solidFill>
              <w14:schemeClr w14:val="tx1"/>
            </w14:solidFill>
          </w14:textFill>
        </w:rPr>
        <w:t>全区财政以习近平新时代中国特色社会主义思想为指导，在区委的坚强领导下，自觉接受区人大法律监督、区政协民主监督，坚持依法理财、科学理财、为民理财，加力提效实施好积极的财政政策，积极应对经济下行压力，全年预算总体执行情况良好，为全区经济社会高质量发展提供坚实的财力保障。</w:t>
      </w:r>
    </w:p>
    <w:p>
      <w:pPr>
        <w:ind w:firstLine="640"/>
        <w:rPr>
          <w:rFonts w:eastAsia="方正楷体_GBK" w:cs="方正楷体_GBK"/>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（一）一般公共预算</w:t>
      </w:r>
    </w:p>
    <w:p>
      <w:pPr>
        <w:ind w:firstLine="643"/>
        <w:rPr>
          <w:rFonts w:cs="Times New Roman"/>
          <w:color w:val="000000" w:themeColor="text1"/>
          <w:szCs w:val="32"/>
          <w14:textFill>
            <w14:solidFill>
              <w14:schemeClr w14:val="tx1"/>
            </w14:solidFill>
          </w14:textFill>
        </w:rPr>
      </w:pPr>
      <w:r>
        <w:rPr>
          <w:rFonts w:eastAsia="仿宋" w:cs="Times New Roman"/>
          <w:b/>
          <w:bCs/>
          <w:color w:val="000000" w:themeColor="text1"/>
          <w:szCs w:val="32"/>
          <w14:textFill>
            <w14:solidFill>
              <w14:schemeClr w14:val="tx1"/>
            </w14:solidFill>
          </w14:textFill>
        </w:rPr>
        <w:t>1.</w:t>
      </w:r>
      <w:r>
        <w:rPr>
          <w:rFonts w:cs="Times New Roman"/>
          <w:b/>
          <w:bCs/>
          <w:color w:val="000000" w:themeColor="text1"/>
          <w:szCs w:val="32"/>
          <w14:textFill>
            <w14:solidFill>
              <w14:schemeClr w14:val="tx1"/>
            </w14:solidFill>
          </w14:textFill>
        </w:rPr>
        <w:t>收入执行情况。</w:t>
      </w:r>
      <w:r>
        <w:rPr>
          <w:rFonts w:cs="Times New Roman"/>
          <w:color w:val="000000" w:themeColor="text1"/>
          <w:szCs w:val="32"/>
          <w14:textFill>
            <w14:solidFill>
              <w14:schemeClr w14:val="tx1"/>
            </w14:solidFill>
          </w14:textFill>
        </w:rPr>
        <w:t>收入总计653</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539万元，具体组成：本级收入200</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656万元，完成预算的102</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4%，同比</w:t>
      </w:r>
      <w:r>
        <w:rPr>
          <w:rFonts w:hint="eastAsia" w:cs="Times New Roman"/>
          <w:color w:val="000000" w:themeColor="text1"/>
          <w:szCs w:val="32"/>
          <w14:textFill>
            <w14:solidFill>
              <w14:schemeClr w14:val="tx1"/>
            </w14:solidFill>
          </w14:textFill>
        </w:rPr>
        <w:t>增长</w:t>
      </w:r>
      <w:r>
        <w:rPr>
          <w:rFonts w:cs="Times New Roman"/>
          <w:color w:val="000000" w:themeColor="text1"/>
          <w:szCs w:val="32"/>
          <w14:textFill>
            <w14:solidFill>
              <w14:schemeClr w14:val="tx1"/>
            </w14:solidFill>
          </w14:textFill>
        </w:rPr>
        <w:t>9%；上级补助收入153</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423万元；调入资金77</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621万元；债务转贷收入145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100万元；动用预算稳定调节基金45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731万元；上年结转31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008万元。</w:t>
      </w:r>
    </w:p>
    <w:p>
      <w:pPr>
        <w:ind w:firstLine="643"/>
        <w:rPr>
          <w:rFonts w:cs="Times New Roman"/>
          <w:color w:val="000000" w:themeColor="text1"/>
          <w:szCs w:val="32"/>
          <w14:textFill>
            <w14:solidFill>
              <w14:schemeClr w14:val="tx1"/>
            </w14:solidFill>
          </w14:textFill>
        </w:rPr>
      </w:pPr>
      <w:r>
        <w:rPr>
          <w:rFonts w:eastAsia="仿宋" w:cs="Times New Roman"/>
          <w:b/>
          <w:bCs/>
          <w:color w:val="000000" w:themeColor="text1"/>
          <w:szCs w:val="32"/>
          <w14:textFill>
            <w14:solidFill>
              <w14:schemeClr w14:val="tx1"/>
            </w14:solidFill>
          </w14:textFill>
        </w:rPr>
        <w:t>2.</w:t>
      </w:r>
      <w:r>
        <w:rPr>
          <w:rFonts w:cs="Times New Roman"/>
          <w:b/>
          <w:bCs/>
          <w:color w:val="000000" w:themeColor="text1"/>
          <w:szCs w:val="32"/>
          <w14:textFill>
            <w14:solidFill>
              <w14:schemeClr w14:val="tx1"/>
            </w14:solidFill>
          </w14:textFill>
        </w:rPr>
        <w:t>支出执行情况。</w:t>
      </w:r>
      <w:r>
        <w:rPr>
          <w:rFonts w:cs="Times New Roman"/>
          <w:color w:val="000000" w:themeColor="text1"/>
          <w:szCs w:val="32"/>
          <w14:textFill>
            <w14:solidFill>
              <w14:schemeClr w14:val="tx1"/>
            </w14:solidFill>
          </w14:textFill>
        </w:rPr>
        <w:t>支出总计653</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539万元，具体组成：本级支出406</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127万元，完成预算的94</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7%</w:t>
      </w:r>
      <w:r>
        <w:rPr>
          <w:rFonts w:hint="eastAsia" w:cs="Times New Roman"/>
          <w:color w:val="000000" w:themeColor="text1"/>
          <w:szCs w:val="32"/>
          <w14:textFill>
            <w14:solidFill>
              <w14:schemeClr w14:val="tx1"/>
            </w14:solidFill>
          </w14:textFill>
        </w:rPr>
        <w:t>，同比增长</w:t>
      </w:r>
      <w:r>
        <w:rPr>
          <w:rFonts w:cs="Times New Roman"/>
          <w:color w:val="000000" w:themeColor="text1"/>
          <w:szCs w:val="32"/>
          <w14:textFill>
            <w14:solidFill>
              <w14:schemeClr w14:val="tx1"/>
            </w14:solidFill>
          </w14:textFill>
        </w:rPr>
        <w:t>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6</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；上解上级支出22</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857万元；债务还本支出125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800万元；安排预算稳定调节基金65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328万元；结转下年33</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427万元。</w:t>
      </w:r>
    </w:p>
    <w:p>
      <w:pPr>
        <w:ind w:firstLine="0" w:firstLineChars="0"/>
        <w:jc w:val="center"/>
        <w:rPr>
          <w:rFonts w:eastAsia="方正黑体_GBK" w:cs="方正黑体_GBK"/>
          <w:color w:val="000000" w:themeColor="text1"/>
          <w:szCs w:val="32"/>
          <w14:textFill>
            <w14:solidFill>
              <w14:schemeClr w14:val="tx1"/>
            </w14:solidFill>
          </w14:textFill>
        </w:rPr>
      </w:pPr>
      <w:r>
        <w:rPr>
          <w:rFonts w:eastAsia="方正黑体_GBK" w:cs="Times New Roman"/>
          <w:color w:val="000000" w:themeColor="text1"/>
          <w:szCs w:val="32"/>
          <w14:textFill>
            <w14:solidFill>
              <w14:schemeClr w14:val="tx1"/>
            </w14:solidFill>
          </w14:textFill>
        </w:rPr>
        <w:t>2023</w:t>
      </w:r>
      <w:r>
        <w:rPr>
          <w:rFonts w:hint="eastAsia" w:eastAsia="方正黑体_GBK" w:cs="方正黑体_GBK"/>
          <w:color w:val="000000" w:themeColor="text1"/>
          <w:szCs w:val="32"/>
          <w14:textFill>
            <w14:solidFill>
              <w14:schemeClr w14:val="tx1"/>
            </w14:solidFill>
          </w14:textFill>
        </w:rPr>
        <w:t>年全区一般公共预算收支平衡表</w:t>
      </w:r>
    </w:p>
    <w:p>
      <w:pPr>
        <w:spacing w:line="240" w:lineRule="auto"/>
        <w:ind w:firstLine="0" w:firstLineChars="0"/>
        <w:jc w:val="right"/>
        <w:rPr>
          <w:rFonts w:eastAsiaTheme="minorEastAsia" w:cstheme="minorEastAsia"/>
          <w:color w:val="000000" w:themeColor="text1"/>
          <w:sz w:val="22"/>
          <w14:textFill>
            <w14:solidFill>
              <w14:schemeClr w14:val="tx1"/>
            </w14:solidFill>
          </w14:textFill>
        </w:rPr>
      </w:pPr>
      <w:r>
        <w:rPr>
          <w:rFonts w:hint="eastAsia" w:eastAsiaTheme="minorEastAsia" w:cstheme="minorEastAsia"/>
          <w:color w:val="000000" w:themeColor="text1"/>
          <w:sz w:val="22"/>
          <w14:textFill>
            <w14:solidFill>
              <w14:schemeClr w14:val="tx1"/>
            </w14:solidFill>
          </w14:textFill>
        </w:rPr>
        <w:t>单位：万元</w:t>
      </w:r>
    </w:p>
    <w:tbl>
      <w:tblPr>
        <w:tblStyle w:val="13"/>
        <w:tblpPr w:leftFromText="180" w:rightFromText="180" w:vertAnchor="text" w:horzAnchor="page" w:tblpX="1372" w:tblpY="87"/>
        <w:tblOverlap w:val="never"/>
        <w:tblW w:w="9044" w:type="dxa"/>
        <w:tblInd w:w="0" w:type="dxa"/>
        <w:tblLayout w:type="fixed"/>
        <w:tblCellMar>
          <w:top w:w="0" w:type="dxa"/>
          <w:left w:w="0" w:type="dxa"/>
          <w:bottom w:w="0" w:type="dxa"/>
          <w:right w:w="0" w:type="dxa"/>
        </w:tblCellMar>
      </w:tblPr>
      <w:tblGrid>
        <w:gridCol w:w="2867"/>
        <w:gridCol w:w="1638"/>
        <w:gridCol w:w="2957"/>
        <w:gridCol w:w="1582"/>
      </w:tblGrid>
      <w:tr>
        <w:tblPrEx>
          <w:tblCellMar>
            <w:top w:w="0" w:type="dxa"/>
            <w:left w:w="0" w:type="dxa"/>
            <w:bottom w:w="0" w:type="dxa"/>
            <w:right w:w="0" w:type="dxa"/>
          </w:tblCellMar>
        </w:tblPrEx>
        <w:trPr>
          <w:trHeight w:val="482" w:hRule="exact"/>
          <w:tblHead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收    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执行数</w:t>
            </w:r>
          </w:p>
        </w:tc>
        <w:tc>
          <w:tcPr>
            <w:tcW w:w="29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支    出</w:t>
            </w:r>
          </w:p>
        </w:tc>
        <w:tc>
          <w:tcPr>
            <w:tcW w:w="1582"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执行数</w:t>
            </w:r>
          </w:p>
        </w:tc>
      </w:tr>
      <w:tr>
        <w:tblPrEx>
          <w:tblCellMar>
            <w:top w:w="0" w:type="dxa"/>
            <w:left w:w="0" w:type="dxa"/>
            <w:bottom w:w="0" w:type="dxa"/>
            <w:right w:w="0" w:type="dxa"/>
          </w:tblCellMar>
        </w:tblPrEx>
        <w:trPr>
          <w:trHeight w:val="482" w:hRule="exact"/>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653,539</w:t>
            </w:r>
          </w:p>
        </w:tc>
        <w:tc>
          <w:tcPr>
            <w:tcW w:w="29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582"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653</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539</w:t>
            </w:r>
          </w:p>
        </w:tc>
      </w:tr>
      <w:tr>
        <w:tblPrEx>
          <w:tblCellMar>
            <w:top w:w="0" w:type="dxa"/>
            <w:left w:w="0" w:type="dxa"/>
            <w:bottom w:w="0" w:type="dxa"/>
            <w:right w:w="0" w:type="dxa"/>
          </w:tblCellMar>
        </w:tblPrEx>
        <w:trPr>
          <w:trHeight w:val="482" w:hRule="exact"/>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200,656</w:t>
            </w:r>
          </w:p>
        </w:tc>
        <w:tc>
          <w:tcPr>
            <w:tcW w:w="29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一、本级支出</w:t>
            </w:r>
          </w:p>
        </w:tc>
        <w:tc>
          <w:tcPr>
            <w:tcW w:w="1582"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406,127</w:t>
            </w:r>
          </w:p>
        </w:tc>
      </w:tr>
      <w:tr>
        <w:tblPrEx>
          <w:tblCellMar>
            <w:top w:w="0" w:type="dxa"/>
            <w:left w:w="0" w:type="dxa"/>
            <w:bottom w:w="0" w:type="dxa"/>
            <w:right w:w="0" w:type="dxa"/>
          </w:tblCellMar>
        </w:tblPrEx>
        <w:trPr>
          <w:trHeight w:val="482" w:hRule="exact"/>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税收收入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110,118</w:t>
            </w:r>
          </w:p>
        </w:tc>
        <w:tc>
          <w:tcPr>
            <w:tcW w:w="29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380"/>
              <w:rPr>
                <w:color w:val="000000" w:themeColor="text1"/>
                <w:sz w:val="19"/>
                <w:szCs w:val="19"/>
                <w14:textFill>
                  <w14:solidFill>
                    <w14:schemeClr w14:val="tx1"/>
                  </w14:solidFill>
                </w14:textFill>
              </w:rPr>
            </w:pPr>
          </w:p>
        </w:tc>
        <w:tc>
          <w:tcPr>
            <w:tcW w:w="1582"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82" w:hRule="exact"/>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非税收入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90</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538</w:t>
            </w:r>
          </w:p>
        </w:tc>
        <w:tc>
          <w:tcPr>
            <w:tcW w:w="29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380"/>
              <w:rPr>
                <w:color w:val="000000" w:themeColor="text1"/>
                <w:sz w:val="19"/>
                <w:szCs w:val="19"/>
                <w14:textFill>
                  <w14:solidFill>
                    <w14:schemeClr w14:val="tx1"/>
                  </w14:solidFill>
                </w14:textFill>
              </w:rPr>
            </w:pPr>
          </w:p>
        </w:tc>
        <w:tc>
          <w:tcPr>
            <w:tcW w:w="1582"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82" w:hRule="exact"/>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452,883</w:t>
            </w:r>
          </w:p>
        </w:tc>
        <w:tc>
          <w:tcPr>
            <w:tcW w:w="29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二、转移性支出</w:t>
            </w:r>
          </w:p>
        </w:tc>
        <w:tc>
          <w:tcPr>
            <w:tcW w:w="1582"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247,412</w:t>
            </w:r>
          </w:p>
        </w:tc>
      </w:tr>
      <w:tr>
        <w:tblPrEx>
          <w:tblCellMar>
            <w:top w:w="0" w:type="dxa"/>
            <w:left w:w="0" w:type="dxa"/>
            <w:bottom w:w="0" w:type="dxa"/>
            <w:right w:w="0" w:type="dxa"/>
          </w:tblCellMar>
        </w:tblPrEx>
        <w:trPr>
          <w:trHeight w:val="482" w:hRule="exact"/>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上级补助收入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153,423</w:t>
            </w:r>
          </w:p>
        </w:tc>
        <w:tc>
          <w:tcPr>
            <w:tcW w:w="29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上解上级支出</w:t>
            </w:r>
          </w:p>
        </w:tc>
        <w:tc>
          <w:tcPr>
            <w:tcW w:w="1582"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22,857</w:t>
            </w:r>
          </w:p>
        </w:tc>
      </w:tr>
      <w:tr>
        <w:tblPrEx>
          <w:tblCellMar>
            <w:top w:w="0" w:type="dxa"/>
            <w:left w:w="0" w:type="dxa"/>
            <w:bottom w:w="0" w:type="dxa"/>
            <w:right w:w="0" w:type="dxa"/>
          </w:tblCellMar>
        </w:tblPrEx>
        <w:trPr>
          <w:trHeight w:val="482" w:hRule="exact"/>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调入资金</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77,621</w:t>
            </w:r>
          </w:p>
        </w:tc>
        <w:tc>
          <w:tcPr>
            <w:tcW w:w="29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调出资金</w:t>
            </w:r>
          </w:p>
        </w:tc>
        <w:tc>
          <w:tcPr>
            <w:tcW w:w="1582"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82" w:hRule="exact"/>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债务转贷收入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145,100</w:t>
            </w:r>
          </w:p>
        </w:tc>
        <w:tc>
          <w:tcPr>
            <w:tcW w:w="29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债务还本支出</w:t>
            </w:r>
          </w:p>
        </w:tc>
        <w:tc>
          <w:tcPr>
            <w:tcW w:w="1582"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125,800</w:t>
            </w:r>
          </w:p>
        </w:tc>
      </w:tr>
      <w:tr>
        <w:tblPrEx>
          <w:tblCellMar>
            <w:top w:w="0" w:type="dxa"/>
            <w:left w:w="0" w:type="dxa"/>
            <w:bottom w:w="0" w:type="dxa"/>
            <w:right w:w="0" w:type="dxa"/>
          </w:tblCellMar>
        </w:tblPrEx>
        <w:trPr>
          <w:trHeight w:val="482" w:hRule="exact"/>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动用预算稳定调节基金</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45,731</w:t>
            </w:r>
          </w:p>
        </w:tc>
        <w:tc>
          <w:tcPr>
            <w:tcW w:w="29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安排预算稳定调节基金</w:t>
            </w:r>
          </w:p>
        </w:tc>
        <w:tc>
          <w:tcPr>
            <w:tcW w:w="1582"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65,328</w:t>
            </w:r>
          </w:p>
        </w:tc>
      </w:tr>
      <w:tr>
        <w:tblPrEx>
          <w:tblCellMar>
            <w:top w:w="0" w:type="dxa"/>
            <w:left w:w="0" w:type="dxa"/>
            <w:bottom w:w="0" w:type="dxa"/>
            <w:right w:w="0" w:type="dxa"/>
          </w:tblCellMar>
        </w:tblPrEx>
        <w:trPr>
          <w:trHeight w:val="482" w:hRule="exact"/>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上年结转</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31,008</w:t>
            </w:r>
          </w:p>
        </w:tc>
        <w:tc>
          <w:tcPr>
            <w:tcW w:w="29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结转下年</w:t>
            </w:r>
          </w:p>
        </w:tc>
        <w:tc>
          <w:tcPr>
            <w:tcW w:w="1582"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33,427</w:t>
            </w:r>
          </w:p>
        </w:tc>
      </w:tr>
    </w:tbl>
    <w:p>
      <w:pPr>
        <w:spacing w:line="586" w:lineRule="exact"/>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一般公共预算主要支出方向：</w:t>
      </w:r>
    </w:p>
    <w:p>
      <w:pPr>
        <w:spacing w:line="586" w:lineRule="exact"/>
        <w:ind w:firstLine="640"/>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——一般公共服务支出</w:t>
      </w:r>
      <w:r>
        <w:rPr>
          <w:rFonts w:cs="Times New Roman"/>
          <w:color w:val="000000" w:themeColor="text1"/>
          <w:szCs w:val="32"/>
          <w14:textFill>
            <w14:solidFill>
              <w14:schemeClr w14:val="tx1"/>
            </w14:solidFill>
          </w14:textFill>
        </w:rPr>
        <w:t>52</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471</w:t>
      </w:r>
      <w:r>
        <w:rPr>
          <w:rFonts w:hint="eastAsia" w:cs="方正仿宋_GBK"/>
          <w:color w:val="000000" w:themeColor="text1"/>
          <w:szCs w:val="32"/>
          <w14:textFill>
            <w14:solidFill>
              <w14:schemeClr w14:val="tx1"/>
            </w14:solidFill>
          </w14:textFill>
        </w:rPr>
        <w:t>万元。主要用于：保障党政机关、人大、政协和民主党派、群团组织正常运转及履行职能。支持创建全国文明城区，做好第五次全国经济普查经费保障。大力推进党的建设，加强自身内部管理，促进监察监督能力建设，提高依法履职能力和公共服务水平等。</w:t>
      </w:r>
    </w:p>
    <w:p>
      <w:pPr>
        <w:spacing w:line="586" w:lineRule="exact"/>
        <w:ind w:firstLine="640"/>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——公共安全支出</w:t>
      </w:r>
      <w:r>
        <w:rPr>
          <w:rFonts w:cs="Times New Roman"/>
          <w:color w:val="000000" w:themeColor="text1"/>
          <w:szCs w:val="32"/>
          <w14:textFill>
            <w14:solidFill>
              <w14:schemeClr w14:val="tx1"/>
            </w14:solidFill>
          </w14:textFill>
        </w:rPr>
        <w:t>36</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528</w:t>
      </w:r>
      <w:r>
        <w:rPr>
          <w:rFonts w:hint="eastAsia" w:cs="方正仿宋_GBK"/>
          <w:color w:val="000000" w:themeColor="text1"/>
          <w:szCs w:val="32"/>
          <w14:textFill>
            <w14:solidFill>
              <w14:schemeClr w14:val="tx1"/>
            </w14:solidFill>
          </w14:textFill>
        </w:rPr>
        <w:t>万元。主要用于：保障公安、司法、消防等单位正常运转及履行职能。维护公共安全和社会公平正义，保障执法办案、警务装备、信息化建设等经费需求。支持跃进村派出所改造、八桥派出所搬迁，保障</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雪亮工程</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有效运行，严厉打击电信网络诈骗、入室盗窃等违法犯罪活动，确保全区治安形势总体向好，有效维护社会安全稳定。</w:t>
      </w:r>
    </w:p>
    <w:p>
      <w:pPr>
        <w:spacing w:line="586" w:lineRule="exact"/>
        <w:ind w:firstLine="640"/>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——教育支出</w:t>
      </w:r>
      <w:r>
        <w:rPr>
          <w:rFonts w:cs="Times New Roman"/>
          <w:color w:val="000000" w:themeColor="text1"/>
          <w:szCs w:val="32"/>
          <w14:textFill>
            <w14:solidFill>
              <w14:schemeClr w14:val="tx1"/>
            </w14:solidFill>
          </w14:textFill>
        </w:rPr>
        <w:t>95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555</w:t>
      </w:r>
      <w:r>
        <w:rPr>
          <w:rFonts w:hint="eastAsia" w:cs="方正仿宋_GBK"/>
          <w:color w:val="000000" w:themeColor="text1"/>
          <w:szCs w:val="32"/>
          <w14:textFill>
            <w14:solidFill>
              <w14:schemeClr w14:val="tx1"/>
            </w14:solidFill>
          </w14:textFill>
        </w:rPr>
        <w:t>万元。主要用于：保障教委、学校等单位正常运转及履行职能。精准实施各级各类教育资助政策，改善学校办学条件，按标准足额保障生均公用经费，保障西大附中等学校基础设施建设投入，支持义务教育学校薄弱环节改善与能力提升，加强教育强区经费保障，促进教育事业优质均衡发展。</w:t>
      </w:r>
    </w:p>
    <w:p>
      <w:pPr>
        <w:spacing w:line="586" w:lineRule="exact"/>
        <w:ind w:firstLine="640"/>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——科学技术支出</w:t>
      </w:r>
      <w:r>
        <w:rPr>
          <w:rFonts w:cs="Times New Roman"/>
          <w:color w:val="000000" w:themeColor="text1"/>
          <w:szCs w:val="32"/>
          <w14:textFill>
            <w14:solidFill>
              <w14:schemeClr w14:val="tx1"/>
            </w14:solidFill>
          </w14:textFill>
        </w:rPr>
        <w:t>7</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124</w:t>
      </w:r>
      <w:r>
        <w:rPr>
          <w:rFonts w:hint="eastAsia" w:cs="方正仿宋_GBK"/>
          <w:color w:val="000000" w:themeColor="text1"/>
          <w:szCs w:val="32"/>
          <w14:textFill>
            <w14:solidFill>
              <w14:schemeClr w14:val="tx1"/>
            </w14:solidFill>
          </w14:textFill>
        </w:rPr>
        <w:t>万元。主要用于：保障科技局等单位正常运转及履行职能。继续支持开展知识价值信用贷款风险补偿基金，助力科技型企业发展。</w:t>
      </w:r>
      <w:r>
        <w:rPr>
          <w:rFonts w:cs="Times New Roman"/>
          <w:color w:val="000000" w:themeColor="text1"/>
          <w:szCs w:val="32"/>
          <w14:textFill>
            <w14:solidFill>
              <w14:schemeClr w14:val="tx1"/>
            </w14:solidFill>
          </w14:textFill>
        </w:rPr>
        <w:t>支持出台</w:t>
      </w:r>
      <w:r>
        <w:rPr>
          <w:rFonts w:hint="eastAsia" w:cs="方正仿宋_GBK"/>
          <w:color w:val="000000" w:themeColor="text1"/>
          <w:szCs w:val="32"/>
          <w14:textFill>
            <w14:solidFill>
              <w14:schemeClr w14:val="tx1"/>
            </w14:solidFill>
          </w14:textFill>
        </w:rPr>
        <w:t>科技创新</w:t>
      </w:r>
      <w:r>
        <w:rPr>
          <w:rFonts w:cs="Times New Roman"/>
          <w:color w:val="000000" w:themeColor="text1"/>
          <w:szCs w:val="32"/>
          <w14:textFill>
            <w14:solidFill>
              <w14:schemeClr w14:val="tx1"/>
            </w14:solidFill>
          </w14:textFill>
        </w:rPr>
        <w:t>扶持政策15条，兑现科技奖励资金1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800万元</w:t>
      </w:r>
      <w:r>
        <w:rPr>
          <w:rFonts w:hint="eastAsia" w:cs="方正仿宋_GBK"/>
          <w:color w:val="000000" w:themeColor="text1"/>
          <w:szCs w:val="32"/>
          <w14:textFill>
            <w14:solidFill>
              <w14:schemeClr w14:val="tx1"/>
            </w14:solidFill>
          </w14:textFill>
        </w:rPr>
        <w:t>，支持基层科普行动。鼓励企业加快重大新产品研发，稳步提升全区科技创新能力，全区研发投入强度达</w:t>
      </w:r>
      <w:r>
        <w:rPr>
          <w:rFonts w:cs="Times New Roman"/>
          <w:color w:val="000000" w:themeColor="text1"/>
          <w:szCs w:val="32"/>
          <w14:textFill>
            <w14:solidFill>
              <w14:schemeClr w14:val="tx1"/>
            </w14:solidFill>
          </w14:textFill>
        </w:rPr>
        <w:t>到3.6%</w:t>
      </w:r>
      <w:r>
        <w:rPr>
          <w:rFonts w:hint="eastAsia" w:cs="方正仿宋_GBK"/>
          <w:color w:val="000000" w:themeColor="text1"/>
          <w:szCs w:val="32"/>
          <w14:textFill>
            <w14:solidFill>
              <w14:schemeClr w14:val="tx1"/>
            </w14:solidFill>
          </w14:textFill>
        </w:rPr>
        <w:t>。</w:t>
      </w:r>
    </w:p>
    <w:p>
      <w:pPr>
        <w:spacing w:line="586" w:lineRule="exact"/>
        <w:ind w:firstLine="640"/>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——文化旅游体育与传媒支出</w:t>
      </w:r>
      <w:r>
        <w:rPr>
          <w:rFonts w:cs="Times New Roman"/>
          <w:color w:val="000000" w:themeColor="text1"/>
          <w:szCs w:val="32"/>
          <w14:textFill>
            <w14:solidFill>
              <w14:schemeClr w14:val="tx1"/>
            </w14:solidFill>
          </w14:textFill>
        </w:rPr>
        <w:t>7</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376</w:t>
      </w:r>
      <w:r>
        <w:rPr>
          <w:rFonts w:hint="eastAsia" w:cs="方正仿宋_GBK"/>
          <w:color w:val="000000" w:themeColor="text1"/>
          <w:szCs w:val="32"/>
          <w14:textFill>
            <w14:solidFill>
              <w14:schemeClr w14:val="tx1"/>
            </w14:solidFill>
          </w14:textFill>
        </w:rPr>
        <w:t>万元。主要用于：保障文旅、体育、融媒体中心等单位正常运转及履行职能。落实</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三馆一站</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免费开放经费，助力梅忠智美术馆开馆，支持融媒体中心建设，全面助推文旅产业融合发展。广泛开展群众体育健身活动，提高公共文化服务水平。</w:t>
      </w:r>
    </w:p>
    <w:p>
      <w:pPr>
        <w:spacing w:line="586" w:lineRule="exact"/>
        <w:ind w:firstLine="640"/>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——社会保障和就业支出</w:t>
      </w:r>
      <w:r>
        <w:rPr>
          <w:rFonts w:cs="Times New Roman"/>
          <w:color w:val="000000" w:themeColor="text1"/>
          <w:szCs w:val="32"/>
          <w14:textFill>
            <w14:solidFill>
              <w14:schemeClr w14:val="tx1"/>
            </w14:solidFill>
          </w14:textFill>
        </w:rPr>
        <w:t>46</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943</w:t>
      </w:r>
      <w:r>
        <w:rPr>
          <w:rFonts w:hint="eastAsia" w:cs="方正仿宋_GBK"/>
          <w:color w:val="000000" w:themeColor="text1"/>
          <w:szCs w:val="32"/>
          <w14:textFill>
            <w14:solidFill>
              <w14:schemeClr w14:val="tx1"/>
            </w14:solidFill>
          </w14:textFill>
        </w:rPr>
        <w:t>万元。主要用于：保障人社、民政、退役军人事务等单位正常运转及履行职能。落实各类人才政策，支持打造</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义渡就业列车</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服务品牌，做好高校毕业生、下岗失业人员等重点群体就业帮扶工作，推动稳住就业基本盘。落实各项优抚安置措施，助力</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双拥</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模范城创建。提升民政、优抚、残疾对象保障水平，城乡低保、特困补助标准分别提高到</w:t>
      </w:r>
      <w:r>
        <w:rPr>
          <w:rFonts w:cs="Times New Roman"/>
          <w:color w:val="000000" w:themeColor="text1"/>
          <w:szCs w:val="32"/>
          <w14:textFill>
            <w14:solidFill>
              <w14:schemeClr w14:val="tx1"/>
            </w14:solidFill>
          </w14:textFill>
        </w:rPr>
        <w:t>735</w:t>
      </w:r>
      <w:r>
        <w:rPr>
          <w:rFonts w:hint="eastAsia" w:cs="Times New Roman"/>
          <w:color w:val="000000" w:themeColor="text1"/>
          <w:szCs w:val="32"/>
          <w14:textFill>
            <w14:solidFill>
              <w14:schemeClr w14:val="tx1"/>
            </w14:solidFill>
          </w14:textFill>
        </w:rPr>
        <w:t>元</w:t>
      </w:r>
      <w:r>
        <w:rPr>
          <w:rFonts w:hint="eastAsia" w:cs="方正仿宋_GBK"/>
          <w:color w:val="000000" w:themeColor="text1"/>
          <w:szCs w:val="32"/>
          <w14:textFill>
            <w14:solidFill>
              <w14:schemeClr w14:val="tx1"/>
            </w14:solidFill>
          </w14:textFill>
        </w:rPr>
        <w:t>/人·年、</w:t>
      </w:r>
      <w:r>
        <w:rPr>
          <w:rFonts w:cs="Times New Roman"/>
          <w:color w:val="000000" w:themeColor="text1"/>
          <w:szCs w:val="32"/>
          <w14:textFill>
            <w14:solidFill>
              <w14:schemeClr w14:val="tx1"/>
            </w14:solidFill>
          </w14:textFill>
        </w:rPr>
        <w:t>955</w:t>
      </w:r>
      <w:r>
        <w:rPr>
          <w:rFonts w:hint="eastAsia" w:cs="Times New Roman"/>
          <w:color w:val="000000" w:themeColor="text1"/>
          <w:szCs w:val="32"/>
          <w14:textFill>
            <w14:solidFill>
              <w14:schemeClr w14:val="tx1"/>
            </w14:solidFill>
          </w14:textFill>
        </w:rPr>
        <w:t>元</w:t>
      </w:r>
      <w:r>
        <w:rPr>
          <w:rFonts w:hint="eastAsia" w:cs="方正仿宋_GBK"/>
          <w:color w:val="000000" w:themeColor="text1"/>
          <w:szCs w:val="32"/>
          <w14:textFill>
            <w14:solidFill>
              <w14:schemeClr w14:val="tx1"/>
            </w14:solidFill>
          </w14:textFill>
        </w:rPr>
        <w:t>/人·年。</w:t>
      </w:r>
    </w:p>
    <w:p>
      <w:pPr>
        <w:spacing w:line="586" w:lineRule="exact"/>
        <w:ind w:firstLine="640"/>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——卫生健康支出</w:t>
      </w:r>
      <w:r>
        <w:rPr>
          <w:rFonts w:cs="Times New Roman"/>
          <w:color w:val="000000" w:themeColor="text1"/>
          <w:szCs w:val="32"/>
          <w14:textFill>
            <w14:solidFill>
              <w14:schemeClr w14:val="tx1"/>
            </w14:solidFill>
          </w14:textFill>
        </w:rPr>
        <w:t>32</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388</w:t>
      </w:r>
      <w:r>
        <w:rPr>
          <w:rFonts w:hint="eastAsia" w:cs="方正仿宋_GBK"/>
          <w:color w:val="000000" w:themeColor="text1"/>
          <w:szCs w:val="32"/>
          <w14:textFill>
            <w14:solidFill>
              <w14:schemeClr w14:val="tx1"/>
            </w14:solidFill>
          </w14:textFill>
        </w:rPr>
        <w:t>万元。主要用于：保障卫健委、医保局、医院及社区卫生服务中心等单位正常运转及履行职能。支持加强公立医院、基层医疗卫生机构、疾病预防控制机构能力建设和卫生健康人才培养，全面落实计划生育家庭扶助及奖励政策，城乡居民医保补助标准提高到</w:t>
      </w:r>
      <w:r>
        <w:rPr>
          <w:rFonts w:cs="Times New Roman"/>
          <w:color w:val="000000" w:themeColor="text1"/>
          <w:szCs w:val="32"/>
          <w14:textFill>
            <w14:solidFill>
              <w14:schemeClr w14:val="tx1"/>
            </w14:solidFill>
          </w14:textFill>
        </w:rPr>
        <w:t>640</w:t>
      </w:r>
      <w:r>
        <w:rPr>
          <w:rFonts w:hint="eastAsia" w:cs="方正仿宋_GBK"/>
          <w:color w:val="000000" w:themeColor="text1"/>
          <w:szCs w:val="32"/>
          <w14:textFill>
            <w14:solidFill>
              <w14:schemeClr w14:val="tx1"/>
            </w14:solidFill>
          </w14:textFill>
        </w:rPr>
        <w:t>元/人·年。深化公立医院和基层医疗卫生机构改革，落实公立医院财政补助政策及乡村医生待遇保障政策，不断提高公共卫生服务能力。</w:t>
      </w:r>
    </w:p>
    <w:p>
      <w:pPr>
        <w:spacing w:line="586" w:lineRule="exact"/>
        <w:ind w:firstLine="640"/>
        <w:outlineLvl w:val="3"/>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——节能环保支出</w:t>
      </w:r>
      <w:r>
        <w:rPr>
          <w:rFonts w:cs="Times New Roman"/>
          <w:color w:val="000000" w:themeColor="text1"/>
          <w:szCs w:val="32"/>
          <w14:textFill>
            <w14:solidFill>
              <w14:schemeClr w14:val="tx1"/>
            </w14:solidFill>
          </w14:textFill>
        </w:rPr>
        <w:t>8</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063</w:t>
      </w:r>
      <w:r>
        <w:rPr>
          <w:rFonts w:hint="eastAsia" w:cs="方正仿宋_GBK"/>
          <w:color w:val="000000" w:themeColor="text1"/>
          <w:szCs w:val="32"/>
          <w14:textFill>
            <w14:solidFill>
              <w14:schemeClr w14:val="tx1"/>
            </w14:solidFill>
          </w14:textFill>
        </w:rPr>
        <w:t>万元。主要用于：保障生态环境局等单位正常运转及履行职能。统筹实施生态保护修复、绿色低碳发展、环境质量改善、环境风险防范、区域协同共治等。重点保障区域内大气污染防治及土壤污染防治，支持开展城镇生活污水治理、农村黑臭水体治理清零行动和市容秩序整治，不断提高生态环境质量和水平。</w:t>
      </w:r>
    </w:p>
    <w:p>
      <w:pPr>
        <w:spacing w:line="586" w:lineRule="exact"/>
        <w:ind w:firstLine="640"/>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——城乡社区支出</w:t>
      </w:r>
      <w:r>
        <w:rPr>
          <w:rFonts w:cs="Times New Roman"/>
          <w:color w:val="000000" w:themeColor="text1"/>
          <w:szCs w:val="32"/>
          <w14:textFill>
            <w14:solidFill>
              <w14:schemeClr w14:val="tx1"/>
            </w14:solidFill>
          </w14:textFill>
        </w:rPr>
        <w:t>50</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957</w:t>
      </w:r>
      <w:r>
        <w:rPr>
          <w:rFonts w:hint="eastAsia" w:cs="方正仿宋_GBK"/>
          <w:color w:val="000000" w:themeColor="text1"/>
          <w:szCs w:val="32"/>
          <w14:textFill>
            <w14:solidFill>
              <w14:schemeClr w14:val="tx1"/>
            </w14:solidFill>
          </w14:textFill>
        </w:rPr>
        <w:t>万元。主要用于：保障住建、城管等单位正常运转及履行职能。支持市政设施维修维护、城市排水设施管护等，完善垃圾收运及分类改革，兑现商品房购买补贴。支持新建小微</w:t>
      </w:r>
      <w:r>
        <w:rPr>
          <w:rFonts w:cs="Times New Roman"/>
          <w:color w:val="000000" w:themeColor="text1"/>
          <w:szCs w:val="32"/>
          <w14:textFill>
            <w14:solidFill>
              <w14:schemeClr w14:val="tx1"/>
            </w14:solidFill>
          </w14:textFill>
        </w:rPr>
        <w:t>停车场29个、劳动者港湾</w:t>
      </w:r>
      <w:r>
        <w:rPr>
          <w:rFonts w:hint="eastAsia" w:cs="Times New Roman"/>
          <w:color w:val="000000" w:themeColor="text1"/>
          <w:szCs w:val="32"/>
          <w14:textFill>
            <w14:solidFill>
              <w14:schemeClr w14:val="tx1"/>
            </w14:solidFill>
          </w14:textFill>
        </w:rPr>
        <w:t>示范点</w:t>
      </w:r>
      <w:r>
        <w:rPr>
          <w:rFonts w:cs="Times New Roman"/>
          <w:color w:val="000000" w:themeColor="text1"/>
          <w:szCs w:val="32"/>
          <w14:textFill>
            <w14:solidFill>
              <w14:schemeClr w14:val="tx1"/>
            </w14:solidFill>
          </w14:textFill>
        </w:rPr>
        <w:t>5座</w:t>
      </w:r>
      <w:r>
        <w:rPr>
          <w:rFonts w:hint="eastAsia" w:cs="Times New Roman"/>
          <w:color w:val="000000" w:themeColor="text1"/>
          <w:szCs w:val="32"/>
          <w14:textFill>
            <w14:solidFill>
              <w14:schemeClr w14:val="tx1"/>
            </w14:solidFill>
          </w14:textFill>
        </w:rPr>
        <w:t>。做好</w:t>
      </w:r>
      <w:r>
        <w:rPr>
          <w:rFonts w:hint="eastAsia" w:cs="方正仿宋_GBK"/>
          <w:color w:val="000000" w:themeColor="text1"/>
          <w:szCs w:val="32"/>
          <w14:textFill>
            <w14:solidFill>
              <w14:schemeClr w14:val="tx1"/>
            </w14:solidFill>
          </w14:textFill>
        </w:rPr>
        <w:t>绿化管护、边坡治理和景观改造等资金保障，不断完善城市功能、提升城市品质。</w:t>
      </w:r>
    </w:p>
    <w:p>
      <w:pPr>
        <w:spacing w:line="586" w:lineRule="exact"/>
        <w:ind w:firstLine="640"/>
        <w:rPr>
          <w:rFonts w:cs="方正仿宋_GBK"/>
          <w:bCs/>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——农林水支出</w:t>
      </w:r>
      <w:r>
        <w:rPr>
          <w:rFonts w:cs="Times New Roman"/>
          <w:color w:val="000000" w:themeColor="text1"/>
          <w:szCs w:val="32"/>
          <w14:textFill>
            <w14:solidFill>
              <w14:schemeClr w14:val="tx1"/>
            </w14:solidFill>
          </w14:textFill>
        </w:rPr>
        <w:t>10</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552</w:t>
      </w:r>
      <w:r>
        <w:rPr>
          <w:rFonts w:hint="eastAsia" w:cs="方正仿宋_GBK"/>
          <w:color w:val="000000" w:themeColor="text1"/>
          <w:szCs w:val="32"/>
          <w14:textFill>
            <w14:solidFill>
              <w14:schemeClr w14:val="tx1"/>
            </w14:solidFill>
          </w14:textFill>
        </w:rPr>
        <w:t>万元。主要用于：保障农业农村委正常运转及履行职能。推进新型城镇化和乡村振兴全面有机衔接，及时兑现农业支持保护补贴，加快推进麦制品产业集群项目，推广农业技术，强化品牌农业建设，助力农村公益事业。支持森林植被恢复，开展森林防火、防汛抗旱、河道水文监测及河长定期巡查、农业综合执法等，社会公众生态环境满意度居全市前列。</w:t>
      </w:r>
    </w:p>
    <w:p>
      <w:pPr>
        <w:spacing w:line="586" w:lineRule="exact"/>
        <w:ind w:firstLine="640"/>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——交通运输支出</w:t>
      </w:r>
      <w:r>
        <w:rPr>
          <w:rFonts w:cs="Times New Roman"/>
          <w:color w:val="000000" w:themeColor="text1"/>
          <w:szCs w:val="32"/>
          <w14:textFill>
            <w14:solidFill>
              <w14:schemeClr w14:val="tx1"/>
            </w14:solidFill>
          </w14:textFill>
        </w:rPr>
        <w:t>2</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894</w:t>
      </w:r>
      <w:r>
        <w:rPr>
          <w:rFonts w:hint="eastAsia" w:cs="方正仿宋_GBK"/>
          <w:color w:val="000000" w:themeColor="text1"/>
          <w:szCs w:val="32"/>
          <w14:textFill>
            <w14:solidFill>
              <w14:schemeClr w14:val="tx1"/>
            </w14:solidFill>
          </w14:textFill>
        </w:rPr>
        <w:t>万元。主要用于：保障交通局等单位正常运转及履行职能。加快推进成渝铁路改造，配合做好渝贵等高铁前期工作。加快石新路、华福路（三一重工至华福隧道入口段）等公路新建改建。提升公交服务城市建设和产业园区能力，落实公交营运补贴及农村客运保险。</w:t>
      </w:r>
    </w:p>
    <w:p>
      <w:pPr>
        <w:spacing w:line="586" w:lineRule="exact"/>
        <w:ind w:firstLine="640"/>
        <w:rPr>
          <w:rFonts w:hint="eastAsia"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——资源勘探信息等支出</w:t>
      </w:r>
      <w:r>
        <w:rPr>
          <w:rFonts w:cs="Times New Roman"/>
          <w:color w:val="000000" w:themeColor="text1"/>
          <w:szCs w:val="32"/>
          <w14:textFill>
            <w14:solidFill>
              <w14:schemeClr w14:val="tx1"/>
            </w14:solidFill>
          </w14:textFill>
        </w:rPr>
        <w:t>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389</w:t>
      </w:r>
      <w:r>
        <w:rPr>
          <w:rFonts w:hint="eastAsia" w:cs="方正仿宋_GBK"/>
          <w:color w:val="000000" w:themeColor="text1"/>
          <w:szCs w:val="32"/>
          <w14:textFill>
            <w14:solidFill>
              <w14:schemeClr w14:val="tx1"/>
            </w14:solidFill>
          </w14:textFill>
        </w:rPr>
        <w:t>万元。主要用于：推动企业信息智能化改造升级及品牌宣传推广，落实软件和信息服务业重点软件产品绩效、民营经济成效奖励、重点应用场景补助、企业技术创新奖励、重要平台培育以及优秀企业家表彰等，支持企业做大做强。支持数字化装备普及、信息管理系统集成应用国家专精特新</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小巨人</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企业奖补等。</w:t>
      </w:r>
    </w:p>
    <w:p>
      <w:pPr>
        <w:spacing w:line="586" w:lineRule="exact"/>
        <w:ind w:firstLine="640"/>
        <w:rPr>
          <w:rFonts w:cs="方正仿宋_GBK"/>
          <w:color w:val="000000" w:themeColor="text1"/>
          <w14:textFill>
            <w14:solidFill>
              <w14:schemeClr w14:val="tx1"/>
            </w14:solidFill>
          </w14:textFill>
        </w:rPr>
      </w:pPr>
      <w:r>
        <w:rPr>
          <w:rFonts w:hint="eastAsia" w:cs="方正仿宋_GBK"/>
          <w:color w:val="000000" w:themeColor="text1"/>
          <w:szCs w:val="32"/>
          <w14:textFill>
            <w14:solidFill>
              <w14:schemeClr w14:val="tx1"/>
            </w14:solidFill>
          </w14:textFill>
        </w:rPr>
        <w:t>——商业服务业等支出</w:t>
      </w:r>
      <w:r>
        <w:rPr>
          <w:rFonts w:cs="Times New Roman"/>
          <w:color w:val="000000" w:themeColor="text1"/>
          <w:szCs w:val="32"/>
          <w14:textFill>
            <w14:solidFill>
              <w14:schemeClr w14:val="tx1"/>
            </w14:solidFill>
          </w14:textFill>
        </w:rPr>
        <w:t>960</w:t>
      </w:r>
      <w:r>
        <w:rPr>
          <w:rFonts w:hint="eastAsia" w:cs="方正仿宋_GBK"/>
          <w:color w:val="000000" w:themeColor="text1"/>
          <w:szCs w:val="32"/>
          <w14:textFill>
            <w14:solidFill>
              <w14:schemeClr w14:val="tx1"/>
            </w14:solidFill>
          </w14:textFill>
        </w:rPr>
        <w:t>万元。主要用于助推区域商贸流通发展和商务区域协调发展，帮助中小微企业缓解财务压力，支持外贸企业提升国际化经营能力。支持举办第三届重庆小面文化节、金秋消费节等系列消费促进活动；助力县域商业体系项目建设，改造中交丽景公元时光商业街、建设蒲公英成长酷玩营地手野特色创意市集，完善重点区域公共商业服务配套功能，提升商贸行业服务水平。</w:t>
      </w:r>
    </w:p>
    <w:p>
      <w:pPr>
        <w:spacing w:line="586" w:lineRule="exact"/>
        <w:ind w:firstLine="640"/>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——自然资源海洋气象支出</w:t>
      </w:r>
      <w:r>
        <w:rPr>
          <w:rFonts w:cs="Times New Roman"/>
          <w:color w:val="000000" w:themeColor="text1"/>
          <w:szCs w:val="32"/>
          <w14:textFill>
            <w14:solidFill>
              <w14:schemeClr w14:val="tx1"/>
            </w14:solidFill>
          </w14:textFill>
        </w:rPr>
        <w:t>566</w:t>
      </w:r>
      <w:r>
        <w:rPr>
          <w:rFonts w:hint="eastAsia" w:cs="方正仿宋_GBK"/>
          <w:color w:val="000000" w:themeColor="text1"/>
          <w:szCs w:val="32"/>
          <w14:textFill>
            <w14:solidFill>
              <w14:schemeClr w14:val="tx1"/>
            </w14:solidFill>
          </w14:textFill>
        </w:rPr>
        <w:t>万元。主要用于：保障自然资源等公益服务事业方面支出。支持历史遗留矿山治理恢复方案编制、耕地保护工作、国土空间规划和自然资源管理、土地征收成片开发方案等。</w:t>
      </w:r>
    </w:p>
    <w:p>
      <w:pPr>
        <w:spacing w:line="586" w:lineRule="exact"/>
        <w:ind w:firstLine="640"/>
        <w:rPr>
          <w:rFonts w:cs="Times New Roman"/>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——住房保障支出</w:t>
      </w:r>
      <w:r>
        <w:rPr>
          <w:rFonts w:cs="Times New Roman"/>
          <w:color w:val="000000" w:themeColor="text1"/>
          <w:szCs w:val="32"/>
          <w14:textFill>
            <w14:solidFill>
              <w14:schemeClr w14:val="tx1"/>
            </w14:solidFill>
          </w14:textFill>
        </w:rPr>
        <w:t>21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780</w:t>
      </w:r>
      <w:r>
        <w:rPr>
          <w:rFonts w:hint="eastAsia" w:cs="方正仿宋_GBK"/>
          <w:color w:val="000000" w:themeColor="text1"/>
          <w:szCs w:val="32"/>
          <w14:textFill>
            <w14:solidFill>
              <w14:schemeClr w14:val="tx1"/>
            </w14:solidFill>
          </w14:textFill>
        </w:rPr>
        <w:t>万元。主要用于：住房保障方面支出。支持完成新工社区、伏牛溪社区、白沙沱社</w:t>
      </w:r>
      <w:r>
        <w:rPr>
          <w:rFonts w:cs="Times New Roman"/>
          <w:color w:val="000000" w:themeColor="text1"/>
          <w:szCs w:val="32"/>
          <w14:textFill>
            <w14:solidFill>
              <w14:schemeClr w14:val="tx1"/>
            </w14:solidFill>
          </w14:textFill>
        </w:rPr>
        <w:t>区等12个老旧小区</w:t>
      </w:r>
      <w:r>
        <w:rPr>
          <w:rFonts w:hint="eastAsia" w:cs="方正仿宋_GBK"/>
          <w:color w:val="000000" w:themeColor="text1"/>
          <w:szCs w:val="32"/>
          <w14:textFill>
            <w14:solidFill>
              <w14:schemeClr w14:val="tx1"/>
            </w14:solidFill>
          </w14:textFill>
        </w:rPr>
        <w:t>改造。支持棚户区改造等保障性安居工程建设和租赁住房筹集及建设，支持房地产市场平稳健康发展，实施老旧社区电梯改造、燃气管道更新、雨污管网整治等项目，逐步提升城市品质。</w:t>
      </w:r>
    </w:p>
    <w:p>
      <w:pPr>
        <w:spacing w:line="586" w:lineRule="exact"/>
        <w:ind w:firstLine="640"/>
        <w:rPr>
          <w:rFonts w:eastAsia="方正楷体_GBK" w:cs="方正楷体_GBK"/>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（二）政府性基金预算</w:t>
      </w:r>
    </w:p>
    <w:p>
      <w:pPr>
        <w:spacing w:line="586" w:lineRule="exact"/>
        <w:ind w:firstLine="643"/>
        <w:rPr>
          <w:rFonts w:cs="Times New Roman"/>
          <w:color w:val="000000" w:themeColor="text1"/>
          <w:szCs w:val="32"/>
          <w14:textFill>
            <w14:solidFill>
              <w14:schemeClr w14:val="tx1"/>
            </w14:solidFill>
          </w14:textFill>
        </w:rPr>
      </w:pPr>
      <w:r>
        <w:rPr>
          <w:rFonts w:cs="Times New Roman"/>
          <w:b/>
          <w:bCs/>
          <w:color w:val="000000" w:themeColor="text1"/>
          <w:szCs w:val="32"/>
          <w14:textFill>
            <w14:solidFill>
              <w14:schemeClr w14:val="tx1"/>
            </w14:solidFill>
          </w14:textFill>
        </w:rPr>
        <w:t>1.收入执行情况。</w:t>
      </w:r>
      <w:r>
        <w:rPr>
          <w:rFonts w:cs="Times New Roman"/>
          <w:color w:val="000000" w:themeColor="text1"/>
          <w:szCs w:val="32"/>
          <w14:textFill>
            <w14:solidFill>
              <w14:schemeClr w14:val="tx1"/>
            </w14:solidFill>
          </w14:textFill>
        </w:rPr>
        <w:t>收入总计829</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459万元，具体组成：本级收入18万元</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上级补助收入457</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989万元；债务转贷收入240</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900万元；上年结转130,552万元。</w:t>
      </w:r>
    </w:p>
    <w:p>
      <w:pPr>
        <w:ind w:firstLine="643"/>
        <w:rPr>
          <w:rFonts w:cs="Times New Roman"/>
          <w:color w:val="000000" w:themeColor="text1"/>
          <w:szCs w:val="32"/>
          <w14:textFill>
            <w14:solidFill>
              <w14:schemeClr w14:val="tx1"/>
            </w14:solidFill>
          </w14:textFill>
        </w:rPr>
      </w:pPr>
      <w:r>
        <w:rPr>
          <w:rFonts w:cs="Times New Roman"/>
          <w:b/>
          <w:bCs/>
          <w:color w:val="000000" w:themeColor="text1"/>
          <w:szCs w:val="32"/>
          <w14:textFill>
            <w14:solidFill>
              <w14:schemeClr w14:val="tx1"/>
            </w14:solidFill>
          </w14:textFill>
        </w:rPr>
        <w:t>2.支出执行情况。</w:t>
      </w:r>
      <w:r>
        <w:rPr>
          <w:rFonts w:cs="Times New Roman"/>
          <w:color w:val="000000" w:themeColor="text1"/>
          <w:szCs w:val="32"/>
          <w14:textFill>
            <w14:solidFill>
              <w14:schemeClr w14:val="tx1"/>
            </w14:solidFill>
          </w14:textFill>
        </w:rPr>
        <w:t>支出总计829</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459万元，具体组成：本级支出487</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911万元；上解上级支出692万元；</w:t>
      </w:r>
      <w:r>
        <w:rPr>
          <w:rFonts w:hint="eastAsia" w:cs="Times New Roman"/>
          <w:color w:val="000000" w:themeColor="text1"/>
          <w:szCs w:val="32"/>
          <w14:textFill>
            <w14:solidFill>
              <w14:schemeClr w14:val="tx1"/>
            </w14:solidFill>
          </w14:textFill>
        </w:rPr>
        <w:t>债务还本支出</w:t>
      </w:r>
      <w:r>
        <w:rPr>
          <w:rFonts w:cs="Times New Roman"/>
          <w:color w:val="000000" w:themeColor="text1"/>
          <w:szCs w:val="32"/>
          <w14:textFill>
            <w14:solidFill>
              <w14:schemeClr w14:val="tx1"/>
            </w14:solidFill>
          </w14:textFill>
        </w:rPr>
        <w:t>241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500</w:t>
      </w:r>
      <w:r>
        <w:rPr>
          <w:rFonts w:hint="eastAsia" w:cs="Times New Roman"/>
          <w:color w:val="000000" w:themeColor="text1"/>
          <w:szCs w:val="32"/>
          <w14:textFill>
            <w14:solidFill>
              <w14:schemeClr w14:val="tx1"/>
            </w14:solidFill>
          </w14:textFill>
        </w:rPr>
        <w:t>万元；</w:t>
      </w:r>
      <w:r>
        <w:rPr>
          <w:rFonts w:cs="Times New Roman"/>
          <w:color w:val="000000" w:themeColor="text1"/>
          <w:szCs w:val="32"/>
          <w14:textFill>
            <w14:solidFill>
              <w14:schemeClr w14:val="tx1"/>
            </w14:solidFill>
          </w14:textFill>
        </w:rPr>
        <w:t>调出资金73</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216万元；结转下年26</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140万元。</w:t>
      </w:r>
    </w:p>
    <w:p>
      <w:pPr>
        <w:pStyle w:val="6"/>
        <w:spacing w:after="0"/>
        <w:ind w:firstLine="0" w:firstLineChars="0"/>
        <w:jc w:val="center"/>
        <w:rPr>
          <w:rFonts w:eastAsia="方正黑体_GBK" w:cs="方正黑体_GBK"/>
          <w:color w:val="000000" w:themeColor="text1"/>
          <w14:textFill>
            <w14:solidFill>
              <w14:schemeClr w14:val="tx1"/>
            </w14:solidFill>
          </w14:textFill>
        </w:rPr>
      </w:pPr>
      <w:r>
        <w:rPr>
          <w:rFonts w:eastAsia="方正黑体_GBK"/>
          <w:color w:val="000000" w:themeColor="text1"/>
          <w14:textFill>
            <w14:solidFill>
              <w14:schemeClr w14:val="tx1"/>
            </w14:solidFill>
          </w14:textFill>
        </w:rPr>
        <w:t>2023</w:t>
      </w:r>
      <w:r>
        <w:rPr>
          <w:rFonts w:hint="eastAsia" w:eastAsia="方正黑体_GBK" w:cs="方正黑体_GBK"/>
          <w:color w:val="000000" w:themeColor="text1"/>
          <w14:textFill>
            <w14:solidFill>
              <w14:schemeClr w14:val="tx1"/>
            </w14:solidFill>
          </w14:textFill>
        </w:rPr>
        <w:t>年全区政府性基金预算收支平衡表</w:t>
      </w:r>
    </w:p>
    <w:p>
      <w:pPr>
        <w:pStyle w:val="6"/>
        <w:spacing w:after="0" w:line="240" w:lineRule="auto"/>
        <w:ind w:firstLine="440"/>
        <w:jc w:val="right"/>
        <w:rPr>
          <w:rFonts w:eastAsiaTheme="minorEastAsia" w:cstheme="minorEastAsia"/>
          <w:color w:val="000000" w:themeColor="text1"/>
          <w:sz w:val="22"/>
          <w:szCs w:val="22"/>
          <w14:textFill>
            <w14:solidFill>
              <w14:schemeClr w14:val="tx1"/>
            </w14:solidFill>
          </w14:textFill>
        </w:rPr>
      </w:pPr>
      <w:r>
        <w:rPr>
          <w:rFonts w:hint="eastAsia" w:eastAsiaTheme="minorEastAsia" w:cstheme="minorEastAsia"/>
          <w:color w:val="000000" w:themeColor="text1"/>
          <w:sz w:val="22"/>
          <w:szCs w:val="22"/>
          <w14:textFill>
            <w14:solidFill>
              <w14:schemeClr w14:val="tx1"/>
            </w14:solidFill>
          </w14:textFill>
        </w:rPr>
        <w:t>单位：万元</w:t>
      </w:r>
    </w:p>
    <w:tbl>
      <w:tblPr>
        <w:tblStyle w:val="13"/>
        <w:tblW w:w="8985" w:type="dxa"/>
        <w:jc w:val="center"/>
        <w:tblLayout w:type="fixed"/>
        <w:tblCellMar>
          <w:top w:w="0" w:type="dxa"/>
          <w:left w:w="0" w:type="dxa"/>
          <w:bottom w:w="0" w:type="dxa"/>
          <w:right w:w="0" w:type="dxa"/>
        </w:tblCellMar>
      </w:tblPr>
      <w:tblGrid>
        <w:gridCol w:w="3028"/>
        <w:gridCol w:w="1457"/>
        <w:gridCol w:w="3060"/>
        <w:gridCol w:w="1440"/>
      </w:tblGrid>
      <w:tr>
        <w:tblPrEx>
          <w:tblCellMar>
            <w:top w:w="0" w:type="dxa"/>
            <w:left w:w="0" w:type="dxa"/>
            <w:bottom w:w="0" w:type="dxa"/>
            <w:right w:w="0" w:type="dxa"/>
          </w:tblCellMar>
        </w:tblPrEx>
        <w:trPr>
          <w:trHeight w:val="482" w:hRule="exact"/>
          <w:tblHeader/>
          <w:jc w:val="center"/>
        </w:trPr>
        <w:tc>
          <w:tcPr>
            <w:tcW w:w="302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收    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执行数</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支    出</w:t>
            </w:r>
          </w:p>
        </w:tc>
        <w:tc>
          <w:tcPr>
            <w:tcW w:w="144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执行数</w:t>
            </w:r>
          </w:p>
        </w:tc>
      </w:tr>
      <w:tr>
        <w:tblPrEx>
          <w:tblCellMar>
            <w:top w:w="0" w:type="dxa"/>
            <w:left w:w="0" w:type="dxa"/>
            <w:bottom w:w="0" w:type="dxa"/>
            <w:right w:w="0" w:type="dxa"/>
          </w:tblCellMar>
        </w:tblPrEx>
        <w:trPr>
          <w:trHeight w:val="482" w:hRule="exact"/>
          <w:jc w:val="center"/>
        </w:trPr>
        <w:tc>
          <w:tcPr>
            <w:tcW w:w="302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829,459</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44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829</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459</w:t>
            </w:r>
          </w:p>
        </w:tc>
      </w:tr>
      <w:tr>
        <w:tblPrEx>
          <w:tblCellMar>
            <w:top w:w="0" w:type="dxa"/>
            <w:left w:w="0" w:type="dxa"/>
            <w:bottom w:w="0" w:type="dxa"/>
            <w:right w:w="0" w:type="dxa"/>
          </w:tblCellMar>
        </w:tblPrEx>
        <w:trPr>
          <w:trHeight w:val="482" w:hRule="exact"/>
          <w:jc w:val="center"/>
        </w:trPr>
        <w:tc>
          <w:tcPr>
            <w:tcW w:w="302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一、本级收入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18</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一、本级支出</w:t>
            </w:r>
          </w:p>
        </w:tc>
        <w:tc>
          <w:tcPr>
            <w:tcW w:w="144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487,911</w:t>
            </w:r>
          </w:p>
        </w:tc>
      </w:tr>
      <w:tr>
        <w:tblPrEx>
          <w:tblCellMar>
            <w:top w:w="0" w:type="dxa"/>
            <w:left w:w="0" w:type="dxa"/>
            <w:bottom w:w="0" w:type="dxa"/>
            <w:right w:w="0" w:type="dxa"/>
          </w:tblCellMar>
        </w:tblPrEx>
        <w:trPr>
          <w:trHeight w:val="482" w:hRule="exact"/>
          <w:jc w:val="center"/>
        </w:trPr>
        <w:tc>
          <w:tcPr>
            <w:tcW w:w="302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二、转移性收入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829,441</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二、转移性支出</w:t>
            </w:r>
          </w:p>
        </w:tc>
        <w:tc>
          <w:tcPr>
            <w:tcW w:w="144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341,548</w:t>
            </w:r>
          </w:p>
        </w:tc>
      </w:tr>
      <w:tr>
        <w:tblPrEx>
          <w:tblCellMar>
            <w:top w:w="0" w:type="dxa"/>
            <w:left w:w="0" w:type="dxa"/>
            <w:bottom w:w="0" w:type="dxa"/>
            <w:right w:w="0" w:type="dxa"/>
          </w:tblCellMar>
        </w:tblPrEx>
        <w:trPr>
          <w:trHeight w:val="482" w:hRule="exact"/>
          <w:jc w:val="center"/>
        </w:trPr>
        <w:tc>
          <w:tcPr>
            <w:tcW w:w="302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上级补助收入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457,989</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上解上级支出</w:t>
            </w:r>
          </w:p>
        </w:tc>
        <w:tc>
          <w:tcPr>
            <w:tcW w:w="144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692</w:t>
            </w:r>
          </w:p>
        </w:tc>
      </w:tr>
      <w:tr>
        <w:tblPrEx>
          <w:tblCellMar>
            <w:top w:w="0" w:type="dxa"/>
            <w:left w:w="0" w:type="dxa"/>
            <w:bottom w:w="0" w:type="dxa"/>
            <w:right w:w="0" w:type="dxa"/>
          </w:tblCellMar>
        </w:tblPrEx>
        <w:trPr>
          <w:trHeight w:val="482" w:hRule="exact"/>
          <w:jc w:val="center"/>
        </w:trPr>
        <w:tc>
          <w:tcPr>
            <w:tcW w:w="302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调入资金</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调出资金</w:t>
            </w:r>
          </w:p>
        </w:tc>
        <w:tc>
          <w:tcPr>
            <w:tcW w:w="144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73,216</w:t>
            </w:r>
          </w:p>
        </w:tc>
      </w:tr>
      <w:tr>
        <w:tblPrEx>
          <w:tblCellMar>
            <w:top w:w="0" w:type="dxa"/>
            <w:left w:w="0" w:type="dxa"/>
            <w:bottom w:w="0" w:type="dxa"/>
            <w:right w:w="0" w:type="dxa"/>
          </w:tblCellMar>
        </w:tblPrEx>
        <w:trPr>
          <w:trHeight w:val="482" w:hRule="exact"/>
          <w:jc w:val="center"/>
        </w:trPr>
        <w:tc>
          <w:tcPr>
            <w:tcW w:w="302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债务转贷收入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240,900</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债务还本支出</w:t>
            </w:r>
          </w:p>
        </w:tc>
        <w:tc>
          <w:tcPr>
            <w:tcW w:w="144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241</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500</w:t>
            </w:r>
          </w:p>
        </w:tc>
      </w:tr>
      <w:tr>
        <w:tblPrEx>
          <w:tblCellMar>
            <w:top w:w="0" w:type="dxa"/>
            <w:left w:w="0" w:type="dxa"/>
            <w:bottom w:w="0" w:type="dxa"/>
            <w:right w:w="0" w:type="dxa"/>
          </w:tblCellMar>
        </w:tblPrEx>
        <w:trPr>
          <w:trHeight w:val="482" w:hRule="exact"/>
          <w:jc w:val="center"/>
        </w:trPr>
        <w:tc>
          <w:tcPr>
            <w:tcW w:w="302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上年结转</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130,552</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结转下年</w:t>
            </w:r>
          </w:p>
        </w:tc>
        <w:tc>
          <w:tcPr>
            <w:tcW w:w="144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26</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140</w:t>
            </w:r>
          </w:p>
        </w:tc>
      </w:tr>
    </w:tbl>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政府性基金</w:t>
      </w:r>
      <w:r>
        <w:rPr>
          <w:rFonts w:hint="eastAsia" w:cs="Times New Roman"/>
          <w:color w:val="000000" w:themeColor="text1"/>
          <w:szCs w:val="32"/>
          <w14:textFill>
            <w14:solidFill>
              <w14:schemeClr w14:val="tx1"/>
            </w14:solidFill>
          </w14:textFill>
        </w:rPr>
        <w:t>预算</w:t>
      </w:r>
      <w:r>
        <w:rPr>
          <w:rFonts w:cs="Times New Roman"/>
          <w:color w:val="000000" w:themeColor="text1"/>
          <w:szCs w:val="32"/>
          <w14:textFill>
            <w14:solidFill>
              <w14:schemeClr w14:val="tx1"/>
            </w14:solidFill>
          </w14:textFill>
        </w:rPr>
        <w:t>主要支出方向：</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——城乡社区支出454</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516万元。</w:t>
      </w:r>
      <w:r>
        <w:rPr>
          <w:rFonts w:hint="eastAsia" w:cs="方正仿宋_GBK"/>
          <w:color w:val="000000" w:themeColor="text1"/>
          <w:szCs w:val="32"/>
          <w14:textFill>
            <w14:solidFill>
              <w14:schemeClr w14:val="tx1"/>
            </w14:solidFill>
          </w14:textFill>
        </w:rPr>
        <w:t>主要用于：稳步推进区域内征地拆迁及基础设施建设工作。推进茄子溪港、重钢片区道路、创新村片区道路、五一互助路网、车家坪小学等项目征地拆迁。支持棚户区改造、武警营地建设、农村公路建设、巴蜀美丽庭院示范项目建设等，支持</w:t>
      </w:r>
      <w:r>
        <w:rPr>
          <w:rFonts w:cs="Times New Roman"/>
          <w:color w:val="000000" w:themeColor="text1"/>
          <w:szCs w:val="32"/>
          <w14:textFill>
            <w14:solidFill>
              <w14:schemeClr w14:val="tx1"/>
            </w14:solidFill>
          </w14:textFill>
        </w:rPr>
        <w:t>M36</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2</w:t>
      </w:r>
      <w:r>
        <w:rPr>
          <w:rFonts w:hint="eastAsia" w:cs="方正仿宋_GBK"/>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I59</w:t>
      </w:r>
      <w:r>
        <w:rPr>
          <w:rFonts w:hint="eastAsia" w:cs="方正仿宋_GBK"/>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H13</w:t>
      </w:r>
      <w:r>
        <w:rPr>
          <w:rFonts w:hint="eastAsia" w:cs="方正仿宋_GBK"/>
          <w:color w:val="000000" w:themeColor="text1"/>
          <w:szCs w:val="32"/>
          <w14:textFill>
            <w14:solidFill>
              <w14:schemeClr w14:val="tx1"/>
            </w14:solidFill>
          </w14:textFill>
        </w:rPr>
        <w:t>等地块新建学校。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——其他支出18</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755万元。主要用于：</w:t>
      </w:r>
      <w:r>
        <w:rPr>
          <w:rFonts w:hint="eastAsia" w:cs="Times New Roman"/>
          <w:color w:val="000000" w:themeColor="text1"/>
          <w:szCs w:val="32"/>
          <w14:textFill>
            <w14:solidFill>
              <w14:schemeClr w14:val="tx1"/>
            </w14:solidFill>
          </w14:textFill>
        </w:rPr>
        <w:t>偿还政府专项债券利息。支持三峡</w:t>
      </w:r>
      <w:r>
        <w:rPr>
          <w:rFonts w:cs="Times New Roman"/>
          <w:color w:val="000000" w:themeColor="text1"/>
          <w:szCs w:val="32"/>
          <w14:textFill>
            <w14:solidFill>
              <w14:schemeClr w14:val="tx1"/>
            </w14:solidFill>
          </w14:textFill>
        </w:rPr>
        <w:t>次级河流清漂作业以及</w:t>
      </w:r>
      <w:r>
        <w:rPr>
          <w:rFonts w:hint="eastAsia" w:cs="Times New Roman"/>
          <w:color w:val="000000" w:themeColor="text1"/>
          <w:szCs w:val="32"/>
          <w14:textFill>
            <w14:solidFill>
              <w14:schemeClr w14:val="tx1"/>
            </w14:solidFill>
          </w14:textFill>
        </w:rPr>
        <w:t>插旗山、木材加工厂</w:t>
      </w:r>
      <w:r>
        <w:rPr>
          <w:rFonts w:cs="Times New Roman"/>
          <w:color w:val="000000" w:themeColor="text1"/>
          <w:szCs w:val="32"/>
          <w14:textFill>
            <w14:solidFill>
              <w14:schemeClr w14:val="tx1"/>
            </w14:solidFill>
          </w14:textFill>
        </w:rPr>
        <w:t>危岩治理，有效减轻辖区内气象次生灾害。</w:t>
      </w:r>
      <w:r>
        <w:rPr>
          <w:rFonts w:hint="eastAsia" w:cs="Times New Roman"/>
          <w:color w:val="000000" w:themeColor="text1"/>
          <w:szCs w:val="32"/>
          <w14:textFill>
            <w14:solidFill>
              <w14:schemeClr w14:val="tx1"/>
            </w14:solidFill>
          </w14:textFill>
        </w:rPr>
        <w:t>支持乡村学校少年宫、社会福利支出等</w:t>
      </w:r>
      <w:r>
        <w:rPr>
          <w:rFonts w:cs="Times New Roman"/>
          <w:color w:val="000000" w:themeColor="text1"/>
          <w:szCs w:val="32"/>
          <w14:textFill>
            <w14:solidFill>
              <w14:schemeClr w14:val="tx1"/>
            </w14:solidFill>
          </w14:textFill>
        </w:rPr>
        <w:t>。</w:t>
      </w:r>
    </w:p>
    <w:p>
      <w:pPr>
        <w:ind w:firstLine="640"/>
        <w:rPr>
          <w:rFonts w:eastAsia="方正楷体_GBK" w:cs="方正楷体_GBK"/>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（三）国有资本经营预算</w:t>
      </w:r>
    </w:p>
    <w:p>
      <w:pPr>
        <w:ind w:firstLine="643"/>
        <w:rPr>
          <w:rFonts w:cs="Times New Roman"/>
          <w:color w:val="000000" w:themeColor="text1"/>
          <w:szCs w:val="32"/>
          <w14:textFill>
            <w14:solidFill>
              <w14:schemeClr w14:val="tx1"/>
            </w14:solidFill>
          </w14:textFill>
        </w:rPr>
      </w:pPr>
      <w:r>
        <w:rPr>
          <w:rFonts w:cs="Times New Roman"/>
          <w:b/>
          <w:bCs/>
          <w:color w:val="000000" w:themeColor="text1"/>
          <w:szCs w:val="32"/>
          <w14:textFill>
            <w14:solidFill>
              <w14:schemeClr w14:val="tx1"/>
            </w14:solidFill>
          </w14:textFill>
        </w:rPr>
        <w:t>1.收入执行情况。</w:t>
      </w:r>
      <w:r>
        <w:rPr>
          <w:rFonts w:cs="Times New Roman"/>
          <w:color w:val="000000" w:themeColor="text1"/>
          <w:szCs w:val="32"/>
          <w14:textFill>
            <w14:solidFill>
              <w14:schemeClr w14:val="tx1"/>
            </w14:solidFill>
          </w14:textFill>
        </w:rPr>
        <w:t>收入总计5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697万元，具体组成：本级收入5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697万元，完成预算的144</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6%。</w:t>
      </w:r>
    </w:p>
    <w:p>
      <w:pPr>
        <w:ind w:firstLine="643"/>
        <w:rPr>
          <w:rFonts w:cs="Times New Roman"/>
          <w:color w:val="000000" w:themeColor="text1"/>
          <w:szCs w:val="32"/>
          <w14:textFill>
            <w14:solidFill>
              <w14:schemeClr w14:val="tx1"/>
            </w14:solidFill>
          </w14:textFill>
        </w:rPr>
      </w:pPr>
      <w:r>
        <w:rPr>
          <w:rFonts w:cs="Times New Roman"/>
          <w:b/>
          <w:bCs/>
          <w:color w:val="000000" w:themeColor="text1"/>
          <w:szCs w:val="32"/>
          <w14:textFill>
            <w14:solidFill>
              <w14:schemeClr w14:val="tx1"/>
            </w14:solidFill>
          </w14:textFill>
        </w:rPr>
        <w:t>2.支出执行情况。</w:t>
      </w:r>
      <w:r>
        <w:rPr>
          <w:rFonts w:cs="Times New Roman"/>
          <w:color w:val="000000" w:themeColor="text1"/>
          <w:szCs w:val="32"/>
          <w14:textFill>
            <w14:solidFill>
              <w14:schemeClr w14:val="tx1"/>
            </w14:solidFill>
          </w14:textFill>
        </w:rPr>
        <w:t>支出总计5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697万元，具体组成：本级支出1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292万元；调出资金4</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405</w:t>
      </w:r>
      <w:r>
        <w:rPr>
          <w:rFonts w:hint="eastAsia" w:cs="Times New Roman"/>
          <w:color w:val="000000" w:themeColor="text1"/>
          <w:szCs w:val="32"/>
          <w14:textFill>
            <w14:solidFill>
              <w14:schemeClr w14:val="tx1"/>
            </w14:solidFill>
          </w14:textFill>
        </w:rPr>
        <w:t>万元</w:t>
      </w:r>
      <w:r>
        <w:rPr>
          <w:rFonts w:cs="Times New Roman"/>
          <w:color w:val="000000" w:themeColor="text1"/>
          <w:szCs w:val="32"/>
          <w14:textFill>
            <w14:solidFill>
              <w14:schemeClr w14:val="tx1"/>
            </w14:solidFill>
          </w14:textFill>
        </w:rPr>
        <w:t>。本级支出主要用于国有企业注资。</w:t>
      </w:r>
    </w:p>
    <w:p>
      <w:pPr>
        <w:pStyle w:val="6"/>
        <w:spacing w:after="0"/>
        <w:ind w:firstLine="0" w:firstLineChars="0"/>
        <w:jc w:val="center"/>
        <w:rPr>
          <w:rFonts w:eastAsia="方正黑体_GBK" w:cs="方正黑体_GBK"/>
          <w:color w:val="000000" w:themeColor="text1"/>
          <w:szCs w:val="22"/>
          <w14:textFill>
            <w14:solidFill>
              <w14:schemeClr w14:val="tx1"/>
            </w14:solidFill>
          </w14:textFill>
        </w:rPr>
      </w:pPr>
      <w:r>
        <w:rPr>
          <w:rFonts w:eastAsia="方正黑体_GBK"/>
          <w:color w:val="000000" w:themeColor="text1"/>
          <w:szCs w:val="22"/>
          <w14:textFill>
            <w14:solidFill>
              <w14:schemeClr w14:val="tx1"/>
            </w14:solidFill>
          </w14:textFill>
        </w:rPr>
        <w:t>2023</w:t>
      </w:r>
      <w:r>
        <w:rPr>
          <w:rFonts w:hint="eastAsia" w:eastAsia="方正黑体_GBK" w:cs="方正黑体_GBK"/>
          <w:color w:val="000000" w:themeColor="text1"/>
          <w:szCs w:val="22"/>
          <w14:textFill>
            <w14:solidFill>
              <w14:schemeClr w14:val="tx1"/>
            </w14:solidFill>
          </w14:textFill>
        </w:rPr>
        <w:t>年全区国有资本经营预算收支平衡表</w:t>
      </w:r>
    </w:p>
    <w:p>
      <w:pPr>
        <w:pStyle w:val="6"/>
        <w:spacing w:after="0" w:line="240" w:lineRule="auto"/>
        <w:ind w:firstLine="440"/>
        <w:jc w:val="right"/>
        <w:rPr>
          <w:rFonts w:eastAsiaTheme="minorEastAsia" w:cstheme="minorEastAsia"/>
          <w:color w:val="000000" w:themeColor="text1"/>
          <w:sz w:val="22"/>
          <w:szCs w:val="22"/>
          <w14:textFill>
            <w14:solidFill>
              <w14:schemeClr w14:val="tx1"/>
            </w14:solidFill>
          </w14:textFill>
        </w:rPr>
      </w:pPr>
      <w:r>
        <w:rPr>
          <w:rFonts w:hint="eastAsia" w:eastAsiaTheme="minorEastAsia" w:cstheme="minorEastAsia"/>
          <w:color w:val="000000" w:themeColor="text1"/>
          <w:sz w:val="22"/>
          <w:szCs w:val="22"/>
          <w14:textFill>
            <w14:solidFill>
              <w14:schemeClr w14:val="tx1"/>
            </w14:solidFill>
          </w14:textFill>
        </w:rPr>
        <w:t>单位：万元</w:t>
      </w:r>
    </w:p>
    <w:tbl>
      <w:tblPr>
        <w:tblStyle w:val="13"/>
        <w:tblW w:w="8955" w:type="dxa"/>
        <w:jc w:val="center"/>
        <w:tblLayout w:type="fixed"/>
        <w:tblCellMar>
          <w:top w:w="0" w:type="dxa"/>
          <w:left w:w="0" w:type="dxa"/>
          <w:bottom w:w="0" w:type="dxa"/>
          <w:right w:w="0" w:type="dxa"/>
        </w:tblCellMar>
      </w:tblPr>
      <w:tblGrid>
        <w:gridCol w:w="3012"/>
        <w:gridCol w:w="1457"/>
        <w:gridCol w:w="3045"/>
        <w:gridCol w:w="1441"/>
      </w:tblGrid>
      <w:tr>
        <w:tblPrEx>
          <w:tblCellMar>
            <w:top w:w="0" w:type="dxa"/>
            <w:left w:w="0" w:type="dxa"/>
            <w:bottom w:w="0" w:type="dxa"/>
            <w:right w:w="0" w:type="dxa"/>
          </w:tblCellMar>
        </w:tblPrEx>
        <w:trPr>
          <w:trHeight w:val="482" w:hRule="exact"/>
          <w:tblHeader/>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收    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执行数</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支    出</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执行数</w:t>
            </w:r>
          </w:p>
        </w:tc>
      </w:tr>
      <w:tr>
        <w:tblPrEx>
          <w:tblCellMar>
            <w:top w:w="0" w:type="dxa"/>
            <w:left w:w="0" w:type="dxa"/>
            <w:bottom w:w="0" w:type="dxa"/>
            <w:right w:w="0" w:type="dxa"/>
          </w:tblCellMar>
        </w:tblPrEx>
        <w:trPr>
          <w:trHeight w:val="482" w:hRule="exact"/>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5,697</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5,697</w:t>
            </w:r>
          </w:p>
        </w:tc>
      </w:tr>
      <w:tr>
        <w:tblPrEx>
          <w:tblCellMar>
            <w:top w:w="0" w:type="dxa"/>
            <w:left w:w="0" w:type="dxa"/>
            <w:bottom w:w="0" w:type="dxa"/>
            <w:right w:w="0" w:type="dxa"/>
          </w:tblCellMar>
        </w:tblPrEx>
        <w:trPr>
          <w:trHeight w:val="482" w:hRule="exact"/>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一、本级收入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5,697</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一、本级支出</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1,292</w:t>
            </w:r>
          </w:p>
        </w:tc>
      </w:tr>
      <w:tr>
        <w:tblPrEx>
          <w:tblCellMar>
            <w:top w:w="0" w:type="dxa"/>
            <w:left w:w="0" w:type="dxa"/>
            <w:bottom w:w="0" w:type="dxa"/>
            <w:right w:w="0" w:type="dxa"/>
          </w:tblCellMar>
        </w:tblPrEx>
        <w:trPr>
          <w:trHeight w:val="482" w:hRule="exact"/>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二、转移性收入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二、转移性支出</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4,405</w:t>
            </w:r>
          </w:p>
        </w:tc>
      </w:tr>
      <w:tr>
        <w:tblPrEx>
          <w:tblCellMar>
            <w:top w:w="0" w:type="dxa"/>
            <w:left w:w="0" w:type="dxa"/>
            <w:bottom w:w="0" w:type="dxa"/>
            <w:right w:w="0" w:type="dxa"/>
          </w:tblCellMar>
        </w:tblPrEx>
        <w:trPr>
          <w:trHeight w:val="482" w:hRule="exact"/>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上级补助收入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调出资金</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bottom"/>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4</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405</w:t>
            </w:r>
          </w:p>
        </w:tc>
      </w:tr>
      <w:tr>
        <w:tblPrEx>
          <w:tblCellMar>
            <w:top w:w="0" w:type="dxa"/>
            <w:left w:w="0" w:type="dxa"/>
            <w:bottom w:w="0" w:type="dxa"/>
            <w:right w:w="0" w:type="dxa"/>
          </w:tblCellMar>
        </w:tblPrEx>
        <w:trPr>
          <w:trHeight w:val="482" w:hRule="exact"/>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上年结转</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结转下年</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bottom"/>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bl>
    <w:p>
      <w:pPr>
        <w:pStyle w:val="6"/>
        <w:spacing w:after="0"/>
        <w:ind w:firstLine="640"/>
        <w:rPr>
          <w:rFonts w:eastAsia="方正楷体_GBK" w:cs="方正楷体_GBK"/>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（四）地方政府债务限额及余额情况</w:t>
      </w:r>
    </w:p>
    <w:p>
      <w:pPr>
        <w:pStyle w:val="6"/>
        <w:spacing w:after="0"/>
        <w:ind w:firstLine="643"/>
        <w:rPr>
          <w:rFonts w:eastAsia="方正仿宋_GBK"/>
          <w:color w:val="000000" w:themeColor="text1"/>
          <w:szCs w:val="32"/>
          <w14:textFill>
            <w14:solidFill>
              <w14:schemeClr w14:val="tx1"/>
            </w14:solidFill>
          </w14:textFill>
        </w:rPr>
      </w:pPr>
      <w:r>
        <w:rPr>
          <w:rFonts w:eastAsia="方正仿宋_GBK"/>
          <w:b/>
          <w:bCs/>
          <w:color w:val="000000" w:themeColor="text1"/>
          <w:szCs w:val="32"/>
          <w14:textFill>
            <w14:solidFill>
              <w14:schemeClr w14:val="tx1"/>
            </w14:solidFill>
          </w14:textFill>
        </w:rPr>
        <w:t>1.举</w:t>
      </w:r>
      <w:r>
        <w:rPr>
          <w:rFonts w:hint="eastAsia" w:eastAsia="方正仿宋_GBK"/>
          <w:b/>
          <w:bCs/>
          <w:color w:val="000000" w:themeColor="text1"/>
          <w:szCs w:val="32"/>
          <w14:textFill>
            <w14:solidFill>
              <w14:schemeClr w14:val="tx1"/>
            </w14:solidFill>
          </w14:textFill>
        </w:rPr>
        <w:t>借</w:t>
      </w:r>
      <w:r>
        <w:rPr>
          <w:rFonts w:eastAsia="方正仿宋_GBK"/>
          <w:b/>
          <w:bCs/>
          <w:color w:val="000000" w:themeColor="text1"/>
          <w:szCs w:val="32"/>
          <w14:textFill>
            <w14:solidFill>
              <w14:schemeClr w14:val="tx1"/>
            </w14:solidFill>
          </w14:textFill>
        </w:rPr>
        <w:t>规模和结构。</w:t>
      </w:r>
      <w:r>
        <w:rPr>
          <w:rFonts w:eastAsia="方正仿宋_GBK"/>
          <w:color w:val="000000" w:themeColor="text1"/>
          <w:szCs w:val="32"/>
          <w14:textFill>
            <w14:solidFill>
              <w14:schemeClr w14:val="tx1"/>
            </w14:solidFill>
          </w14:textFill>
        </w:rPr>
        <w:t>2023</w:t>
      </w:r>
      <w:r>
        <w:rPr>
          <w:rFonts w:hint="eastAsia" w:eastAsia="方正仿宋_GBK"/>
          <w:color w:val="000000" w:themeColor="text1"/>
          <w:szCs w:val="32"/>
          <w14:textFill>
            <w14:solidFill>
              <w14:schemeClr w14:val="tx1"/>
            </w14:solidFill>
          </w14:textFill>
        </w:rPr>
        <w:t>年，全区政府债务限额</w:t>
      </w:r>
      <w:r>
        <w:rPr>
          <w:rFonts w:eastAsia="方正仿宋_GBK"/>
          <w:color w:val="000000" w:themeColor="text1"/>
          <w:szCs w:val="32"/>
          <w14:textFill>
            <w14:solidFill>
              <w14:schemeClr w14:val="tx1"/>
            </w14:solidFill>
          </w14:textFill>
        </w:rPr>
        <w:t>121</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2</w:t>
      </w:r>
      <w:r>
        <w:rPr>
          <w:rFonts w:hint="eastAsia" w:eastAsia="方正仿宋_GBK"/>
          <w:color w:val="000000" w:themeColor="text1"/>
          <w:szCs w:val="32"/>
          <w14:textFill>
            <w14:solidFill>
              <w14:schemeClr w14:val="tx1"/>
            </w14:solidFill>
          </w14:textFill>
        </w:rPr>
        <w:t>亿元，其中：</w:t>
      </w:r>
      <w:bookmarkStart w:id="0" w:name="OLE_LINK2"/>
      <w:r>
        <w:rPr>
          <w:rFonts w:hint="eastAsia" w:eastAsia="方正仿宋_GBK"/>
          <w:color w:val="000000" w:themeColor="text1"/>
          <w:szCs w:val="32"/>
          <w14:textFill>
            <w14:solidFill>
              <w14:schemeClr w14:val="tx1"/>
            </w14:solidFill>
          </w14:textFill>
        </w:rPr>
        <w:t>一般债务限额</w:t>
      </w:r>
      <w:r>
        <w:rPr>
          <w:rFonts w:eastAsia="方正仿宋_GBK"/>
          <w:color w:val="000000" w:themeColor="text1"/>
          <w:szCs w:val="32"/>
          <w14:textFill>
            <w14:solidFill>
              <w14:schemeClr w14:val="tx1"/>
            </w14:solidFill>
          </w14:textFill>
        </w:rPr>
        <w:t>75</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51</w:t>
      </w:r>
      <w:r>
        <w:rPr>
          <w:rFonts w:hint="eastAsia" w:eastAsia="方正仿宋_GBK"/>
          <w:color w:val="000000" w:themeColor="text1"/>
          <w:szCs w:val="32"/>
          <w14:textFill>
            <w14:solidFill>
              <w14:schemeClr w14:val="tx1"/>
            </w14:solidFill>
          </w14:textFill>
        </w:rPr>
        <w:t>亿元，专项债务限额</w:t>
      </w:r>
      <w:r>
        <w:rPr>
          <w:rFonts w:eastAsia="方正仿宋_GBK"/>
          <w:color w:val="000000" w:themeColor="text1"/>
          <w:szCs w:val="32"/>
          <w14:textFill>
            <w14:solidFill>
              <w14:schemeClr w14:val="tx1"/>
            </w14:solidFill>
          </w14:textFill>
        </w:rPr>
        <w:t>45</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69</w:t>
      </w:r>
      <w:r>
        <w:rPr>
          <w:rFonts w:hint="eastAsia" w:eastAsia="方正仿宋_GBK"/>
          <w:color w:val="000000" w:themeColor="text1"/>
          <w:szCs w:val="32"/>
          <w14:textFill>
            <w14:solidFill>
              <w14:schemeClr w14:val="tx1"/>
            </w14:solidFill>
          </w14:textFill>
        </w:rPr>
        <w:t>亿元。</w:t>
      </w:r>
      <w:bookmarkEnd w:id="0"/>
      <w:r>
        <w:rPr>
          <w:rFonts w:hint="eastAsia" w:eastAsia="方正仿宋_GBK"/>
          <w:color w:val="000000" w:themeColor="text1"/>
          <w:szCs w:val="32"/>
          <w14:textFill>
            <w14:solidFill>
              <w14:schemeClr w14:val="tx1"/>
            </w14:solidFill>
          </w14:textFill>
        </w:rPr>
        <w:t>全区政府债务余额</w:t>
      </w:r>
      <w:r>
        <w:rPr>
          <w:rFonts w:eastAsia="方正仿宋_GBK"/>
          <w:color w:val="000000" w:themeColor="text1"/>
          <w:szCs w:val="32"/>
          <w14:textFill>
            <w14:solidFill>
              <w14:schemeClr w14:val="tx1"/>
            </w14:solidFill>
          </w14:textFill>
        </w:rPr>
        <w:t>121</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2</w:t>
      </w:r>
      <w:r>
        <w:rPr>
          <w:rFonts w:hint="eastAsia" w:eastAsia="方正仿宋_GBK"/>
          <w:color w:val="000000" w:themeColor="text1"/>
          <w:szCs w:val="32"/>
          <w14:textFill>
            <w14:solidFill>
              <w14:schemeClr w14:val="tx1"/>
            </w14:solidFill>
          </w14:textFill>
        </w:rPr>
        <w:t>亿元，其中：一般债务余额</w:t>
      </w:r>
      <w:r>
        <w:rPr>
          <w:rFonts w:eastAsia="方正仿宋_GBK"/>
          <w:color w:val="000000" w:themeColor="text1"/>
          <w:szCs w:val="32"/>
          <w14:textFill>
            <w14:solidFill>
              <w14:schemeClr w14:val="tx1"/>
            </w14:solidFill>
          </w14:textFill>
        </w:rPr>
        <w:t>75</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51</w:t>
      </w:r>
      <w:r>
        <w:rPr>
          <w:rFonts w:hint="eastAsia" w:eastAsia="方正仿宋_GBK"/>
          <w:color w:val="000000" w:themeColor="text1"/>
          <w:szCs w:val="32"/>
          <w14:textFill>
            <w14:solidFill>
              <w14:schemeClr w14:val="tx1"/>
            </w14:solidFill>
          </w14:textFill>
        </w:rPr>
        <w:t>亿元，专项债务余额</w:t>
      </w:r>
      <w:r>
        <w:rPr>
          <w:rFonts w:eastAsia="方正仿宋_GBK"/>
          <w:color w:val="000000" w:themeColor="text1"/>
          <w:szCs w:val="32"/>
          <w14:textFill>
            <w14:solidFill>
              <w14:schemeClr w14:val="tx1"/>
            </w14:solidFill>
          </w14:textFill>
        </w:rPr>
        <w:t>45</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69</w:t>
      </w:r>
      <w:r>
        <w:rPr>
          <w:rFonts w:hint="eastAsia" w:eastAsia="方正仿宋_GBK"/>
          <w:color w:val="000000" w:themeColor="text1"/>
          <w:szCs w:val="32"/>
          <w14:textFill>
            <w14:solidFill>
              <w14:schemeClr w14:val="tx1"/>
            </w14:solidFill>
          </w14:textFill>
        </w:rPr>
        <w:t>亿元，政府债务余额控制在核定限额之内。按照财政部政府债务风险评估办法计算，全区</w:t>
      </w:r>
      <w:r>
        <w:rPr>
          <w:rFonts w:eastAsia="方正仿宋_GBK"/>
          <w:color w:val="000000" w:themeColor="text1"/>
          <w:szCs w:val="32"/>
          <w14:textFill>
            <w14:solidFill>
              <w14:schemeClr w14:val="tx1"/>
            </w14:solidFill>
          </w14:textFill>
        </w:rPr>
        <w:t>2023</w:t>
      </w:r>
      <w:r>
        <w:rPr>
          <w:rFonts w:hint="eastAsia" w:eastAsia="方正仿宋_GBK"/>
          <w:color w:val="000000" w:themeColor="text1"/>
          <w:szCs w:val="32"/>
          <w14:textFill>
            <w14:solidFill>
              <w14:schemeClr w14:val="tx1"/>
            </w14:solidFill>
          </w14:textFill>
        </w:rPr>
        <w:t>年政府债务率为</w:t>
      </w:r>
      <w:r>
        <w:rPr>
          <w:rFonts w:eastAsia="方正仿宋_GBK"/>
          <w:color w:val="000000" w:themeColor="text1"/>
          <w:szCs w:val="32"/>
          <w14:textFill>
            <w14:solidFill>
              <w14:schemeClr w14:val="tx1"/>
            </w14:solidFill>
          </w14:textFill>
        </w:rPr>
        <w:t>121</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2%</w:t>
      </w:r>
      <w:r>
        <w:rPr>
          <w:rFonts w:hint="eastAsia" w:eastAsia="方正仿宋_GBK"/>
          <w:color w:val="000000" w:themeColor="text1"/>
          <w:szCs w:val="32"/>
          <w14:textFill>
            <w14:solidFill>
              <w14:schemeClr w14:val="tx1"/>
            </w14:solidFill>
          </w14:textFill>
        </w:rPr>
        <w:t>，风险总体可控。</w:t>
      </w:r>
    </w:p>
    <w:p>
      <w:pPr>
        <w:pStyle w:val="6"/>
        <w:spacing w:after="0"/>
        <w:ind w:firstLine="643"/>
        <w:rPr>
          <w:rFonts w:eastAsia="方正仿宋_GBK"/>
          <w:color w:val="000000" w:themeColor="text1"/>
          <w:szCs w:val="32"/>
          <w14:textFill>
            <w14:solidFill>
              <w14:schemeClr w14:val="tx1"/>
            </w14:solidFill>
          </w14:textFill>
        </w:rPr>
      </w:pPr>
      <w:r>
        <w:rPr>
          <w:rFonts w:eastAsia="方正仿宋_GBK"/>
          <w:b/>
          <w:bCs/>
          <w:color w:val="000000" w:themeColor="text1"/>
          <w:szCs w:val="32"/>
          <w14:textFill>
            <w14:solidFill>
              <w14:schemeClr w14:val="tx1"/>
            </w14:solidFill>
          </w14:textFill>
        </w:rPr>
        <w:t>2.使用情况。</w:t>
      </w:r>
      <w:r>
        <w:rPr>
          <w:rFonts w:eastAsia="方正仿宋_GBK"/>
          <w:color w:val="000000" w:themeColor="text1"/>
          <w:szCs w:val="32"/>
          <w14:textFill>
            <w14:solidFill>
              <w14:schemeClr w14:val="tx1"/>
            </w14:solidFill>
          </w14:textFill>
        </w:rPr>
        <w:t>2023</w:t>
      </w:r>
      <w:r>
        <w:rPr>
          <w:rFonts w:hint="eastAsia" w:eastAsia="方正仿宋_GBK"/>
          <w:color w:val="000000" w:themeColor="text1"/>
          <w:szCs w:val="32"/>
          <w14:textFill>
            <w14:solidFill>
              <w14:schemeClr w14:val="tx1"/>
            </w14:solidFill>
          </w14:textFill>
        </w:rPr>
        <w:t>年，全区争取到政府债券</w:t>
      </w:r>
      <w:r>
        <w:rPr>
          <w:rFonts w:eastAsia="方正仿宋_GBK"/>
          <w:color w:val="000000" w:themeColor="text1"/>
          <w:szCs w:val="32"/>
          <w14:textFill>
            <w14:solidFill>
              <w14:schemeClr w14:val="tx1"/>
            </w14:solidFill>
          </w14:textFill>
        </w:rPr>
        <w:t>38</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6</w:t>
      </w:r>
      <w:r>
        <w:rPr>
          <w:rFonts w:hint="eastAsia" w:eastAsia="方正仿宋_GBK"/>
          <w:color w:val="000000" w:themeColor="text1"/>
          <w:szCs w:val="32"/>
          <w14:textFill>
            <w14:solidFill>
              <w14:schemeClr w14:val="tx1"/>
            </w14:solidFill>
          </w14:textFill>
        </w:rPr>
        <w:t>亿元。其中：新增债券</w:t>
      </w:r>
      <w:r>
        <w:rPr>
          <w:rFonts w:eastAsia="方正仿宋_GBK"/>
          <w:color w:val="000000" w:themeColor="text1"/>
          <w:szCs w:val="32"/>
          <w14:textFill>
            <w14:solidFill>
              <w14:schemeClr w14:val="tx1"/>
            </w14:solidFill>
          </w14:textFill>
        </w:rPr>
        <w:t>3</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63</w:t>
      </w:r>
      <w:r>
        <w:rPr>
          <w:rFonts w:hint="eastAsia" w:eastAsia="方正仿宋_GBK"/>
          <w:color w:val="000000" w:themeColor="text1"/>
          <w:szCs w:val="32"/>
          <w14:textFill>
            <w14:solidFill>
              <w14:schemeClr w14:val="tx1"/>
            </w14:solidFill>
          </w14:textFill>
        </w:rPr>
        <w:t>亿元，再融资债券</w:t>
      </w:r>
      <w:r>
        <w:rPr>
          <w:rFonts w:eastAsia="方正仿宋_GBK"/>
          <w:color w:val="000000" w:themeColor="text1"/>
          <w:szCs w:val="32"/>
          <w14:textFill>
            <w14:solidFill>
              <w14:schemeClr w14:val="tx1"/>
            </w14:solidFill>
          </w14:textFill>
        </w:rPr>
        <w:t>34</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97</w:t>
      </w:r>
      <w:r>
        <w:rPr>
          <w:rFonts w:hint="eastAsia" w:eastAsia="方正仿宋_GBK"/>
          <w:color w:val="000000" w:themeColor="text1"/>
          <w:szCs w:val="32"/>
          <w14:textFill>
            <w14:solidFill>
              <w14:schemeClr w14:val="tx1"/>
            </w14:solidFill>
          </w14:textFill>
        </w:rPr>
        <w:t>亿元。新增债券主要用于：支持</w:t>
      </w:r>
      <w:r>
        <w:rPr>
          <w:rFonts w:eastAsia="方正仿宋_GBK"/>
          <w:color w:val="000000" w:themeColor="text1"/>
          <w:szCs w:val="32"/>
          <w14:textFill>
            <w14:solidFill>
              <w14:schemeClr w14:val="tx1"/>
            </w14:solidFill>
          </w14:textFill>
        </w:rPr>
        <w:t>I03</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K10</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D9</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H13</w:t>
      </w:r>
      <w:r>
        <w:rPr>
          <w:rFonts w:hint="eastAsia" w:eastAsia="方正仿宋_GBK"/>
          <w:color w:val="000000" w:themeColor="text1"/>
          <w:szCs w:val="32"/>
          <w14:textFill>
            <w14:solidFill>
              <w14:schemeClr w14:val="tx1"/>
            </w14:solidFill>
          </w14:textFill>
        </w:rPr>
        <w:t>等地块新建学校、茄子溪中学改扩建项目、实验小学扩建工程，推进</w:t>
      </w:r>
      <w:r>
        <w:rPr>
          <w:rFonts w:hint="eastAsia" w:ascii="方正仿宋_GBK" w:eastAsia="方正仿宋_GBK"/>
          <w:color w:val="000000" w:themeColor="text1"/>
          <w:szCs w:val="32"/>
          <w14:textFill>
            <w14:solidFill>
              <w14:schemeClr w14:val="tx1"/>
            </w14:solidFill>
          </w14:textFill>
        </w:rPr>
        <w:t>“</w:t>
      </w:r>
      <w:r>
        <w:rPr>
          <w:rFonts w:hint="eastAsia" w:eastAsia="方正仿宋_GBK"/>
          <w:color w:val="000000" w:themeColor="text1"/>
          <w:szCs w:val="32"/>
          <w14:textFill>
            <w14:solidFill>
              <w14:schemeClr w14:val="tx1"/>
            </w14:solidFill>
          </w14:textFill>
        </w:rPr>
        <w:t>金鳌田园</w:t>
      </w:r>
      <w:r>
        <w:rPr>
          <w:rFonts w:hint="eastAsia" w:ascii="方正仿宋_GBK" w:eastAsia="方正仿宋_GBK"/>
          <w:color w:val="000000" w:themeColor="text1"/>
          <w:szCs w:val="32"/>
          <w14:textFill>
            <w14:solidFill>
              <w14:schemeClr w14:val="tx1"/>
            </w14:solidFill>
          </w14:textFill>
        </w:rPr>
        <w:t>”</w:t>
      </w:r>
      <w:r>
        <w:rPr>
          <w:rFonts w:hint="eastAsia" w:eastAsia="方正仿宋_GBK"/>
          <w:color w:val="000000" w:themeColor="text1"/>
          <w:szCs w:val="32"/>
          <w14:textFill>
            <w14:solidFill>
              <w14:schemeClr w14:val="tx1"/>
            </w14:solidFill>
          </w14:textFill>
        </w:rPr>
        <w:t>综合体基础设施建设项目和产教融合基地项目建设。</w:t>
      </w:r>
    </w:p>
    <w:p>
      <w:pPr>
        <w:pStyle w:val="6"/>
        <w:spacing w:after="0"/>
        <w:ind w:firstLine="643"/>
        <w:rPr>
          <w:rFonts w:eastAsia="方正仿宋_GBK"/>
          <w:color w:val="000000" w:themeColor="text1"/>
          <w:szCs w:val="32"/>
          <w14:textFill>
            <w14:solidFill>
              <w14:schemeClr w14:val="tx1"/>
            </w14:solidFill>
          </w14:textFill>
        </w:rPr>
      </w:pPr>
      <w:r>
        <w:rPr>
          <w:rFonts w:eastAsia="方正仿宋_GBK"/>
          <w:b/>
          <w:bCs/>
          <w:color w:val="000000" w:themeColor="text1"/>
          <w:szCs w:val="32"/>
          <w14:textFill>
            <w14:solidFill>
              <w14:schemeClr w14:val="tx1"/>
            </w14:solidFill>
          </w14:textFill>
        </w:rPr>
        <w:t>3.</w:t>
      </w:r>
      <w:r>
        <w:rPr>
          <w:rFonts w:hint="eastAsia" w:eastAsia="方正仿宋_GBK"/>
          <w:b/>
          <w:bCs/>
          <w:color w:val="000000" w:themeColor="text1"/>
          <w:szCs w:val="32"/>
          <w14:textFill>
            <w14:solidFill>
              <w14:schemeClr w14:val="tx1"/>
            </w14:solidFill>
          </w14:textFill>
        </w:rPr>
        <w:t>偿还情况</w:t>
      </w:r>
      <w:r>
        <w:rPr>
          <w:rFonts w:eastAsia="方正仿宋_GBK"/>
          <w:b/>
          <w:bCs/>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2023</w:t>
      </w:r>
      <w:r>
        <w:rPr>
          <w:rFonts w:hint="eastAsia" w:eastAsia="方正仿宋_GBK"/>
          <w:color w:val="000000" w:themeColor="text1"/>
          <w:szCs w:val="32"/>
          <w14:textFill>
            <w14:solidFill>
              <w14:schemeClr w14:val="tx1"/>
            </w14:solidFill>
          </w14:textFill>
        </w:rPr>
        <w:t>年，全区政府债</w:t>
      </w:r>
      <w:r>
        <w:rPr>
          <w:rFonts w:hint="eastAsia" w:eastAsia="方正仿宋_GBK"/>
          <w:color w:val="000000" w:themeColor="text1"/>
          <w:szCs w:val="32"/>
          <w:highlight w:val="none"/>
          <w14:textFill>
            <w14:solidFill>
              <w14:schemeClr w14:val="tx1"/>
            </w14:solidFill>
          </w14:textFill>
        </w:rPr>
        <w:t>务付息付费</w:t>
      </w:r>
      <w:r>
        <w:rPr>
          <w:rFonts w:hint="eastAsia" w:eastAsia="方正仿宋_GBK"/>
          <w:color w:val="000000" w:themeColor="text1"/>
          <w:szCs w:val="32"/>
          <w14:textFill>
            <w14:solidFill>
              <w14:schemeClr w14:val="tx1"/>
            </w14:solidFill>
          </w14:textFill>
        </w:rPr>
        <w:t>支出</w:t>
      </w:r>
      <w:r>
        <w:rPr>
          <w:rFonts w:eastAsia="方正仿宋_GBK"/>
          <w:color w:val="000000" w:themeColor="text1"/>
          <w:szCs w:val="32"/>
          <w14:textFill>
            <w14:solidFill>
              <w14:schemeClr w14:val="tx1"/>
            </w14:solidFill>
          </w14:textFill>
        </w:rPr>
        <w:t>3</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78</w:t>
      </w:r>
      <w:r>
        <w:rPr>
          <w:rFonts w:hint="eastAsia" w:eastAsia="方正仿宋_GBK"/>
          <w:color w:val="000000" w:themeColor="text1"/>
          <w:szCs w:val="32"/>
          <w14:textFill>
            <w14:solidFill>
              <w14:schemeClr w14:val="tx1"/>
            </w14:solidFill>
          </w14:textFill>
        </w:rPr>
        <w:t>亿元。</w:t>
      </w:r>
    </w:p>
    <w:p>
      <w:pPr>
        <w:ind w:firstLine="640"/>
        <w:rPr>
          <w:rFonts w:eastAsia="黑体" w:cs="Times New Roman"/>
          <w:color w:val="000000" w:themeColor="text1"/>
          <w:szCs w:val="32"/>
          <w14:textFill>
            <w14:solidFill>
              <w14:schemeClr w14:val="tx1"/>
            </w14:solidFill>
          </w14:textFill>
        </w:rPr>
      </w:pPr>
      <w:r>
        <w:rPr>
          <w:rFonts w:hint="eastAsia" w:eastAsia="黑体" w:cs="Times New Roman"/>
          <w:color w:val="000000" w:themeColor="text1"/>
          <w:szCs w:val="32"/>
          <w14:textFill>
            <w14:solidFill>
              <w14:schemeClr w14:val="tx1"/>
            </w14:solidFill>
          </w14:textFill>
        </w:rPr>
        <w:t>二、</w:t>
      </w:r>
      <w:r>
        <w:rPr>
          <w:rFonts w:eastAsia="黑体" w:cs="Times New Roman"/>
          <w:color w:val="000000" w:themeColor="text1"/>
          <w:szCs w:val="32"/>
          <w14:textFill>
            <w14:solidFill>
              <w14:schemeClr w14:val="tx1"/>
            </w14:solidFill>
          </w14:textFill>
        </w:rPr>
        <w:t>2023年财政重点工作</w:t>
      </w:r>
    </w:p>
    <w:p>
      <w:pPr>
        <w:ind w:firstLine="640"/>
        <w:rPr>
          <w:color w:val="000000" w:themeColor="text1"/>
          <w14:textFill>
            <w14:solidFill>
              <w14:schemeClr w14:val="tx1"/>
            </w14:solidFill>
          </w14:textFill>
        </w:rPr>
      </w:pPr>
      <w:r>
        <w:rPr>
          <w:rFonts w:cs="Times New Roman"/>
          <w:color w:val="000000" w:themeColor="text1"/>
          <w14:textFill>
            <w14:solidFill>
              <w14:schemeClr w14:val="tx1"/>
            </w14:solidFill>
          </w14:textFill>
        </w:rPr>
        <w:t>2023</w:t>
      </w:r>
      <w:r>
        <w:rPr>
          <w:rFonts w:hint="eastAsia"/>
          <w:color w:val="000000" w:themeColor="text1"/>
          <w14:textFill>
            <w14:solidFill>
              <w14:schemeClr w14:val="tx1"/>
            </w14:solidFill>
          </w14:textFill>
        </w:rPr>
        <w:t>年，</w:t>
      </w:r>
      <w:r>
        <w:rPr>
          <w:rFonts w:hint="eastAsia" w:cs="Times New Roman"/>
          <w:color w:val="000000" w:themeColor="text1"/>
          <w:szCs w:val="32"/>
          <w14:textFill>
            <w14:solidFill>
              <w14:schemeClr w14:val="tx1"/>
            </w14:solidFill>
          </w14:textFill>
        </w:rPr>
        <w:t>全区财政工作坚持以习近平新时代中国特色社会主义思想为指导，</w:t>
      </w:r>
      <w:r>
        <w:rPr>
          <w:color w:val="000000" w:themeColor="text1"/>
          <w:szCs w:val="32"/>
          <w14:textFill>
            <w14:solidFill>
              <w14:schemeClr w14:val="tx1"/>
            </w14:solidFill>
          </w14:textFill>
        </w:rPr>
        <w:t>全面学习贯彻党的二十大精神，</w:t>
      </w:r>
      <w:r>
        <w:rPr>
          <w:rFonts w:hint="eastAsia"/>
          <w:color w:val="000000" w:themeColor="text1"/>
          <w:szCs w:val="32"/>
          <w14:textFill>
            <w14:solidFill>
              <w14:schemeClr w14:val="tx1"/>
            </w14:solidFill>
          </w14:textFill>
        </w:rPr>
        <w:t>严格执行</w:t>
      </w:r>
      <w:r>
        <w:rPr>
          <w:color w:val="000000" w:themeColor="text1"/>
          <w14:textFill>
            <w14:solidFill>
              <w14:schemeClr w14:val="tx1"/>
            </w14:solidFill>
          </w14:textFill>
        </w:rPr>
        <w:t>区委</w:t>
      </w:r>
      <w:r>
        <w:rPr>
          <w:rFonts w:hint="eastAsia"/>
          <w:color w:val="000000" w:themeColor="text1"/>
          <w14:textFill>
            <w14:solidFill>
              <w14:schemeClr w14:val="tx1"/>
            </w14:solidFill>
          </w14:textFill>
        </w:rPr>
        <w:t>决策</w:t>
      </w:r>
      <w:r>
        <w:rPr>
          <w:color w:val="000000" w:themeColor="text1"/>
          <w14:textFill>
            <w14:solidFill>
              <w14:schemeClr w14:val="tx1"/>
            </w14:solidFill>
          </w14:textFill>
        </w:rPr>
        <w:t>部署，稳字当头、稳中求进，</w:t>
      </w:r>
      <w:r>
        <w:rPr>
          <w:rFonts w:hint="eastAsia"/>
          <w:color w:val="000000" w:themeColor="text1"/>
          <w14:textFill>
            <w14:solidFill>
              <w14:schemeClr w14:val="tx1"/>
            </w14:solidFill>
          </w14:textFill>
        </w:rPr>
        <w:t>紧扣稳进增效、除险清患、改革求变、惠民有感，统筹做好</w:t>
      </w:r>
      <w:r>
        <w:rPr>
          <w:rFonts w:hint="eastAsia" w:asci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生财、聚财、用财、管财</w:t>
      </w:r>
      <w:r>
        <w:rPr>
          <w:rFonts w:hint="eastAsia" w:asci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各项工作，在持续推进</w:t>
      </w:r>
      <w:r>
        <w:rPr>
          <w:rFonts w:hint="eastAsia" w:asci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公园大渡口、多彩艺术湾</w:t>
      </w:r>
      <w:r>
        <w:rPr>
          <w:rFonts w:hint="eastAsia" w:asci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建设中提供了坚实的财力保障。</w:t>
      </w:r>
    </w:p>
    <w:p>
      <w:pPr>
        <w:ind w:firstLine="640"/>
        <w:rPr>
          <w:rFonts w:eastAsia="方正楷体_GBK" w:cs="方正楷体_GBK"/>
          <w:color w:val="000000" w:themeColor="text1"/>
          <w14:textFill>
            <w14:solidFill>
              <w14:schemeClr w14:val="tx1"/>
            </w14:solidFill>
          </w14:textFill>
        </w:rPr>
      </w:pPr>
      <w:r>
        <w:rPr>
          <w:rFonts w:hint="eastAsia" w:eastAsia="方正楷体_GBK" w:cs="方正楷体_GBK"/>
          <w:color w:val="000000" w:themeColor="text1"/>
          <w14:textFill>
            <w14:solidFill>
              <w14:schemeClr w14:val="tx1"/>
            </w14:solidFill>
          </w14:textFill>
        </w:rPr>
        <w:t>（一）主要政策落实及重点工作开展情况</w:t>
      </w:r>
    </w:p>
    <w:p>
      <w:pPr>
        <w:ind w:firstLine="643"/>
        <w:rPr>
          <w:rFonts w:cs="Times New Roman"/>
          <w:b/>
          <w:bCs/>
          <w:color w:val="000000" w:themeColor="text1"/>
          <w:szCs w:val="32"/>
          <w14:textFill>
            <w14:solidFill>
              <w14:schemeClr w14:val="tx1"/>
            </w14:solidFill>
          </w14:textFill>
        </w:rPr>
      </w:pPr>
      <w:r>
        <w:rPr>
          <w:rFonts w:hint="eastAsia" w:eastAsia="方正楷体_GBK" w:cs="方正楷体_GBK"/>
          <w:b/>
          <w:bCs/>
          <w:color w:val="000000" w:themeColor="text1"/>
          <w:szCs w:val="32"/>
          <w14:textFill>
            <w14:solidFill>
              <w14:schemeClr w14:val="tx1"/>
            </w14:solidFill>
          </w14:textFill>
        </w:rPr>
        <w:t>第一，主动应变抓收入，高效率增强综合财力。</w:t>
      </w:r>
      <w:r>
        <w:rPr>
          <w:rFonts w:hint="eastAsia" w:cs="方正仿宋_GBK"/>
          <w:color w:val="000000" w:themeColor="text1"/>
          <w:szCs w:val="32"/>
          <w14:textFill>
            <w14:solidFill>
              <w14:schemeClr w14:val="tx1"/>
            </w14:solidFill>
          </w14:textFill>
        </w:rPr>
        <w:t>牢固树立</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一盘棋</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思想，构建</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大财政、大预算、大资产</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理念格局，加强</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三本预算</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统筹力度，</w:t>
      </w:r>
      <w:r>
        <w:rPr>
          <w:rFonts w:cs="Times New Roman"/>
          <w:color w:val="000000" w:themeColor="text1"/>
          <w:szCs w:val="32"/>
          <w14:textFill>
            <w14:solidFill>
              <w14:schemeClr w14:val="tx1"/>
            </w14:solidFill>
          </w14:textFill>
        </w:rPr>
        <w:t>综合财力</w:t>
      </w:r>
      <w:r>
        <w:rPr>
          <w:rFonts w:hint="eastAsia" w:cs="Times New Roman"/>
          <w:color w:val="000000" w:themeColor="text1"/>
          <w:szCs w:val="32"/>
          <w14:textFill>
            <w14:solidFill>
              <w14:schemeClr w14:val="tx1"/>
            </w14:solidFill>
          </w14:textFill>
        </w:rPr>
        <w:t>突破</w:t>
      </w:r>
      <w:r>
        <w:rPr>
          <w:rFonts w:cs="Times New Roman"/>
          <w:color w:val="000000" w:themeColor="text1"/>
          <w:szCs w:val="32"/>
          <w14:textFill>
            <w14:solidFill>
              <w14:schemeClr w14:val="tx1"/>
            </w14:solidFill>
          </w14:textFill>
        </w:rPr>
        <w:t>100亿元。</w:t>
      </w:r>
      <w:r>
        <w:rPr>
          <w:rFonts w:hint="eastAsia" w:cs="Times New Roman"/>
          <w:b/>
          <w:bCs/>
          <w:color w:val="000000" w:themeColor="text1"/>
          <w:szCs w:val="32"/>
          <w14:textFill>
            <w14:solidFill>
              <w14:schemeClr w14:val="tx1"/>
            </w14:solidFill>
          </w14:textFill>
        </w:rPr>
        <w:t>一是扶持产业抓税收。</w:t>
      </w:r>
      <w:r>
        <w:rPr>
          <w:rFonts w:hint="eastAsia" w:cs="Times New Roman"/>
          <w:color w:val="000000" w:themeColor="text1"/>
          <w:szCs w:val="32"/>
          <w14:textFill>
            <w14:solidFill>
              <w14:schemeClr w14:val="tx1"/>
            </w14:solidFill>
          </w14:textFill>
        </w:rPr>
        <w:t>发挥财政逆周期调节作用，不折不扣落实税费优惠政策，减免退缓税费超</w:t>
      </w:r>
      <w:r>
        <w:rPr>
          <w:rFonts w:cs="Times New Roman"/>
          <w:color w:val="000000" w:themeColor="text1"/>
          <w:szCs w:val="32"/>
          <w14:textFill>
            <w14:solidFill>
              <w14:schemeClr w14:val="tx1"/>
            </w14:solidFill>
          </w14:textFill>
        </w:rPr>
        <w:t>6</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5</w:t>
      </w:r>
      <w:r>
        <w:rPr>
          <w:rFonts w:hint="eastAsia" w:cs="Times New Roman"/>
          <w:color w:val="000000" w:themeColor="text1"/>
          <w:szCs w:val="32"/>
          <w14:textFill>
            <w14:solidFill>
              <w14:schemeClr w14:val="tx1"/>
            </w14:solidFill>
          </w14:textFill>
        </w:rPr>
        <w:t>亿元，惠及市场主体</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9</w:t>
      </w:r>
      <w:r>
        <w:rPr>
          <w:rFonts w:hint="eastAsia" w:cs="Times New Roman"/>
          <w:color w:val="000000" w:themeColor="text1"/>
          <w:szCs w:val="32"/>
          <w14:textFill>
            <w14:solidFill>
              <w14:schemeClr w14:val="tx1"/>
            </w14:solidFill>
          </w14:textFill>
        </w:rPr>
        <w:t>万户（次）。安排各类产业扶持补助超</w:t>
      </w:r>
      <w:r>
        <w:rPr>
          <w:rFonts w:cs="Times New Roman"/>
          <w:color w:val="000000" w:themeColor="text1"/>
          <w:szCs w:val="32"/>
          <w14:textFill>
            <w14:solidFill>
              <w14:schemeClr w14:val="tx1"/>
            </w14:solidFill>
          </w14:textFill>
        </w:rPr>
        <w:t>1</w:t>
      </w:r>
      <w:r>
        <w:rPr>
          <w:rFonts w:hint="eastAsia" w:cs="Times New Roman"/>
          <w:color w:val="000000" w:themeColor="text1"/>
          <w:szCs w:val="32"/>
          <w14:textFill>
            <w14:solidFill>
              <w14:schemeClr w14:val="tx1"/>
            </w14:solidFill>
          </w14:textFill>
        </w:rPr>
        <w:t>亿元，培育和发展五大百亿级产业集群，支持</w:t>
      </w:r>
      <w:r>
        <w:rPr>
          <w:rFonts w:cs="Times New Roman"/>
          <w:color w:val="000000" w:themeColor="text1"/>
          <w:szCs w:val="32"/>
          <w14:textFill>
            <w14:solidFill>
              <w14:schemeClr w14:val="tx1"/>
            </w14:solidFill>
          </w14:textFill>
        </w:rPr>
        <w:t>实施智能制造升级，海康威视、国际复合入选国家级智能制造示范工厂。</w:t>
      </w:r>
      <w:r>
        <w:rPr>
          <w:rFonts w:hint="eastAsia" w:cs="Times New Roman"/>
          <w:b/>
          <w:bCs/>
          <w:color w:val="000000" w:themeColor="text1"/>
          <w:szCs w:val="32"/>
          <w14:textFill>
            <w14:solidFill>
              <w14:schemeClr w14:val="tx1"/>
            </w14:solidFill>
          </w14:textFill>
        </w:rPr>
        <w:t>二是清理</w:t>
      </w:r>
      <w:r>
        <w:rPr>
          <w:rFonts w:hint="eastAsia" w:ascii="方正仿宋_GBK" w:cs="Times New Roman"/>
          <w:b/>
          <w:bCs/>
          <w:color w:val="000000" w:themeColor="text1"/>
          <w:szCs w:val="32"/>
          <w14:textFill>
            <w14:solidFill>
              <w14:schemeClr w14:val="tx1"/>
            </w14:solidFill>
          </w14:textFill>
        </w:rPr>
        <w:t>“</w:t>
      </w:r>
      <w:r>
        <w:rPr>
          <w:rFonts w:hint="eastAsia" w:cs="Times New Roman"/>
          <w:b/>
          <w:bCs/>
          <w:color w:val="000000" w:themeColor="text1"/>
          <w:szCs w:val="32"/>
          <w14:textFill>
            <w14:solidFill>
              <w14:schemeClr w14:val="tx1"/>
            </w14:solidFill>
          </w14:textFill>
        </w:rPr>
        <w:t>三资</w:t>
      </w:r>
      <w:r>
        <w:rPr>
          <w:rFonts w:hint="eastAsia" w:ascii="方正仿宋_GBK" w:cs="Times New Roman"/>
          <w:b/>
          <w:bCs/>
          <w:color w:val="000000" w:themeColor="text1"/>
          <w:szCs w:val="32"/>
          <w14:textFill>
            <w14:solidFill>
              <w14:schemeClr w14:val="tx1"/>
            </w14:solidFill>
          </w14:textFill>
        </w:rPr>
        <w:t>”</w:t>
      </w:r>
      <w:r>
        <w:rPr>
          <w:rFonts w:hint="eastAsia" w:cs="Times New Roman"/>
          <w:b/>
          <w:bCs/>
          <w:color w:val="000000" w:themeColor="text1"/>
          <w:szCs w:val="32"/>
          <w14:textFill>
            <w14:solidFill>
              <w14:schemeClr w14:val="tx1"/>
            </w14:solidFill>
          </w14:textFill>
        </w:rPr>
        <w:t>抓非税。</w:t>
      </w:r>
      <w:r>
        <w:rPr>
          <w:rFonts w:hint="eastAsia" w:cs="Times New Roman"/>
          <w:color w:val="000000" w:themeColor="text1"/>
          <w:szCs w:val="32"/>
          <w14:textFill>
            <w14:solidFill>
              <w14:schemeClr w14:val="tx1"/>
            </w14:solidFill>
          </w14:textFill>
        </w:rPr>
        <w:t>探索谋划盘活资源路径，将</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三资</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统筹收益全部纳入预算管理，深入开展债券、土地、资产、项目等清查，处置特许经营权、闲置物业等资源资产，实现收益超</w:t>
      </w:r>
      <w:r>
        <w:rPr>
          <w:rFonts w:cs="Times New Roman"/>
          <w:color w:val="000000" w:themeColor="text1"/>
          <w:szCs w:val="32"/>
          <w14:textFill>
            <w14:solidFill>
              <w14:schemeClr w14:val="tx1"/>
            </w14:solidFill>
          </w14:textFill>
        </w:rPr>
        <w:t>7</w:t>
      </w:r>
      <w:r>
        <w:rPr>
          <w:rFonts w:hint="eastAsia" w:cs="Times New Roman"/>
          <w:color w:val="000000" w:themeColor="text1"/>
          <w:szCs w:val="32"/>
          <w14:textFill>
            <w14:solidFill>
              <w14:schemeClr w14:val="tx1"/>
            </w14:solidFill>
          </w14:textFill>
        </w:rPr>
        <w:t>亿元。</w:t>
      </w:r>
      <w:r>
        <w:rPr>
          <w:rFonts w:hint="eastAsia" w:cs="Times New Roman"/>
          <w:b/>
          <w:bCs/>
          <w:color w:val="000000" w:themeColor="text1"/>
          <w:szCs w:val="32"/>
          <w14:textFill>
            <w14:solidFill>
              <w14:schemeClr w14:val="tx1"/>
            </w14:solidFill>
          </w14:textFill>
        </w:rPr>
        <w:t>三是形成合力抓</w:t>
      </w:r>
      <w:r>
        <w:rPr>
          <w:rFonts w:cs="Times New Roman"/>
          <w:b/>
          <w:bCs/>
          <w:color w:val="000000" w:themeColor="text1"/>
          <w:szCs w:val="32"/>
          <w14:textFill>
            <w14:solidFill>
              <w14:schemeClr w14:val="tx1"/>
            </w14:solidFill>
          </w14:textFill>
        </w:rPr>
        <w:t>争资</w:t>
      </w:r>
      <w:r>
        <w:rPr>
          <w:rFonts w:hint="eastAsia" w:cs="Times New Roman"/>
          <w:b/>
          <w:bCs/>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安排</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000</w:t>
      </w:r>
      <w:r>
        <w:rPr>
          <w:rFonts w:hint="eastAsia" w:cs="Times New Roman"/>
          <w:color w:val="000000" w:themeColor="text1"/>
          <w:szCs w:val="32"/>
          <w14:textFill>
            <w14:solidFill>
              <w14:schemeClr w14:val="tx1"/>
            </w14:solidFill>
          </w14:textFill>
        </w:rPr>
        <w:t>万元经费发挥项目撬动作用，梳理上级资金投向，调动部门积极性，形成争资引项合力。制定</w:t>
      </w:r>
      <w:r>
        <w:rPr>
          <w:rFonts w:cs="Times New Roman"/>
          <w:color w:val="000000" w:themeColor="text1"/>
          <w:szCs w:val="32"/>
          <w14:textFill>
            <w14:solidFill>
              <w14:schemeClr w14:val="tx1"/>
            </w14:solidFill>
          </w14:textFill>
        </w:rPr>
        <w:t>2023</w:t>
      </w:r>
      <w:r>
        <w:rPr>
          <w:rFonts w:hint="eastAsia" w:cs="Times New Roman"/>
          <w:color w:val="000000" w:themeColor="text1"/>
          <w:szCs w:val="32"/>
          <w14:textFill>
            <w14:solidFill>
              <w14:schemeClr w14:val="tx1"/>
            </w14:solidFill>
          </w14:textFill>
        </w:rPr>
        <w:t>年争取上级资金工作考核办法，建立</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月提醒、季通报</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机制，细化责任分工，一般公共预算上级补助资金实现</w:t>
      </w:r>
      <w:r>
        <w:rPr>
          <w:rFonts w:cs="Times New Roman"/>
          <w:color w:val="000000" w:themeColor="text1"/>
          <w:szCs w:val="32"/>
          <w14:textFill>
            <w14:solidFill>
              <w14:schemeClr w14:val="tx1"/>
            </w14:solidFill>
          </w14:textFill>
        </w:rPr>
        <w:t>15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亿元，增长</w:t>
      </w:r>
      <w:r>
        <w:rPr>
          <w:rFonts w:cs="Times New Roman"/>
          <w:color w:val="000000" w:themeColor="text1"/>
          <w:szCs w:val="32"/>
          <w14:textFill>
            <w14:solidFill>
              <w14:schemeClr w14:val="tx1"/>
            </w14:solidFill>
          </w14:textFill>
        </w:rPr>
        <w:t>16</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1</w:t>
      </w:r>
      <w:r>
        <w:rPr>
          <w:rFonts w:hint="eastAsia" w:cs="Times New Roman"/>
          <w:color w:val="000000" w:themeColor="text1"/>
          <w:szCs w:val="32"/>
          <w14:textFill>
            <w14:solidFill>
              <w14:schemeClr w14:val="tx1"/>
            </w14:solidFill>
          </w14:textFill>
        </w:rPr>
        <w:t>%，突破新高。</w:t>
      </w:r>
      <w:r>
        <w:rPr>
          <w:rFonts w:hint="eastAsia" w:cs="Times New Roman"/>
          <w:b/>
          <w:bCs/>
          <w:color w:val="000000" w:themeColor="text1"/>
          <w:szCs w:val="32"/>
          <w14:textFill>
            <w14:solidFill>
              <w14:schemeClr w14:val="tx1"/>
            </w14:solidFill>
          </w14:textFill>
        </w:rPr>
        <w:t>四是规范管理抓基金。</w:t>
      </w:r>
      <w:r>
        <w:rPr>
          <w:rFonts w:hint="eastAsia" w:cs="Times New Roman"/>
          <w:color w:val="000000" w:themeColor="text1"/>
          <w:szCs w:val="32"/>
          <w14:textFill>
            <w14:solidFill>
              <w14:schemeClr w14:val="tx1"/>
            </w14:solidFill>
          </w14:textFill>
        </w:rPr>
        <w:t>简化项目建设流程，明确新增国有划拨建设用地指导价格，提高土地划拨审核效率，实现相关收入</w:t>
      </w:r>
      <w:r>
        <w:rPr>
          <w:rFonts w:cs="Times New Roman"/>
          <w:color w:val="000000" w:themeColor="text1"/>
          <w:szCs w:val="32"/>
          <w14:textFill>
            <w14:solidFill>
              <w14:schemeClr w14:val="tx1"/>
            </w14:solidFill>
          </w14:textFill>
        </w:rPr>
        <w:t>41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1</w:t>
      </w:r>
      <w:r>
        <w:rPr>
          <w:rFonts w:hint="eastAsia" w:cs="Times New Roman"/>
          <w:color w:val="000000" w:themeColor="text1"/>
          <w:szCs w:val="32"/>
          <w14:textFill>
            <w14:solidFill>
              <w14:schemeClr w14:val="tx1"/>
            </w14:solidFill>
          </w14:textFill>
        </w:rPr>
        <w:t>亿元。争取提高市级专项储备地学校建设补助标准等系列政策和城市更新奖补资金</w:t>
      </w:r>
      <w:r>
        <w:rPr>
          <w:rFonts w:cs="Times New Roman"/>
          <w:color w:val="000000" w:themeColor="text1"/>
          <w:szCs w:val="32"/>
          <w14:textFill>
            <w14:solidFill>
              <w14:schemeClr w14:val="tx1"/>
            </w14:solidFill>
          </w14:textFill>
        </w:rPr>
        <w:t>4</w:t>
      </w:r>
      <w:r>
        <w:rPr>
          <w:rFonts w:hint="eastAsia" w:cs="Times New Roman"/>
          <w:color w:val="000000" w:themeColor="text1"/>
          <w:szCs w:val="32"/>
          <w14:textFill>
            <w14:solidFill>
              <w14:schemeClr w14:val="tx1"/>
            </w14:solidFill>
          </w14:textFill>
        </w:rPr>
        <w:t>亿元，有效缓解我区公共基础设施建设资金压力。</w:t>
      </w:r>
    </w:p>
    <w:p>
      <w:pPr>
        <w:pStyle w:val="8"/>
        <w:spacing w:after="0" w:line="594" w:lineRule="exact"/>
        <w:ind w:left="0" w:leftChars="0" w:firstLine="643"/>
        <w:rPr>
          <w:rFonts w:cs="Times New Roman"/>
          <w:color w:val="000000" w:themeColor="text1"/>
          <w:szCs w:val="32"/>
          <w14:textFill>
            <w14:solidFill>
              <w14:schemeClr w14:val="tx1"/>
            </w14:solidFill>
          </w14:textFill>
        </w:rPr>
      </w:pPr>
      <w:r>
        <w:rPr>
          <w:rFonts w:hint="eastAsia" w:eastAsia="方正楷体_GBK" w:cs="方正楷体_GBK"/>
          <w:b/>
          <w:bCs/>
          <w:color w:val="000000" w:themeColor="text1"/>
          <w:szCs w:val="32"/>
          <w14:textFill>
            <w14:solidFill>
              <w14:schemeClr w14:val="tx1"/>
            </w14:solidFill>
          </w14:textFill>
        </w:rPr>
        <w:t>第二，疏堵结合防风险，高强度筑牢安全屏障。</w:t>
      </w:r>
      <w:r>
        <w:rPr>
          <w:rFonts w:hint="eastAsia" w:cs="方正仿宋_GBK"/>
          <w:color w:val="000000" w:themeColor="text1"/>
          <w:szCs w:val="32"/>
          <w14:textFill>
            <w14:solidFill>
              <w14:schemeClr w14:val="tx1"/>
            </w14:solidFill>
          </w14:textFill>
        </w:rPr>
        <w:t>坚持推进财政治理体系和能力现代化建设，统筹发展和安全，立足当前放眼长远，有效防范化解各类风险挑战。</w:t>
      </w:r>
      <w:r>
        <w:rPr>
          <w:rFonts w:hint="eastAsia" w:cs="Times New Roman"/>
          <w:b/>
          <w:bCs/>
          <w:color w:val="000000" w:themeColor="text1"/>
          <w:szCs w:val="32"/>
          <w14:textFill>
            <w14:solidFill>
              <w14:schemeClr w14:val="tx1"/>
            </w14:solidFill>
          </w14:textFill>
        </w:rPr>
        <w:t>一是过</w:t>
      </w:r>
      <w:r>
        <w:rPr>
          <w:rFonts w:cs="Times New Roman"/>
          <w:b/>
          <w:bCs/>
          <w:color w:val="000000" w:themeColor="text1"/>
          <w:szCs w:val="32"/>
          <w14:textFill>
            <w14:solidFill>
              <w14:schemeClr w14:val="tx1"/>
            </w14:solidFill>
          </w14:textFill>
        </w:rPr>
        <w:t>紧日子</w:t>
      </w:r>
      <w:r>
        <w:rPr>
          <w:rFonts w:hint="eastAsia" w:cs="Times New Roman"/>
          <w:b/>
          <w:bCs/>
          <w:color w:val="000000" w:themeColor="text1"/>
          <w:szCs w:val="32"/>
          <w14:textFill>
            <w14:solidFill>
              <w14:schemeClr w14:val="tx1"/>
            </w14:solidFill>
          </w14:textFill>
        </w:rPr>
        <w:t>防风险。</w:t>
      </w:r>
      <w:r>
        <w:rPr>
          <w:rFonts w:hint="eastAsia" w:cs="Times New Roman"/>
          <w:color w:val="000000" w:themeColor="text1"/>
          <w:szCs w:val="32"/>
          <w14:textFill>
            <w14:solidFill>
              <w14:schemeClr w14:val="tx1"/>
            </w14:solidFill>
          </w14:textFill>
        </w:rPr>
        <w:t>坚持精打细算、节用裕民，制定大渡口区党政机关过紧日子方案，严肃财经纪律，全年</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三公</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经费零增长。强调财政可持续和把财政资金用在刀刃上，除保运转、保民生等刚性支出外，本级项目预算整体压减</w:t>
      </w:r>
      <w:r>
        <w:rPr>
          <w:rFonts w:cs="Times New Roman"/>
          <w:color w:val="000000" w:themeColor="text1"/>
          <w:szCs w:val="32"/>
          <w14:textFill>
            <w14:solidFill>
              <w14:schemeClr w14:val="tx1"/>
            </w14:solidFill>
          </w14:textFill>
        </w:rPr>
        <w:t>5</w:t>
      </w:r>
      <w:r>
        <w:rPr>
          <w:rFonts w:hint="eastAsia" w:cs="Times New Roman"/>
          <w:color w:val="000000" w:themeColor="text1"/>
          <w:szCs w:val="32"/>
          <w14:textFill>
            <w14:solidFill>
              <w14:schemeClr w14:val="tx1"/>
            </w14:solidFill>
          </w14:textFill>
        </w:rPr>
        <w:t>%，共计</w:t>
      </w:r>
      <w:r>
        <w:rPr>
          <w:rFonts w:cs="Times New Roman"/>
          <w:color w:val="000000" w:themeColor="text1"/>
          <w:szCs w:val="32"/>
          <w14:textFill>
            <w14:solidFill>
              <w14:schemeClr w14:val="tx1"/>
            </w14:solidFill>
          </w14:textFill>
        </w:rPr>
        <w:t>8</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025</w:t>
      </w:r>
      <w:r>
        <w:rPr>
          <w:rFonts w:hint="eastAsia" w:cs="Times New Roman"/>
          <w:color w:val="000000" w:themeColor="text1"/>
          <w:szCs w:val="32"/>
          <w14:textFill>
            <w14:solidFill>
              <w14:schemeClr w14:val="tx1"/>
            </w14:solidFill>
          </w14:textFill>
        </w:rPr>
        <w:t>万元。</w:t>
      </w:r>
      <w:r>
        <w:rPr>
          <w:rFonts w:hint="eastAsia" w:cs="Times New Roman"/>
          <w:b/>
          <w:bCs/>
          <w:color w:val="000000" w:themeColor="text1"/>
          <w:szCs w:val="32"/>
          <w14:textFill>
            <w14:solidFill>
              <w14:schemeClr w14:val="tx1"/>
            </w14:solidFill>
          </w14:textFill>
        </w:rPr>
        <w:t>二是动态</w:t>
      </w:r>
      <w:r>
        <w:rPr>
          <w:rFonts w:cs="Times New Roman"/>
          <w:b/>
          <w:bCs/>
          <w:color w:val="000000" w:themeColor="text1"/>
          <w:szCs w:val="32"/>
          <w14:textFill>
            <w14:solidFill>
              <w14:schemeClr w14:val="tx1"/>
            </w14:solidFill>
          </w14:textFill>
        </w:rPr>
        <w:t>平衡</w:t>
      </w:r>
      <w:r>
        <w:rPr>
          <w:rFonts w:hint="eastAsia" w:cs="Times New Roman"/>
          <w:b/>
          <w:bCs/>
          <w:color w:val="000000" w:themeColor="text1"/>
          <w:szCs w:val="32"/>
          <w14:textFill>
            <w14:solidFill>
              <w14:schemeClr w14:val="tx1"/>
            </w14:solidFill>
          </w14:textFill>
        </w:rPr>
        <w:t>防风险。</w:t>
      </w:r>
      <w:r>
        <w:rPr>
          <w:rFonts w:hint="eastAsia" w:cs="Times New Roman"/>
          <w:color w:val="000000" w:themeColor="text1"/>
          <w:szCs w:val="32"/>
          <w14:textFill>
            <w14:solidFill>
              <w14:schemeClr w14:val="tx1"/>
            </w14:solidFill>
          </w14:textFill>
        </w:rPr>
        <w:t>积极应对减收增支带来的财政运行风险，采取</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跨周期</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和</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跨账本</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的方式，筹措一般公共预算资金</w:t>
      </w:r>
      <w:r>
        <w:rPr>
          <w:rFonts w:cs="Times New Roman"/>
          <w:color w:val="000000" w:themeColor="text1"/>
          <w:szCs w:val="32"/>
          <w14:textFill>
            <w14:solidFill>
              <w14:schemeClr w14:val="tx1"/>
            </w14:solidFill>
          </w14:textFill>
        </w:rPr>
        <w:t>12</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亿元，国有企业上缴利润</w:t>
      </w:r>
      <w:r>
        <w:rPr>
          <w:rFonts w:hint="eastAsia" w:cs="Times New Roman"/>
          <w:color w:val="000000" w:themeColor="text1"/>
          <w:szCs w:val="32"/>
          <w:lang w:eastAsia="zh-CN"/>
          <w14:textFill>
            <w14:solidFill>
              <w14:schemeClr w14:val="tx1"/>
            </w14:solidFill>
          </w14:textFill>
        </w:rPr>
        <w:t>近</w:t>
      </w:r>
      <w:r>
        <w:rPr>
          <w:rFonts w:cs="Times New Roman"/>
          <w:color w:val="000000" w:themeColor="text1"/>
          <w:szCs w:val="32"/>
          <w14:textFill>
            <w14:solidFill>
              <w14:schemeClr w14:val="tx1"/>
            </w14:solidFill>
          </w14:textFill>
        </w:rPr>
        <w:t>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700</w:t>
      </w:r>
      <w:r>
        <w:rPr>
          <w:rFonts w:hint="eastAsia" w:cs="Times New Roman"/>
          <w:color w:val="000000" w:themeColor="text1"/>
          <w:szCs w:val="32"/>
          <w14:textFill>
            <w14:solidFill>
              <w14:schemeClr w14:val="tx1"/>
            </w14:solidFill>
          </w14:textFill>
        </w:rPr>
        <w:t>万元。合理安排支出节奏、统筹土地收益、收回部门结余资金，牢牢兜住</w:t>
      </w:r>
      <w:r>
        <w:rPr>
          <w:rFonts w:cs="Times New Roman"/>
          <w:color w:val="000000" w:themeColor="text1"/>
          <w:szCs w:val="32"/>
          <w14:textFill>
            <w14:solidFill>
              <w14:schemeClr w14:val="tx1"/>
            </w14:solidFill>
          </w14:textFill>
        </w:rPr>
        <w:t>18</w:t>
      </w:r>
      <w:r>
        <w:rPr>
          <w:rFonts w:hint="eastAsia" w:cs="Times New Roman"/>
          <w:color w:val="000000" w:themeColor="text1"/>
          <w:szCs w:val="32"/>
          <w14:textFill>
            <w14:solidFill>
              <w14:schemeClr w14:val="tx1"/>
            </w14:solidFill>
          </w14:textFill>
        </w:rPr>
        <w:t>亿元</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三保</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支出底线。</w:t>
      </w:r>
      <w:r>
        <w:rPr>
          <w:rFonts w:hint="eastAsia" w:cs="Times New Roman"/>
          <w:b/>
          <w:bCs/>
          <w:color w:val="000000" w:themeColor="text1"/>
          <w:szCs w:val="32"/>
          <w14:textFill>
            <w14:solidFill>
              <w14:schemeClr w14:val="tx1"/>
            </w14:solidFill>
          </w14:textFill>
        </w:rPr>
        <w:t>三是调度</w:t>
      </w:r>
      <w:r>
        <w:rPr>
          <w:rFonts w:cs="Times New Roman"/>
          <w:b/>
          <w:bCs/>
          <w:color w:val="000000" w:themeColor="text1"/>
          <w:szCs w:val="32"/>
          <w14:textFill>
            <w14:solidFill>
              <w14:schemeClr w14:val="tx1"/>
            </w14:solidFill>
          </w14:textFill>
        </w:rPr>
        <w:t>资金</w:t>
      </w:r>
      <w:r>
        <w:rPr>
          <w:rFonts w:hint="eastAsia" w:cs="Times New Roman"/>
          <w:b/>
          <w:bCs/>
          <w:color w:val="000000" w:themeColor="text1"/>
          <w:szCs w:val="32"/>
          <w14:textFill>
            <w14:solidFill>
              <w14:schemeClr w14:val="tx1"/>
            </w14:solidFill>
          </w14:textFill>
        </w:rPr>
        <w:t>防风险。</w:t>
      </w:r>
      <w:r>
        <w:rPr>
          <w:rFonts w:hint="eastAsia" w:cs="Times New Roman"/>
          <w:color w:val="000000" w:themeColor="text1"/>
          <w:szCs w:val="32"/>
          <w14:textFill>
            <w14:solidFill>
              <w14:schemeClr w14:val="tx1"/>
            </w14:solidFill>
          </w14:textFill>
        </w:rPr>
        <w:t>综合研判财政运行走势，启用国库集中支付大额资金报备程序实时监测库款进度。争取市级足额调度资金</w:t>
      </w:r>
      <w:r>
        <w:rPr>
          <w:rFonts w:cs="Times New Roman"/>
          <w:color w:val="000000" w:themeColor="text1"/>
          <w:szCs w:val="32"/>
          <w14:textFill>
            <w14:solidFill>
              <w14:schemeClr w14:val="tx1"/>
            </w14:solidFill>
          </w14:textFill>
        </w:rPr>
        <w:t>56</w:t>
      </w:r>
      <w:r>
        <w:rPr>
          <w:rFonts w:hint="eastAsia" w:cs="Times New Roman"/>
          <w:color w:val="000000" w:themeColor="text1"/>
          <w:szCs w:val="32"/>
          <w14:textFill>
            <w14:solidFill>
              <w14:schemeClr w14:val="tx1"/>
            </w14:solidFill>
          </w14:textFill>
        </w:rPr>
        <w:t>亿元，分析财政资金支出流向，确保库款资金精准投放，缓解大额支出、平台保链等关键节点资金压力。</w:t>
      </w:r>
      <w:r>
        <w:rPr>
          <w:rFonts w:hint="eastAsia" w:cs="Times New Roman"/>
          <w:b/>
          <w:bCs/>
          <w:color w:val="000000" w:themeColor="text1"/>
          <w:szCs w:val="32"/>
          <w14:textFill>
            <w14:solidFill>
              <w14:schemeClr w14:val="tx1"/>
            </w14:solidFill>
          </w14:textFill>
        </w:rPr>
        <w:t>四是管控</w:t>
      </w:r>
      <w:r>
        <w:rPr>
          <w:rFonts w:cs="Times New Roman"/>
          <w:b/>
          <w:bCs/>
          <w:color w:val="000000" w:themeColor="text1"/>
          <w:szCs w:val="32"/>
          <w14:textFill>
            <w14:solidFill>
              <w14:schemeClr w14:val="tx1"/>
            </w14:solidFill>
          </w14:textFill>
        </w:rPr>
        <w:t>债务</w:t>
      </w:r>
      <w:r>
        <w:rPr>
          <w:rFonts w:hint="eastAsia" w:cs="Times New Roman"/>
          <w:b/>
          <w:bCs/>
          <w:color w:val="000000" w:themeColor="text1"/>
          <w:szCs w:val="32"/>
          <w14:textFill>
            <w14:solidFill>
              <w14:schemeClr w14:val="tx1"/>
            </w14:solidFill>
          </w14:textFill>
        </w:rPr>
        <w:t>防风险。</w:t>
      </w:r>
      <w:r>
        <w:rPr>
          <w:rFonts w:hint="eastAsia" w:cs="Times New Roman"/>
          <w:color w:val="000000" w:themeColor="text1"/>
          <w:szCs w:val="32"/>
          <w14:textFill>
            <w14:solidFill>
              <w14:schemeClr w14:val="tx1"/>
            </w14:solidFill>
          </w14:textFill>
        </w:rPr>
        <w:t>强化债券全景图、全周期穿透式管理，</w:t>
      </w:r>
      <w:r>
        <w:rPr>
          <w:rFonts w:cs="Times New Roman"/>
          <w:color w:val="000000" w:themeColor="text1"/>
          <w:szCs w:val="32"/>
          <w14:textFill>
            <w14:solidFill>
              <w14:schemeClr w14:val="tx1"/>
            </w14:solidFill>
          </w14:textFill>
        </w:rPr>
        <w:t>顺利完成政府债务本息化解及存量债务</w:t>
      </w:r>
      <w:r>
        <w:rPr>
          <w:rFonts w:hint="eastAsia" w:ascii="方正仿宋_GBK"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高改低</w:t>
      </w:r>
      <w:r>
        <w:rPr>
          <w:rFonts w:hint="eastAsia" w:ascii="方正仿宋_GBK"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工作，缓释债务风险防范压力。争取新增债券有效支持学校新建和改造、</w:t>
      </w:r>
      <w:r>
        <w:rPr>
          <w:rFonts w:hint="eastAsia" w:ascii="方正仿宋_GBK"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金鳌田园</w:t>
      </w:r>
      <w:r>
        <w:rPr>
          <w:rFonts w:hint="eastAsia" w:ascii="方正仿宋_GBK"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等项目建设</w:t>
      </w:r>
      <w:r>
        <w:rPr>
          <w:rFonts w:hint="eastAsia" w:cs="Times New Roman"/>
          <w:color w:val="000000" w:themeColor="text1"/>
          <w:szCs w:val="32"/>
          <w14:textFill>
            <w14:solidFill>
              <w14:schemeClr w14:val="tx1"/>
            </w14:solidFill>
          </w14:textFill>
        </w:rPr>
        <w:t>，将政府债务余额牢牢控制在核定限额内。</w:t>
      </w:r>
    </w:p>
    <w:p>
      <w:pPr>
        <w:ind w:firstLine="643"/>
        <w:rPr>
          <w:color w:val="000000" w:themeColor="text1"/>
          <w14:textFill>
            <w14:solidFill>
              <w14:schemeClr w14:val="tx1"/>
            </w14:solidFill>
          </w14:textFill>
        </w:rPr>
      </w:pPr>
      <w:r>
        <w:rPr>
          <w:rFonts w:hint="eastAsia" w:eastAsia="方正楷体_GBK" w:cs="方正楷体_GBK"/>
          <w:b/>
          <w:bCs/>
          <w:color w:val="000000" w:themeColor="text1"/>
          <w:szCs w:val="32"/>
          <w14:textFill>
            <w14:solidFill>
              <w14:schemeClr w14:val="tx1"/>
            </w14:solidFill>
          </w14:textFill>
        </w:rPr>
        <w:t>第三，蹄疾步稳征新程，高标准提升财政效能。</w:t>
      </w:r>
      <w:r>
        <w:rPr>
          <w:rFonts w:hint="eastAsia" w:cs="方正仿宋_GBK"/>
          <w:color w:val="000000" w:themeColor="text1"/>
          <w:szCs w:val="32"/>
          <w14:textFill>
            <w14:solidFill>
              <w14:schemeClr w14:val="tx1"/>
            </w14:solidFill>
          </w14:textFill>
        </w:rPr>
        <w:t>牢牢把握加快构建现代财政制度的要求，着力破除财政体制机制中的梗阻问题，不断增强财政高质量发展的动力活力。</w:t>
      </w:r>
      <w:r>
        <w:rPr>
          <w:rFonts w:hint="eastAsia" w:cs="方正仿宋_GBK"/>
          <w:b/>
          <w:bCs/>
          <w:color w:val="000000" w:themeColor="text1"/>
          <w:szCs w:val="32"/>
          <w14:textFill>
            <w14:solidFill>
              <w14:schemeClr w14:val="tx1"/>
            </w14:solidFill>
          </w14:textFill>
        </w:rPr>
        <w:t>一是创新财会监督联动机制。</w:t>
      </w:r>
      <w:r>
        <w:rPr>
          <w:rFonts w:hint="eastAsia" w:cs="方正仿宋_GBK"/>
          <w:color w:val="000000" w:themeColor="text1"/>
          <w:szCs w:val="32"/>
          <w14:textFill>
            <w14:solidFill>
              <w14:schemeClr w14:val="tx1"/>
            </w14:solidFill>
          </w14:textFill>
        </w:rPr>
        <w:t>创建</w:t>
      </w:r>
      <w:r>
        <w:rPr>
          <w:rFonts w:hint="eastAsia" w:ascii="方正仿宋_GBK" w:cs="方正仿宋_GBK"/>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1+N</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财会监督协作配合机制，通过信息互通、线索移送、协同监督和成果共享</w:t>
      </w:r>
      <w:r>
        <w:rPr>
          <w:rFonts w:cs="Times New Roman"/>
          <w:color w:val="000000" w:themeColor="text1"/>
          <w:szCs w:val="32"/>
          <w14:textFill>
            <w14:solidFill>
              <w14:schemeClr w14:val="tx1"/>
            </w14:solidFill>
          </w14:textFill>
        </w:rPr>
        <w:t>4</w:t>
      </w:r>
      <w:r>
        <w:rPr>
          <w:rFonts w:hint="eastAsia" w:cs="方正仿宋_GBK"/>
          <w:color w:val="000000" w:themeColor="text1"/>
          <w:szCs w:val="32"/>
          <w14:textFill>
            <w14:solidFill>
              <w14:schemeClr w14:val="tx1"/>
            </w14:solidFill>
          </w14:textFill>
        </w:rPr>
        <w:t>个方面，构建以党内监督为主导，纪检监察、财会监督贯通融合的多跨协同监督新体系。开展会计信息质量、公务卡和现金使用等专项检查，形成会计信息质量检</w:t>
      </w:r>
      <w:r>
        <w:rPr>
          <w:rFonts w:cs="Times New Roman"/>
          <w:color w:val="000000" w:themeColor="text1"/>
          <w:szCs w:val="32"/>
          <w14:textFill>
            <w14:solidFill>
              <w14:schemeClr w14:val="tx1"/>
            </w14:solidFill>
          </w14:textFill>
        </w:rPr>
        <w:t>查报告42份，公务卡</w:t>
      </w:r>
      <w:r>
        <w:rPr>
          <w:rFonts w:hint="eastAsia" w:cs="方正仿宋_GBK"/>
          <w:color w:val="000000" w:themeColor="text1"/>
          <w:szCs w:val="32"/>
          <w14:textFill>
            <w14:solidFill>
              <w14:schemeClr w14:val="tx1"/>
            </w14:solidFill>
          </w14:textFill>
        </w:rPr>
        <w:t>及现金管理检查报告</w:t>
      </w:r>
      <w:r>
        <w:rPr>
          <w:rFonts w:cs="Times New Roman"/>
          <w:color w:val="000000" w:themeColor="text1"/>
          <w:szCs w:val="32"/>
          <w14:textFill>
            <w14:solidFill>
              <w14:schemeClr w14:val="tx1"/>
            </w14:solidFill>
          </w14:textFill>
        </w:rPr>
        <w:t>18份</w:t>
      </w:r>
      <w:r>
        <w:rPr>
          <w:rFonts w:hint="eastAsia" w:cs="Times New Roman"/>
          <w:color w:val="000000" w:themeColor="text1"/>
          <w:szCs w:val="32"/>
          <w14:textFill>
            <w14:solidFill>
              <w14:schemeClr w14:val="tx1"/>
            </w14:solidFill>
          </w14:textFill>
        </w:rPr>
        <w:t>，项目资金专项检查报告</w:t>
      </w:r>
      <w:r>
        <w:rPr>
          <w:rFonts w:cs="Times New Roman"/>
          <w:color w:val="000000" w:themeColor="text1"/>
          <w:szCs w:val="32"/>
          <w14:textFill>
            <w14:solidFill>
              <w14:schemeClr w14:val="tx1"/>
            </w14:solidFill>
          </w14:textFill>
        </w:rPr>
        <w:t>20</w:t>
      </w:r>
      <w:r>
        <w:rPr>
          <w:rFonts w:hint="eastAsia" w:cs="Times New Roman"/>
          <w:color w:val="000000" w:themeColor="text1"/>
          <w:szCs w:val="32"/>
          <w14:textFill>
            <w14:solidFill>
              <w14:schemeClr w14:val="tx1"/>
            </w14:solidFill>
          </w14:textFill>
        </w:rPr>
        <w:t>份，凝聚监督合力，督促逐一开展整改。完成</w:t>
      </w:r>
      <w:r>
        <w:rPr>
          <w:rFonts w:cs="Times New Roman"/>
          <w:color w:val="000000" w:themeColor="text1"/>
          <w:szCs w:val="32"/>
          <w14:textFill>
            <w14:solidFill>
              <w14:schemeClr w14:val="tx1"/>
            </w14:solidFill>
          </w14:textFill>
        </w:rPr>
        <w:t>34</w:t>
      </w:r>
      <w:r>
        <w:rPr>
          <w:rFonts w:hint="eastAsia" w:cs="Times New Roman"/>
          <w:color w:val="000000" w:themeColor="text1"/>
          <w:szCs w:val="32"/>
          <w14:textFill>
            <w14:solidFill>
              <w14:schemeClr w14:val="tx1"/>
            </w14:solidFill>
          </w14:textFill>
        </w:rPr>
        <w:t>个</w:t>
      </w:r>
      <w:r>
        <w:rPr>
          <w:rFonts w:cs="Times New Roman"/>
          <w:color w:val="000000" w:themeColor="text1"/>
          <w:szCs w:val="32"/>
          <w14:textFill>
            <w14:solidFill>
              <w14:schemeClr w14:val="tx1"/>
            </w14:solidFill>
          </w14:textFill>
        </w:rPr>
        <w:t>无代理记账资质企业专项整治，有效整治率达100%。</w:t>
      </w:r>
      <w:r>
        <w:rPr>
          <w:rFonts w:hint="eastAsia" w:cs="方正仿宋_GBK"/>
          <w:b/>
          <w:bCs/>
          <w:color w:val="000000" w:themeColor="text1"/>
          <w:szCs w:val="32"/>
          <w14:textFill>
            <w14:solidFill>
              <w14:schemeClr w14:val="tx1"/>
            </w14:solidFill>
          </w14:textFill>
        </w:rPr>
        <w:t>二是数字赋能强化财政服务。</w:t>
      </w:r>
      <w:r>
        <w:rPr>
          <w:rFonts w:hint="eastAsia" w:cs="方正仿宋_GBK"/>
          <w:color w:val="000000" w:themeColor="text1"/>
          <w:szCs w:val="32"/>
          <w14:textFill>
            <w14:solidFill>
              <w14:schemeClr w14:val="tx1"/>
            </w14:solidFill>
          </w14:textFill>
        </w:rPr>
        <w:t>建立数字财政</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管理+技术</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全流程全链条财政业务集群，推动预算管理一体化考核排名位居全市前三。</w:t>
      </w:r>
      <w:r>
        <w:rPr>
          <w:rFonts w:hint="eastAsia" w:cs="Times New Roman"/>
          <w:color w:val="000000" w:themeColor="text1"/>
          <w:szCs w:val="32"/>
          <w14:textFill>
            <w14:solidFill>
              <w14:schemeClr w14:val="tx1"/>
            </w14:solidFill>
          </w14:textFill>
        </w:rPr>
        <w:t>用好系统预警、提醒功能，动态监控资金流动，把好支出关口，</w:t>
      </w:r>
      <w:r>
        <w:rPr>
          <w:rFonts w:hint="eastAsia" w:cs="方正仿宋_GBK"/>
          <w:color w:val="000000" w:themeColor="text1"/>
          <w:szCs w:val="32"/>
          <w14:textFill>
            <w14:solidFill>
              <w14:schemeClr w14:val="tx1"/>
            </w14:solidFill>
          </w14:textFill>
        </w:rPr>
        <w:t>直达资金分配率和支付率分别达到</w:t>
      </w:r>
      <w:r>
        <w:rPr>
          <w:rFonts w:cs="Times New Roman"/>
          <w:color w:val="000000" w:themeColor="text1"/>
          <w:szCs w:val="32"/>
          <w14:textFill>
            <w14:solidFill>
              <w14:schemeClr w14:val="tx1"/>
            </w14:solidFill>
          </w14:textFill>
        </w:rPr>
        <w:t>100%</w:t>
      </w:r>
      <w:r>
        <w:rPr>
          <w:rFonts w:hint="eastAsia" w:cs="方正仿宋_GBK"/>
          <w:color w:val="000000" w:themeColor="text1"/>
          <w:szCs w:val="32"/>
          <w14:textFill>
            <w14:solidFill>
              <w14:schemeClr w14:val="tx1"/>
            </w14:solidFill>
          </w14:textFill>
        </w:rPr>
        <w:t>和</w:t>
      </w:r>
      <w:r>
        <w:rPr>
          <w:rFonts w:cs="Times New Roman"/>
          <w:color w:val="000000" w:themeColor="text1"/>
          <w:szCs w:val="32"/>
          <w14:textFill>
            <w14:solidFill>
              <w14:schemeClr w14:val="tx1"/>
            </w14:solidFill>
          </w14:textFill>
        </w:rPr>
        <w:t>93</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4</w:t>
      </w:r>
      <w:r>
        <w:rPr>
          <w:rFonts w:hint="eastAsia" w:cs="Times New Roman"/>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，确保中央资金</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直通车</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到达基层</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最前线</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。将涉农补助和民生补贴资金全部纳入统一平台管理，通过惠民惠农</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一卡通</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平台发放</w:t>
      </w:r>
      <w:r>
        <w:rPr>
          <w:rFonts w:cs="Times New Roman"/>
          <w:color w:val="000000" w:themeColor="text1"/>
          <w:szCs w:val="32"/>
          <w14:textFill>
            <w14:solidFill>
              <w14:schemeClr w14:val="tx1"/>
            </w14:solidFill>
          </w14:textFill>
        </w:rPr>
        <w:t>资金</w:t>
      </w:r>
      <w:r>
        <w:rPr>
          <w:rFonts w:cs="Times New Roman"/>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cs="Times New Roman"/>
          <w:color w:val="000000" w:themeColor="text1"/>
          <w14:textFill>
            <w14:solidFill>
              <w14:schemeClr w14:val="tx1"/>
            </w14:solidFill>
          </w14:textFill>
        </w:rPr>
        <w:t>154</w:t>
      </w:r>
      <w:r>
        <w:rPr>
          <w:rFonts w:cs="Times New Roman"/>
          <w:color w:val="000000" w:themeColor="text1"/>
          <w:szCs w:val="32"/>
          <w14:textFill>
            <w14:solidFill>
              <w14:schemeClr w14:val="tx1"/>
            </w14:solidFill>
          </w14:textFill>
        </w:rPr>
        <w:t>万元，惠及群众7万人次。</w:t>
      </w:r>
      <w:r>
        <w:rPr>
          <w:rFonts w:hint="eastAsia"/>
          <w:b/>
          <w:bCs/>
          <w:color w:val="000000" w:themeColor="text1"/>
          <w14:textFill>
            <w14:solidFill>
              <w14:schemeClr w14:val="tx1"/>
            </w14:solidFill>
          </w14:textFill>
        </w:rPr>
        <w:t>三是优化政府采购营商环境。</w:t>
      </w:r>
      <w:r>
        <w:rPr>
          <w:rFonts w:hint="eastAsia"/>
          <w:color w:val="000000" w:themeColor="text1"/>
          <w14:textFill>
            <w14:solidFill>
              <w14:schemeClr w14:val="tx1"/>
            </w14:solidFill>
          </w14:textFill>
        </w:rPr>
        <w:t>深入实施</w:t>
      </w:r>
      <w:r>
        <w:rPr>
          <w:rFonts w:hint="eastAsia" w:asci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互联网+政府采购</w:t>
      </w:r>
      <w:r>
        <w:rPr>
          <w:rFonts w:hint="eastAsia" w:asci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行动，完成我区首例政府采购异地评审招投标项目。对</w:t>
      </w:r>
      <w:r>
        <w:rPr>
          <w:rFonts w:cs="Times New Roman"/>
          <w:color w:val="000000" w:themeColor="text1"/>
          <w14:textFill>
            <w14:solidFill>
              <w14:schemeClr w14:val="tx1"/>
            </w14:solidFill>
          </w14:textFill>
        </w:rPr>
        <w:t>200</w:t>
      </w:r>
      <w:r>
        <w:rPr>
          <w:rFonts w:hint="eastAsia"/>
          <w:color w:val="000000" w:themeColor="text1"/>
          <w14:textFill>
            <w14:solidFill>
              <w14:schemeClr w14:val="tx1"/>
            </w14:solidFill>
          </w14:textFill>
        </w:rPr>
        <w:t>万元以下适宜由中小企业采购的项目建议免收投标保证金，履约保证金降至</w:t>
      </w:r>
      <w:r>
        <w:rPr>
          <w:rFonts w:cs="Times New Roman"/>
          <w:color w:val="000000" w:themeColor="text1"/>
          <w14:textFill>
            <w14:solidFill>
              <w14:schemeClr w14:val="tx1"/>
            </w14:solidFill>
          </w14:textFill>
        </w:rPr>
        <w:t>5</w:t>
      </w:r>
      <w:r>
        <w:rPr>
          <w:rFonts w:hint="eastAsia"/>
          <w:color w:val="000000" w:themeColor="text1"/>
          <w14:textFill>
            <w14:solidFill>
              <w14:schemeClr w14:val="tx1"/>
            </w14:solidFill>
          </w14:textFill>
        </w:rPr>
        <w:t>%以内。全面建立预付款制度，政府采购中小企业合同份额占比达</w:t>
      </w:r>
      <w:r>
        <w:rPr>
          <w:rFonts w:cs="Times New Roman"/>
          <w:color w:val="000000" w:themeColor="text1"/>
          <w14:textFill>
            <w14:solidFill>
              <w14:schemeClr w14:val="tx1"/>
            </w14:solidFill>
          </w14:textFill>
        </w:rPr>
        <w:t>91</w:t>
      </w:r>
      <w:r>
        <w:rPr>
          <w:rFonts w:hint="eastAsia"/>
          <w:color w:val="000000" w:themeColor="text1"/>
          <w14:textFill>
            <w14:solidFill>
              <w14:schemeClr w14:val="tx1"/>
            </w14:solidFill>
          </w14:textFill>
        </w:rPr>
        <w:t>.</w:t>
      </w:r>
      <w:r>
        <w:rPr>
          <w:rFonts w:cs="Times New Roman"/>
          <w:color w:val="000000" w:themeColor="text1"/>
          <w14:textFill>
            <w14:solidFill>
              <w14:schemeClr w14:val="tx1"/>
            </w14:solidFill>
          </w14:textFill>
        </w:rPr>
        <w:t>7</w:t>
      </w:r>
      <w:r>
        <w:rPr>
          <w:rFonts w:hint="eastAsia"/>
          <w:color w:val="000000" w:themeColor="text1"/>
          <w14:textFill>
            <w14:solidFill>
              <w14:schemeClr w14:val="tx1"/>
            </w14:solidFill>
          </w14:textFill>
        </w:rPr>
        <w:t>%，位于全市前列。持续推广</w:t>
      </w:r>
      <w:r>
        <w:rPr>
          <w:rFonts w:hint="eastAsia" w:asci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政采贷</w:t>
      </w:r>
      <w:r>
        <w:rPr>
          <w:rFonts w:hint="eastAsia" w:asci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业务，缓解中小微企业资金压力</w:t>
      </w:r>
      <w:r>
        <w:rPr>
          <w:rFonts w:cs="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cs="Times New Roman"/>
          <w:color w:val="000000" w:themeColor="text1"/>
          <w14:textFill>
            <w14:solidFill>
              <w14:schemeClr w14:val="tx1"/>
            </w14:solidFill>
          </w14:textFill>
        </w:rPr>
        <w:t>510</w:t>
      </w:r>
      <w:r>
        <w:rPr>
          <w:rFonts w:hint="eastAsia"/>
          <w:color w:val="000000" w:themeColor="text1"/>
          <w14:textFill>
            <w14:solidFill>
              <w14:schemeClr w14:val="tx1"/>
            </w14:solidFill>
          </w14:textFill>
        </w:rPr>
        <w:t>万元。政府采购申报计划金额</w:t>
      </w:r>
      <w:r>
        <w:rPr>
          <w:rFonts w:cs="Times New Roman"/>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rFonts w:cs="Times New Roman"/>
          <w:color w:val="000000" w:themeColor="text1"/>
          <w14:textFill>
            <w14:solidFill>
              <w14:schemeClr w14:val="tx1"/>
            </w14:solidFill>
          </w14:textFill>
        </w:rPr>
        <w:t>64</w:t>
      </w:r>
      <w:r>
        <w:rPr>
          <w:rFonts w:hint="eastAsia"/>
          <w:color w:val="000000" w:themeColor="text1"/>
          <w14:textFill>
            <w14:solidFill>
              <w14:schemeClr w14:val="tx1"/>
            </w14:solidFill>
          </w14:textFill>
        </w:rPr>
        <w:t>亿元，节约资金</w:t>
      </w:r>
      <w:r>
        <w:rPr>
          <w:rFonts w:cs="Times New Roman"/>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rFonts w:cs="Times New Roman"/>
          <w:color w:val="000000" w:themeColor="text1"/>
          <w14:textFill>
            <w14:solidFill>
              <w14:schemeClr w14:val="tx1"/>
            </w14:solidFill>
          </w14:textFill>
        </w:rPr>
        <w:t>519</w:t>
      </w:r>
      <w:r>
        <w:rPr>
          <w:rFonts w:hint="eastAsia"/>
          <w:color w:val="000000" w:themeColor="text1"/>
          <w14:textFill>
            <w14:solidFill>
              <w14:schemeClr w14:val="tx1"/>
            </w14:solidFill>
          </w14:textFill>
        </w:rPr>
        <w:t>万元，节约率</w:t>
      </w:r>
      <w:r>
        <w:rPr>
          <w:rFonts w:cs="Times New Roman"/>
          <w:color w:val="000000" w:themeColor="text1"/>
          <w14:textFill>
            <w14:solidFill>
              <w14:schemeClr w14:val="tx1"/>
            </w14:solidFill>
          </w14:textFill>
        </w:rPr>
        <w:t>9</w:t>
      </w:r>
      <w:r>
        <w:rPr>
          <w:rFonts w:hint="eastAsia"/>
          <w:color w:val="000000" w:themeColor="text1"/>
          <w14:textFill>
            <w14:solidFill>
              <w14:schemeClr w14:val="tx1"/>
            </w14:solidFill>
          </w14:textFill>
        </w:rPr>
        <w:t>.</w:t>
      </w:r>
      <w:r>
        <w:rPr>
          <w:rFonts w:cs="Times New Roman"/>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四是深化绩效评审管理改革。</w:t>
      </w:r>
      <w:r>
        <w:rPr>
          <w:rFonts w:hint="eastAsia"/>
          <w:color w:val="000000" w:themeColor="text1"/>
          <w14:textFill>
            <w14:solidFill>
              <w14:schemeClr w14:val="tx1"/>
            </w14:solidFill>
          </w14:textFill>
        </w:rPr>
        <w:t>探索绩效监管动态机制，立足多维视角和多元数据，深化绩效结果与预算安排、政策调整、转移支付分配</w:t>
      </w:r>
      <w:r>
        <w:rPr>
          <w:rFonts w:hint="eastAsia" w:asci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三挂钩</w:t>
      </w:r>
      <w:r>
        <w:rPr>
          <w:rFonts w:hint="eastAsia" w:asci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机制，实现事前、事中、事后全覆盖；实时掌握主要工程项目动态，建立重点项目评审绿色通道。全年财政投资评审送审</w:t>
      </w:r>
      <w:r>
        <w:rPr>
          <w:rFonts w:cs="Times New Roman"/>
          <w:color w:val="000000" w:themeColor="text1"/>
          <w14:textFill>
            <w14:solidFill>
              <w14:schemeClr w14:val="tx1"/>
            </w14:solidFill>
          </w14:textFill>
        </w:rPr>
        <w:t>15</w:t>
      </w:r>
      <w:r>
        <w:rPr>
          <w:rFonts w:hint="eastAsia"/>
          <w:color w:val="000000" w:themeColor="text1"/>
          <w14:textFill>
            <w14:solidFill>
              <w14:schemeClr w14:val="tx1"/>
            </w14:solidFill>
          </w14:textFill>
        </w:rPr>
        <w:t>.</w:t>
      </w:r>
      <w:r>
        <w:rPr>
          <w:rFonts w:cs="Times New Roman"/>
          <w:color w:val="000000" w:themeColor="text1"/>
          <w14:textFill>
            <w14:solidFill>
              <w14:schemeClr w14:val="tx1"/>
            </w14:solidFill>
          </w14:textFill>
        </w:rPr>
        <w:t>6</w:t>
      </w:r>
      <w:r>
        <w:rPr>
          <w:rFonts w:hint="eastAsia"/>
          <w:color w:val="000000" w:themeColor="text1"/>
          <w14:textFill>
            <w14:solidFill>
              <w14:schemeClr w14:val="tx1"/>
            </w14:solidFill>
          </w14:textFill>
        </w:rPr>
        <w:t>亿元，审减</w:t>
      </w:r>
      <w:r>
        <w:rPr>
          <w:rFonts w:cs="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cs="Times New Roman"/>
          <w:color w:val="000000" w:themeColor="text1"/>
          <w14:textFill>
            <w14:solidFill>
              <w14:schemeClr w14:val="tx1"/>
            </w14:solidFill>
          </w14:textFill>
        </w:rPr>
        <w:t>6</w:t>
      </w:r>
      <w:r>
        <w:rPr>
          <w:rFonts w:hint="eastAsia"/>
          <w:color w:val="000000" w:themeColor="text1"/>
          <w14:textFill>
            <w14:solidFill>
              <w14:schemeClr w14:val="tx1"/>
            </w14:solidFill>
          </w14:textFill>
        </w:rPr>
        <w:t>亿元，综合审减率</w:t>
      </w:r>
      <w:r>
        <w:rPr>
          <w:rFonts w:cs="Times New Roman"/>
          <w:color w:val="000000" w:themeColor="text1"/>
          <w14:textFill>
            <w14:solidFill>
              <w14:schemeClr w14:val="tx1"/>
            </w14:solidFill>
          </w14:textFill>
        </w:rPr>
        <w:t>11</w:t>
      </w:r>
      <w:r>
        <w:rPr>
          <w:rFonts w:hint="eastAsia"/>
          <w:color w:val="000000" w:themeColor="text1"/>
          <w14:textFill>
            <w14:solidFill>
              <w14:schemeClr w14:val="tx1"/>
            </w14:solidFill>
          </w14:textFill>
        </w:rPr>
        <w:t>%。</w:t>
      </w:r>
    </w:p>
    <w:p>
      <w:pPr>
        <w:ind w:firstLine="643"/>
        <w:rPr>
          <w:rFonts w:cs="方正仿宋_GBK"/>
          <w:color w:val="000000" w:themeColor="text1"/>
          <w:kern w:val="0"/>
          <w:sz w:val="31"/>
          <w:szCs w:val="31"/>
          <w:lang w:bidi="ar"/>
          <w14:textFill>
            <w14:solidFill>
              <w14:schemeClr w14:val="tx1"/>
            </w14:solidFill>
          </w14:textFill>
        </w:rPr>
      </w:pPr>
      <w:r>
        <w:rPr>
          <w:rFonts w:hint="eastAsia" w:eastAsia="方正楷体_GBK" w:cs="方正楷体_GBK"/>
          <w:b/>
          <w:bCs/>
          <w:color w:val="000000" w:themeColor="text1"/>
          <w:szCs w:val="32"/>
          <w14:textFill>
            <w14:solidFill>
              <w14:schemeClr w14:val="tx1"/>
            </w14:solidFill>
          </w14:textFill>
        </w:rPr>
        <w:t>第四，合理配置优供给，高站位支撑民生福祉。</w:t>
      </w:r>
      <w:r>
        <w:rPr>
          <w:rFonts w:hint="eastAsia" w:cs="方正仿宋_GBK"/>
          <w:color w:val="000000" w:themeColor="text1"/>
          <w:szCs w:val="32"/>
          <w14:textFill>
            <w14:solidFill>
              <w14:schemeClr w14:val="tx1"/>
            </w14:solidFill>
          </w14:textFill>
        </w:rPr>
        <w:t>始终把实现人民对美好生活的向往作为现代化建设的出发点和落脚点，优化资源配置、调整支出结构，在高质量发展中促进共同富裕。</w:t>
      </w:r>
      <w:r>
        <w:rPr>
          <w:rFonts w:hint="eastAsia" w:cs="方正仿宋_GBK"/>
          <w:b/>
          <w:bCs/>
          <w:color w:val="000000" w:themeColor="text1"/>
          <w:szCs w:val="32"/>
          <w14:textFill>
            <w14:solidFill>
              <w14:schemeClr w14:val="tx1"/>
            </w14:solidFill>
          </w14:textFill>
        </w:rPr>
        <w:t>一是城市品质与艺术湾区迈出新步伐。</w:t>
      </w:r>
      <w:r>
        <w:rPr>
          <w:rFonts w:hint="eastAsia" w:cs="方正仿宋_GBK"/>
          <w:color w:val="000000" w:themeColor="text1"/>
          <w:szCs w:val="32"/>
          <w14:textFill>
            <w14:solidFill>
              <w14:schemeClr w14:val="tx1"/>
            </w14:solidFill>
          </w14:textFill>
        </w:rPr>
        <w:t>多渠</w:t>
      </w:r>
      <w:r>
        <w:rPr>
          <w:rFonts w:cs="Times New Roman"/>
          <w:color w:val="000000" w:themeColor="text1"/>
          <w:szCs w:val="32"/>
          <w14:textFill>
            <w14:solidFill>
              <w14:schemeClr w14:val="tx1"/>
            </w14:solidFill>
          </w14:textFill>
        </w:rPr>
        <w:t>道筹集资金5亿元</w:t>
      </w:r>
      <w:r>
        <w:rPr>
          <w:rFonts w:hint="eastAsia" w:cs="方正仿宋_GBK"/>
          <w:color w:val="000000" w:themeColor="text1"/>
          <w:szCs w:val="32"/>
          <w14:textFill>
            <w14:solidFill>
              <w14:schemeClr w14:val="tx1"/>
            </w14:solidFill>
          </w14:textFill>
        </w:rPr>
        <w:t>全力支持</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公园大渡口、多彩艺术湾</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建设，</w:t>
      </w:r>
      <w:r>
        <w:rPr>
          <w:rFonts w:hint="eastAsia" w:cs="Times New Roman"/>
          <w:color w:val="000000" w:themeColor="text1"/>
          <w:szCs w:val="32"/>
          <w14:textFill>
            <w14:solidFill>
              <w14:schemeClr w14:val="tx1"/>
            </w14:solidFill>
          </w14:textFill>
        </w:rPr>
        <w:t>支持建成</w:t>
      </w:r>
      <w:r>
        <w:rPr>
          <w:rFonts w:cs="Times New Roman"/>
          <w:color w:val="000000" w:themeColor="text1"/>
          <w:szCs w:val="32"/>
          <w14:textFill>
            <w14:solidFill>
              <w14:schemeClr w14:val="tx1"/>
            </w14:solidFill>
          </w14:textFill>
        </w:rPr>
        <w:t>18</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公里滨江多彩艺术绿道</w:t>
      </w:r>
      <w:r>
        <w:rPr>
          <w:rFonts w:hint="eastAsia" w:cs="方正仿宋_GBK"/>
          <w:color w:val="000000" w:themeColor="text1"/>
          <w:szCs w:val="32"/>
          <w14:textFill>
            <w14:solidFill>
              <w14:schemeClr w14:val="tx1"/>
            </w14:solidFill>
          </w14:textFill>
        </w:rPr>
        <w:t>，建成爱情公园、快乐羽李公园、新港小游园等口袋公园</w:t>
      </w:r>
      <w:r>
        <w:rPr>
          <w:rFonts w:cs="Times New Roman"/>
          <w:color w:val="000000" w:themeColor="text1"/>
          <w:szCs w:val="32"/>
          <w14:textFill>
            <w14:solidFill>
              <w14:schemeClr w14:val="tx1"/>
            </w14:solidFill>
          </w14:textFill>
        </w:rPr>
        <w:t>10</w:t>
      </w:r>
      <w:r>
        <w:rPr>
          <w:rFonts w:hint="eastAsia" w:cs="方正仿宋_GBK"/>
          <w:color w:val="000000" w:themeColor="text1"/>
          <w:szCs w:val="32"/>
          <w14:textFill>
            <w14:solidFill>
              <w14:schemeClr w14:val="tx1"/>
            </w14:solidFill>
          </w14:textFill>
        </w:rPr>
        <w:t>个，新增绿地面积</w:t>
      </w:r>
      <w:r>
        <w:rPr>
          <w:rFonts w:cs="Times New Roman"/>
          <w:color w:val="000000" w:themeColor="text1"/>
          <w:szCs w:val="32"/>
          <w14:textFill>
            <w14:solidFill>
              <w14:schemeClr w14:val="tx1"/>
            </w14:solidFill>
          </w14:textFill>
        </w:rPr>
        <w:t>70</w:t>
      </w:r>
      <w:r>
        <w:rPr>
          <w:rFonts w:hint="eastAsia" w:cs="方正仿宋_GBK"/>
          <w:color w:val="000000" w:themeColor="text1"/>
          <w:szCs w:val="32"/>
          <w14:textFill>
            <w14:solidFill>
              <w14:schemeClr w14:val="tx1"/>
            </w14:solidFill>
          </w14:textFill>
        </w:rPr>
        <w:t>万平方米，人均公园绿地面积</w:t>
      </w:r>
      <w:r>
        <w:rPr>
          <w:rFonts w:cs="Times New Roman"/>
          <w:color w:val="000000" w:themeColor="text1"/>
          <w:szCs w:val="32"/>
          <w14:textFill>
            <w14:solidFill>
              <w14:schemeClr w14:val="tx1"/>
            </w14:solidFill>
          </w14:textFill>
        </w:rPr>
        <w:t>25</w:t>
      </w:r>
      <w:r>
        <w:rPr>
          <w:rFonts w:hint="eastAsia" w:cs="方正仿宋_GBK"/>
          <w:color w:val="000000" w:themeColor="text1"/>
          <w:szCs w:val="32"/>
          <w14:textFill>
            <w14:solidFill>
              <w14:schemeClr w14:val="tx1"/>
            </w14:solidFill>
          </w14:textFill>
        </w:rPr>
        <w:t>平方米。支持</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两江四岸</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治理提升工程葛老溪段和钓鱼嘴段一期一标段建成，钓鱼嘴</w:t>
      </w:r>
      <w:r>
        <w:rPr>
          <w:rFonts w:hint="eastAsia" w:cs="Times New Roman"/>
          <w:color w:val="000000" w:themeColor="text1"/>
          <w:szCs w:val="32"/>
          <w14:textFill>
            <w14:solidFill>
              <w14:schemeClr w14:val="tx1"/>
            </w14:solidFill>
          </w14:textFill>
        </w:rPr>
        <w:t>立交、重钢崖线山城步道二期等项目完工，音乐大道中段、嘉南线连接道等重大项目提速推进。</w:t>
      </w:r>
      <w:r>
        <w:rPr>
          <w:rFonts w:hint="eastAsia" w:cs="方正仿宋_GBK"/>
          <w:b/>
          <w:bCs/>
          <w:color w:val="000000" w:themeColor="text1"/>
          <w:szCs w:val="32"/>
          <w14:textFill>
            <w14:solidFill>
              <w14:schemeClr w14:val="tx1"/>
            </w14:solidFill>
          </w14:textFill>
        </w:rPr>
        <w:t>二是乡村振兴与环境整治统筹推进。</w:t>
      </w:r>
      <w:r>
        <w:rPr>
          <w:rFonts w:hint="eastAsia" w:cs="Times New Roman"/>
          <w:color w:val="000000" w:themeColor="text1"/>
          <w:szCs w:val="32"/>
          <w14:textFill>
            <w14:solidFill>
              <w14:schemeClr w14:val="tx1"/>
            </w14:solidFill>
          </w14:textFill>
        </w:rPr>
        <w:t>整合各类涉农资金</w:t>
      </w:r>
      <w:r>
        <w:rPr>
          <w:rFonts w:cs="Times New Roman"/>
          <w:color w:val="000000" w:themeColor="text1"/>
          <w:szCs w:val="32"/>
          <w14:textFill>
            <w14:solidFill>
              <w14:schemeClr w14:val="tx1"/>
            </w14:solidFill>
          </w14:textFill>
        </w:rPr>
        <w:t>2</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9</w:t>
      </w:r>
      <w:r>
        <w:rPr>
          <w:rFonts w:hint="eastAsia" w:cs="Times New Roman"/>
          <w:color w:val="000000" w:themeColor="text1"/>
          <w:szCs w:val="32"/>
          <w14:textFill>
            <w14:solidFill>
              <w14:schemeClr w14:val="tx1"/>
            </w14:solidFill>
          </w14:textFill>
        </w:rPr>
        <w:t>亿元，推动巩固拓展脱贫攻坚成果同乡村振兴有效衔接。支持重庆小面优势特色产业集群基本成型，</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金鳌田园</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综合体乡村美景徐徐展开，中梁山康养项目稳步推进。持续加强农村人居环境整治，实施农房风貌改造</w:t>
      </w:r>
      <w:r>
        <w:rPr>
          <w:rFonts w:cs="Times New Roman"/>
          <w:color w:val="000000" w:themeColor="text1"/>
          <w:szCs w:val="32"/>
          <w14:textFill>
            <w14:solidFill>
              <w14:schemeClr w14:val="tx1"/>
            </w14:solidFill>
          </w14:textFill>
        </w:rPr>
        <w:t>104</w:t>
      </w:r>
      <w:r>
        <w:rPr>
          <w:rFonts w:hint="eastAsia" w:cs="Times New Roman"/>
          <w:color w:val="000000" w:themeColor="text1"/>
          <w:szCs w:val="32"/>
          <w14:textFill>
            <w14:solidFill>
              <w14:schemeClr w14:val="tx1"/>
            </w14:solidFill>
          </w14:textFill>
        </w:rPr>
        <w:t>栋，支持自建房安全整治</w:t>
      </w:r>
      <w:r>
        <w:rPr>
          <w:rFonts w:cs="Times New Roman"/>
          <w:color w:val="000000" w:themeColor="text1"/>
          <w:szCs w:val="32"/>
          <w14:textFill>
            <w14:solidFill>
              <w14:schemeClr w14:val="tx1"/>
            </w14:solidFill>
          </w14:textFill>
        </w:rPr>
        <w:t>46</w:t>
      </w:r>
      <w:r>
        <w:rPr>
          <w:rFonts w:hint="eastAsia" w:cs="Times New Roman"/>
          <w:color w:val="000000" w:themeColor="text1"/>
          <w:szCs w:val="32"/>
          <w14:textFill>
            <w14:solidFill>
              <w14:schemeClr w14:val="tx1"/>
            </w14:solidFill>
          </w14:textFill>
        </w:rPr>
        <w:t>套。筹集资金</w:t>
      </w:r>
      <w:r>
        <w:rPr>
          <w:rFonts w:cs="Times New Roman"/>
          <w:color w:val="000000" w:themeColor="text1"/>
          <w:szCs w:val="32"/>
          <w14:textFill>
            <w14:solidFill>
              <w14:schemeClr w14:val="tx1"/>
            </w14:solidFill>
          </w14:textFill>
        </w:rPr>
        <w:t>3</w:t>
      </w:r>
      <w:r>
        <w:rPr>
          <w:rFonts w:hint="eastAsia"/>
          <w:color w:val="000000" w:themeColor="text1"/>
          <w14:textFill>
            <w14:solidFill>
              <w14:schemeClr w14:val="tx1"/>
            </w14:solidFill>
          </w14:textFill>
        </w:rPr>
        <w:t>,</w:t>
      </w:r>
      <w:r>
        <w:rPr>
          <w:rFonts w:cs="Times New Roman"/>
          <w:color w:val="000000" w:themeColor="text1"/>
          <w:szCs w:val="32"/>
          <w14:textFill>
            <w14:solidFill>
              <w14:schemeClr w14:val="tx1"/>
            </w14:solidFill>
          </w14:textFill>
        </w:rPr>
        <w:t>464</w:t>
      </w:r>
      <w:r>
        <w:rPr>
          <w:rFonts w:hint="eastAsia" w:cs="Times New Roman"/>
          <w:color w:val="000000" w:themeColor="text1"/>
          <w:szCs w:val="32"/>
          <w14:textFill>
            <w14:solidFill>
              <w14:schemeClr w14:val="tx1"/>
            </w14:solidFill>
          </w14:textFill>
        </w:rPr>
        <w:t>万元，支持建成农村公路</w:t>
      </w:r>
      <w:r>
        <w:rPr>
          <w:rFonts w:cs="Times New Roman"/>
          <w:color w:val="000000" w:themeColor="text1"/>
          <w:szCs w:val="32"/>
          <w14:textFill>
            <w14:solidFill>
              <w14:schemeClr w14:val="tx1"/>
            </w14:solidFill>
          </w14:textFill>
        </w:rPr>
        <w:t>21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8</w:t>
      </w:r>
      <w:r>
        <w:rPr>
          <w:rFonts w:hint="eastAsia" w:cs="Times New Roman"/>
          <w:color w:val="000000" w:themeColor="text1"/>
          <w:szCs w:val="32"/>
          <w14:textFill>
            <w14:solidFill>
              <w14:schemeClr w14:val="tx1"/>
            </w14:solidFill>
          </w14:textFill>
        </w:rPr>
        <w:t>公里。</w:t>
      </w:r>
      <w:r>
        <w:rPr>
          <w:rFonts w:hint="eastAsia" w:cs="方正仿宋_GBK"/>
          <w:b/>
          <w:bCs/>
          <w:color w:val="000000" w:themeColor="text1"/>
          <w:szCs w:val="32"/>
          <w14:textFill>
            <w14:solidFill>
              <w14:schemeClr w14:val="tx1"/>
            </w14:solidFill>
          </w14:textFill>
        </w:rPr>
        <w:t>三是基本民生底线坚决兜牢。</w:t>
      </w:r>
      <w:r>
        <w:rPr>
          <w:rFonts w:hint="eastAsia" w:cs="方正仿宋_GBK"/>
          <w:color w:val="000000" w:themeColor="text1"/>
          <w:szCs w:val="32"/>
          <w14:textFill>
            <w14:solidFill>
              <w14:schemeClr w14:val="tx1"/>
            </w14:solidFill>
          </w14:textFill>
        </w:rPr>
        <w:t>聚焦基础性、普惠性、兜底性民生保障，将</w:t>
      </w:r>
      <w:r>
        <w:rPr>
          <w:rFonts w:cs="Times New Roman"/>
          <w:color w:val="000000" w:themeColor="text1"/>
          <w:szCs w:val="32"/>
          <w14:textFill>
            <w14:solidFill>
              <w14:schemeClr w14:val="tx1"/>
            </w14:solidFill>
          </w14:textFill>
        </w:rPr>
        <w:t>一般公共预算支出的80%投入到民生领域</w:t>
      </w:r>
      <w:r>
        <w:rPr>
          <w:rFonts w:hint="eastAsia" w:cs="Times New Roman"/>
          <w:color w:val="000000" w:themeColor="text1"/>
          <w:szCs w:val="32"/>
          <w14:textFill>
            <w14:solidFill>
              <w14:schemeClr w14:val="tx1"/>
            </w14:solidFill>
          </w14:textFill>
        </w:rPr>
        <w:t>，切实做好</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民有所呼、政有所应，民有所盼、政有所为</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，社保和就业、卫生健康、节能环保、科技等重点领域均得到有效保障。</w:t>
      </w:r>
      <w:r>
        <w:rPr>
          <w:rFonts w:cs="Times New Roman"/>
          <w:color w:val="000000" w:themeColor="text1"/>
          <w:szCs w:val="32"/>
          <w14:textFill>
            <w14:solidFill>
              <w14:schemeClr w14:val="tx1"/>
            </w14:solidFill>
          </w14:textFill>
        </w:rPr>
        <w:t>统筹</w:t>
      </w:r>
      <w:r>
        <w:rPr>
          <w:rFonts w:hint="eastAsia" w:cs="Times New Roman"/>
          <w:color w:val="000000" w:themeColor="text1"/>
          <w:szCs w:val="32"/>
          <w14:textFill>
            <w14:solidFill>
              <w14:schemeClr w14:val="tx1"/>
            </w14:solidFill>
          </w14:textFill>
        </w:rPr>
        <w:t>预算资金</w:t>
      </w:r>
      <w:r>
        <w:rPr>
          <w:rFonts w:cs="Times New Roman"/>
          <w:color w:val="000000" w:themeColor="text1"/>
          <w:szCs w:val="32"/>
          <w14:textFill>
            <w14:solidFill>
              <w14:schemeClr w14:val="tx1"/>
            </w14:solidFill>
          </w14:textFill>
        </w:rPr>
        <w:t>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000</w:t>
      </w:r>
      <w:r>
        <w:rPr>
          <w:rFonts w:hint="eastAsia" w:cs="Times New Roman"/>
          <w:color w:val="000000" w:themeColor="text1"/>
          <w:szCs w:val="32"/>
          <w14:textFill>
            <w14:solidFill>
              <w14:schemeClr w14:val="tx1"/>
            </w14:solidFill>
          </w14:textFill>
        </w:rPr>
        <w:t>万元，</w:t>
      </w:r>
      <w:r>
        <w:rPr>
          <w:rFonts w:cs="Times New Roman"/>
          <w:color w:val="000000" w:themeColor="text1"/>
          <w:szCs w:val="32"/>
          <w14:textFill>
            <w14:solidFill>
              <w14:schemeClr w14:val="tx1"/>
            </w14:solidFill>
          </w14:textFill>
        </w:rPr>
        <w:t>全力保障15</w:t>
      </w:r>
      <w:r>
        <w:rPr>
          <w:rFonts w:hint="eastAsia" w:cs="Times New Roman"/>
          <w:color w:val="000000" w:themeColor="text1"/>
          <w:szCs w:val="32"/>
          <w14:textFill>
            <w14:solidFill>
              <w14:schemeClr w14:val="tx1"/>
            </w14:solidFill>
          </w14:textFill>
        </w:rPr>
        <w:t>件重点民生实事、</w:t>
      </w:r>
      <w:r>
        <w:rPr>
          <w:rFonts w:cs="Times New Roman"/>
          <w:color w:val="000000" w:themeColor="text1"/>
          <w:szCs w:val="32"/>
          <w14:textFill>
            <w14:solidFill>
              <w14:schemeClr w14:val="tx1"/>
            </w14:solidFill>
          </w14:textFill>
        </w:rPr>
        <w:t>57</w:t>
      </w:r>
      <w:r>
        <w:rPr>
          <w:rFonts w:hint="eastAsia" w:cs="Times New Roman"/>
          <w:color w:val="000000" w:themeColor="text1"/>
          <w:szCs w:val="32"/>
          <w14:textFill>
            <w14:solidFill>
              <w14:schemeClr w14:val="tx1"/>
            </w14:solidFill>
          </w14:textFill>
        </w:rPr>
        <w:t>件微型民生实事</w:t>
      </w:r>
      <w:r>
        <w:rPr>
          <w:rFonts w:cs="Times New Roman"/>
          <w:color w:val="000000" w:themeColor="text1"/>
          <w:szCs w:val="32"/>
          <w14:textFill>
            <w14:solidFill>
              <w14:schemeClr w14:val="tx1"/>
            </w14:solidFill>
          </w14:textFill>
        </w:rPr>
        <w:t>项目</w:t>
      </w:r>
      <w:r>
        <w:rPr>
          <w:rFonts w:hint="eastAsia" w:cs="Times New Roman"/>
          <w:color w:val="000000" w:themeColor="text1"/>
          <w:szCs w:val="32"/>
          <w14:textFill>
            <w14:solidFill>
              <w14:schemeClr w14:val="tx1"/>
            </w14:solidFill>
          </w14:textFill>
        </w:rPr>
        <w:t>办结办好</w:t>
      </w:r>
      <w:r>
        <w:rPr>
          <w:rFonts w:hint="eastAsia" w:cs="方正仿宋_GBK"/>
          <w:color w:val="000000" w:themeColor="text1"/>
          <w:szCs w:val="32"/>
          <w14:textFill>
            <w14:solidFill>
              <w14:schemeClr w14:val="tx1"/>
            </w14:solidFill>
          </w14:textFill>
        </w:rPr>
        <w:t>。</w:t>
      </w:r>
      <w:r>
        <w:rPr>
          <w:rFonts w:hint="eastAsia" w:cs="方正仿宋_GBK"/>
          <w:b/>
          <w:bCs/>
          <w:color w:val="000000" w:themeColor="text1"/>
          <w:szCs w:val="32"/>
          <w14:textFill>
            <w14:solidFill>
              <w14:schemeClr w14:val="tx1"/>
            </w14:solidFill>
          </w14:textFill>
        </w:rPr>
        <w:t>四是基础教育根基持续夯实。</w:t>
      </w:r>
      <w:r>
        <w:rPr>
          <w:rFonts w:hint="eastAsia" w:cs="方正仿宋_GBK"/>
          <w:color w:val="000000" w:themeColor="text1"/>
          <w:szCs w:val="32"/>
          <w14:textFill>
            <w14:solidFill>
              <w14:schemeClr w14:val="tx1"/>
            </w14:solidFill>
          </w14:textFill>
        </w:rPr>
        <w:t>筹措资金</w:t>
      </w:r>
      <w:r>
        <w:rPr>
          <w:rFonts w:cs="Times New Roman"/>
          <w:color w:val="000000" w:themeColor="text1"/>
          <w:szCs w:val="32"/>
          <w14:textFill>
            <w14:solidFill>
              <w14:schemeClr w14:val="tx1"/>
            </w14:solidFill>
          </w14:textFill>
        </w:rPr>
        <w:t>9</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6亿元，确保教育投入两</w:t>
      </w:r>
      <w:r>
        <w:rPr>
          <w:rFonts w:hint="eastAsia" w:cs="方正仿宋_GBK"/>
          <w:color w:val="000000" w:themeColor="text1"/>
          <w:szCs w:val="32"/>
          <w14:textFill>
            <w14:solidFill>
              <w14:schemeClr w14:val="tx1"/>
            </w14:solidFill>
          </w14:textFill>
        </w:rPr>
        <w:t>个</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只增不减</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。及时</w:t>
      </w:r>
      <w:r>
        <w:rPr>
          <w:rFonts w:cs="Times New Roman"/>
          <w:color w:val="000000" w:themeColor="text1"/>
          <w:szCs w:val="32"/>
          <w14:textFill>
            <w14:solidFill>
              <w14:schemeClr w14:val="tx1"/>
            </w14:solidFill>
          </w14:textFill>
        </w:rPr>
        <w:t>拨付资金资助学生1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4</w:t>
      </w:r>
      <w:r>
        <w:rPr>
          <w:rFonts w:hint="eastAsia" w:cs="Times New Roman"/>
          <w:color w:val="000000" w:themeColor="text1"/>
          <w:szCs w:val="32"/>
          <w14:textFill>
            <w14:solidFill>
              <w14:schemeClr w14:val="tx1"/>
            </w14:solidFill>
          </w14:textFill>
        </w:rPr>
        <w:t>万</w:t>
      </w:r>
      <w:r>
        <w:rPr>
          <w:rFonts w:cs="Times New Roman"/>
          <w:color w:val="000000" w:themeColor="text1"/>
          <w:szCs w:val="32"/>
          <w14:textFill>
            <w14:solidFill>
              <w14:schemeClr w14:val="tx1"/>
            </w14:solidFill>
          </w14:textFill>
        </w:rPr>
        <w:t>人次</w:t>
      </w:r>
      <w:r>
        <w:rPr>
          <w:rFonts w:hint="eastAsia" w:cs="方正仿宋_GBK"/>
          <w:color w:val="000000" w:themeColor="text1"/>
          <w:szCs w:val="32"/>
          <w14:textFill>
            <w14:solidFill>
              <w14:schemeClr w14:val="tx1"/>
            </w14:solidFill>
          </w14:textFill>
        </w:rPr>
        <w:t>。统筹</w:t>
      </w:r>
      <w:r>
        <w:rPr>
          <w:rFonts w:cs="Times New Roman"/>
          <w:color w:val="000000" w:themeColor="text1"/>
          <w:szCs w:val="32"/>
          <w14:textFill>
            <w14:solidFill>
              <w14:schemeClr w14:val="tx1"/>
            </w14:solidFill>
          </w14:textFill>
        </w:rPr>
        <w:t>安排各类资金6</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9亿元，支持</w:t>
      </w:r>
      <w:r>
        <w:rPr>
          <w:rFonts w:hint="eastAsia" w:cs="Times New Roman"/>
          <w:color w:val="000000" w:themeColor="text1"/>
          <w:szCs w:val="32"/>
          <w14:textFill>
            <w14:solidFill>
              <w14:schemeClr w14:val="tx1"/>
            </w14:solidFill>
          </w14:textFill>
        </w:rPr>
        <w:t>西南大学附属中学大渡口校区开工建设</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西辰小学、义渡小学、</w:t>
      </w:r>
      <w:r>
        <w:rPr>
          <w:rFonts w:cs="Times New Roman"/>
          <w:color w:val="000000" w:themeColor="text1"/>
          <w:szCs w:val="32"/>
          <w14:textFill>
            <w14:solidFill>
              <w14:schemeClr w14:val="tx1"/>
            </w14:solidFill>
          </w14:textFill>
        </w:rPr>
        <w:t>37</w:t>
      </w:r>
      <w:r>
        <w:rPr>
          <w:rFonts w:hint="eastAsia" w:cs="Times New Roman"/>
          <w:color w:val="000000" w:themeColor="text1"/>
          <w:szCs w:val="32"/>
          <w14:textFill>
            <w14:solidFill>
              <w14:schemeClr w14:val="tx1"/>
            </w14:solidFill>
          </w14:textFill>
        </w:rPr>
        <w:t>中自成校区建成投用，</w:t>
      </w:r>
      <w:r>
        <w:rPr>
          <w:rFonts w:cs="Times New Roman"/>
          <w:color w:val="000000" w:themeColor="text1"/>
          <w:szCs w:val="32"/>
          <w14:textFill>
            <w14:solidFill>
              <w14:schemeClr w14:val="tx1"/>
            </w14:solidFill>
          </w14:textFill>
        </w:rPr>
        <w:t>新增学位7</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890个，</w:t>
      </w:r>
      <w:r>
        <w:rPr>
          <w:rFonts w:hint="eastAsia" w:cs="方正仿宋_GBK"/>
          <w:color w:val="000000" w:themeColor="text1"/>
          <w:szCs w:val="32"/>
          <w14:textFill>
            <w14:solidFill>
              <w14:schemeClr w14:val="tx1"/>
            </w14:solidFill>
          </w14:textFill>
        </w:rPr>
        <w:t>支持茄子溪中学晋升为重庆市联招学校。</w:t>
      </w:r>
    </w:p>
    <w:p>
      <w:pPr>
        <w:ind w:firstLine="640"/>
        <w:rPr>
          <w:rFonts w:eastAsia="方正楷体_GBK" w:cs="方正楷体_GBK"/>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（二）落实区人大预算决议和服务代表委员情况</w:t>
      </w:r>
    </w:p>
    <w:p>
      <w:pPr>
        <w:ind w:firstLine="643"/>
        <w:rPr>
          <w:rFonts w:cs="方正仿宋_GBK"/>
          <w:color w:val="000000" w:themeColor="text1"/>
          <w:szCs w:val="32"/>
          <w14:textFill>
            <w14:solidFill>
              <w14:schemeClr w14:val="tx1"/>
            </w14:solidFill>
          </w14:textFill>
        </w:rPr>
      </w:pPr>
      <w:r>
        <w:rPr>
          <w:rFonts w:hint="eastAsia" w:cs="方正仿宋_GBK"/>
          <w:b/>
          <w:bCs/>
          <w:color w:val="000000" w:themeColor="text1"/>
          <w:szCs w:val="32"/>
          <w14:textFill>
            <w14:solidFill>
              <w14:schemeClr w14:val="tx1"/>
            </w14:solidFill>
          </w14:textFill>
        </w:rPr>
        <w:t>一是严格落实人大决议决定。</w:t>
      </w:r>
      <w:r>
        <w:rPr>
          <w:rFonts w:hint="eastAsia" w:cs="方正仿宋_GBK"/>
          <w:color w:val="000000" w:themeColor="text1"/>
          <w:szCs w:val="32"/>
          <w14:textFill>
            <w14:solidFill>
              <w14:schemeClr w14:val="tx1"/>
            </w14:solidFill>
          </w14:textFill>
        </w:rPr>
        <w:t>严格执行《预算法》《预算法实施条例》《重庆市预算审查监督条例》等相关规定，严格按照区第十四届人民代表大会第三次会议</w:t>
      </w:r>
      <w:r>
        <w:rPr>
          <w:color w:val="000000" w:themeColor="text1"/>
          <w:szCs w:val="32"/>
          <w14:textFill>
            <w14:solidFill>
              <w14:schemeClr w14:val="tx1"/>
            </w14:solidFill>
          </w14:textFill>
        </w:rPr>
        <w:t>批准的《关于</w:t>
      </w:r>
      <w:r>
        <w:rPr>
          <w:rFonts w:hint="eastAsia"/>
          <w:color w:val="000000" w:themeColor="text1"/>
          <w:szCs w:val="32"/>
          <w14:textFill>
            <w14:solidFill>
              <w14:schemeClr w14:val="tx1"/>
            </w14:solidFill>
          </w14:textFill>
        </w:rPr>
        <w:t>大渡口</w:t>
      </w:r>
      <w:r>
        <w:rPr>
          <w:color w:val="000000" w:themeColor="text1"/>
          <w:szCs w:val="32"/>
          <w14:textFill>
            <w14:solidFill>
              <w14:schemeClr w14:val="tx1"/>
            </w14:solidFill>
          </w14:textFill>
        </w:rPr>
        <w:t>区</w:t>
      </w:r>
      <w:r>
        <w:rPr>
          <w:rFonts w:cs="Times New Roman"/>
          <w:color w:val="000000" w:themeColor="text1"/>
          <w:szCs w:val="32"/>
          <w14:textFill>
            <w14:solidFill>
              <w14:schemeClr w14:val="tx1"/>
            </w14:solidFill>
          </w14:textFill>
        </w:rPr>
        <w:t>2022</w:t>
      </w:r>
      <w:r>
        <w:rPr>
          <w:color w:val="000000" w:themeColor="text1"/>
          <w:szCs w:val="32"/>
          <w14:textFill>
            <w14:solidFill>
              <w14:schemeClr w14:val="tx1"/>
            </w14:solidFill>
          </w14:textFill>
        </w:rPr>
        <w:t>年财政预算执行情况和</w:t>
      </w:r>
      <w:r>
        <w:rPr>
          <w:rFonts w:cs="Times New Roman"/>
          <w:color w:val="000000" w:themeColor="text1"/>
          <w:szCs w:val="32"/>
          <w14:textFill>
            <w14:solidFill>
              <w14:schemeClr w14:val="tx1"/>
            </w14:solidFill>
          </w14:textFill>
        </w:rPr>
        <w:t>2023</w:t>
      </w:r>
      <w:r>
        <w:rPr>
          <w:color w:val="000000" w:themeColor="text1"/>
          <w:szCs w:val="32"/>
          <w14:textFill>
            <w14:solidFill>
              <w14:schemeClr w14:val="tx1"/>
            </w14:solidFill>
          </w14:textFill>
        </w:rPr>
        <w:t>年财政预算草案的报告》及区人大常委会批准的财政决算、半年预算执行情况等各项决议</w:t>
      </w:r>
      <w:r>
        <w:rPr>
          <w:rFonts w:hint="eastAsia" w:cs="方正仿宋_GBK"/>
          <w:color w:val="000000" w:themeColor="text1"/>
          <w:szCs w:val="32"/>
          <w14:textFill>
            <w14:solidFill>
              <w14:schemeClr w14:val="tx1"/>
            </w14:solidFill>
          </w14:textFill>
        </w:rPr>
        <w:t>和区人大财经委审查意见，依法向社会公开政府预决算、部门预决算、直达资金分配情况等财政</w:t>
      </w:r>
      <w:r>
        <w:rPr>
          <w:rFonts w:hint="eastAsia" w:cs="Times New Roman"/>
          <w:color w:val="000000" w:themeColor="text1"/>
          <w:szCs w:val="32"/>
          <w14:textFill>
            <w14:solidFill>
              <w14:schemeClr w14:val="tx1"/>
            </w14:solidFill>
          </w14:textFill>
        </w:rPr>
        <w:t>信息，</w:t>
      </w:r>
      <w:r>
        <w:rPr>
          <w:rFonts w:cs="Times New Roman"/>
          <w:color w:val="000000" w:themeColor="text1"/>
          <w:szCs w:val="32"/>
          <w14:textFill>
            <w14:solidFill>
              <w14:schemeClr w14:val="tx1"/>
            </w14:solidFill>
          </w14:textFill>
        </w:rPr>
        <w:t>深入推进预算绩效管理，全面落实财</w:t>
      </w:r>
      <w:r>
        <w:rPr>
          <w:rFonts w:hint="eastAsia" w:cs="Times New Roman"/>
          <w:color w:val="000000" w:themeColor="text1"/>
          <w:szCs w:val="32"/>
          <w14:textFill>
            <w14:solidFill>
              <w14:schemeClr w14:val="tx1"/>
            </w14:solidFill>
          </w14:textFill>
        </w:rPr>
        <w:t>政</w:t>
      </w:r>
      <w:r>
        <w:rPr>
          <w:rFonts w:cs="Times New Roman"/>
          <w:color w:val="000000" w:themeColor="text1"/>
          <w:szCs w:val="32"/>
          <w14:textFill>
            <w14:solidFill>
              <w14:schemeClr w14:val="tx1"/>
            </w14:solidFill>
          </w14:textFill>
        </w:rPr>
        <w:t>改革任务</w:t>
      </w:r>
      <w:r>
        <w:rPr>
          <w:rFonts w:hint="eastAsia" w:cs="Times New Roman"/>
          <w:color w:val="000000" w:themeColor="text1"/>
          <w:szCs w:val="32"/>
          <w14:textFill>
            <w14:solidFill>
              <w14:schemeClr w14:val="tx1"/>
            </w14:solidFill>
          </w14:textFill>
        </w:rPr>
        <w:t>，圆</w:t>
      </w:r>
      <w:r>
        <w:rPr>
          <w:rFonts w:cs="Times New Roman"/>
          <w:color w:val="000000" w:themeColor="text1"/>
          <w:szCs w:val="32"/>
          <w14:textFill>
            <w14:solidFill>
              <w14:schemeClr w14:val="tx1"/>
            </w14:solidFill>
          </w14:textFill>
        </w:rPr>
        <w:t>满完成2023年各项目标</w:t>
      </w:r>
      <w:r>
        <w:rPr>
          <w:rFonts w:hint="eastAsia" w:cs="Times New Roman"/>
          <w:color w:val="000000" w:themeColor="text1"/>
          <w:szCs w:val="32"/>
          <w14:textFill>
            <w14:solidFill>
              <w14:schemeClr w14:val="tx1"/>
            </w14:solidFill>
          </w14:textFill>
        </w:rPr>
        <w:t>。</w:t>
      </w:r>
    </w:p>
    <w:p>
      <w:pPr>
        <w:ind w:firstLine="643"/>
        <w:rPr>
          <w:rFonts w:cs="方正仿宋_GBK"/>
          <w:color w:val="000000" w:themeColor="text1"/>
          <w:szCs w:val="32"/>
          <w14:textFill>
            <w14:solidFill>
              <w14:schemeClr w14:val="tx1"/>
            </w14:solidFill>
          </w14:textFill>
        </w:rPr>
      </w:pPr>
      <w:r>
        <w:rPr>
          <w:rFonts w:hint="eastAsia" w:cs="方正仿宋_GBK"/>
          <w:b/>
          <w:bCs/>
          <w:color w:val="000000" w:themeColor="text1"/>
          <w:szCs w:val="32"/>
          <w14:textFill>
            <w14:solidFill>
              <w14:schemeClr w14:val="tx1"/>
            </w14:solidFill>
          </w14:textFill>
        </w:rPr>
        <w:t>二是自觉接受人大、政协监督。</w:t>
      </w:r>
      <w:r>
        <w:rPr>
          <w:rFonts w:hint="eastAsia" w:cs="方正仿宋_GBK"/>
          <w:color w:val="000000" w:themeColor="text1"/>
          <w:szCs w:val="32"/>
          <w14:textFill>
            <w14:solidFill>
              <w14:schemeClr w14:val="tx1"/>
            </w14:solidFill>
          </w14:textFill>
        </w:rPr>
        <w:t>主动向代表委员汇报预算编制、预算执行、债务管控、预算管理一体化建设等情况，回答询问、接受监督、听取意见，并按照审议意见推进工作，提升财政资金和政策效能。主动</w:t>
      </w:r>
      <w:r>
        <w:rPr>
          <w:rFonts w:eastAsia="仿宋" w:cs="Times New Roman"/>
          <w:color w:val="000000" w:themeColor="text1"/>
          <w:szCs w:val="32"/>
          <w14:textFill>
            <w14:solidFill>
              <w14:schemeClr w14:val="tx1"/>
            </w14:solidFill>
          </w14:textFill>
        </w:rPr>
        <w:t>向区人大专题汇报2022</w:t>
      </w:r>
      <w:r>
        <w:rPr>
          <w:rFonts w:hint="eastAsia" w:eastAsia="仿宋" w:cs="Times New Roman"/>
          <w:color w:val="000000" w:themeColor="text1"/>
          <w:szCs w:val="32"/>
          <w14:textFill>
            <w14:solidFill>
              <w14:schemeClr w14:val="tx1"/>
            </w14:solidFill>
          </w14:textFill>
        </w:rPr>
        <w:t>年度财政决算、</w:t>
      </w:r>
      <w:r>
        <w:rPr>
          <w:rFonts w:eastAsia="仿宋" w:cs="Times New Roman"/>
          <w:color w:val="000000" w:themeColor="text1"/>
          <w:szCs w:val="32"/>
          <w14:textFill>
            <w14:solidFill>
              <w14:schemeClr w14:val="tx1"/>
            </w14:solidFill>
          </w14:textFill>
        </w:rPr>
        <w:t>2022年度预算执行情况、2023</w:t>
      </w:r>
      <w:r>
        <w:rPr>
          <w:rFonts w:hint="eastAsia" w:eastAsia="仿宋" w:cs="Times New Roman"/>
          <w:color w:val="000000" w:themeColor="text1"/>
          <w:szCs w:val="32"/>
          <w14:textFill>
            <w14:solidFill>
              <w14:schemeClr w14:val="tx1"/>
            </w14:solidFill>
          </w14:textFill>
        </w:rPr>
        <w:t>年</w:t>
      </w:r>
      <w:r>
        <w:rPr>
          <w:rFonts w:eastAsia="仿宋" w:cs="Times New Roman"/>
          <w:color w:val="000000" w:themeColor="text1"/>
          <w:szCs w:val="32"/>
          <w14:textFill>
            <w14:solidFill>
              <w14:schemeClr w14:val="tx1"/>
            </w14:solidFill>
          </w14:textFill>
        </w:rPr>
        <w:t>重点项目绩效评价情况</w:t>
      </w:r>
      <w:r>
        <w:rPr>
          <w:rFonts w:hint="eastAsia" w:eastAsia="仿宋" w:cs="Times New Roman"/>
          <w:color w:val="000000" w:themeColor="text1"/>
          <w:szCs w:val="32"/>
          <w14:textFill>
            <w14:solidFill>
              <w14:schemeClr w14:val="tx1"/>
            </w14:solidFill>
          </w14:textFill>
        </w:rPr>
        <w:t>、</w:t>
      </w:r>
      <w:r>
        <w:rPr>
          <w:rFonts w:eastAsia="仿宋" w:cs="Times New Roman"/>
          <w:color w:val="000000" w:themeColor="text1"/>
          <w:szCs w:val="32"/>
          <w14:textFill>
            <w14:solidFill>
              <w14:schemeClr w14:val="tx1"/>
            </w14:solidFill>
          </w14:textFill>
        </w:rPr>
        <w:t>2023</w:t>
      </w:r>
      <w:r>
        <w:rPr>
          <w:rFonts w:hint="eastAsia" w:eastAsia="仿宋" w:cs="Times New Roman"/>
          <w:color w:val="000000" w:themeColor="text1"/>
          <w:szCs w:val="32"/>
          <w14:textFill>
            <w14:solidFill>
              <w14:schemeClr w14:val="tx1"/>
            </w14:solidFill>
          </w14:textFill>
        </w:rPr>
        <w:t>年</w:t>
      </w:r>
      <w:r>
        <w:rPr>
          <w:rFonts w:eastAsia="仿宋" w:cs="Times New Roman"/>
          <w:color w:val="000000" w:themeColor="text1"/>
          <w:szCs w:val="32"/>
          <w14:textFill>
            <w14:solidFill>
              <w14:schemeClr w14:val="tx1"/>
            </w14:solidFill>
          </w14:textFill>
        </w:rPr>
        <w:t>预算调整方案</w:t>
      </w:r>
      <w:r>
        <w:rPr>
          <w:rFonts w:hint="eastAsia" w:eastAsia="仿宋" w:cs="Times New Roman"/>
          <w:color w:val="000000" w:themeColor="text1"/>
          <w:szCs w:val="32"/>
          <w14:textFill>
            <w14:solidFill>
              <w14:schemeClr w14:val="tx1"/>
            </w14:solidFill>
          </w14:textFill>
        </w:rPr>
        <w:t>、</w:t>
      </w:r>
      <w:r>
        <w:rPr>
          <w:rFonts w:eastAsia="仿宋" w:cs="Times New Roman"/>
          <w:color w:val="000000" w:themeColor="text1"/>
          <w:szCs w:val="32"/>
          <w14:textFill>
            <w14:solidFill>
              <w14:schemeClr w14:val="tx1"/>
            </w14:solidFill>
          </w14:textFill>
        </w:rPr>
        <w:t>2023</w:t>
      </w:r>
      <w:r>
        <w:rPr>
          <w:rFonts w:hint="eastAsia" w:eastAsia="仿宋" w:cs="Times New Roman"/>
          <w:color w:val="000000" w:themeColor="text1"/>
          <w:szCs w:val="32"/>
          <w14:textFill>
            <w14:solidFill>
              <w14:schemeClr w14:val="tx1"/>
            </w14:solidFill>
          </w14:textFill>
        </w:rPr>
        <w:t>年</w:t>
      </w:r>
      <w:r>
        <w:rPr>
          <w:rFonts w:eastAsia="仿宋" w:cs="Times New Roman"/>
          <w:color w:val="000000" w:themeColor="text1"/>
          <w:szCs w:val="32"/>
          <w14:textFill>
            <w14:solidFill>
              <w14:schemeClr w14:val="tx1"/>
            </w14:solidFill>
          </w14:textFill>
        </w:rPr>
        <w:t>国有资产管理情况</w:t>
      </w:r>
      <w:r>
        <w:rPr>
          <w:rFonts w:hint="eastAsia" w:eastAsia="仿宋" w:cs="Times New Roman"/>
          <w:color w:val="000000" w:themeColor="text1"/>
          <w:szCs w:val="32"/>
          <w14:textFill>
            <w14:solidFill>
              <w14:schemeClr w14:val="tx1"/>
            </w14:solidFill>
          </w14:textFill>
        </w:rPr>
        <w:t>等，</w:t>
      </w:r>
      <w:r>
        <w:rPr>
          <w:rFonts w:hint="eastAsia" w:cs="方正仿宋_GBK"/>
          <w:color w:val="000000" w:themeColor="text1"/>
          <w:szCs w:val="32"/>
          <w14:textFill>
            <w14:solidFill>
              <w14:schemeClr w14:val="tx1"/>
            </w14:solidFill>
          </w14:textFill>
        </w:rPr>
        <w:t>进一步规范财政管理。</w:t>
      </w:r>
    </w:p>
    <w:p>
      <w:pPr>
        <w:ind w:firstLine="643"/>
        <w:rPr>
          <w:color w:val="000000" w:themeColor="text1"/>
          <w:szCs w:val="32"/>
          <w14:textFill>
            <w14:solidFill>
              <w14:schemeClr w14:val="tx1"/>
            </w14:solidFill>
          </w14:textFill>
        </w:rPr>
      </w:pPr>
      <w:r>
        <w:rPr>
          <w:rFonts w:hint="eastAsia" w:cs="方正仿宋_GBK"/>
          <w:b/>
          <w:bCs/>
          <w:color w:val="000000" w:themeColor="text1"/>
          <w:szCs w:val="32"/>
          <w14:textFill>
            <w14:solidFill>
              <w14:schemeClr w14:val="tx1"/>
            </w14:solidFill>
          </w14:textFill>
        </w:rPr>
        <w:t>三是认真办理代表建议、政协提案。</w:t>
      </w:r>
      <w:r>
        <w:rPr>
          <w:rFonts w:hint="eastAsia" w:cs="方正仿宋_GBK"/>
          <w:color w:val="000000" w:themeColor="text1"/>
          <w:szCs w:val="32"/>
          <w14:textFill>
            <w14:solidFill>
              <w14:schemeClr w14:val="tx1"/>
            </w14:solidFill>
          </w14:textFill>
        </w:rPr>
        <w:t>坚持把办理代表建议、政协提案作为做好财政工作的重要抓手，</w:t>
      </w:r>
      <w:r>
        <w:rPr>
          <w:rFonts w:hint="eastAsia" w:cs="Times New Roman"/>
          <w:color w:val="000000" w:themeColor="text1"/>
          <w:szCs w:val="32"/>
          <w14:textFill>
            <w14:solidFill>
              <w14:schemeClr w14:val="tx1"/>
            </w14:solidFill>
          </w14:textFill>
        </w:rPr>
        <w:t>全年</w:t>
      </w:r>
      <w:r>
        <w:rPr>
          <w:rFonts w:cs="Times New Roman"/>
          <w:color w:val="000000" w:themeColor="text1"/>
          <w:szCs w:val="32"/>
          <w14:textFill>
            <w14:solidFill>
              <w14:schemeClr w14:val="tx1"/>
            </w14:solidFill>
          </w14:textFill>
        </w:rPr>
        <w:t>共</w:t>
      </w:r>
      <w:r>
        <w:rPr>
          <w:color w:val="000000" w:themeColor="text1"/>
          <w:szCs w:val="32"/>
          <w14:textFill>
            <w14:solidFill>
              <w14:schemeClr w14:val="tx1"/>
            </w14:solidFill>
          </w14:textFill>
        </w:rPr>
        <w:t>办</w:t>
      </w:r>
      <w:r>
        <w:rPr>
          <w:rFonts w:cs="Times New Roman"/>
          <w:color w:val="000000" w:themeColor="text1"/>
          <w:szCs w:val="32"/>
          <w14:textFill>
            <w14:solidFill>
              <w14:schemeClr w14:val="tx1"/>
            </w14:solidFill>
          </w14:textFill>
        </w:rPr>
        <w:t>结《关于支持社区物业服务站高效运转的建议》等人大代</w:t>
      </w:r>
      <w:r>
        <w:rPr>
          <w:color w:val="000000" w:themeColor="text1"/>
          <w:szCs w:val="32"/>
          <w14:textFill>
            <w14:solidFill>
              <w14:schemeClr w14:val="tx1"/>
            </w14:solidFill>
          </w14:textFill>
        </w:rPr>
        <w:t>表建议</w:t>
      </w:r>
      <w:r>
        <w:rPr>
          <w:rFonts w:cs="Times New Roman"/>
          <w:color w:val="000000" w:themeColor="text1"/>
          <w:szCs w:val="32"/>
          <w14:textFill>
            <w14:solidFill>
              <w14:schemeClr w14:val="tx1"/>
            </w14:solidFill>
          </w14:textFill>
        </w:rPr>
        <w:t>7</w:t>
      </w:r>
      <w:r>
        <w:rPr>
          <w:color w:val="000000" w:themeColor="text1"/>
          <w:szCs w:val="32"/>
          <w14:textFill>
            <w14:solidFill>
              <w14:schemeClr w14:val="tx1"/>
            </w14:solidFill>
          </w14:textFill>
        </w:rPr>
        <w:t>件</w:t>
      </w:r>
      <w:r>
        <w:rPr>
          <w:rFonts w:hint="eastAsia"/>
          <w:color w:val="000000" w:themeColor="text1"/>
          <w:szCs w:val="32"/>
          <w14:textFill>
            <w14:solidFill>
              <w14:schemeClr w14:val="tx1"/>
            </w14:solidFill>
          </w14:textFill>
        </w:rPr>
        <w:t>、</w:t>
      </w:r>
      <w:r>
        <w:rPr>
          <w:rFonts w:hint="eastAsia"/>
          <w:color w:val="000000" w:themeColor="text1"/>
          <w:szCs w:val="32"/>
          <w:lang w:bidi="ar"/>
          <w14:textFill>
            <w14:solidFill>
              <w14:schemeClr w14:val="tx1"/>
            </w14:solidFill>
          </w14:textFill>
        </w:rPr>
        <w:t>《关于推动我区老龄工作高质量发展的建议》等</w:t>
      </w:r>
      <w:r>
        <w:rPr>
          <w:rFonts w:hint="eastAsia" w:cs="方正仿宋_GBK"/>
          <w:color w:val="000000" w:themeColor="text1"/>
          <w:szCs w:val="32"/>
          <w14:textFill>
            <w14:solidFill>
              <w14:schemeClr w14:val="tx1"/>
            </w14:solidFill>
          </w14:textFill>
        </w:rPr>
        <w:t>政</w:t>
      </w:r>
      <w:r>
        <w:rPr>
          <w:color w:val="000000" w:themeColor="text1"/>
          <w:szCs w:val="32"/>
          <w14:textFill>
            <w14:solidFill>
              <w14:schemeClr w14:val="tx1"/>
            </w14:solidFill>
          </w14:textFill>
        </w:rPr>
        <w:t>协委员提案</w:t>
      </w:r>
      <w:r>
        <w:rPr>
          <w:rFonts w:cs="Times New Roman"/>
          <w:color w:val="000000" w:themeColor="text1"/>
          <w:szCs w:val="32"/>
          <w14:textFill>
            <w14:solidFill>
              <w14:schemeClr w14:val="tx1"/>
            </w14:solidFill>
          </w14:textFill>
        </w:rPr>
        <w:t>8</w:t>
      </w:r>
      <w:r>
        <w:rPr>
          <w:color w:val="000000" w:themeColor="text1"/>
          <w:szCs w:val="32"/>
          <w14:textFill>
            <w14:solidFill>
              <w14:schemeClr w14:val="tx1"/>
            </w14:solidFill>
          </w14:textFill>
        </w:rPr>
        <w:t>件，做到了件件有回音、事事有着落，有力推动</w:t>
      </w:r>
      <w:r>
        <w:rPr>
          <w:rFonts w:hint="eastAsia" w:cs="Times New Roman"/>
          <w:color w:val="000000" w:themeColor="text1"/>
          <w:szCs w:val="32"/>
          <w14:textFill>
            <w14:solidFill>
              <w14:schemeClr w14:val="tx1"/>
            </w14:solidFill>
          </w14:textFill>
        </w:rPr>
        <w:t>重点民生问题解决、经济社会健康发展。</w:t>
      </w:r>
    </w:p>
    <w:p>
      <w:pPr>
        <w:ind w:firstLine="640"/>
        <w:rPr>
          <w:rFonts w:eastAsia="仿宋" w:cs="仿宋"/>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志不求易者成，事不避难者进。各位代表！过去的一年财政工作经受了前所未有的严峻考验和挑战，我们克服诸多困难，</w:t>
      </w:r>
      <w:r>
        <w:rPr>
          <w:rFonts w:hint="eastAsia" w:cs="Times New Roman"/>
          <w:color w:val="000000" w:themeColor="text1"/>
          <w:szCs w:val="32"/>
          <w14:textFill>
            <w14:solidFill>
              <w14:schemeClr w14:val="tx1"/>
            </w14:solidFill>
          </w14:textFill>
        </w:rPr>
        <w:t>财政运行总体平稳、财政收入逆境突围、重点支出保障有力，促进了经济恢复和社会大局稳定。这是以习近平新时代中国特色社会主义思想科学指引的结果，是区委坚强领导的结果，是区人大、区政协监督和指导的结果，是社会各界充分理解、支持的结果。但新形势下我们必须对更大的困难和挑战有更清醒的认识：</w:t>
      </w:r>
      <w:r>
        <w:rPr>
          <w:rFonts w:hint="eastAsia" w:cs="Times New Roman"/>
          <w:b/>
          <w:bCs/>
          <w:color w:val="000000" w:themeColor="text1"/>
          <w:szCs w:val="32"/>
          <w14:textFill>
            <w14:solidFill>
              <w14:schemeClr w14:val="tx1"/>
            </w14:solidFill>
          </w14:textFill>
        </w:rPr>
        <w:t>一是财政收支缺口有增无减，</w:t>
      </w:r>
      <w:r>
        <w:rPr>
          <w:rFonts w:hint="eastAsia" w:cs="Times New Roman"/>
          <w:color w:val="000000" w:themeColor="text1"/>
          <w:szCs w:val="32"/>
          <w14:textFill>
            <w14:solidFill>
              <w14:schemeClr w14:val="tx1"/>
            </w14:solidFill>
          </w14:textFill>
        </w:rPr>
        <w:t>收入端非税收入占比偏高，主要靠资产处置等一次性收入带动，可持续性不强；支出端要承担基层</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三保</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、助企纾困、社会稳定等责任，收支平衡难度与日俱增。</w:t>
      </w:r>
      <w:r>
        <w:rPr>
          <w:rFonts w:hint="eastAsia" w:cs="Times New Roman"/>
          <w:b/>
          <w:bCs/>
          <w:color w:val="000000" w:themeColor="text1"/>
          <w:szCs w:val="32"/>
          <w14:textFill>
            <w14:solidFill>
              <w14:schemeClr w14:val="tx1"/>
            </w14:solidFill>
          </w14:textFill>
        </w:rPr>
        <w:t>二是债务管控压力逐年加大，</w:t>
      </w:r>
      <w:r>
        <w:rPr>
          <w:rFonts w:hint="eastAsia" w:cs="Times New Roman"/>
          <w:color w:val="000000" w:themeColor="text1"/>
          <w:szCs w:val="32"/>
          <w14:textFill>
            <w14:solidFill>
              <w14:schemeClr w14:val="tx1"/>
            </w14:solidFill>
          </w14:textFill>
        </w:rPr>
        <w:t>随着新增政府债券的不断增加，偿债高峰期随之来临，政府债务还本付息负担重，举债空间收紧，加之土地收入预期转弱、偿债来源减少，债务违约风险上升。</w:t>
      </w:r>
      <w:r>
        <w:rPr>
          <w:rFonts w:hint="eastAsia" w:cs="Times New Roman"/>
          <w:b/>
          <w:bCs/>
          <w:color w:val="000000" w:themeColor="text1"/>
          <w:szCs w:val="32"/>
          <w14:textFill>
            <w14:solidFill>
              <w14:schemeClr w14:val="tx1"/>
            </w14:solidFill>
          </w14:textFill>
        </w:rPr>
        <w:t>三是资金使用绩效不容乐观，</w:t>
      </w:r>
      <w:r>
        <w:rPr>
          <w:rFonts w:hint="eastAsia" w:cs="Times New Roman"/>
          <w:color w:val="000000" w:themeColor="text1"/>
          <w:szCs w:val="32"/>
          <w14:textFill>
            <w14:solidFill>
              <w14:schemeClr w14:val="tx1"/>
            </w14:solidFill>
          </w14:textFill>
        </w:rPr>
        <w:t>财政支出结构固化，过紧日子的氛围还不浓厚，绩效管理理念需进一步加强，财政资源配置效率需进一步提高。</w:t>
      </w:r>
      <w:r>
        <w:rPr>
          <w:rFonts w:hint="eastAsia" w:cs="Times New Roman"/>
          <w:b/>
          <w:bCs/>
          <w:color w:val="000000" w:themeColor="text1"/>
          <w:szCs w:val="32"/>
          <w14:textFill>
            <w14:solidFill>
              <w14:schemeClr w14:val="tx1"/>
            </w14:solidFill>
          </w14:textFill>
        </w:rPr>
        <w:t>四是财政改革发展任重道远，</w:t>
      </w:r>
      <w:r>
        <w:rPr>
          <w:rFonts w:hint="eastAsia" w:cs="Times New Roman"/>
          <w:color w:val="000000" w:themeColor="text1"/>
          <w:szCs w:val="32"/>
          <w14:textFill>
            <w14:solidFill>
              <w14:schemeClr w14:val="tx1"/>
            </w14:solidFill>
          </w14:textFill>
        </w:rPr>
        <w:t>以预算管理为核心的一系列改革要求更高，财政信息化建设将制度转化为控制规则内嵌于系统中，将财政资金使用全过程置于全国监督网络中，适应还需时日。对此，我们将认真听取并采纳各位代表、委员的建议意见，积极采取有效措施，逐步加以解决。</w:t>
      </w:r>
    </w:p>
    <w:p>
      <w:pPr>
        <w:ind w:firstLine="640"/>
        <w:rPr>
          <w:rFonts w:eastAsia="方正黑体_GBK" w:cs="方正黑体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三、</w:t>
      </w:r>
      <w:r>
        <w:rPr>
          <w:rFonts w:eastAsia="方正黑体_GBK" w:cs="Times New Roman"/>
          <w:color w:val="000000" w:themeColor="text1"/>
          <w:szCs w:val="32"/>
          <w14:textFill>
            <w14:solidFill>
              <w14:schemeClr w14:val="tx1"/>
            </w14:solidFill>
          </w14:textFill>
        </w:rPr>
        <w:t>2024</w:t>
      </w:r>
      <w:r>
        <w:rPr>
          <w:rFonts w:hint="eastAsia" w:eastAsia="方正黑体_GBK" w:cs="方正黑体_GBK"/>
          <w:color w:val="000000" w:themeColor="text1"/>
          <w:szCs w:val="32"/>
          <w14:textFill>
            <w14:solidFill>
              <w14:schemeClr w14:val="tx1"/>
            </w14:solidFill>
          </w14:textFill>
        </w:rPr>
        <w:t>年财政预算草案</w:t>
      </w:r>
    </w:p>
    <w:p>
      <w:pPr>
        <w:ind w:firstLine="640"/>
        <w:rPr>
          <w:rFonts w:eastAsia="方正楷体_GBK" w:cs="方正楷体_GBK"/>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（一）指导思想</w:t>
      </w:r>
    </w:p>
    <w:p>
      <w:pPr>
        <w:ind w:firstLine="640"/>
        <w:rPr>
          <w:rFonts w:cs="Times New Roman"/>
          <w:color w:val="000000" w:themeColor="text1"/>
          <w:kern w:val="0"/>
          <w:szCs w:val="32"/>
          <w14:textFill>
            <w14:solidFill>
              <w14:schemeClr w14:val="tx1"/>
            </w14:solidFill>
          </w14:textFill>
        </w:rPr>
      </w:pPr>
      <w:r>
        <w:rPr>
          <w:rFonts w:hint="eastAsia" w:cs="Times New Roman"/>
          <w:color w:val="000000" w:themeColor="text1"/>
          <w:kern w:val="0"/>
          <w:szCs w:val="32"/>
          <w14:textFill>
            <w14:solidFill>
              <w14:schemeClr w14:val="tx1"/>
            </w14:solidFill>
          </w14:textFill>
        </w:rPr>
        <w:t>以习近平新时代中国特色社会主义思想为指导，全面贯彻落实党的二十大、二十届二中全会和中央经济工作会议精神，认真落实市委六届二次、三次、四次、五次全会决策部署和市委经济工作会议精神，深化落实区委十三届七次全会和区委经济工作会议精神，坚持稳中求进工作总基调，完整、准确、全面贯彻新发展理念，积极服务和融入新发展格局，着力推动高质量发展，全力推进中国式现代化，统筹扩大内需和深化供给侧结构性改革，统筹新型城镇化和乡村全面振兴，统筹高质量发展和高水平安全，坚持稳进增效、除险固安、改革突破、惠民强企工作导向，切实增强经济活力、防范化解风险、改善社会预期，持续推动经济实现质的有效提升和量的合理增长，增进民生福祉，保持社会稳定，更好地发挥财政在资源配置、政策引导等方面的积极作用，扎实开展党纪学习教育，抢抓重庆柴院落地历史性机遇，脚踏实地推进第三次创业，奋力交出高分报表，为我区加快建设</w:t>
      </w:r>
      <w:r>
        <w:rPr>
          <w:rFonts w:hint="eastAsia" w:ascii="方正仿宋_GBK"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公园大渡口、多彩艺术湾</w:t>
      </w:r>
      <w:r>
        <w:rPr>
          <w:rFonts w:hint="eastAsia" w:ascii="方正仿宋_GBK"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提供坚实保障。</w:t>
      </w:r>
    </w:p>
    <w:p>
      <w:pPr>
        <w:ind w:firstLine="640"/>
        <w:rPr>
          <w:rFonts w:eastAsia="方正楷体_GBK" w:cs="方正楷体_GBK"/>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（二）编制原则</w:t>
      </w:r>
    </w:p>
    <w:p>
      <w:pPr>
        <w:ind w:firstLine="640"/>
        <w:rPr>
          <w:color w:val="000000" w:themeColor="text1"/>
          <w14:textFill>
            <w14:solidFill>
              <w14:schemeClr w14:val="tx1"/>
            </w14:solidFill>
          </w14:textFill>
        </w:rPr>
      </w:pPr>
      <w:r>
        <w:rPr>
          <w:rFonts w:cs="Times New Roman"/>
          <w:color w:val="000000" w:themeColor="text1"/>
          <w:szCs w:val="32"/>
          <w14:textFill>
            <w14:solidFill>
              <w14:schemeClr w14:val="tx1"/>
            </w14:solidFill>
          </w14:textFill>
        </w:rPr>
        <w:t>按照上述指导思想，2024年财政预算编制坚持以下原则：</w:t>
      </w:r>
      <w:r>
        <w:rPr>
          <w:rFonts w:hint="eastAsia" w:cs="Times New Roman"/>
          <w:b/>
          <w:bCs/>
          <w:color w:val="000000" w:themeColor="text1"/>
          <w:szCs w:val="32"/>
          <w14:textFill>
            <w14:solidFill>
              <w14:schemeClr w14:val="tx1"/>
            </w14:solidFill>
          </w14:textFill>
        </w:rPr>
        <w:t>一是加强统筹，保障重点。</w:t>
      </w:r>
      <w:r>
        <w:rPr>
          <w:rFonts w:hint="eastAsia" w:cs="Times New Roman"/>
          <w:color w:val="000000" w:themeColor="text1"/>
          <w:szCs w:val="32"/>
          <w14:textFill>
            <w14:solidFill>
              <w14:schemeClr w14:val="tx1"/>
            </w14:solidFill>
          </w14:textFill>
        </w:rPr>
        <w:t>分清主次、明确缓急，切实加大各类资金、资源统筹，强化政策集成和资金协同，大力优化支出结构，精准安排财政支出，集中财力优先保障全区的重大政策、重要改革和重点项目实施。</w:t>
      </w:r>
      <w:r>
        <w:rPr>
          <w:rFonts w:hint="eastAsia" w:cs="Times New Roman"/>
          <w:b/>
          <w:bCs/>
          <w:color w:val="000000" w:themeColor="text1"/>
          <w:szCs w:val="32"/>
          <w14:textFill>
            <w14:solidFill>
              <w14:schemeClr w14:val="tx1"/>
            </w14:solidFill>
          </w14:textFill>
        </w:rPr>
        <w:t>二是艰苦奋斗，勤俭节约。</w:t>
      </w:r>
      <w:r>
        <w:rPr>
          <w:rFonts w:hint="eastAsia" w:cs="Times New Roman"/>
          <w:color w:val="000000" w:themeColor="text1"/>
          <w:szCs w:val="32"/>
          <w14:textFill>
            <w14:solidFill>
              <w14:schemeClr w14:val="tx1"/>
            </w14:solidFill>
          </w14:textFill>
        </w:rPr>
        <w:t>把党政机关过紧日子作为常态化纪律要求，严控</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三公</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经费等一般性支出，把严把紧预算管理、资产配置、政府采购、预算评审等关口，努力降低行政运行成本。</w:t>
      </w:r>
      <w:r>
        <w:rPr>
          <w:rFonts w:hint="eastAsia" w:cs="Times New Roman"/>
          <w:b/>
          <w:bCs/>
          <w:color w:val="000000" w:themeColor="text1"/>
          <w:szCs w:val="32"/>
          <w14:textFill>
            <w14:solidFill>
              <w14:schemeClr w14:val="tx1"/>
            </w14:solidFill>
          </w14:textFill>
        </w:rPr>
        <w:t>三是控制成本，提质增效。</w:t>
      </w:r>
      <w:r>
        <w:rPr>
          <w:rFonts w:hint="eastAsia" w:cs="Times New Roman"/>
          <w:color w:val="000000" w:themeColor="text1"/>
          <w:szCs w:val="32"/>
          <w14:textFill>
            <w14:solidFill>
              <w14:schemeClr w14:val="tx1"/>
            </w14:solidFill>
          </w14:textFill>
        </w:rPr>
        <w:t>加快建设全方位、全过程、全覆盖的预算绩效管理体系，将成本绩效的理念深度融入预算管理，将落实区委重大决策部署作为绩效管理重点，强化绩效管理激励约束，加强绩效评价结果应用，把财政资金用到紧要处。</w:t>
      </w:r>
      <w:r>
        <w:rPr>
          <w:rFonts w:hint="eastAsia" w:cs="Times New Roman"/>
          <w:b/>
          <w:bCs/>
          <w:color w:val="000000" w:themeColor="text1"/>
          <w:szCs w:val="32"/>
          <w14:textFill>
            <w14:solidFill>
              <w14:schemeClr w14:val="tx1"/>
            </w14:solidFill>
          </w14:textFill>
        </w:rPr>
        <w:t>四是问题导向，规范管理。</w:t>
      </w:r>
      <w:r>
        <w:rPr>
          <w:rFonts w:hint="eastAsia" w:cs="Times New Roman"/>
          <w:color w:val="000000" w:themeColor="text1"/>
          <w:szCs w:val="32"/>
          <w14:textFill>
            <w14:solidFill>
              <w14:schemeClr w14:val="tx1"/>
            </w14:solidFill>
          </w14:textFill>
        </w:rPr>
        <w:t>全面梳理人大预算监督、审计、检查发现的问题，坚持立行立改，取得实效；以推进问题整改为契机，及时完善相关政策和制度办法，补短板、强弱项，全方位提升管理水平。</w:t>
      </w:r>
    </w:p>
    <w:p>
      <w:pPr>
        <w:ind w:firstLine="640"/>
        <w:rPr>
          <w:rFonts w:cs="Times New Roman"/>
          <w:color w:val="000000" w:themeColor="text1"/>
          <w:kern w:val="0"/>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（三）收支预算草案</w:t>
      </w:r>
    </w:p>
    <w:p>
      <w:pPr>
        <w:ind w:firstLine="643"/>
        <w:rPr>
          <w:rFonts w:cs="Times New Roman"/>
          <w:b/>
          <w:bCs/>
          <w:color w:val="000000" w:themeColor="text1"/>
          <w:szCs w:val="32"/>
          <w14:textFill>
            <w14:solidFill>
              <w14:schemeClr w14:val="tx1"/>
            </w14:solidFill>
          </w14:textFill>
        </w:rPr>
      </w:pPr>
      <w:r>
        <w:rPr>
          <w:rFonts w:cs="Times New Roman"/>
          <w:b/>
          <w:bCs/>
          <w:color w:val="000000" w:themeColor="text1"/>
          <w:szCs w:val="32"/>
          <w14:textFill>
            <w14:solidFill>
              <w14:schemeClr w14:val="tx1"/>
            </w14:solidFill>
          </w14:textFill>
        </w:rPr>
        <w:t>1.一般公共预算</w:t>
      </w:r>
      <w:r>
        <w:rPr>
          <w:rFonts w:hint="eastAsia" w:cs="Times New Roman"/>
          <w:b/>
          <w:bCs/>
          <w:color w:val="000000" w:themeColor="text1"/>
          <w:szCs w:val="32"/>
          <w14:textFill>
            <w14:solidFill>
              <w14:schemeClr w14:val="tx1"/>
            </w14:solidFill>
          </w14:textFill>
        </w:rPr>
        <w:t>总体安排情况</w:t>
      </w:r>
    </w:p>
    <w:p>
      <w:pPr>
        <w:ind w:firstLine="643"/>
        <w:rPr>
          <w:rFonts w:cs="Times New Roman"/>
          <w:color w:val="000000" w:themeColor="text1"/>
          <w:szCs w:val="32"/>
          <w14:textFill>
            <w14:solidFill>
              <w14:schemeClr w14:val="tx1"/>
            </w14:solidFill>
          </w14:textFill>
        </w:rPr>
      </w:pPr>
      <w:r>
        <w:rPr>
          <w:rFonts w:hint="eastAsia" w:cs="Times New Roman"/>
          <w:b/>
          <w:bCs/>
          <w:color w:val="000000" w:themeColor="text1"/>
          <w:szCs w:val="32"/>
          <w14:textFill>
            <w14:solidFill>
              <w14:schemeClr w14:val="tx1"/>
            </w14:solidFill>
          </w14:textFill>
        </w:rPr>
        <w:t>（</w:t>
      </w:r>
      <w:r>
        <w:rPr>
          <w:rFonts w:cs="Times New Roman"/>
          <w:b/>
          <w:bCs/>
          <w:color w:val="000000" w:themeColor="text1"/>
          <w:szCs w:val="32"/>
          <w14:textFill>
            <w14:solidFill>
              <w14:schemeClr w14:val="tx1"/>
            </w14:solidFill>
          </w14:textFill>
        </w:rPr>
        <w:t>1</w:t>
      </w:r>
      <w:r>
        <w:rPr>
          <w:rFonts w:hint="eastAsia" w:cs="Times New Roman"/>
          <w:b/>
          <w:bCs/>
          <w:color w:val="000000" w:themeColor="text1"/>
          <w:szCs w:val="32"/>
          <w14:textFill>
            <w14:solidFill>
              <w14:schemeClr w14:val="tx1"/>
            </w14:solidFill>
          </w14:textFill>
        </w:rPr>
        <w:t>）收入预算。</w:t>
      </w:r>
      <w:r>
        <w:rPr>
          <w:rFonts w:cs="Times New Roman"/>
          <w:color w:val="000000" w:themeColor="text1"/>
          <w:szCs w:val="32"/>
          <w14:textFill>
            <w14:solidFill>
              <w14:schemeClr w14:val="tx1"/>
            </w14:solidFill>
          </w14:textFill>
        </w:rPr>
        <w:t>收入总计448</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393万元，具体组成：本级收入214</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800万元，同比增长7%，其中：税收收入135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000万元，同比增长22</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6%；非税收入79</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800万元。上级补助收入72</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868万元；调入资金61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970万元</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动用预算稳定调节基金65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328万元；上年结转33</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427万元。</w:t>
      </w:r>
    </w:p>
    <w:p>
      <w:pPr>
        <w:ind w:firstLine="643"/>
        <w:rPr>
          <w:rFonts w:cs="Times New Roman"/>
          <w:color w:val="000000" w:themeColor="text1"/>
          <w:szCs w:val="32"/>
          <w14:textFill>
            <w14:solidFill>
              <w14:schemeClr w14:val="tx1"/>
            </w14:solidFill>
          </w14:textFill>
        </w:rPr>
      </w:pPr>
      <w:r>
        <w:rPr>
          <w:rFonts w:hint="eastAsia" w:cs="Times New Roman"/>
          <w:b/>
          <w:bCs/>
          <w:color w:val="000000" w:themeColor="text1"/>
          <w:szCs w:val="32"/>
          <w14:textFill>
            <w14:solidFill>
              <w14:schemeClr w14:val="tx1"/>
            </w14:solidFill>
          </w14:textFill>
        </w:rPr>
        <w:t>（</w:t>
      </w:r>
      <w:r>
        <w:rPr>
          <w:rFonts w:cs="Times New Roman"/>
          <w:b/>
          <w:bCs/>
          <w:color w:val="000000" w:themeColor="text1"/>
          <w:szCs w:val="32"/>
          <w14:textFill>
            <w14:solidFill>
              <w14:schemeClr w14:val="tx1"/>
            </w14:solidFill>
          </w14:textFill>
        </w:rPr>
        <w:t>2</w:t>
      </w:r>
      <w:r>
        <w:rPr>
          <w:rFonts w:hint="eastAsia" w:cs="Times New Roman"/>
          <w:b/>
          <w:bCs/>
          <w:color w:val="000000" w:themeColor="text1"/>
          <w:szCs w:val="32"/>
          <w14:textFill>
            <w14:solidFill>
              <w14:schemeClr w14:val="tx1"/>
            </w14:solidFill>
          </w14:textFill>
        </w:rPr>
        <w:t>）支出预算。</w:t>
      </w:r>
      <w:r>
        <w:rPr>
          <w:rFonts w:cs="Times New Roman"/>
          <w:color w:val="000000" w:themeColor="text1"/>
          <w:szCs w:val="32"/>
          <w14:textFill>
            <w14:solidFill>
              <w14:schemeClr w14:val="tx1"/>
            </w14:solidFill>
          </w14:textFill>
        </w:rPr>
        <w:t>支出总计448</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393万元，具体组成：本级支出安排420</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738万元；上解上级支出19</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855万元；债务还本支出7</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800万元。</w:t>
      </w:r>
    </w:p>
    <w:p>
      <w:pPr>
        <w:pStyle w:val="6"/>
        <w:ind w:firstLine="640"/>
        <w:jc w:val="center"/>
        <w:rPr>
          <w:rFonts w:eastAsia="方正黑体_GBK" w:cs="方正黑体_GBK"/>
          <w:color w:val="000000" w:themeColor="text1"/>
          <w14:textFill>
            <w14:solidFill>
              <w14:schemeClr w14:val="tx1"/>
            </w14:solidFill>
          </w14:textFill>
        </w:rPr>
      </w:pPr>
      <w:r>
        <w:rPr>
          <w:rFonts w:eastAsia="方正黑体_GBK"/>
          <w:color w:val="000000" w:themeColor="text1"/>
          <w14:textFill>
            <w14:solidFill>
              <w14:schemeClr w14:val="tx1"/>
            </w14:solidFill>
          </w14:textFill>
        </w:rPr>
        <w:t>2024</w:t>
      </w:r>
      <w:r>
        <w:rPr>
          <w:rFonts w:hint="eastAsia" w:eastAsia="方正黑体_GBK" w:cs="方正黑体_GBK"/>
          <w:color w:val="000000" w:themeColor="text1"/>
          <w14:textFill>
            <w14:solidFill>
              <w14:schemeClr w14:val="tx1"/>
            </w14:solidFill>
          </w14:textFill>
        </w:rPr>
        <w:t>年全区一般公共预算收支平衡表</w:t>
      </w:r>
    </w:p>
    <w:p>
      <w:pPr>
        <w:pStyle w:val="6"/>
        <w:spacing w:after="0" w:line="400" w:lineRule="exact"/>
        <w:ind w:firstLine="440"/>
        <w:jc w:val="right"/>
        <w:rPr>
          <w:rFonts w:eastAsiaTheme="minorEastAsia" w:cstheme="minorEastAsia"/>
          <w:color w:val="000000" w:themeColor="text1"/>
          <w:sz w:val="22"/>
          <w:szCs w:val="22"/>
          <w14:textFill>
            <w14:solidFill>
              <w14:schemeClr w14:val="tx1"/>
            </w14:solidFill>
          </w14:textFill>
        </w:rPr>
      </w:pPr>
      <w:r>
        <w:rPr>
          <w:rFonts w:hint="eastAsia" w:eastAsiaTheme="minorEastAsia" w:cstheme="minorEastAsia"/>
          <w:color w:val="000000" w:themeColor="text1"/>
          <w:sz w:val="22"/>
          <w:szCs w:val="22"/>
          <w14:textFill>
            <w14:solidFill>
              <w14:schemeClr w14:val="tx1"/>
            </w14:solidFill>
          </w14:textFill>
        </w:rPr>
        <w:t>单位：万元</w:t>
      </w:r>
    </w:p>
    <w:tbl>
      <w:tblPr>
        <w:tblStyle w:val="13"/>
        <w:tblW w:w="9062" w:type="dxa"/>
        <w:jc w:val="center"/>
        <w:tblLayout w:type="fixed"/>
        <w:tblCellMar>
          <w:top w:w="0" w:type="dxa"/>
          <w:left w:w="0" w:type="dxa"/>
          <w:bottom w:w="0" w:type="dxa"/>
          <w:right w:w="0" w:type="dxa"/>
        </w:tblCellMar>
      </w:tblPr>
      <w:tblGrid>
        <w:gridCol w:w="2843"/>
        <w:gridCol w:w="1624"/>
        <w:gridCol w:w="2946"/>
        <w:gridCol w:w="1649"/>
      </w:tblGrid>
      <w:tr>
        <w:tblPrEx>
          <w:tblCellMar>
            <w:top w:w="0" w:type="dxa"/>
            <w:left w:w="0" w:type="dxa"/>
            <w:bottom w:w="0" w:type="dxa"/>
            <w:right w:w="0" w:type="dxa"/>
          </w:tblCellMar>
        </w:tblPrEx>
        <w:trPr>
          <w:trHeight w:val="409" w:hRule="atLeast"/>
          <w:tblHeader/>
          <w:jc w:val="center"/>
        </w:trPr>
        <w:tc>
          <w:tcPr>
            <w:tcW w:w="2843"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收    入</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预算数</w:t>
            </w:r>
          </w:p>
        </w:tc>
        <w:tc>
          <w:tcPr>
            <w:tcW w:w="29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支    出</w:t>
            </w:r>
          </w:p>
        </w:tc>
        <w:tc>
          <w:tcPr>
            <w:tcW w:w="164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预算数</w:t>
            </w:r>
          </w:p>
        </w:tc>
      </w:tr>
      <w:tr>
        <w:tblPrEx>
          <w:tblCellMar>
            <w:top w:w="0" w:type="dxa"/>
            <w:left w:w="0" w:type="dxa"/>
            <w:bottom w:w="0" w:type="dxa"/>
            <w:right w:w="0" w:type="dxa"/>
          </w:tblCellMar>
        </w:tblPrEx>
        <w:trPr>
          <w:trHeight w:val="409" w:hRule="atLeast"/>
          <w:jc w:val="center"/>
        </w:trPr>
        <w:tc>
          <w:tcPr>
            <w:tcW w:w="2843"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448,393</w:t>
            </w:r>
          </w:p>
        </w:tc>
        <w:tc>
          <w:tcPr>
            <w:tcW w:w="29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64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448,393</w:t>
            </w:r>
          </w:p>
        </w:tc>
      </w:tr>
      <w:tr>
        <w:tblPrEx>
          <w:tblCellMar>
            <w:top w:w="0" w:type="dxa"/>
            <w:left w:w="0" w:type="dxa"/>
            <w:bottom w:w="0" w:type="dxa"/>
            <w:right w:w="0" w:type="dxa"/>
          </w:tblCellMar>
        </w:tblPrEx>
        <w:trPr>
          <w:trHeight w:val="409" w:hRule="atLeast"/>
          <w:jc w:val="center"/>
        </w:trPr>
        <w:tc>
          <w:tcPr>
            <w:tcW w:w="2843"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一、本级收入</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214</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800</w:t>
            </w:r>
          </w:p>
        </w:tc>
        <w:tc>
          <w:tcPr>
            <w:tcW w:w="29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一、本级支出</w:t>
            </w:r>
          </w:p>
        </w:tc>
        <w:tc>
          <w:tcPr>
            <w:tcW w:w="164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420</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738</w:t>
            </w:r>
          </w:p>
        </w:tc>
      </w:tr>
      <w:tr>
        <w:tblPrEx>
          <w:tblCellMar>
            <w:top w:w="0" w:type="dxa"/>
            <w:left w:w="0" w:type="dxa"/>
            <w:bottom w:w="0" w:type="dxa"/>
            <w:right w:w="0" w:type="dxa"/>
          </w:tblCellMar>
        </w:tblPrEx>
        <w:trPr>
          <w:trHeight w:val="409" w:hRule="atLeast"/>
          <w:jc w:val="center"/>
        </w:trPr>
        <w:tc>
          <w:tcPr>
            <w:tcW w:w="2843"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税收收入</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135,000</w:t>
            </w:r>
          </w:p>
        </w:tc>
        <w:tc>
          <w:tcPr>
            <w:tcW w:w="29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380"/>
              <w:rPr>
                <w:color w:val="000000" w:themeColor="text1"/>
                <w:sz w:val="19"/>
                <w:szCs w:val="19"/>
                <w14:textFill>
                  <w14:solidFill>
                    <w14:schemeClr w14:val="tx1"/>
                  </w14:solidFill>
                </w14:textFill>
              </w:rPr>
            </w:pPr>
          </w:p>
        </w:tc>
        <w:tc>
          <w:tcPr>
            <w:tcW w:w="164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09" w:hRule="atLeast"/>
          <w:jc w:val="center"/>
        </w:trPr>
        <w:tc>
          <w:tcPr>
            <w:tcW w:w="2843"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非税收入</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79,800</w:t>
            </w:r>
          </w:p>
        </w:tc>
        <w:tc>
          <w:tcPr>
            <w:tcW w:w="29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380"/>
              <w:rPr>
                <w:color w:val="000000" w:themeColor="text1"/>
                <w:sz w:val="19"/>
                <w:szCs w:val="19"/>
                <w14:textFill>
                  <w14:solidFill>
                    <w14:schemeClr w14:val="tx1"/>
                  </w14:solidFill>
                </w14:textFill>
              </w:rPr>
            </w:pPr>
          </w:p>
        </w:tc>
        <w:tc>
          <w:tcPr>
            <w:tcW w:w="164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09" w:hRule="atLeast"/>
          <w:jc w:val="center"/>
        </w:trPr>
        <w:tc>
          <w:tcPr>
            <w:tcW w:w="2843"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二、转移性收入</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233</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593</w:t>
            </w:r>
          </w:p>
        </w:tc>
        <w:tc>
          <w:tcPr>
            <w:tcW w:w="29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二、转移性支出</w:t>
            </w:r>
          </w:p>
        </w:tc>
        <w:tc>
          <w:tcPr>
            <w:tcW w:w="164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27,655</w:t>
            </w:r>
          </w:p>
        </w:tc>
      </w:tr>
      <w:tr>
        <w:tblPrEx>
          <w:tblCellMar>
            <w:top w:w="0" w:type="dxa"/>
            <w:left w:w="0" w:type="dxa"/>
            <w:bottom w:w="0" w:type="dxa"/>
            <w:right w:w="0" w:type="dxa"/>
          </w:tblCellMar>
        </w:tblPrEx>
        <w:trPr>
          <w:trHeight w:val="409" w:hRule="atLeast"/>
          <w:jc w:val="center"/>
        </w:trPr>
        <w:tc>
          <w:tcPr>
            <w:tcW w:w="2843"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上级补助收入</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72,868</w:t>
            </w:r>
          </w:p>
        </w:tc>
        <w:tc>
          <w:tcPr>
            <w:tcW w:w="29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上解上级支出</w:t>
            </w:r>
          </w:p>
        </w:tc>
        <w:tc>
          <w:tcPr>
            <w:tcW w:w="164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19,855</w:t>
            </w:r>
          </w:p>
        </w:tc>
      </w:tr>
      <w:tr>
        <w:tblPrEx>
          <w:tblCellMar>
            <w:top w:w="0" w:type="dxa"/>
            <w:left w:w="0" w:type="dxa"/>
            <w:bottom w:w="0" w:type="dxa"/>
            <w:right w:w="0" w:type="dxa"/>
          </w:tblCellMar>
        </w:tblPrEx>
        <w:trPr>
          <w:trHeight w:val="409" w:hRule="atLeast"/>
          <w:jc w:val="center"/>
        </w:trPr>
        <w:tc>
          <w:tcPr>
            <w:tcW w:w="2843"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调入资金</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61</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970</w:t>
            </w:r>
          </w:p>
        </w:tc>
        <w:tc>
          <w:tcPr>
            <w:tcW w:w="29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调出资金</w:t>
            </w:r>
          </w:p>
        </w:tc>
        <w:tc>
          <w:tcPr>
            <w:tcW w:w="164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09" w:hRule="atLeast"/>
          <w:jc w:val="center"/>
        </w:trPr>
        <w:tc>
          <w:tcPr>
            <w:tcW w:w="2843"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债务转贷收入</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c>
          <w:tcPr>
            <w:tcW w:w="29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债务还本支出</w:t>
            </w:r>
          </w:p>
        </w:tc>
        <w:tc>
          <w:tcPr>
            <w:tcW w:w="164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7</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800</w:t>
            </w:r>
          </w:p>
        </w:tc>
      </w:tr>
      <w:tr>
        <w:tblPrEx>
          <w:tblCellMar>
            <w:top w:w="0" w:type="dxa"/>
            <w:left w:w="0" w:type="dxa"/>
            <w:bottom w:w="0" w:type="dxa"/>
            <w:right w:w="0" w:type="dxa"/>
          </w:tblCellMar>
        </w:tblPrEx>
        <w:trPr>
          <w:trHeight w:val="409" w:hRule="atLeast"/>
          <w:jc w:val="center"/>
        </w:trPr>
        <w:tc>
          <w:tcPr>
            <w:tcW w:w="2843"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动用预算稳定调节基金</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65,328</w:t>
            </w:r>
          </w:p>
        </w:tc>
        <w:tc>
          <w:tcPr>
            <w:tcW w:w="29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安排预算稳定调节基金</w:t>
            </w:r>
          </w:p>
        </w:tc>
        <w:tc>
          <w:tcPr>
            <w:tcW w:w="164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09" w:hRule="atLeast"/>
          <w:jc w:val="center"/>
        </w:trPr>
        <w:tc>
          <w:tcPr>
            <w:tcW w:w="2843"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上年结转</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33,427</w:t>
            </w:r>
          </w:p>
        </w:tc>
        <w:tc>
          <w:tcPr>
            <w:tcW w:w="29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结转下年</w:t>
            </w:r>
          </w:p>
        </w:tc>
        <w:tc>
          <w:tcPr>
            <w:tcW w:w="164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bl>
    <w:p>
      <w:pPr>
        <w:ind w:firstLine="643"/>
        <w:rPr>
          <w:rFonts w:cs="Times New Roman"/>
          <w:b/>
          <w:bCs/>
          <w:color w:val="000000" w:themeColor="text1"/>
          <w:szCs w:val="32"/>
          <w14:textFill>
            <w14:solidFill>
              <w14:schemeClr w14:val="tx1"/>
            </w14:solidFill>
          </w14:textFill>
        </w:rPr>
      </w:pPr>
      <w:r>
        <w:rPr>
          <w:rFonts w:cs="Times New Roman"/>
          <w:b/>
          <w:bCs/>
          <w:color w:val="000000" w:themeColor="text1"/>
          <w:szCs w:val="32"/>
          <w14:textFill>
            <w14:solidFill>
              <w14:schemeClr w14:val="tx1"/>
            </w14:solidFill>
          </w14:textFill>
        </w:rPr>
        <w:t>2.政府性基金预算</w:t>
      </w:r>
      <w:r>
        <w:rPr>
          <w:rFonts w:hint="eastAsia" w:cs="Times New Roman"/>
          <w:b/>
          <w:bCs/>
          <w:color w:val="000000" w:themeColor="text1"/>
          <w:szCs w:val="32"/>
          <w14:textFill>
            <w14:solidFill>
              <w14:schemeClr w14:val="tx1"/>
            </w14:solidFill>
          </w14:textFill>
        </w:rPr>
        <w:t>总体安排情况</w:t>
      </w:r>
    </w:p>
    <w:p>
      <w:pPr>
        <w:ind w:firstLine="643"/>
        <w:rPr>
          <w:rFonts w:cs="Times New Roman"/>
          <w:color w:val="000000" w:themeColor="text1"/>
          <w:szCs w:val="32"/>
          <w14:textFill>
            <w14:solidFill>
              <w14:schemeClr w14:val="tx1"/>
            </w14:solidFill>
          </w14:textFill>
        </w:rPr>
      </w:pPr>
      <w:r>
        <w:rPr>
          <w:rFonts w:hint="eastAsia" w:cs="Times New Roman"/>
          <w:b/>
          <w:bCs/>
          <w:color w:val="000000" w:themeColor="text1"/>
          <w:szCs w:val="32"/>
          <w14:textFill>
            <w14:solidFill>
              <w14:schemeClr w14:val="tx1"/>
            </w14:solidFill>
          </w14:textFill>
        </w:rPr>
        <w:t>（</w:t>
      </w:r>
      <w:r>
        <w:rPr>
          <w:rFonts w:cs="Times New Roman"/>
          <w:b/>
          <w:bCs/>
          <w:color w:val="000000" w:themeColor="text1"/>
          <w:szCs w:val="32"/>
          <w14:textFill>
            <w14:solidFill>
              <w14:schemeClr w14:val="tx1"/>
            </w14:solidFill>
          </w14:textFill>
        </w:rPr>
        <w:t>1</w:t>
      </w:r>
      <w:r>
        <w:rPr>
          <w:rFonts w:hint="eastAsia" w:cs="Times New Roman"/>
          <w:b/>
          <w:bCs/>
          <w:color w:val="000000" w:themeColor="text1"/>
          <w:szCs w:val="32"/>
          <w14:textFill>
            <w14:solidFill>
              <w14:schemeClr w14:val="tx1"/>
            </w14:solidFill>
          </w14:textFill>
        </w:rPr>
        <w:t>）收入预算。</w:t>
      </w:r>
      <w:r>
        <w:rPr>
          <w:rFonts w:cs="Times New Roman"/>
          <w:color w:val="000000" w:themeColor="text1"/>
          <w:szCs w:val="32"/>
          <w14:textFill>
            <w14:solidFill>
              <w14:schemeClr w14:val="tx1"/>
            </w14:solidFill>
          </w14:textFill>
        </w:rPr>
        <w:t>收入总计532</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066万元，具体组成：上级补助收入505</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926万元</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上年结转26</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140万元。</w:t>
      </w:r>
    </w:p>
    <w:p>
      <w:pPr>
        <w:ind w:firstLine="643"/>
        <w:rPr>
          <w:rFonts w:cs="Times New Roman"/>
          <w:color w:val="000000" w:themeColor="text1"/>
          <w:szCs w:val="32"/>
          <w14:textFill>
            <w14:solidFill>
              <w14:schemeClr w14:val="tx1"/>
            </w14:solidFill>
          </w14:textFill>
        </w:rPr>
      </w:pPr>
      <w:r>
        <w:rPr>
          <w:rFonts w:hint="eastAsia" w:cs="Times New Roman"/>
          <w:b/>
          <w:bCs/>
          <w:color w:val="000000" w:themeColor="text1"/>
          <w:szCs w:val="32"/>
          <w14:textFill>
            <w14:solidFill>
              <w14:schemeClr w14:val="tx1"/>
            </w14:solidFill>
          </w14:textFill>
        </w:rPr>
        <w:t>（</w:t>
      </w:r>
      <w:r>
        <w:rPr>
          <w:rFonts w:cs="Times New Roman"/>
          <w:b/>
          <w:bCs/>
          <w:color w:val="000000" w:themeColor="text1"/>
          <w:szCs w:val="32"/>
          <w14:textFill>
            <w14:solidFill>
              <w14:schemeClr w14:val="tx1"/>
            </w14:solidFill>
          </w14:textFill>
        </w:rPr>
        <w:t>2</w:t>
      </w:r>
      <w:r>
        <w:rPr>
          <w:rFonts w:hint="eastAsia" w:cs="Times New Roman"/>
          <w:b/>
          <w:bCs/>
          <w:color w:val="000000" w:themeColor="text1"/>
          <w:szCs w:val="32"/>
          <w14:textFill>
            <w14:solidFill>
              <w14:schemeClr w14:val="tx1"/>
            </w14:solidFill>
          </w14:textFill>
        </w:rPr>
        <w:t>）支出预算。</w:t>
      </w:r>
      <w:r>
        <w:rPr>
          <w:rFonts w:cs="Times New Roman"/>
          <w:color w:val="000000" w:themeColor="text1"/>
          <w:szCs w:val="32"/>
          <w14:textFill>
            <w14:solidFill>
              <w14:schemeClr w14:val="tx1"/>
            </w14:solidFill>
          </w14:textFill>
        </w:rPr>
        <w:t>支出总计532</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066万元，具体组成：本级支出安排470</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096万元</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调出资金61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970万元。</w:t>
      </w:r>
    </w:p>
    <w:p>
      <w:pPr>
        <w:pStyle w:val="6"/>
        <w:ind w:firstLine="640"/>
        <w:jc w:val="center"/>
        <w:rPr>
          <w:rFonts w:eastAsia="方正黑体_GBK" w:cs="方正黑体_GBK"/>
          <w:color w:val="000000" w:themeColor="text1"/>
          <w14:textFill>
            <w14:solidFill>
              <w14:schemeClr w14:val="tx1"/>
            </w14:solidFill>
          </w14:textFill>
        </w:rPr>
      </w:pPr>
      <w:r>
        <w:rPr>
          <w:rFonts w:eastAsia="方正黑体_GBK"/>
          <w:color w:val="000000" w:themeColor="text1"/>
          <w14:textFill>
            <w14:solidFill>
              <w14:schemeClr w14:val="tx1"/>
            </w14:solidFill>
          </w14:textFill>
        </w:rPr>
        <w:t>2024</w:t>
      </w:r>
      <w:r>
        <w:rPr>
          <w:rFonts w:hint="eastAsia" w:eastAsia="方正黑体_GBK" w:cs="方正黑体_GBK"/>
          <w:color w:val="000000" w:themeColor="text1"/>
          <w14:textFill>
            <w14:solidFill>
              <w14:schemeClr w14:val="tx1"/>
            </w14:solidFill>
          </w14:textFill>
        </w:rPr>
        <w:t>年全区政府性基金预算收支平衡表</w:t>
      </w:r>
    </w:p>
    <w:p>
      <w:pPr>
        <w:pStyle w:val="6"/>
        <w:spacing w:after="0" w:line="400" w:lineRule="exact"/>
        <w:ind w:firstLine="440"/>
        <w:jc w:val="right"/>
        <w:rPr>
          <w:rFonts w:eastAsiaTheme="minorEastAsia" w:cstheme="minorEastAsia"/>
          <w:color w:val="000000" w:themeColor="text1"/>
          <w:sz w:val="22"/>
          <w:szCs w:val="22"/>
          <w14:textFill>
            <w14:solidFill>
              <w14:schemeClr w14:val="tx1"/>
            </w14:solidFill>
          </w14:textFill>
        </w:rPr>
      </w:pPr>
      <w:r>
        <w:rPr>
          <w:rFonts w:hint="eastAsia" w:eastAsiaTheme="minorEastAsia" w:cstheme="minorEastAsia"/>
          <w:color w:val="000000" w:themeColor="text1"/>
          <w:sz w:val="22"/>
          <w:szCs w:val="22"/>
          <w14:textFill>
            <w14:solidFill>
              <w14:schemeClr w14:val="tx1"/>
            </w14:solidFill>
          </w14:textFill>
        </w:rPr>
        <w:t>单位：万元</w:t>
      </w:r>
    </w:p>
    <w:tbl>
      <w:tblPr>
        <w:tblStyle w:val="13"/>
        <w:tblW w:w="9183" w:type="dxa"/>
        <w:jc w:val="center"/>
        <w:tblLayout w:type="fixed"/>
        <w:tblCellMar>
          <w:top w:w="0" w:type="dxa"/>
          <w:left w:w="0" w:type="dxa"/>
          <w:bottom w:w="0" w:type="dxa"/>
          <w:right w:w="0" w:type="dxa"/>
        </w:tblCellMar>
      </w:tblPr>
      <w:tblGrid>
        <w:gridCol w:w="3018"/>
        <w:gridCol w:w="1444"/>
        <w:gridCol w:w="3051"/>
        <w:gridCol w:w="1670"/>
      </w:tblGrid>
      <w:tr>
        <w:tblPrEx>
          <w:tblCellMar>
            <w:top w:w="0" w:type="dxa"/>
            <w:left w:w="0" w:type="dxa"/>
            <w:bottom w:w="0" w:type="dxa"/>
            <w:right w:w="0" w:type="dxa"/>
          </w:tblCellMar>
        </w:tblPrEx>
        <w:trPr>
          <w:trHeight w:val="425" w:hRule="exact"/>
          <w:tblHeader/>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收    入</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预算数</w:t>
            </w: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支    出</w:t>
            </w:r>
          </w:p>
        </w:tc>
        <w:tc>
          <w:tcPr>
            <w:tcW w:w="167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预算数</w:t>
            </w: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532</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066</w:t>
            </w: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67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532</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066</w:t>
            </w: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一、本级收入</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一、本级支出</w:t>
            </w:r>
          </w:p>
        </w:tc>
        <w:tc>
          <w:tcPr>
            <w:tcW w:w="167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470</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096</w:t>
            </w: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二、转移性收入</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532</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066</w:t>
            </w: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二、转移性支出</w:t>
            </w:r>
          </w:p>
        </w:tc>
        <w:tc>
          <w:tcPr>
            <w:tcW w:w="167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61</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970</w:t>
            </w: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上级补助收入</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505</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926</w:t>
            </w: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上解上级支出</w:t>
            </w:r>
          </w:p>
        </w:tc>
        <w:tc>
          <w:tcPr>
            <w:tcW w:w="167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债务转贷收入</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债务还本支出</w:t>
            </w:r>
          </w:p>
        </w:tc>
        <w:tc>
          <w:tcPr>
            <w:tcW w:w="167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调入资金</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调出资金</w:t>
            </w:r>
          </w:p>
        </w:tc>
        <w:tc>
          <w:tcPr>
            <w:tcW w:w="167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61,970</w:t>
            </w: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上年结转</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26</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140</w:t>
            </w:r>
          </w:p>
          <w:p>
            <w:pPr>
              <w:pStyle w:val="12"/>
              <w:spacing w:beforeAutospacing="0" w:afterAutospacing="0" w:line="400" w:lineRule="exact"/>
              <w:ind w:firstLine="440"/>
              <w:jc w:val="right"/>
              <w:rPr>
                <w:color w:val="000000" w:themeColor="text1"/>
                <w:sz w:val="22"/>
                <w14:textFill>
                  <w14:solidFill>
                    <w14:schemeClr w14:val="tx1"/>
                  </w14:solidFill>
                </w14:textFill>
              </w:rPr>
            </w:pP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结转下年</w:t>
            </w:r>
          </w:p>
        </w:tc>
        <w:tc>
          <w:tcPr>
            <w:tcW w:w="1670"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bl>
    <w:p>
      <w:pPr>
        <w:ind w:firstLine="643"/>
        <w:rPr>
          <w:rFonts w:cs="Times New Roman"/>
          <w:b/>
          <w:bCs/>
          <w:color w:val="000000" w:themeColor="text1"/>
          <w:szCs w:val="32"/>
          <w14:textFill>
            <w14:solidFill>
              <w14:schemeClr w14:val="tx1"/>
            </w14:solidFill>
          </w14:textFill>
        </w:rPr>
      </w:pPr>
      <w:r>
        <w:rPr>
          <w:rFonts w:cs="Times New Roman"/>
          <w:b/>
          <w:bCs/>
          <w:color w:val="000000" w:themeColor="text1"/>
          <w:szCs w:val="32"/>
          <w14:textFill>
            <w14:solidFill>
              <w14:schemeClr w14:val="tx1"/>
            </w14:solidFill>
          </w14:textFill>
        </w:rPr>
        <w:t>3.国有资本经营预算</w:t>
      </w:r>
      <w:r>
        <w:rPr>
          <w:rFonts w:hint="eastAsia" w:cs="Times New Roman"/>
          <w:b/>
          <w:bCs/>
          <w:color w:val="000000" w:themeColor="text1"/>
          <w:szCs w:val="32"/>
          <w:lang w:eastAsia="zh-CN"/>
          <w14:textFill>
            <w14:solidFill>
              <w14:schemeClr w14:val="tx1"/>
            </w14:solidFill>
          </w14:textFill>
        </w:rPr>
        <w:t>总体</w:t>
      </w:r>
      <w:r>
        <w:rPr>
          <w:rFonts w:hint="eastAsia" w:cs="Times New Roman"/>
          <w:b/>
          <w:bCs/>
          <w:color w:val="000000" w:themeColor="text1"/>
          <w:szCs w:val="32"/>
          <w14:textFill>
            <w14:solidFill>
              <w14:schemeClr w14:val="tx1"/>
            </w14:solidFill>
          </w14:textFill>
        </w:rPr>
        <w:t>安排情况</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国有资本经营预算收入</w:t>
      </w:r>
      <w:r>
        <w:rPr>
          <w:rFonts w:hint="eastAsia" w:cs="Times New Roman"/>
          <w:color w:val="000000" w:themeColor="text1"/>
          <w:szCs w:val="32"/>
          <w14:textFill>
            <w14:solidFill>
              <w14:schemeClr w14:val="tx1"/>
            </w14:solidFill>
          </w14:textFill>
        </w:rPr>
        <w:t>总计</w:t>
      </w:r>
      <w:r>
        <w:rPr>
          <w:rFonts w:cs="Times New Roman"/>
          <w:color w:val="000000" w:themeColor="text1"/>
          <w:szCs w:val="32"/>
          <w14:textFill>
            <w14:solidFill>
              <w14:schemeClr w14:val="tx1"/>
            </w14:solidFill>
          </w14:textFill>
        </w:rPr>
        <w:t>10</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231万元，</w:t>
      </w:r>
      <w:r>
        <w:rPr>
          <w:rFonts w:hint="eastAsia" w:cs="Times New Roman"/>
          <w:color w:val="000000" w:themeColor="text1"/>
          <w:szCs w:val="32"/>
          <w14:textFill>
            <w14:solidFill>
              <w14:schemeClr w14:val="tx1"/>
            </w14:solidFill>
          </w14:textFill>
        </w:rPr>
        <w:t>相应安排支出</w:t>
      </w:r>
      <w:r>
        <w:rPr>
          <w:rFonts w:cs="Times New Roman"/>
          <w:color w:val="000000" w:themeColor="text1"/>
          <w:szCs w:val="32"/>
          <w14:textFill>
            <w14:solidFill>
              <w14:schemeClr w14:val="tx1"/>
            </w14:solidFill>
          </w14:textFill>
        </w:rPr>
        <w:t>10</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231</w:t>
      </w:r>
      <w:r>
        <w:rPr>
          <w:rFonts w:hint="eastAsia" w:cs="Times New Roman"/>
          <w:color w:val="000000" w:themeColor="text1"/>
          <w:szCs w:val="32"/>
          <w14:textFill>
            <w14:solidFill>
              <w14:schemeClr w14:val="tx1"/>
            </w14:solidFill>
          </w14:textFill>
        </w:rPr>
        <w:t>万元</w:t>
      </w:r>
      <w:r>
        <w:rPr>
          <w:rFonts w:cs="Times New Roman"/>
          <w:color w:val="000000" w:themeColor="text1"/>
          <w:szCs w:val="32"/>
          <w14:textFill>
            <w14:solidFill>
              <w14:schemeClr w14:val="tx1"/>
            </w14:solidFill>
          </w14:textFill>
        </w:rPr>
        <w:t>。</w:t>
      </w:r>
    </w:p>
    <w:p>
      <w:pPr>
        <w:pStyle w:val="6"/>
        <w:ind w:firstLine="640"/>
        <w:jc w:val="center"/>
        <w:rPr>
          <w:rFonts w:eastAsia="方正黑体_GBK" w:cs="方正黑体_GBK"/>
          <w:color w:val="000000" w:themeColor="text1"/>
          <w14:textFill>
            <w14:solidFill>
              <w14:schemeClr w14:val="tx1"/>
            </w14:solidFill>
          </w14:textFill>
        </w:rPr>
      </w:pPr>
      <w:r>
        <w:rPr>
          <w:rFonts w:eastAsia="方正黑体_GBK"/>
          <w:color w:val="000000" w:themeColor="text1"/>
          <w14:textFill>
            <w14:solidFill>
              <w14:schemeClr w14:val="tx1"/>
            </w14:solidFill>
          </w14:textFill>
        </w:rPr>
        <w:t>2024</w:t>
      </w:r>
      <w:r>
        <w:rPr>
          <w:rFonts w:hint="eastAsia" w:eastAsia="方正黑体_GBK" w:cs="方正黑体_GBK"/>
          <w:color w:val="000000" w:themeColor="text1"/>
          <w14:textFill>
            <w14:solidFill>
              <w14:schemeClr w14:val="tx1"/>
            </w14:solidFill>
          </w14:textFill>
        </w:rPr>
        <w:t>年全区国有资本经营预算收支平衡表</w:t>
      </w:r>
    </w:p>
    <w:p>
      <w:pPr>
        <w:pStyle w:val="6"/>
        <w:spacing w:after="0" w:line="400" w:lineRule="exact"/>
        <w:ind w:firstLine="440"/>
        <w:jc w:val="right"/>
        <w:rPr>
          <w:rFonts w:eastAsiaTheme="minorEastAsia" w:cstheme="minorEastAsia"/>
          <w:color w:val="000000" w:themeColor="text1"/>
          <w:sz w:val="22"/>
          <w:szCs w:val="22"/>
          <w14:textFill>
            <w14:solidFill>
              <w14:schemeClr w14:val="tx1"/>
            </w14:solidFill>
          </w14:textFill>
        </w:rPr>
      </w:pPr>
      <w:r>
        <w:rPr>
          <w:rFonts w:hint="eastAsia" w:eastAsiaTheme="minorEastAsia" w:cstheme="minorEastAsia"/>
          <w:color w:val="000000" w:themeColor="text1"/>
          <w:sz w:val="22"/>
          <w:szCs w:val="22"/>
          <w14:textFill>
            <w14:solidFill>
              <w14:schemeClr w14:val="tx1"/>
            </w14:solidFill>
          </w14:textFill>
        </w:rPr>
        <w:t>单位：万元</w:t>
      </w:r>
    </w:p>
    <w:tbl>
      <w:tblPr>
        <w:tblStyle w:val="13"/>
        <w:tblW w:w="8940" w:type="dxa"/>
        <w:jc w:val="center"/>
        <w:tblLayout w:type="fixed"/>
        <w:tblCellMar>
          <w:top w:w="0" w:type="dxa"/>
          <w:left w:w="0" w:type="dxa"/>
          <w:bottom w:w="0" w:type="dxa"/>
          <w:right w:w="0" w:type="dxa"/>
        </w:tblCellMar>
      </w:tblPr>
      <w:tblGrid>
        <w:gridCol w:w="3018"/>
        <w:gridCol w:w="1444"/>
        <w:gridCol w:w="3051"/>
        <w:gridCol w:w="1427"/>
      </w:tblGrid>
      <w:tr>
        <w:tblPrEx>
          <w:tblCellMar>
            <w:top w:w="0" w:type="dxa"/>
            <w:left w:w="0" w:type="dxa"/>
            <w:bottom w:w="0" w:type="dxa"/>
            <w:right w:w="0" w:type="dxa"/>
          </w:tblCellMar>
        </w:tblPrEx>
        <w:trPr>
          <w:trHeight w:val="425" w:hRule="exact"/>
          <w:tblHeader/>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收    入</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预算数</w:t>
            </w: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支    出</w:t>
            </w:r>
          </w:p>
        </w:tc>
        <w:tc>
          <w:tcPr>
            <w:tcW w:w="1427"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预算数</w:t>
            </w: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10,231</w:t>
            </w: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0" w:firstLineChars="0"/>
              <w:jc w:val="center"/>
              <w:rPr>
                <w:color w:val="000000" w:themeColor="text1"/>
                <w:sz w:val="19"/>
                <w:szCs w:val="19"/>
                <w14:textFill>
                  <w14:solidFill>
                    <w14:schemeClr w14:val="tx1"/>
                  </w14:solidFill>
                </w14:textFill>
              </w:rPr>
            </w:pPr>
            <w:r>
              <w:rPr>
                <w:rStyle w:val="15"/>
                <w:rFonts w:hint="eastAsia" w:eastAsia="宋体" w:cs="宋体"/>
                <w:color w:val="000000" w:themeColor="text1"/>
                <w:sz w:val="22"/>
                <w14:textFill>
                  <w14:solidFill>
                    <w14:schemeClr w14:val="tx1"/>
                  </w14:solidFill>
                </w14:textFill>
              </w:rPr>
              <w:t>总    计</w:t>
            </w:r>
          </w:p>
        </w:tc>
        <w:tc>
          <w:tcPr>
            <w:tcW w:w="1427"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10</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231</w:t>
            </w: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一、本级收入</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10,000</w:t>
            </w: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一、本级支出</w:t>
            </w:r>
          </w:p>
        </w:tc>
        <w:tc>
          <w:tcPr>
            <w:tcW w:w="1427"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10,231</w:t>
            </w: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二、转移性收入</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231</w:t>
            </w: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220" w:firstLineChars="10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二、转移性支出</w:t>
            </w:r>
          </w:p>
        </w:tc>
        <w:tc>
          <w:tcPr>
            <w:tcW w:w="1427"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上级补助收入</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r>
              <w:rPr>
                <w:color w:val="000000" w:themeColor="text1"/>
                <w:sz w:val="22"/>
                <w14:textFill>
                  <w14:solidFill>
                    <w14:schemeClr w14:val="tx1"/>
                  </w14:solidFill>
                </w14:textFill>
              </w:rPr>
              <w:t>231</w:t>
            </w: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调出资金</w:t>
            </w:r>
          </w:p>
        </w:tc>
        <w:tc>
          <w:tcPr>
            <w:tcW w:w="1427" w:type="dxa"/>
            <w:tcBorders>
              <w:top w:val="single" w:color="000000" w:sz="6" w:space="0"/>
              <w:left w:val="single" w:color="000000" w:sz="6" w:space="0"/>
              <w:bottom w:val="single" w:color="000000" w:sz="6" w:space="0"/>
              <w:right w:val="nil"/>
            </w:tcBorders>
            <w:shd w:val="clear" w:color="auto" w:fill="auto"/>
            <w:tcMar>
              <w:left w:w="115" w:type="dxa"/>
            </w:tcMar>
            <w:vAlign w:val="bottom"/>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5" w:hRule="exact"/>
          <w:jc w:val="center"/>
        </w:trPr>
        <w:tc>
          <w:tcPr>
            <w:tcW w:w="3018"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上年结转</w:t>
            </w:r>
          </w:p>
        </w:tc>
        <w:tc>
          <w:tcPr>
            <w:tcW w:w="1444"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jc w:val="right"/>
              <w:rPr>
                <w:color w:val="000000" w:themeColor="text1"/>
                <w:sz w:val="22"/>
                <w14:textFill>
                  <w14:solidFill>
                    <w14:schemeClr w14:val="tx1"/>
                  </w14:solidFill>
                </w14:textFill>
              </w:rPr>
            </w:pPr>
          </w:p>
        </w:tc>
        <w:tc>
          <w:tcPr>
            <w:tcW w:w="305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2"/>
              <w:spacing w:beforeAutospacing="0" w:afterAutospacing="0" w:line="400" w:lineRule="exact"/>
              <w:ind w:firstLine="440"/>
              <w:rPr>
                <w:color w:val="000000" w:themeColor="text1"/>
                <w:sz w:val="19"/>
                <w:szCs w:val="19"/>
                <w14:textFill>
                  <w14:solidFill>
                    <w14:schemeClr w14:val="tx1"/>
                  </w14:solidFill>
                </w14:textFill>
              </w:rPr>
            </w:pPr>
            <w:r>
              <w:rPr>
                <w:rFonts w:hint="eastAsia" w:eastAsia="宋体" w:cs="宋体"/>
                <w:color w:val="000000" w:themeColor="text1"/>
                <w:sz w:val="22"/>
                <w14:textFill>
                  <w14:solidFill>
                    <w14:schemeClr w14:val="tx1"/>
                  </w14:solidFill>
                </w14:textFill>
              </w:rPr>
              <w:t>结转下年</w:t>
            </w:r>
          </w:p>
        </w:tc>
        <w:tc>
          <w:tcPr>
            <w:tcW w:w="1427" w:type="dxa"/>
            <w:tcBorders>
              <w:top w:val="single" w:color="000000" w:sz="6" w:space="0"/>
              <w:left w:val="single" w:color="000000" w:sz="6" w:space="0"/>
              <w:bottom w:val="single" w:color="000000" w:sz="6" w:space="0"/>
              <w:right w:val="nil"/>
            </w:tcBorders>
            <w:shd w:val="clear" w:color="auto" w:fill="auto"/>
            <w:tcMar>
              <w:left w:w="115" w:type="dxa"/>
            </w:tcMar>
            <w:vAlign w:val="bottom"/>
          </w:tcPr>
          <w:p>
            <w:pPr>
              <w:pStyle w:val="12"/>
              <w:spacing w:beforeAutospacing="0" w:afterAutospacing="0" w:line="400" w:lineRule="exact"/>
              <w:ind w:firstLine="440"/>
              <w:jc w:val="right"/>
              <w:rPr>
                <w:color w:val="000000" w:themeColor="text1"/>
                <w:sz w:val="22"/>
                <w14:textFill>
                  <w14:solidFill>
                    <w14:schemeClr w14:val="tx1"/>
                  </w14:solidFill>
                </w14:textFill>
              </w:rPr>
            </w:pPr>
          </w:p>
        </w:tc>
      </w:tr>
    </w:tbl>
    <w:p>
      <w:pPr>
        <w:ind w:firstLine="640"/>
        <w:rPr>
          <w:rFonts w:eastAsia="方正黑体_GBK" w:cs="方正黑体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四、</w:t>
      </w:r>
      <w:r>
        <w:rPr>
          <w:rFonts w:eastAsia="方正黑体_GBK" w:cs="Times New Roman"/>
          <w:color w:val="000000" w:themeColor="text1"/>
          <w:szCs w:val="32"/>
          <w14:textFill>
            <w14:solidFill>
              <w14:schemeClr w14:val="tx1"/>
            </w14:solidFill>
          </w14:textFill>
        </w:rPr>
        <w:t>2024</w:t>
      </w:r>
      <w:r>
        <w:rPr>
          <w:rFonts w:hint="eastAsia" w:eastAsia="方正黑体_GBK" w:cs="方正黑体_GBK"/>
          <w:color w:val="000000" w:themeColor="text1"/>
          <w:szCs w:val="32"/>
          <w14:textFill>
            <w14:solidFill>
              <w14:schemeClr w14:val="tx1"/>
            </w14:solidFill>
          </w14:textFill>
        </w:rPr>
        <w:t>年财政工作重点</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2024</w:t>
      </w:r>
      <w:r>
        <w:rPr>
          <w:rFonts w:hint="eastAsia" w:cs="Times New Roman"/>
          <w:color w:val="000000" w:themeColor="text1"/>
          <w:szCs w:val="32"/>
          <w14:textFill>
            <w14:solidFill>
              <w14:schemeClr w14:val="tx1"/>
            </w14:solidFill>
          </w14:textFill>
        </w:rPr>
        <w:t>年是中华人民共和国成立</w:t>
      </w:r>
      <w:r>
        <w:rPr>
          <w:rFonts w:cs="Times New Roman"/>
          <w:color w:val="000000" w:themeColor="text1"/>
          <w:szCs w:val="32"/>
          <w14:textFill>
            <w14:solidFill>
              <w14:schemeClr w14:val="tx1"/>
            </w14:solidFill>
          </w14:textFill>
        </w:rPr>
        <w:t>75</w:t>
      </w:r>
      <w:r>
        <w:rPr>
          <w:rFonts w:hint="eastAsia" w:cs="Times New Roman"/>
          <w:color w:val="000000" w:themeColor="text1"/>
          <w:szCs w:val="32"/>
          <w14:textFill>
            <w14:solidFill>
              <w14:schemeClr w14:val="tx1"/>
            </w14:solidFill>
          </w14:textFill>
        </w:rPr>
        <w:t>周年，是实现</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十四五</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规划目标任务的关键一年，也是大渡口实现换挡提速的提升之年，做好财政工作意义重大。全区财政将认真贯彻区委决策部署，落实区人大预算决议，科学研判财政收支形势，合理编制财政预算，积极发挥财政职能作用，推动我区经济平稳健康发展与社会大局和谐稳定。</w:t>
      </w:r>
    </w:p>
    <w:p>
      <w:pPr>
        <w:ind w:firstLine="640"/>
        <w:rPr>
          <w:rFonts w:eastAsia="方正楷体_GBK" w:cs="方正楷体_GBK"/>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（一）落细落实财政政策，推动高质量发展</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强化高质量发展目标引领，集成运用各项财政政策工具，更好发挥财政资金引导作用。</w:t>
      </w:r>
      <w:r>
        <w:rPr>
          <w:rFonts w:hint="eastAsia" w:cs="Times New Roman"/>
          <w:b/>
          <w:bCs/>
          <w:color w:val="000000" w:themeColor="text1"/>
          <w:szCs w:val="32"/>
          <w14:textFill>
            <w14:solidFill>
              <w14:schemeClr w14:val="tx1"/>
            </w14:solidFill>
          </w14:textFill>
        </w:rPr>
        <w:t>一是抓收入组织稳增量。</w:t>
      </w:r>
      <w:r>
        <w:rPr>
          <w:rFonts w:hint="eastAsia" w:cs="Times New Roman"/>
          <w:color w:val="000000" w:themeColor="text1"/>
          <w:szCs w:val="32"/>
          <w14:textFill>
            <w14:solidFill>
              <w14:schemeClr w14:val="tx1"/>
            </w14:solidFill>
          </w14:textFill>
        </w:rPr>
        <w:t>严格执行区十四届人大四次会议通过的年初预算，坚定收入目标，准确把握稳中求进工作总基调，持续挖掘收入潜力。落实服务区域经济高质量发展工作机制，激发镇街协税护税积极性。加强财税部门联动，深挖税源与征缴非税并重，确保应收尽收、颗粒归仓。积极拓宽收入渠道，加大政府资源资产盘活力度，推动特许经营权转让。</w:t>
      </w:r>
      <w:r>
        <w:rPr>
          <w:rFonts w:hint="eastAsia" w:cs="Times New Roman"/>
          <w:b/>
          <w:bCs/>
          <w:color w:val="000000" w:themeColor="text1"/>
          <w:szCs w:val="32"/>
          <w14:textFill>
            <w14:solidFill>
              <w14:schemeClr w14:val="tx1"/>
            </w14:solidFill>
          </w14:textFill>
        </w:rPr>
        <w:t>二是抓对上争取出成效。</w:t>
      </w:r>
      <w:r>
        <w:rPr>
          <w:rFonts w:hint="eastAsia" w:cs="Times New Roman"/>
          <w:color w:val="000000" w:themeColor="text1"/>
          <w:szCs w:val="32"/>
          <w14:textFill>
            <w14:solidFill>
              <w14:schemeClr w14:val="tx1"/>
            </w14:solidFill>
          </w14:textFill>
        </w:rPr>
        <w:t>积极应对区级预算收支压力，压实部门争资责任，抓细抓实向上争取资金工作。密切关注政策动向，深入分析研究上级资金政策，加强向上汇报对接，争取上级支持。强化沟通协作，积极配合部门做好项目申报，形成有效工作合力，提高向上争取资金的针对性和实效性。</w:t>
      </w:r>
      <w:r>
        <w:rPr>
          <w:rFonts w:hint="eastAsia" w:cs="Times New Roman"/>
          <w:b/>
          <w:bCs/>
          <w:color w:val="000000" w:themeColor="text1"/>
          <w:szCs w:val="32"/>
          <w14:textFill>
            <w14:solidFill>
              <w14:schemeClr w14:val="tx1"/>
            </w14:solidFill>
          </w14:textFill>
        </w:rPr>
        <w:t>三是抓产业培育助发展。</w:t>
      </w:r>
      <w:r>
        <w:rPr>
          <w:rFonts w:hint="eastAsia" w:cs="Times New Roman"/>
          <w:color w:val="000000" w:themeColor="text1"/>
          <w:szCs w:val="32"/>
          <w14:textFill>
            <w14:solidFill>
              <w14:schemeClr w14:val="tx1"/>
            </w14:solidFill>
          </w14:textFill>
        </w:rPr>
        <w:t>聚焦五大百亿级产业集群，高效落实结构性减税降费等政策，落实</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管行业管产业</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工作机制，努力培育夯实优质税源，推动产业发展和财源巩固的良性循环。支持龙头骨干企业做优做强、支柱产业提质增效，持续整合政策性、商业性金融扶持资源，帮助企业解决融资难题。全面推进政府采购意向公开、预留采购份额、提高预付款比例等措施，持续优化营商环境。</w:t>
      </w:r>
    </w:p>
    <w:p>
      <w:pPr>
        <w:ind w:firstLine="640"/>
        <w:rPr>
          <w:rFonts w:cs="Times New Roman"/>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（二）用好用活财政资金，助力高品质生活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坚持以人民为中心的发展思想，坚决保障好民生支出，持续增效人民群众获得感、幸福感和安全感。</w:t>
      </w:r>
      <w:r>
        <w:rPr>
          <w:rFonts w:hint="eastAsia" w:cs="Times New Roman"/>
          <w:b/>
          <w:bCs/>
          <w:color w:val="000000" w:themeColor="text1"/>
          <w:szCs w:val="32"/>
          <w14:textFill>
            <w14:solidFill>
              <w14:schemeClr w14:val="tx1"/>
            </w14:solidFill>
          </w14:textFill>
        </w:rPr>
        <w:t>一是保障</w:t>
      </w:r>
      <w:r>
        <w:rPr>
          <w:rFonts w:hint="eastAsia" w:ascii="方正仿宋_GBK" w:cs="Times New Roman"/>
          <w:b/>
          <w:bCs/>
          <w:color w:val="000000" w:themeColor="text1"/>
          <w:szCs w:val="32"/>
          <w14:textFill>
            <w14:solidFill>
              <w14:schemeClr w14:val="tx1"/>
            </w14:solidFill>
          </w14:textFill>
        </w:rPr>
        <w:t>“</w:t>
      </w:r>
      <w:r>
        <w:rPr>
          <w:rFonts w:hint="eastAsia" w:cs="Times New Roman"/>
          <w:b/>
          <w:bCs/>
          <w:color w:val="000000" w:themeColor="text1"/>
          <w:szCs w:val="32"/>
          <w14:textFill>
            <w14:solidFill>
              <w14:schemeClr w14:val="tx1"/>
            </w14:solidFill>
          </w14:textFill>
        </w:rPr>
        <w:t>三保</w:t>
      </w:r>
      <w:r>
        <w:rPr>
          <w:rFonts w:hint="eastAsia" w:ascii="方正仿宋_GBK" w:cs="Times New Roman"/>
          <w:b/>
          <w:bCs/>
          <w:color w:val="000000" w:themeColor="text1"/>
          <w:szCs w:val="32"/>
          <w14:textFill>
            <w14:solidFill>
              <w14:schemeClr w14:val="tx1"/>
            </w14:solidFill>
          </w14:textFill>
        </w:rPr>
        <w:t>”</w:t>
      </w:r>
      <w:r>
        <w:rPr>
          <w:rFonts w:hint="eastAsia" w:cs="Times New Roman"/>
          <w:b/>
          <w:bCs/>
          <w:color w:val="000000" w:themeColor="text1"/>
          <w:szCs w:val="32"/>
          <w14:textFill>
            <w14:solidFill>
              <w14:schemeClr w14:val="tx1"/>
            </w14:solidFill>
          </w14:textFill>
        </w:rPr>
        <w:t>兜底线。</w:t>
      </w:r>
      <w:r>
        <w:rPr>
          <w:rFonts w:hint="eastAsia" w:cs="Times New Roman"/>
          <w:color w:val="000000" w:themeColor="text1"/>
          <w:szCs w:val="32"/>
          <w14:textFill>
            <w14:solidFill>
              <w14:schemeClr w14:val="tx1"/>
            </w14:solidFill>
          </w14:textFill>
        </w:rPr>
        <w:t>主动应对当前收支矛盾的现实局面，树牢</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过难关</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意识，持续调整优化支出结构，优先保</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三保</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，坚决压</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一般</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，把该减的减下来、该保的保到位。实行</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三保</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标识管理制度，实现</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三保</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预算和执行的信息化、动态化管理，确保</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三保</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资金精准高效落实到位。</w:t>
      </w:r>
      <w:r>
        <w:rPr>
          <w:rFonts w:hint="eastAsia" w:cs="Times New Roman"/>
          <w:b/>
          <w:bCs/>
          <w:color w:val="000000" w:themeColor="text1"/>
          <w:szCs w:val="32"/>
          <w14:textFill>
            <w14:solidFill>
              <w14:schemeClr w14:val="tx1"/>
            </w14:solidFill>
          </w14:textFill>
        </w:rPr>
        <w:t>二是改善民生增福祉。</w:t>
      </w:r>
      <w:r>
        <w:rPr>
          <w:rFonts w:hint="eastAsia" w:cs="Times New Roman"/>
          <w:color w:val="000000" w:themeColor="text1"/>
          <w:szCs w:val="32"/>
          <w14:textFill>
            <w14:solidFill>
              <w14:schemeClr w14:val="tx1"/>
            </w14:solidFill>
          </w14:textFill>
        </w:rPr>
        <w:t>坚持公共财政取之于民、用之于民，用</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小财政</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撬动</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大民生</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多角度发力增进民生福祉，提高人民生活品质。注重加强普惠性、基础性、兜底性民生建设，保障医疗、教育、就业和救助等基本民生需求。充分利用资金直达机制，聚焦拨付及监管环节，增强财政资金直达基层、惠企利民的政策效果。</w:t>
      </w:r>
      <w:r>
        <w:rPr>
          <w:rFonts w:hint="eastAsia" w:cs="Times New Roman"/>
          <w:b/>
          <w:bCs/>
          <w:color w:val="000000" w:themeColor="text1"/>
          <w:szCs w:val="32"/>
          <w14:textFill>
            <w14:solidFill>
              <w14:schemeClr w14:val="tx1"/>
            </w14:solidFill>
          </w14:textFill>
        </w:rPr>
        <w:t>三是支持重点促发展。</w:t>
      </w:r>
      <w:r>
        <w:rPr>
          <w:rFonts w:hint="eastAsia" w:cs="Times New Roman"/>
          <w:color w:val="000000" w:themeColor="text1"/>
          <w:szCs w:val="32"/>
          <w14:textFill>
            <w14:solidFill>
              <w14:schemeClr w14:val="tx1"/>
            </w14:solidFill>
          </w14:textFill>
        </w:rPr>
        <w:t>聚焦全区重大战略、重要决策、重点项目，多渠道筹集资金推进重大工程建设，加快城市公园、交通主干道、老旧小区更新改造等建设，支持打造共建共享的现代化公园城市。支持西大附中等学校新建改扩建项目，提升医疗卫生服务水平，支持乡村振兴及重庆小面特色产业集群发展，助推城乡融合发展。</w:t>
      </w:r>
    </w:p>
    <w:p>
      <w:pPr>
        <w:ind w:firstLine="640"/>
        <w:rPr>
          <w:rFonts w:cs="Times New Roman"/>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（三）严管严控财政风险，促进高水平安全</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平衡好促发展和防风险的关系，推动财政更为安全、更可持续发展。</w:t>
      </w:r>
      <w:r>
        <w:rPr>
          <w:rFonts w:hint="eastAsia" w:cs="Times New Roman"/>
          <w:b/>
          <w:bCs/>
          <w:color w:val="000000" w:themeColor="text1"/>
          <w:szCs w:val="32"/>
          <w14:textFill>
            <w14:solidFill>
              <w14:schemeClr w14:val="tx1"/>
            </w14:solidFill>
          </w14:textFill>
        </w:rPr>
        <w:t>一是勠力防控债务风险。</w:t>
      </w:r>
      <w:r>
        <w:rPr>
          <w:rFonts w:hint="eastAsia" w:cs="Times New Roman"/>
          <w:color w:val="000000" w:themeColor="text1"/>
          <w:szCs w:val="32"/>
          <w14:textFill>
            <w14:solidFill>
              <w14:schemeClr w14:val="tx1"/>
            </w14:solidFill>
          </w14:textFill>
        </w:rPr>
        <w:t>坚持底线思维，定期开展债务风险排查，守住债务风险底线。积极统筹财政收入，优先保障债务本息支出，确保存量政府性债务本金逐年下降。持续强化专项债券全生命周期管理，督促专项债券项目及时上缴项目收益，缓解财政偿还债务本息压力。</w:t>
      </w:r>
      <w:r>
        <w:rPr>
          <w:rFonts w:hint="eastAsia" w:cs="Times New Roman"/>
          <w:b/>
          <w:bCs/>
          <w:color w:val="000000" w:themeColor="text1"/>
          <w:szCs w:val="32"/>
          <w14:textFill>
            <w14:solidFill>
              <w14:schemeClr w14:val="tx1"/>
            </w14:solidFill>
          </w14:textFill>
        </w:rPr>
        <w:t>二是全力化解平衡风险。</w:t>
      </w:r>
      <w:r>
        <w:rPr>
          <w:rFonts w:hint="eastAsia" w:cs="Times New Roman"/>
          <w:color w:val="000000" w:themeColor="text1"/>
          <w:szCs w:val="32"/>
          <w14:textFill>
            <w14:solidFill>
              <w14:schemeClr w14:val="tx1"/>
            </w14:solidFill>
          </w14:textFill>
        </w:rPr>
        <w:t>持续深化预算管理改革，着力打造约束有力的预算管理体系。加强全口径预算管理，在政府预算层面，强化三本预算统筹，避免交叉重复安排，做到既互有侧重，又统筹协调。在部门预算层面，推行单位资金预算管理改革，加大支出统筹力度，用好用活自有收入，有效盘活存量资金。</w:t>
      </w:r>
      <w:r>
        <w:rPr>
          <w:rFonts w:hint="eastAsia" w:cs="Times New Roman"/>
          <w:b/>
          <w:bCs/>
          <w:color w:val="000000" w:themeColor="text1"/>
          <w:szCs w:val="32"/>
          <w14:textFill>
            <w14:solidFill>
              <w14:schemeClr w14:val="tx1"/>
            </w14:solidFill>
          </w14:textFill>
        </w:rPr>
        <w:t>三是着力严防廉政风险。</w:t>
      </w:r>
      <w:r>
        <w:rPr>
          <w:rFonts w:hint="eastAsia" w:cs="Times New Roman"/>
          <w:color w:val="000000" w:themeColor="text1"/>
          <w:szCs w:val="32"/>
          <w14:textFill>
            <w14:solidFill>
              <w14:schemeClr w14:val="tx1"/>
            </w14:solidFill>
          </w14:textFill>
        </w:rPr>
        <w:t>持续完善</w:t>
      </w:r>
      <w:r>
        <w:rPr>
          <w:rFonts w:hint="eastAsia" w:ascii="方正仿宋_GBK"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1</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N</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财会监督协作配合机制，推动财会监督与各类监督贯通协调，促进财政资金规范高效使用。严肃财经纪律，强化会计信息质量检查、内控制度建设，堵塞财务管理漏洞，确保资金安全。落实监督检查问题整改，坚持以检促改、以改促升，切实提高财政监督质效。</w:t>
      </w:r>
    </w:p>
    <w:p>
      <w:pPr>
        <w:ind w:firstLine="640"/>
        <w:rPr>
          <w:rFonts w:eastAsia="方正楷体_GBK" w:cs="方正楷体_GBK"/>
          <w:color w:val="000000" w:themeColor="text1"/>
          <w:szCs w:val="32"/>
          <w14:textFill>
            <w14:solidFill>
              <w14:schemeClr w14:val="tx1"/>
            </w14:solidFill>
          </w14:textFill>
        </w:rPr>
      </w:pPr>
      <w:r>
        <w:rPr>
          <w:rFonts w:hint="eastAsia" w:eastAsia="方正楷体_GBK" w:cs="方正楷体_GBK"/>
          <w:color w:val="000000" w:themeColor="text1"/>
          <w:szCs w:val="32"/>
          <w14:textFill>
            <w14:solidFill>
              <w14:schemeClr w14:val="tx1"/>
            </w14:solidFill>
          </w14:textFill>
        </w:rPr>
        <w:t>（四）突破突围财政改革，助推高效能治理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聚焦健全现代预算制度，深化预算管理制度改革，进一步破除体制机制障碍、补齐管理制度短板，提升财政治理效能。</w:t>
      </w:r>
      <w:r>
        <w:rPr>
          <w:rFonts w:hint="eastAsia" w:cs="Times New Roman"/>
          <w:b/>
          <w:bCs/>
          <w:color w:val="000000" w:themeColor="text1"/>
          <w:szCs w:val="32"/>
          <w14:textFill>
            <w14:solidFill>
              <w14:schemeClr w14:val="tx1"/>
            </w14:solidFill>
          </w14:textFill>
        </w:rPr>
        <w:t>一是积极推进数字财政建设。</w:t>
      </w:r>
      <w:r>
        <w:rPr>
          <w:rFonts w:hint="eastAsia" w:cs="Times New Roman"/>
          <w:color w:val="000000" w:themeColor="text1"/>
          <w:szCs w:val="32"/>
          <w14:textFill>
            <w14:solidFill>
              <w14:schemeClr w14:val="tx1"/>
            </w14:solidFill>
          </w14:textFill>
        </w:rPr>
        <w:t>紧跟市级改革步伐，推动</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财政智管</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应用上线运行，运用数字化手段，智能管控财政业务，逐步实现财政业务</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一网统管</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，建立一本真实、清晰的</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明白账</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。实行政府采购、预算执行、直达资金等核心业务全流程管理，以信息化、数字化赋能确保财政资金安全。</w:t>
      </w:r>
      <w:r>
        <w:rPr>
          <w:rFonts w:hint="eastAsia" w:cs="Times New Roman"/>
          <w:b/>
          <w:bCs/>
          <w:color w:val="000000" w:themeColor="text1"/>
          <w:szCs w:val="32"/>
          <w14:textFill>
            <w14:solidFill>
              <w14:schemeClr w14:val="tx1"/>
            </w14:solidFill>
          </w14:textFill>
        </w:rPr>
        <w:t>二是不断强化预算绩效改革。</w:t>
      </w:r>
      <w:r>
        <w:rPr>
          <w:rFonts w:hint="eastAsia" w:cs="Times New Roman"/>
          <w:color w:val="000000" w:themeColor="text1"/>
          <w:szCs w:val="32"/>
          <w14:textFill>
            <w14:solidFill>
              <w14:schemeClr w14:val="tx1"/>
            </w14:solidFill>
          </w14:textFill>
        </w:rPr>
        <w:t>完善事前、事中、事后全覆盖的预算绩效管理机制，加强绩效目标管理，充分发挥对预算执行的引导约束作用。树立</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花钱要问效，无效要问责</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的绩效管理理念，实行全过程管理，切实提高财政资金安排的科学性、精准性和实效性，把同样的钱花出更大的成效。完善评价结果应用机制，将评价结果与预算安排、项目调整等挂钩，构建以绩效为核心的财政管理新机制。</w:t>
      </w:r>
      <w:r>
        <w:rPr>
          <w:rFonts w:hint="eastAsia" w:cs="Times New Roman"/>
          <w:b/>
          <w:bCs/>
          <w:color w:val="000000" w:themeColor="text1"/>
          <w:szCs w:val="32"/>
          <w14:textFill>
            <w14:solidFill>
              <w14:schemeClr w14:val="tx1"/>
            </w14:solidFill>
          </w14:textFill>
        </w:rPr>
        <w:t>三是纵深推进国资国企改革。</w:t>
      </w:r>
      <w:r>
        <w:rPr>
          <w:rFonts w:hint="eastAsia" w:cs="Times New Roman"/>
          <w:color w:val="000000" w:themeColor="text1"/>
          <w:szCs w:val="32"/>
          <w14:textFill>
            <w14:solidFill>
              <w14:schemeClr w14:val="tx1"/>
            </w14:solidFill>
          </w14:textFill>
        </w:rPr>
        <w:t>按照</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三攻坚一盘活</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改革要求，以增强国企核心功能、提高核心竞争力为目标，启动国有企业改革提效增能行动，支持积极参与市场化竞争，强化企业经营业绩考核，提高</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造血</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功能。严格国资监督运行机制，防范化解重大风险，提高监管效能，推动区属国有企业充分发挥国有经济战略支撑作用，为全区经济社会发展做出国资国企贡献。</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各位代表</w:t>
      </w:r>
      <w:r>
        <w:rPr>
          <w:rFonts w:hint="eastAsia" w:cs="Times New Roman"/>
          <w:color w:val="000000" w:themeColor="text1"/>
          <w:szCs w:val="32"/>
          <w14:textFill>
            <w14:solidFill>
              <w14:schemeClr w14:val="tx1"/>
            </w14:solidFill>
          </w14:textFill>
        </w:rPr>
        <w:t>！路虽远，行则将至；事虽难，做则必成。</w:t>
      </w:r>
      <w:r>
        <w:rPr>
          <w:rFonts w:cs="Times New Roman"/>
          <w:color w:val="000000" w:themeColor="text1"/>
          <w:szCs w:val="32"/>
          <w14:textFill>
            <w14:solidFill>
              <w14:schemeClr w14:val="tx1"/>
            </w14:solidFill>
          </w14:textFill>
        </w:rPr>
        <w:t>2024</w:t>
      </w:r>
      <w:r>
        <w:rPr>
          <w:rFonts w:hint="eastAsia" w:cs="Times New Roman"/>
          <w:color w:val="000000" w:themeColor="text1"/>
          <w:szCs w:val="32"/>
          <w14:textFill>
            <w14:solidFill>
              <w14:schemeClr w14:val="tx1"/>
            </w14:solidFill>
          </w14:textFill>
        </w:rPr>
        <w:t>年，让我们更加紧密地团结在以习近平同志为核心的党中央周围，以习近平新时代中国特色社会主义思想为指导，在区委的坚强领导下，主动接受人大依法监督和政协民主监督，唯实争先、拼搏奋进，以更加积极的态度、更加务实的作风、更加有为的担当，扎实推进</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公园大渡口、多彩艺术湾</w:t>
      </w:r>
      <w:r>
        <w:rPr>
          <w:rFonts w:hint="eastAsia" w:ascii="方正仿宋_GBK"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建设，为我区奋力开启第三次创业，打造重庆现代化国际大都市样板间、示范地贡献财政力量！</w:t>
      </w:r>
    </w:p>
    <w:p>
      <w:pPr>
        <w:pStyle w:val="8"/>
        <w:spacing w:after="0" w:line="594" w:lineRule="exact"/>
        <w:ind w:left="0" w:leftChars="0" w:firstLine="0" w:firstLineChars="0"/>
        <w:jc w:val="center"/>
        <w:rPr>
          <w:ins w:id="0" w:author="NTKO" w:date="2024-06-21T14:02:22Z"/>
          <w:rFonts w:eastAsia="方正小标宋_GBK" w:cs="方正小标宋_GBK"/>
          <w:color w:val="000000" w:themeColor="text1"/>
          <w:sz w:val="44"/>
          <w:szCs w:val="44"/>
          <w:shd w:val="clear" w:color="auto" w:fill="FAFDFE"/>
          <w14:textFill>
            <w14:solidFill>
              <w14:schemeClr w14:val="tx1"/>
            </w14:solidFill>
          </w14:textFill>
        </w:rPr>
      </w:pPr>
    </w:p>
    <w:p>
      <w:pPr>
        <w:pStyle w:val="8"/>
        <w:spacing w:after="0" w:line="594" w:lineRule="exact"/>
        <w:ind w:left="0" w:leftChars="0" w:firstLine="0" w:firstLineChars="0"/>
        <w:jc w:val="center"/>
        <w:rPr>
          <w:color w:val="000000" w:themeColor="text1"/>
          <w14:textFill>
            <w14:solidFill>
              <w14:schemeClr w14:val="tx1"/>
            </w14:solidFill>
          </w14:textFill>
        </w:rPr>
      </w:pPr>
      <w:bookmarkStart w:id="1" w:name="_GoBack"/>
      <w:bookmarkEnd w:id="1"/>
      <w:r>
        <w:rPr>
          <w:rFonts w:eastAsia="方正小标宋_GBK" w:cs="方正小标宋_GBK"/>
          <w:color w:val="000000" w:themeColor="text1"/>
          <w:sz w:val="44"/>
          <w:szCs w:val="44"/>
          <w:shd w:val="clear" w:color="auto" w:fill="FAFDFE"/>
          <w14:textFill>
            <w14:solidFill>
              <w14:schemeClr w14:val="tx1"/>
            </w14:solidFill>
          </w14:textFill>
        </w:rPr>
        <w:t>名词解释</w:t>
      </w:r>
    </w:p>
    <w:p>
      <w:pPr>
        <w:pStyle w:val="8"/>
        <w:spacing w:after="0" w:line="594" w:lineRule="exact"/>
        <w:ind w:left="0" w:leftChars="0" w:firstLine="0" w:firstLineChars="0"/>
        <w:jc w:val="center"/>
        <w:rPr>
          <w:rFonts w:eastAsia="方正小标宋_GBK" w:cs="方正小标宋_GBK"/>
          <w:color w:val="000000" w:themeColor="text1"/>
          <w:sz w:val="44"/>
          <w:szCs w:val="44"/>
          <w:shd w:val="clear" w:color="auto" w:fill="FAFDFE"/>
          <w14:textFill>
            <w14:solidFill>
              <w14:schemeClr w14:val="tx1"/>
            </w14:solidFill>
          </w14:textFill>
        </w:rPr>
      </w:pP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财政预算：</w:t>
      </w:r>
      <w:r>
        <w:rPr>
          <w:rFonts w:hint="eastAsia" w:cs="方正仿宋_GBK"/>
          <w:color w:val="000000" w:themeColor="text1"/>
          <w:szCs w:val="32"/>
          <w14:textFill>
            <w14:solidFill>
              <w14:schemeClr w14:val="tx1"/>
            </w14:solidFill>
          </w14:textFill>
        </w:rPr>
        <w:t>财政预算是政府活动计划的一个反映，它体现了政府及其财政活动的范围、政府在特定时期所要实现的政策目标和政策手段。预算是对未来一定时期内收支安排的预测、计划。它作为一种管理工具，在日常生活乃至国家行政管理中被广泛采用。就财政而言，财政预算就是由政府编制、经立法机关审批、反映政府一个财政年度内的收支状况的计划。</w:t>
      </w:r>
    </w:p>
    <w:p>
      <w:pPr>
        <w:ind w:firstLine="640"/>
        <w:rPr>
          <w:rFonts w:cs="Times New Roman"/>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预算数：</w:t>
      </w:r>
      <w:r>
        <w:rPr>
          <w:rFonts w:cs="Times New Roman"/>
          <w:color w:val="000000" w:themeColor="text1"/>
          <w:szCs w:val="32"/>
          <w14:textFill>
            <w14:solidFill>
              <w14:schemeClr w14:val="tx1"/>
            </w14:solidFill>
          </w14:textFill>
        </w:rPr>
        <w:t>经人大批准的预算，执行中发生收支增减变化，由政府委托财政部门编制预算调整方案并报同级人大常委会审查批准。2023年预算草案经区十四届人大</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次会议审查批准后，</w:t>
      </w:r>
      <w:r>
        <w:rPr>
          <w:rFonts w:hint="eastAsia" w:cs="Times New Roman"/>
          <w:color w:val="000000" w:themeColor="text1"/>
          <w:szCs w:val="32"/>
          <w14:textFill>
            <w14:solidFill>
              <w14:schemeClr w14:val="tx1"/>
            </w14:solidFill>
          </w14:textFill>
        </w:rPr>
        <w:t>因新增政府债券</w:t>
      </w:r>
      <w:r>
        <w:rPr>
          <w:rFonts w:cs="Times New Roman"/>
          <w:color w:val="000000" w:themeColor="text1"/>
          <w:szCs w:val="32"/>
          <w14:textFill>
            <w14:solidFill>
              <w14:schemeClr w14:val="tx1"/>
            </w14:solidFill>
          </w14:textFill>
        </w:rPr>
        <w:t>等因素，编制预算调整方案，报区十四届人大常委会</w:t>
      </w:r>
      <w:r>
        <w:rPr>
          <w:rFonts w:hint="eastAsia" w:cs="Times New Roman"/>
          <w:color w:val="000000" w:themeColor="text1"/>
          <w:szCs w:val="32"/>
          <w14:textFill>
            <w14:solidFill>
              <w14:schemeClr w14:val="tx1"/>
            </w14:solidFill>
          </w14:textFill>
        </w:rPr>
        <w:t>十二</w:t>
      </w:r>
      <w:r>
        <w:rPr>
          <w:rFonts w:cs="Times New Roman"/>
          <w:color w:val="000000" w:themeColor="text1"/>
          <w:szCs w:val="32"/>
          <w14:textFill>
            <w14:solidFill>
              <w14:schemeClr w14:val="tx1"/>
            </w14:solidFill>
          </w14:textFill>
        </w:rPr>
        <w:t>次会议审查批准。按照要求，报告中的2023年预算数为调整预算数。</w:t>
      </w: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三本预算：</w:t>
      </w:r>
      <w:r>
        <w:rPr>
          <w:rFonts w:hint="eastAsia" w:cs="方正仿宋_GBK"/>
          <w:color w:val="000000" w:themeColor="text1"/>
          <w:szCs w:val="32"/>
          <w14:textFill>
            <w14:solidFill>
              <w14:schemeClr w14:val="tx1"/>
            </w14:solidFill>
          </w14:textFill>
        </w:rPr>
        <w:t>指一般公共预算、政府性基金预算和国有资本经营预算。</w:t>
      </w: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一般公共预算：</w:t>
      </w:r>
      <w:r>
        <w:rPr>
          <w:rFonts w:hint="eastAsia" w:cs="方正仿宋_GBK"/>
          <w:color w:val="000000" w:themeColor="text1"/>
          <w:szCs w:val="32"/>
          <w14:textFill>
            <w14:solidFill>
              <w14:schemeClr w14:val="tx1"/>
            </w14:solidFill>
          </w14:textFill>
        </w:rPr>
        <w:t>指政府凭借国家政治权力，以社会管理者身份筹集以税收为主体的财政收入，用于保障和改善民生、维持国家行政职能正常运转、保障国家安全等方面的收支预算。</w:t>
      </w:r>
    </w:p>
    <w:p>
      <w:pPr>
        <w:ind w:firstLine="640"/>
        <w:rPr>
          <w:rFonts w:eastAsia="仿宋" w:cs="仿宋"/>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政府性基金预算：</w:t>
      </w:r>
      <w:r>
        <w:rPr>
          <w:rFonts w:hint="eastAsia" w:cs="方正仿宋_GBK"/>
          <w:color w:val="000000" w:themeColor="text1"/>
          <w:szCs w:val="32"/>
          <w14:textFill>
            <w14:solidFill>
              <w14:schemeClr w14:val="tx1"/>
            </w14:solidFill>
          </w14:textFill>
        </w:rPr>
        <w:t>指国家通过向社会征收以及出让土地、发行彩票等方式取得收入，并专项用于支持特定基础设施建设和社会事业发展的财政收支预算，是政府预算体系的重要组成部分。</w:t>
      </w: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国有资本经营预算：</w:t>
      </w:r>
      <w:r>
        <w:rPr>
          <w:rFonts w:hint="eastAsia" w:cs="方正仿宋_GBK"/>
          <w:color w:val="000000" w:themeColor="text1"/>
          <w:szCs w:val="32"/>
          <w14:textFill>
            <w14:solidFill>
              <w14:schemeClr w14:val="tx1"/>
            </w14:solidFill>
          </w14:textFill>
        </w:rPr>
        <w:t>指国家以所有者身份对国有资本实行存量调整和增量分配而发生的各项收支预算，是政府预算体系的重要组成部分。</w:t>
      </w: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预算稳定调节基金：</w:t>
      </w:r>
      <w:r>
        <w:rPr>
          <w:rFonts w:hint="eastAsia" w:cs="方正仿宋_GBK"/>
          <w:color w:val="000000" w:themeColor="text1"/>
          <w:szCs w:val="32"/>
          <w14:textFill>
            <w14:solidFill>
              <w14:schemeClr w14:val="tx1"/>
            </w14:solidFill>
          </w14:textFill>
        </w:rPr>
        <w:t>指财政通过超收收入和支出预算结余安排的具有储备性质的基金，视预算平衡情况，在安排下年度预算时调入并安排使用，或用于弥补短收年份预算执行的收支缺口，基金的安排使用接受同级人大及其常委会的监督。</w:t>
      </w: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非税收入：</w:t>
      </w:r>
      <w:r>
        <w:rPr>
          <w:rFonts w:hint="eastAsia" w:cs="方正仿宋_GBK"/>
          <w:color w:val="000000" w:themeColor="text1"/>
          <w:szCs w:val="32"/>
          <w14:textFill>
            <w14:solidFill>
              <w14:schemeClr w14:val="tx1"/>
            </w14:solidFill>
          </w14:textFill>
        </w:rPr>
        <w:t>指除税收收入以外，由各级政府、国家机关、事业单位、代行政府职能的社会团体及其他组织依法利用政府权力、政府信誉、国家资源、国有资产或提供特定公共服务、准公共服务取得用于满足社会公共需要或准公共需要的财政性资金。</w:t>
      </w: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上级补助收入：</w:t>
      </w:r>
      <w:r>
        <w:rPr>
          <w:rFonts w:hint="eastAsia" w:cs="方正仿宋_GBK"/>
          <w:color w:val="000000" w:themeColor="text1"/>
          <w:szCs w:val="32"/>
          <w14:textFill>
            <w14:solidFill>
              <w14:schemeClr w14:val="tx1"/>
            </w14:solidFill>
          </w14:textFill>
        </w:rPr>
        <w:t>指上级财政按照有关法律法规、财政体制和政策规定，给予下级财政的补助资金，主要包括返还性收入、一般性转移支付收入、专项转移支付收入。</w:t>
      </w: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上解支出：</w:t>
      </w:r>
      <w:r>
        <w:rPr>
          <w:rFonts w:hint="eastAsia" w:cs="方正仿宋_GBK"/>
          <w:color w:val="000000" w:themeColor="text1"/>
          <w:szCs w:val="32"/>
          <w14:textFill>
            <w14:solidFill>
              <w14:schemeClr w14:val="tx1"/>
            </w14:solidFill>
          </w14:textFill>
        </w:rPr>
        <w:t>指下级财政按照有关法律法规、财政体制和政策规定，上解上级财政的支出，主要包括体制上解支出和专项上解支出。</w:t>
      </w: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财政预算绩效评价：</w:t>
      </w:r>
      <w:r>
        <w:rPr>
          <w:rFonts w:hint="eastAsia" w:cs="方正仿宋_GBK"/>
          <w:color w:val="000000" w:themeColor="text1"/>
          <w:szCs w:val="32"/>
          <w14:textFill>
            <w14:solidFill>
              <w14:schemeClr w14:val="tx1"/>
            </w14:solidFill>
          </w14:textFill>
        </w:rPr>
        <w:t>指财政部门和预算部门（单位）根据设定的绩效目标，运用科学、合理的绩效评价指标、评价标准和评价方法，对财政支出的经济性、效率性和效益性进行客观、公正的评价。财政预算绩效评价是市场经济条件下现代财政科学管理的重要手段，建立和健全财政支出的追踪问效和问责制度，对提高财政资金的规范高效运作程度、增加财政资金的使用效果和效益、促进政府财力的可持续发展以及有效转变政府职能等都具有重大意义。</w:t>
      </w: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预算公开评审：</w:t>
      </w:r>
      <w:r>
        <w:rPr>
          <w:rFonts w:hint="eastAsia" w:cs="方正仿宋_GBK"/>
          <w:color w:val="000000" w:themeColor="text1"/>
          <w:szCs w:val="32"/>
          <w14:textFill>
            <w14:solidFill>
              <w14:schemeClr w14:val="tx1"/>
            </w14:solidFill>
          </w14:textFill>
        </w:rPr>
        <w:t>指在年初预算编制过程中，采取成立评审组联合评审方式，对预算单位申报的项目支出预算进行评审论证，提出评审意见和建议的预算管理活动。评审组由区人大常委会专门机构、区审计局等监督部门、区财政局等专业部门有关人员组成，同时，邀请部分区人大代表、区政协委员、相关专家等人员参与。预算公开评审范围包括所有区级财力安排的项目支出。</w:t>
      </w: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预算管理一体化：</w:t>
      </w:r>
      <w:r>
        <w:rPr>
          <w:rFonts w:hint="eastAsia" w:cs="方正仿宋_GBK"/>
          <w:color w:val="000000" w:themeColor="text1"/>
          <w:szCs w:val="32"/>
          <w14:textFill>
            <w14:solidFill>
              <w14:schemeClr w14:val="tx1"/>
            </w14:solidFill>
          </w14:textFill>
        </w:rPr>
        <w:t>是加快建立完善现代预算制度，推动国家治理体系和治理能力现代化的必然要求，也是落实党政机关过紧日子的重要措施。旨在</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以系统承载改革要求，以改革引领系统整合</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一体化系统建成后，横向上，将实现预算编制、指标管理、国库支付、账户管理、会计核算、政府采购、资产管理、债务管理、决算编制、政府财报等信息系统整合；纵向上，将打通中央、市、区县三级财政管理系统，实现信息无缝对接。</w:t>
      </w:r>
    </w:p>
    <w:p>
      <w:pPr>
        <w:ind w:firstLine="640"/>
        <w:rPr>
          <w:rFonts w:cs="方正仿宋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过紧日子：</w:t>
      </w:r>
      <w:r>
        <w:rPr>
          <w:rFonts w:hint="eastAsia" w:cs="方正仿宋_GBK"/>
          <w:color w:val="000000" w:themeColor="text1"/>
          <w:szCs w:val="32"/>
          <w14:textFill>
            <w14:solidFill>
              <w14:schemeClr w14:val="tx1"/>
            </w14:solidFill>
          </w14:textFill>
        </w:rPr>
        <w:t>是党中央、国务院长期坚持的工作方针，也是保障财政平稳运行、推动发展的重要举措。党政机关带头厉行节约，坚持勤俭办一切事业，节用裕民，切实兜牢</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三保</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底线。压减一般性支出和非急需非刚性支出，精简会议、差旅、培训、论坛、庆典等公务活动，从严从紧管控</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三公</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经费总量，从严从紧加强预算执行约束，切实降低行政运行成本。</w:t>
      </w:r>
    </w:p>
    <w:p>
      <w:pPr>
        <w:ind w:firstLine="640"/>
        <w:rPr>
          <w:rFonts w:cs="方正仿宋_GBK"/>
          <w:color w:val="000000" w:themeColor="text1"/>
          <w:szCs w:val="32"/>
          <w14:textFill>
            <w14:solidFill>
              <w14:schemeClr w14:val="tx1"/>
            </w14:solidFill>
          </w14:textFill>
        </w:rPr>
      </w:pPr>
      <w:r>
        <w:rPr>
          <w:rFonts w:hint="eastAsia" w:ascii="方正仿宋_GBK" w:cs="方正黑体_GBK"/>
          <w:color w:val="000000" w:themeColor="text1"/>
          <w:szCs w:val="32"/>
          <w14:textFill>
            <w14:solidFill>
              <w14:schemeClr w14:val="tx1"/>
            </w14:solidFill>
          </w14:textFill>
        </w:rPr>
        <w:t>“</w:t>
      </w:r>
      <w:r>
        <w:rPr>
          <w:rFonts w:eastAsia="方正黑体_GBK" w:cs="Times New Roman"/>
          <w:color w:val="000000" w:themeColor="text1"/>
          <w:szCs w:val="32"/>
          <w14:textFill>
            <w14:solidFill>
              <w14:schemeClr w14:val="tx1"/>
            </w14:solidFill>
          </w14:textFill>
        </w:rPr>
        <w:t>1</w:t>
      </w:r>
      <w:r>
        <w:rPr>
          <w:rFonts w:eastAsia="方正黑体_GBK" w:cs="方正黑体_GBK"/>
          <w:color w:val="000000" w:themeColor="text1"/>
          <w:szCs w:val="32"/>
          <w14:textFill>
            <w14:solidFill>
              <w14:schemeClr w14:val="tx1"/>
            </w14:solidFill>
          </w14:textFill>
        </w:rPr>
        <w:t>+</w:t>
      </w:r>
      <w:r>
        <w:rPr>
          <w:rFonts w:eastAsia="方正黑体_GBK" w:cs="Times New Roman"/>
          <w:color w:val="000000" w:themeColor="text1"/>
          <w:szCs w:val="32"/>
          <w14:textFill>
            <w14:solidFill>
              <w14:schemeClr w14:val="tx1"/>
            </w14:solidFill>
          </w14:textFill>
        </w:rPr>
        <w:t>N</w:t>
      </w:r>
      <w:r>
        <w:rPr>
          <w:rFonts w:hint="eastAsia" w:ascii="方正仿宋_GBK" w:cs="方正黑体_GBK"/>
          <w:color w:val="000000" w:themeColor="text1"/>
          <w:szCs w:val="32"/>
          <w14:textFill>
            <w14:solidFill>
              <w14:schemeClr w14:val="tx1"/>
            </w14:solidFill>
          </w14:textFill>
        </w:rPr>
        <w:t>”</w:t>
      </w:r>
      <w:r>
        <w:rPr>
          <w:rFonts w:hint="eastAsia" w:eastAsia="方正黑体_GBK" w:cs="方正黑体_GBK"/>
          <w:color w:val="000000" w:themeColor="text1"/>
          <w:szCs w:val="32"/>
          <w14:textFill>
            <w14:solidFill>
              <w14:schemeClr w14:val="tx1"/>
            </w14:solidFill>
          </w14:textFill>
        </w:rPr>
        <w:t>财会监督协作配合机制：</w:t>
      </w:r>
      <w:r>
        <w:rPr>
          <w:rFonts w:hint="eastAsia" w:cs="方正仿宋_GBK"/>
          <w:color w:val="000000" w:themeColor="text1"/>
          <w:szCs w:val="32"/>
          <w14:textFill>
            <w14:solidFill>
              <w14:schemeClr w14:val="tx1"/>
            </w14:solidFill>
          </w14:textFill>
        </w:rPr>
        <w:t>为深入贯彻落实中共中央办公厅国务院办公厅《关于进一步加强财会监督工作的意见》，切实履行财会监督主责，推动各单位扎实落实好各项任务，维护中央政令畅通、规范财经秩序，区纪委监委与区财政局联合拟定《重庆市大渡口区</w:t>
      </w:r>
      <w:r>
        <w:rPr>
          <w:rFonts w:hint="eastAsia" w:ascii="方正仿宋_GBK" w:cs="方正仿宋_GBK"/>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1+N</w:t>
      </w:r>
      <w:r>
        <w:rPr>
          <w:rFonts w:hint="eastAsia" w:ascii="方正仿宋_GBK"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财会监督协作配合机制》（渡财发〔</w:t>
      </w:r>
      <w:r>
        <w:rPr>
          <w:rFonts w:cs="Times New Roman"/>
          <w:color w:val="000000" w:themeColor="text1"/>
          <w:szCs w:val="32"/>
          <w14:textFill>
            <w14:solidFill>
              <w14:schemeClr w14:val="tx1"/>
            </w14:solidFill>
          </w14:textFill>
        </w:rPr>
        <w:t>2023</w:t>
      </w:r>
      <w:r>
        <w:rPr>
          <w:rFonts w:hint="eastAsia" w:cs="方正仿宋_GBK"/>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58</w:t>
      </w:r>
      <w:r>
        <w:rPr>
          <w:rFonts w:hint="eastAsia" w:cs="方正仿宋_GBK"/>
          <w:color w:val="000000" w:themeColor="text1"/>
          <w:szCs w:val="32"/>
          <w14:textFill>
            <w14:solidFill>
              <w14:schemeClr w14:val="tx1"/>
            </w14:solidFill>
          </w14:textFill>
        </w:rPr>
        <w:t>号），区纪委监委、区财政局作为主体，除相互建立协作机制外，根据工作需要，可与区人大、区政协、区委巡察办、区委政法委、区审计局、区统计局、区信访办等任何一个单位建立协作机制（即子机制），构建全方位财会监督体系。</w:t>
      </w:r>
    </w:p>
    <w:p>
      <w:pPr>
        <w:pStyle w:val="23"/>
        <w:spacing w:line="594" w:lineRule="exact"/>
        <w:ind w:firstLine="640" w:firstLineChars="200"/>
        <w:jc w:val="center"/>
        <w:rPr>
          <w:rFonts w:eastAsia="方正仿宋_GBK"/>
          <w:kern w:val="0"/>
          <w:sz w:val="32"/>
          <w:szCs w:val="32"/>
        </w:rPr>
      </w:pPr>
    </w:p>
    <w:p>
      <w:pPr>
        <w:pStyle w:val="23"/>
        <w:spacing w:line="594" w:lineRule="exact"/>
        <w:ind w:firstLine="640" w:firstLineChars="200"/>
        <w:jc w:val="center"/>
        <w:rPr>
          <w:rFonts w:eastAsia="方正仿宋_GBK"/>
          <w:kern w:val="0"/>
          <w:sz w:val="32"/>
          <w:szCs w:val="32"/>
        </w:rPr>
      </w:pPr>
    </w:p>
    <w:p>
      <w:pPr>
        <w:spacing w:before="93" w:beforeLines="30"/>
        <w:ind w:firstLine="640"/>
        <w:rPr>
          <w:color w:val="000000"/>
          <w:kern w:val="0"/>
        </w:rPr>
      </w:pPr>
    </w:p>
    <w:p>
      <w:pPr>
        <w:spacing w:before="93" w:beforeLines="30" w:line="400" w:lineRule="exact"/>
        <w:ind w:firstLine="640"/>
        <w:rPr>
          <w:color w:val="000000"/>
        </w:rPr>
      </w:pPr>
    </w:p>
    <w:p>
      <w:pPr>
        <w:pStyle w:val="2"/>
      </w:pPr>
    </w:p>
    <w:p>
      <w:pPr>
        <w:ind w:firstLine="640"/>
      </w:pPr>
    </w:p>
    <w:p>
      <w:pPr>
        <w:pStyle w:val="2"/>
      </w:pPr>
    </w:p>
    <w:p>
      <w:pPr>
        <w:ind w:firstLine="640"/>
      </w:pPr>
    </w:p>
    <w:p>
      <w:pPr>
        <w:pStyle w:val="2"/>
      </w:pPr>
    </w:p>
    <w:p>
      <w:pPr>
        <w:pStyle w:val="2"/>
      </w:pPr>
    </w:p>
    <w:p>
      <w:pPr>
        <w:ind w:firstLine="640"/>
      </w:pPr>
    </w:p>
    <w:p>
      <w:pPr>
        <w:pStyle w:val="2"/>
      </w:pPr>
    </w:p>
    <w:p>
      <w:pPr>
        <w:pBdr>
          <w:top w:val="single" w:color="auto" w:sz="6" w:space="1"/>
          <w:bottom w:val="single" w:color="auto" w:sz="6" w:space="1"/>
        </w:pBdr>
        <w:spacing w:line="480" w:lineRule="exact"/>
        <w:ind w:firstLine="0" w:firstLineChars="0"/>
      </w:pPr>
      <w:r>
        <w:rPr>
          <w:color w:val="000000"/>
          <w:sz w:val="30"/>
          <w:szCs w:val="30"/>
        </w:rPr>
        <w:t xml:space="preserve"> </w:t>
      </w:r>
      <w:r>
        <w:rPr>
          <w:rFonts w:hint="eastAsia"/>
          <w:color w:val="000000"/>
          <w:sz w:val="30"/>
          <w:szCs w:val="30"/>
        </w:rPr>
        <w:t xml:space="preserve"> </w:t>
      </w:r>
      <w:r>
        <w:rPr>
          <w:color w:val="000000"/>
          <w:sz w:val="30"/>
          <w:szCs w:val="30"/>
        </w:rPr>
        <w:t>区第十</w:t>
      </w:r>
      <w:r>
        <w:rPr>
          <w:rFonts w:hint="eastAsia"/>
          <w:color w:val="000000"/>
          <w:sz w:val="30"/>
          <w:szCs w:val="30"/>
        </w:rPr>
        <w:t>四</w:t>
      </w:r>
      <w:r>
        <w:rPr>
          <w:color w:val="000000"/>
          <w:sz w:val="30"/>
          <w:szCs w:val="30"/>
        </w:rPr>
        <w:t>届人大</w:t>
      </w:r>
      <w:r>
        <w:rPr>
          <w:rFonts w:hint="eastAsia"/>
          <w:color w:val="000000"/>
          <w:sz w:val="30"/>
          <w:szCs w:val="30"/>
        </w:rPr>
        <w:t>四</w:t>
      </w:r>
      <w:r>
        <w:rPr>
          <w:color w:val="000000"/>
          <w:sz w:val="30"/>
          <w:szCs w:val="30"/>
        </w:rPr>
        <w:t xml:space="preserve">次会议秘书处      </w:t>
      </w:r>
      <w:r>
        <w:rPr>
          <w:rFonts w:hint="eastAsia"/>
          <w:color w:val="000000"/>
          <w:sz w:val="30"/>
          <w:szCs w:val="30"/>
        </w:rPr>
        <w:t xml:space="preserve"> </w:t>
      </w:r>
      <w:r>
        <w:rPr>
          <w:color w:val="000000"/>
          <w:sz w:val="30"/>
          <w:szCs w:val="30"/>
        </w:rPr>
        <w:t xml:space="preserve"> </w:t>
      </w:r>
      <w:r>
        <w:rPr>
          <w:rFonts w:hint="eastAsia"/>
          <w:color w:val="000000"/>
          <w:sz w:val="30"/>
          <w:szCs w:val="30"/>
        </w:rPr>
        <w:t xml:space="preserve"> </w:t>
      </w:r>
      <w:r>
        <w:rPr>
          <w:color w:val="000000"/>
          <w:sz w:val="30"/>
          <w:szCs w:val="30"/>
        </w:rPr>
        <w:t>2024年6月12日印制</w:t>
      </w:r>
    </w:p>
    <w:sectPr>
      <w:headerReference r:id="rId7" w:type="first"/>
      <w:footerReference r:id="rId10" w:type="first"/>
      <w:headerReference r:id="rId5" w:type="default"/>
      <w:footerReference r:id="rId8" w:type="default"/>
      <w:headerReference r:id="rId6" w:type="even"/>
      <w:footerReference r:id="rId9" w:type="even"/>
      <w:pgSz w:w="11906" w:h="16838"/>
      <w:pgMar w:top="1814" w:right="1446" w:bottom="1814" w:left="1446" w:header="851" w:footer="1134"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01F3AE-E1ED-4CD8-8753-1C851D2942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E8A86AD7-05AC-4EDF-A17A-57C1764D4713}"/>
  </w:font>
  <w:font w:name="等线 Light">
    <w:panose1 w:val="02010600030101010101"/>
    <w:charset w:val="86"/>
    <w:family w:val="auto"/>
    <w:pitch w:val="default"/>
    <w:sig w:usb0="A00002BF" w:usb1="38CF7CFA" w:usb2="00000016" w:usb3="00000000" w:csb0="0004000F"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embedRegular r:id="rId3" w:fontKey="{EF61CE49-DC99-41DC-BAFC-53F0B924989E}"/>
  </w:font>
  <w:font w:name="方正小标宋_GBK">
    <w:panose1 w:val="03000509000000000000"/>
    <w:charset w:val="86"/>
    <w:family w:val="script"/>
    <w:pitch w:val="default"/>
    <w:sig w:usb0="00000001" w:usb1="080E0000" w:usb2="00000000" w:usb3="00000000" w:csb0="00040000" w:csb1="00000000"/>
    <w:embedRegular r:id="rId4" w:fontKey="{A208972D-7433-47B7-BF8B-897E3835C704}"/>
  </w:font>
  <w:font w:name="方正楷体_GBK">
    <w:panose1 w:val="03000509000000000000"/>
    <w:charset w:val="86"/>
    <w:family w:val="script"/>
    <w:pitch w:val="default"/>
    <w:sig w:usb0="00000001" w:usb1="080E0000" w:usb2="00000000" w:usb3="00000000" w:csb0="00040000" w:csb1="00000000"/>
    <w:embedRegular r:id="rId5" w:fontKey="{1E41181E-5C1F-4F15-ADDF-C6F09BDFBA3C}"/>
  </w:font>
  <w:font w:name="仿宋">
    <w:panose1 w:val="02010609060101010101"/>
    <w:charset w:val="86"/>
    <w:family w:val="modern"/>
    <w:pitch w:val="default"/>
    <w:sig w:usb0="800002BF" w:usb1="38CF7CFA" w:usb2="00000016" w:usb3="00000000" w:csb0="00040001" w:csb1="00000000"/>
    <w:embedRegular r:id="rId6" w:fontKey="{78DFBEDC-210D-4AC6-9E8A-BE9667039C0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56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ind w:firstLine="56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2Y2U0ZDczNWU4YTk3NDY1MDRmMzg5MWM2ZTIzZjIifQ=="/>
  </w:docVars>
  <w:rsids>
    <w:rsidRoot w:val="00607EB3"/>
    <w:rsid w:val="00023B5E"/>
    <w:rsid w:val="00024BF1"/>
    <w:rsid w:val="00055E9C"/>
    <w:rsid w:val="002C44BD"/>
    <w:rsid w:val="002D3A42"/>
    <w:rsid w:val="005462A4"/>
    <w:rsid w:val="006043DD"/>
    <w:rsid w:val="00607EB3"/>
    <w:rsid w:val="00643901"/>
    <w:rsid w:val="00650C4B"/>
    <w:rsid w:val="007E5748"/>
    <w:rsid w:val="009266F5"/>
    <w:rsid w:val="00935C90"/>
    <w:rsid w:val="0094270B"/>
    <w:rsid w:val="00965819"/>
    <w:rsid w:val="009C55CA"/>
    <w:rsid w:val="00A149C5"/>
    <w:rsid w:val="00B76E8A"/>
    <w:rsid w:val="00C07B77"/>
    <w:rsid w:val="00C51778"/>
    <w:rsid w:val="00D17DD5"/>
    <w:rsid w:val="00D732F7"/>
    <w:rsid w:val="00F800BC"/>
    <w:rsid w:val="01006013"/>
    <w:rsid w:val="01922CF6"/>
    <w:rsid w:val="01A0106F"/>
    <w:rsid w:val="01C34939"/>
    <w:rsid w:val="01C568F5"/>
    <w:rsid w:val="01DB0BBC"/>
    <w:rsid w:val="01E255CF"/>
    <w:rsid w:val="01F23B15"/>
    <w:rsid w:val="02176081"/>
    <w:rsid w:val="022C4EFD"/>
    <w:rsid w:val="02380E83"/>
    <w:rsid w:val="0263033E"/>
    <w:rsid w:val="02706BB8"/>
    <w:rsid w:val="027F4EC7"/>
    <w:rsid w:val="02830579"/>
    <w:rsid w:val="028B41AB"/>
    <w:rsid w:val="02902431"/>
    <w:rsid w:val="02A5306C"/>
    <w:rsid w:val="02C14837"/>
    <w:rsid w:val="02C22E67"/>
    <w:rsid w:val="02C509C8"/>
    <w:rsid w:val="02F34C23"/>
    <w:rsid w:val="02F4546D"/>
    <w:rsid w:val="02FE3E7B"/>
    <w:rsid w:val="03113449"/>
    <w:rsid w:val="031A4A2D"/>
    <w:rsid w:val="03286A27"/>
    <w:rsid w:val="034026E5"/>
    <w:rsid w:val="034269D4"/>
    <w:rsid w:val="03634320"/>
    <w:rsid w:val="036A11C3"/>
    <w:rsid w:val="036A6130"/>
    <w:rsid w:val="038F71C9"/>
    <w:rsid w:val="03AE6B94"/>
    <w:rsid w:val="03B67F49"/>
    <w:rsid w:val="03BE7AAE"/>
    <w:rsid w:val="03DC7377"/>
    <w:rsid w:val="03E405DE"/>
    <w:rsid w:val="040974B9"/>
    <w:rsid w:val="043124DA"/>
    <w:rsid w:val="04347DD5"/>
    <w:rsid w:val="04412ACB"/>
    <w:rsid w:val="04581CB1"/>
    <w:rsid w:val="04773870"/>
    <w:rsid w:val="047F1D53"/>
    <w:rsid w:val="04997407"/>
    <w:rsid w:val="04CF4B5A"/>
    <w:rsid w:val="04E02086"/>
    <w:rsid w:val="04FA70D7"/>
    <w:rsid w:val="04FF66FE"/>
    <w:rsid w:val="0508755C"/>
    <w:rsid w:val="050D4050"/>
    <w:rsid w:val="05272BF5"/>
    <w:rsid w:val="053075E9"/>
    <w:rsid w:val="0535606F"/>
    <w:rsid w:val="053710BA"/>
    <w:rsid w:val="053967A4"/>
    <w:rsid w:val="054C48B1"/>
    <w:rsid w:val="05A33A8B"/>
    <w:rsid w:val="05A750DF"/>
    <w:rsid w:val="05AE2A11"/>
    <w:rsid w:val="05B3149A"/>
    <w:rsid w:val="05BC2835"/>
    <w:rsid w:val="05BD1F9E"/>
    <w:rsid w:val="05E7509A"/>
    <w:rsid w:val="05EB7BA4"/>
    <w:rsid w:val="05FD4A1E"/>
    <w:rsid w:val="061A29D1"/>
    <w:rsid w:val="064A17BB"/>
    <w:rsid w:val="065B5AB5"/>
    <w:rsid w:val="065D710A"/>
    <w:rsid w:val="066071A8"/>
    <w:rsid w:val="06862E5E"/>
    <w:rsid w:val="06922D52"/>
    <w:rsid w:val="069465E7"/>
    <w:rsid w:val="06B1754A"/>
    <w:rsid w:val="06F159F8"/>
    <w:rsid w:val="071A478A"/>
    <w:rsid w:val="071E0F8F"/>
    <w:rsid w:val="072670D1"/>
    <w:rsid w:val="074A11F7"/>
    <w:rsid w:val="0752173A"/>
    <w:rsid w:val="07824D5A"/>
    <w:rsid w:val="07866368"/>
    <w:rsid w:val="0791605A"/>
    <w:rsid w:val="079923C4"/>
    <w:rsid w:val="07A36E21"/>
    <w:rsid w:val="07AF5AE8"/>
    <w:rsid w:val="07AF695B"/>
    <w:rsid w:val="07BC2FE1"/>
    <w:rsid w:val="07CC56E3"/>
    <w:rsid w:val="07CD6512"/>
    <w:rsid w:val="07CF2B2E"/>
    <w:rsid w:val="07D07D97"/>
    <w:rsid w:val="07D72153"/>
    <w:rsid w:val="07E00AE6"/>
    <w:rsid w:val="07EF3C34"/>
    <w:rsid w:val="080E31F7"/>
    <w:rsid w:val="081E3231"/>
    <w:rsid w:val="081F41A4"/>
    <w:rsid w:val="08202D73"/>
    <w:rsid w:val="083206F1"/>
    <w:rsid w:val="084367D4"/>
    <w:rsid w:val="084C6104"/>
    <w:rsid w:val="084D4F86"/>
    <w:rsid w:val="085922ED"/>
    <w:rsid w:val="086749B7"/>
    <w:rsid w:val="0873372A"/>
    <w:rsid w:val="0887061A"/>
    <w:rsid w:val="08922B11"/>
    <w:rsid w:val="0895087F"/>
    <w:rsid w:val="089814B8"/>
    <w:rsid w:val="08984EB5"/>
    <w:rsid w:val="08A073B6"/>
    <w:rsid w:val="08B55388"/>
    <w:rsid w:val="08B95E86"/>
    <w:rsid w:val="08BA42CA"/>
    <w:rsid w:val="08E23118"/>
    <w:rsid w:val="09025217"/>
    <w:rsid w:val="093C031A"/>
    <w:rsid w:val="096C0417"/>
    <w:rsid w:val="09796227"/>
    <w:rsid w:val="098C7F03"/>
    <w:rsid w:val="09A6429E"/>
    <w:rsid w:val="09B2449F"/>
    <w:rsid w:val="09B47989"/>
    <w:rsid w:val="09BB2179"/>
    <w:rsid w:val="09F73A65"/>
    <w:rsid w:val="09FE5583"/>
    <w:rsid w:val="0A063D35"/>
    <w:rsid w:val="0A16109C"/>
    <w:rsid w:val="0A27682A"/>
    <w:rsid w:val="0A331A7F"/>
    <w:rsid w:val="0A3B2546"/>
    <w:rsid w:val="0A485715"/>
    <w:rsid w:val="0A5B23B0"/>
    <w:rsid w:val="0A5C592B"/>
    <w:rsid w:val="0A5E1724"/>
    <w:rsid w:val="0A856C30"/>
    <w:rsid w:val="0A8C7B7E"/>
    <w:rsid w:val="0AA33182"/>
    <w:rsid w:val="0AA82365"/>
    <w:rsid w:val="0AAB4536"/>
    <w:rsid w:val="0ABD286A"/>
    <w:rsid w:val="0AC41DF2"/>
    <w:rsid w:val="0AE001D0"/>
    <w:rsid w:val="0AED6071"/>
    <w:rsid w:val="0B0034C3"/>
    <w:rsid w:val="0B0D5690"/>
    <w:rsid w:val="0B310A42"/>
    <w:rsid w:val="0B316DB7"/>
    <w:rsid w:val="0B564018"/>
    <w:rsid w:val="0B567D97"/>
    <w:rsid w:val="0B6151C6"/>
    <w:rsid w:val="0BA930FF"/>
    <w:rsid w:val="0BC87F5F"/>
    <w:rsid w:val="0BFF6152"/>
    <w:rsid w:val="0C21751C"/>
    <w:rsid w:val="0C721BC9"/>
    <w:rsid w:val="0C95349C"/>
    <w:rsid w:val="0CA00EDB"/>
    <w:rsid w:val="0CA529A8"/>
    <w:rsid w:val="0CB77B7F"/>
    <w:rsid w:val="0CCD3E37"/>
    <w:rsid w:val="0D0620C2"/>
    <w:rsid w:val="0D1654E7"/>
    <w:rsid w:val="0D5C3123"/>
    <w:rsid w:val="0D78734C"/>
    <w:rsid w:val="0D956F4B"/>
    <w:rsid w:val="0DD016A8"/>
    <w:rsid w:val="0DD22341"/>
    <w:rsid w:val="0DEC6642"/>
    <w:rsid w:val="0E2D253A"/>
    <w:rsid w:val="0E3850A3"/>
    <w:rsid w:val="0E814CBC"/>
    <w:rsid w:val="0E854224"/>
    <w:rsid w:val="0E89753D"/>
    <w:rsid w:val="0EA555F2"/>
    <w:rsid w:val="0EAB7754"/>
    <w:rsid w:val="0EBC238B"/>
    <w:rsid w:val="0EC3241C"/>
    <w:rsid w:val="0ED41111"/>
    <w:rsid w:val="0EDF7237"/>
    <w:rsid w:val="0EF24821"/>
    <w:rsid w:val="0F207E36"/>
    <w:rsid w:val="0F293F61"/>
    <w:rsid w:val="0F3F5FF6"/>
    <w:rsid w:val="0F40352A"/>
    <w:rsid w:val="0F4378BC"/>
    <w:rsid w:val="0F641785"/>
    <w:rsid w:val="0F803D93"/>
    <w:rsid w:val="0FA552EC"/>
    <w:rsid w:val="0FB44D0A"/>
    <w:rsid w:val="0FBD6F4F"/>
    <w:rsid w:val="0FD474A3"/>
    <w:rsid w:val="0FE900AB"/>
    <w:rsid w:val="0FF33641"/>
    <w:rsid w:val="0FF64BD6"/>
    <w:rsid w:val="100A03A2"/>
    <w:rsid w:val="10100D48"/>
    <w:rsid w:val="10103AA1"/>
    <w:rsid w:val="102B7309"/>
    <w:rsid w:val="103D6A44"/>
    <w:rsid w:val="10652901"/>
    <w:rsid w:val="107A165C"/>
    <w:rsid w:val="107A37FD"/>
    <w:rsid w:val="10920EDC"/>
    <w:rsid w:val="10974B76"/>
    <w:rsid w:val="10C61934"/>
    <w:rsid w:val="10C9235E"/>
    <w:rsid w:val="10CF0F95"/>
    <w:rsid w:val="10E9716C"/>
    <w:rsid w:val="10FA719A"/>
    <w:rsid w:val="11014C26"/>
    <w:rsid w:val="11035D0B"/>
    <w:rsid w:val="11141A03"/>
    <w:rsid w:val="1117099C"/>
    <w:rsid w:val="11316F3C"/>
    <w:rsid w:val="1133429E"/>
    <w:rsid w:val="11370AB8"/>
    <w:rsid w:val="11451B81"/>
    <w:rsid w:val="114A06AA"/>
    <w:rsid w:val="115C5B58"/>
    <w:rsid w:val="11BF6065"/>
    <w:rsid w:val="11C34329"/>
    <w:rsid w:val="11CD08B2"/>
    <w:rsid w:val="12082D4A"/>
    <w:rsid w:val="12244303"/>
    <w:rsid w:val="123C4DBB"/>
    <w:rsid w:val="12596163"/>
    <w:rsid w:val="12645540"/>
    <w:rsid w:val="127B7303"/>
    <w:rsid w:val="12D90460"/>
    <w:rsid w:val="12F406A3"/>
    <w:rsid w:val="12FC2400"/>
    <w:rsid w:val="13013308"/>
    <w:rsid w:val="13267ED6"/>
    <w:rsid w:val="132C2FE4"/>
    <w:rsid w:val="13322521"/>
    <w:rsid w:val="13371F4B"/>
    <w:rsid w:val="13564C92"/>
    <w:rsid w:val="138471FF"/>
    <w:rsid w:val="13871441"/>
    <w:rsid w:val="138D1D5B"/>
    <w:rsid w:val="139D323C"/>
    <w:rsid w:val="13B970CB"/>
    <w:rsid w:val="13D3211D"/>
    <w:rsid w:val="13FE517B"/>
    <w:rsid w:val="142521EB"/>
    <w:rsid w:val="142E0338"/>
    <w:rsid w:val="144910C6"/>
    <w:rsid w:val="14597501"/>
    <w:rsid w:val="145B5532"/>
    <w:rsid w:val="1460444C"/>
    <w:rsid w:val="147937A9"/>
    <w:rsid w:val="14812BFC"/>
    <w:rsid w:val="149A59CD"/>
    <w:rsid w:val="14AB4542"/>
    <w:rsid w:val="14B215FC"/>
    <w:rsid w:val="14C00CF8"/>
    <w:rsid w:val="14CD090E"/>
    <w:rsid w:val="14D1441C"/>
    <w:rsid w:val="14DC6490"/>
    <w:rsid w:val="14E119B6"/>
    <w:rsid w:val="14EF5BB7"/>
    <w:rsid w:val="14FB46BE"/>
    <w:rsid w:val="15160F0F"/>
    <w:rsid w:val="15192D96"/>
    <w:rsid w:val="151D2886"/>
    <w:rsid w:val="15241F6E"/>
    <w:rsid w:val="15284D87"/>
    <w:rsid w:val="15363948"/>
    <w:rsid w:val="156075A5"/>
    <w:rsid w:val="1578412D"/>
    <w:rsid w:val="158749D1"/>
    <w:rsid w:val="15956F42"/>
    <w:rsid w:val="159C050D"/>
    <w:rsid w:val="159D0DF6"/>
    <w:rsid w:val="15B42ABF"/>
    <w:rsid w:val="15C251DC"/>
    <w:rsid w:val="15D67C61"/>
    <w:rsid w:val="15E13A56"/>
    <w:rsid w:val="15E2587E"/>
    <w:rsid w:val="15F22921"/>
    <w:rsid w:val="15FB50D7"/>
    <w:rsid w:val="160F72E7"/>
    <w:rsid w:val="16464112"/>
    <w:rsid w:val="164E202D"/>
    <w:rsid w:val="16512788"/>
    <w:rsid w:val="166A71BF"/>
    <w:rsid w:val="166B7324"/>
    <w:rsid w:val="166C6770"/>
    <w:rsid w:val="167504A0"/>
    <w:rsid w:val="168202B3"/>
    <w:rsid w:val="168359AA"/>
    <w:rsid w:val="16870E2B"/>
    <w:rsid w:val="16C65804"/>
    <w:rsid w:val="16F71E66"/>
    <w:rsid w:val="1720476D"/>
    <w:rsid w:val="17435EA8"/>
    <w:rsid w:val="174B51D1"/>
    <w:rsid w:val="17621304"/>
    <w:rsid w:val="176B574F"/>
    <w:rsid w:val="17C30C43"/>
    <w:rsid w:val="17CD51D3"/>
    <w:rsid w:val="17F315CA"/>
    <w:rsid w:val="17F8300B"/>
    <w:rsid w:val="180E5D6E"/>
    <w:rsid w:val="18355169"/>
    <w:rsid w:val="18756816"/>
    <w:rsid w:val="188B06F2"/>
    <w:rsid w:val="188D4025"/>
    <w:rsid w:val="18AE67AD"/>
    <w:rsid w:val="18B838E7"/>
    <w:rsid w:val="18C3358C"/>
    <w:rsid w:val="18CC1BE6"/>
    <w:rsid w:val="18DF41FF"/>
    <w:rsid w:val="18F9224D"/>
    <w:rsid w:val="18F93DF7"/>
    <w:rsid w:val="19063C86"/>
    <w:rsid w:val="191B7EEF"/>
    <w:rsid w:val="196F7429"/>
    <w:rsid w:val="197B4124"/>
    <w:rsid w:val="197D09FB"/>
    <w:rsid w:val="197E58BE"/>
    <w:rsid w:val="198527A8"/>
    <w:rsid w:val="198570FD"/>
    <w:rsid w:val="19924E0F"/>
    <w:rsid w:val="19A16791"/>
    <w:rsid w:val="19A8714A"/>
    <w:rsid w:val="19BB6F33"/>
    <w:rsid w:val="19F85C5C"/>
    <w:rsid w:val="19FE11E9"/>
    <w:rsid w:val="1A1155B9"/>
    <w:rsid w:val="1A1E18FA"/>
    <w:rsid w:val="1A2E0660"/>
    <w:rsid w:val="1A375B24"/>
    <w:rsid w:val="1A3F329F"/>
    <w:rsid w:val="1AA02869"/>
    <w:rsid w:val="1AA17AB6"/>
    <w:rsid w:val="1AA56239"/>
    <w:rsid w:val="1AAA0E72"/>
    <w:rsid w:val="1AB64480"/>
    <w:rsid w:val="1ADE52ED"/>
    <w:rsid w:val="1AE46991"/>
    <w:rsid w:val="1AEB150E"/>
    <w:rsid w:val="1AF119F7"/>
    <w:rsid w:val="1AFA2409"/>
    <w:rsid w:val="1B507F0B"/>
    <w:rsid w:val="1B6F1D56"/>
    <w:rsid w:val="1BCB3865"/>
    <w:rsid w:val="1BD1641A"/>
    <w:rsid w:val="1BF240E6"/>
    <w:rsid w:val="1C003FF3"/>
    <w:rsid w:val="1C373D6C"/>
    <w:rsid w:val="1C38261B"/>
    <w:rsid w:val="1C43194C"/>
    <w:rsid w:val="1C606A26"/>
    <w:rsid w:val="1C747163"/>
    <w:rsid w:val="1C7A3CE1"/>
    <w:rsid w:val="1C7B6763"/>
    <w:rsid w:val="1C8377F1"/>
    <w:rsid w:val="1CA174BF"/>
    <w:rsid w:val="1CB70E38"/>
    <w:rsid w:val="1CCF06B4"/>
    <w:rsid w:val="1CDD28FB"/>
    <w:rsid w:val="1CEA6F2A"/>
    <w:rsid w:val="1D183E04"/>
    <w:rsid w:val="1D1D56B6"/>
    <w:rsid w:val="1D30196B"/>
    <w:rsid w:val="1D362D92"/>
    <w:rsid w:val="1D586BC9"/>
    <w:rsid w:val="1D7B3B9C"/>
    <w:rsid w:val="1D833A1D"/>
    <w:rsid w:val="1D9D0E88"/>
    <w:rsid w:val="1DA22867"/>
    <w:rsid w:val="1DA83B43"/>
    <w:rsid w:val="1DB17A6B"/>
    <w:rsid w:val="1DC15D79"/>
    <w:rsid w:val="1DD43FC3"/>
    <w:rsid w:val="1DEE17D6"/>
    <w:rsid w:val="1DF84D92"/>
    <w:rsid w:val="1DFF1031"/>
    <w:rsid w:val="1E0454E0"/>
    <w:rsid w:val="1E0B7889"/>
    <w:rsid w:val="1E43688B"/>
    <w:rsid w:val="1E540716"/>
    <w:rsid w:val="1E5B61CE"/>
    <w:rsid w:val="1E765436"/>
    <w:rsid w:val="1E880499"/>
    <w:rsid w:val="1E9A4F48"/>
    <w:rsid w:val="1EA27B52"/>
    <w:rsid w:val="1ED2266E"/>
    <w:rsid w:val="1ED427CB"/>
    <w:rsid w:val="1ED94C81"/>
    <w:rsid w:val="1EDA03A5"/>
    <w:rsid w:val="1EDB4D29"/>
    <w:rsid w:val="1EDC305D"/>
    <w:rsid w:val="1EDE28AA"/>
    <w:rsid w:val="1EF7591A"/>
    <w:rsid w:val="1F0C571A"/>
    <w:rsid w:val="1F0D396C"/>
    <w:rsid w:val="1F3548CD"/>
    <w:rsid w:val="1FBA266B"/>
    <w:rsid w:val="1FD67569"/>
    <w:rsid w:val="1FDA74DA"/>
    <w:rsid w:val="1FE50EA3"/>
    <w:rsid w:val="1FE62671"/>
    <w:rsid w:val="1FE8057E"/>
    <w:rsid w:val="200510A0"/>
    <w:rsid w:val="20107336"/>
    <w:rsid w:val="202A5E57"/>
    <w:rsid w:val="202B226F"/>
    <w:rsid w:val="202B77C9"/>
    <w:rsid w:val="20312AC4"/>
    <w:rsid w:val="204C61DA"/>
    <w:rsid w:val="2081488B"/>
    <w:rsid w:val="20867BFF"/>
    <w:rsid w:val="20A66811"/>
    <w:rsid w:val="20D76FCF"/>
    <w:rsid w:val="20DD4DB1"/>
    <w:rsid w:val="20F85F56"/>
    <w:rsid w:val="21041F62"/>
    <w:rsid w:val="21103460"/>
    <w:rsid w:val="2121305B"/>
    <w:rsid w:val="21341295"/>
    <w:rsid w:val="21372EA7"/>
    <w:rsid w:val="215625E9"/>
    <w:rsid w:val="215A6135"/>
    <w:rsid w:val="216918F1"/>
    <w:rsid w:val="2180126C"/>
    <w:rsid w:val="219D2A06"/>
    <w:rsid w:val="21A12375"/>
    <w:rsid w:val="21BB3537"/>
    <w:rsid w:val="21C44213"/>
    <w:rsid w:val="21CB3A0E"/>
    <w:rsid w:val="21D2761A"/>
    <w:rsid w:val="21D36AAE"/>
    <w:rsid w:val="21DD6EFA"/>
    <w:rsid w:val="21F479B5"/>
    <w:rsid w:val="21F54C13"/>
    <w:rsid w:val="21FC788F"/>
    <w:rsid w:val="22045350"/>
    <w:rsid w:val="22394C2E"/>
    <w:rsid w:val="224362B3"/>
    <w:rsid w:val="224C5455"/>
    <w:rsid w:val="226F0499"/>
    <w:rsid w:val="228538FC"/>
    <w:rsid w:val="22995EBB"/>
    <w:rsid w:val="22AE2582"/>
    <w:rsid w:val="22BD5B1F"/>
    <w:rsid w:val="22BF2DB9"/>
    <w:rsid w:val="22D327D6"/>
    <w:rsid w:val="22EC3898"/>
    <w:rsid w:val="230070D6"/>
    <w:rsid w:val="230C2ABD"/>
    <w:rsid w:val="232374FF"/>
    <w:rsid w:val="23390E06"/>
    <w:rsid w:val="23595C12"/>
    <w:rsid w:val="23613156"/>
    <w:rsid w:val="23636C99"/>
    <w:rsid w:val="23681B50"/>
    <w:rsid w:val="2374333A"/>
    <w:rsid w:val="23897339"/>
    <w:rsid w:val="23BF5AF8"/>
    <w:rsid w:val="23CD6315"/>
    <w:rsid w:val="23EF371F"/>
    <w:rsid w:val="23EF4C0A"/>
    <w:rsid w:val="2402731D"/>
    <w:rsid w:val="24107EBF"/>
    <w:rsid w:val="242660D1"/>
    <w:rsid w:val="242B6B17"/>
    <w:rsid w:val="24537B41"/>
    <w:rsid w:val="24544C2F"/>
    <w:rsid w:val="24660E9F"/>
    <w:rsid w:val="246E22C4"/>
    <w:rsid w:val="247C062F"/>
    <w:rsid w:val="24A71DF6"/>
    <w:rsid w:val="24FA30FD"/>
    <w:rsid w:val="25140E84"/>
    <w:rsid w:val="25177BAA"/>
    <w:rsid w:val="2518114C"/>
    <w:rsid w:val="251A3586"/>
    <w:rsid w:val="25326F24"/>
    <w:rsid w:val="253A6428"/>
    <w:rsid w:val="253B4663"/>
    <w:rsid w:val="25614AF9"/>
    <w:rsid w:val="25655C01"/>
    <w:rsid w:val="256D2F4B"/>
    <w:rsid w:val="25784DCD"/>
    <w:rsid w:val="259B177A"/>
    <w:rsid w:val="25A160E0"/>
    <w:rsid w:val="25AC3E98"/>
    <w:rsid w:val="25BE4D9B"/>
    <w:rsid w:val="26064C71"/>
    <w:rsid w:val="26182AE9"/>
    <w:rsid w:val="26230406"/>
    <w:rsid w:val="26321F0A"/>
    <w:rsid w:val="263955C3"/>
    <w:rsid w:val="26396DF4"/>
    <w:rsid w:val="26472DAD"/>
    <w:rsid w:val="264B0AC5"/>
    <w:rsid w:val="26566753"/>
    <w:rsid w:val="266675DE"/>
    <w:rsid w:val="2667064C"/>
    <w:rsid w:val="2684214B"/>
    <w:rsid w:val="268E2E7B"/>
    <w:rsid w:val="26951956"/>
    <w:rsid w:val="26A65099"/>
    <w:rsid w:val="26AA1AA0"/>
    <w:rsid w:val="26AC720E"/>
    <w:rsid w:val="26CC2EB0"/>
    <w:rsid w:val="26EA5F4A"/>
    <w:rsid w:val="271E6C96"/>
    <w:rsid w:val="273601BB"/>
    <w:rsid w:val="273D581E"/>
    <w:rsid w:val="275A64B8"/>
    <w:rsid w:val="27797FCA"/>
    <w:rsid w:val="27864680"/>
    <w:rsid w:val="27983FEE"/>
    <w:rsid w:val="27A263C0"/>
    <w:rsid w:val="27BD02A3"/>
    <w:rsid w:val="27BD3326"/>
    <w:rsid w:val="27BF0B3F"/>
    <w:rsid w:val="27C8304A"/>
    <w:rsid w:val="27CF7691"/>
    <w:rsid w:val="27D643DC"/>
    <w:rsid w:val="27DD0A2B"/>
    <w:rsid w:val="27FF3B9C"/>
    <w:rsid w:val="28101033"/>
    <w:rsid w:val="2830021C"/>
    <w:rsid w:val="283E4B90"/>
    <w:rsid w:val="287E6490"/>
    <w:rsid w:val="28881221"/>
    <w:rsid w:val="291C7135"/>
    <w:rsid w:val="29251F93"/>
    <w:rsid w:val="29265CB1"/>
    <w:rsid w:val="2935260C"/>
    <w:rsid w:val="294B29BD"/>
    <w:rsid w:val="294C4A19"/>
    <w:rsid w:val="296839BA"/>
    <w:rsid w:val="298B0B24"/>
    <w:rsid w:val="29A3305B"/>
    <w:rsid w:val="29BD5CE9"/>
    <w:rsid w:val="29C707BA"/>
    <w:rsid w:val="29CB5D59"/>
    <w:rsid w:val="29D11BF1"/>
    <w:rsid w:val="29D605B0"/>
    <w:rsid w:val="29DC2318"/>
    <w:rsid w:val="29EF51E9"/>
    <w:rsid w:val="29F13F4E"/>
    <w:rsid w:val="29F2728E"/>
    <w:rsid w:val="29F86FC6"/>
    <w:rsid w:val="2A027E45"/>
    <w:rsid w:val="2A186EB4"/>
    <w:rsid w:val="2A346DC3"/>
    <w:rsid w:val="2A570195"/>
    <w:rsid w:val="2A672BE1"/>
    <w:rsid w:val="2A6C2F6D"/>
    <w:rsid w:val="2A724C17"/>
    <w:rsid w:val="2A737E43"/>
    <w:rsid w:val="2AA66A22"/>
    <w:rsid w:val="2AB00CDB"/>
    <w:rsid w:val="2AB3404F"/>
    <w:rsid w:val="2AB84596"/>
    <w:rsid w:val="2AD61758"/>
    <w:rsid w:val="2AD76656"/>
    <w:rsid w:val="2AD77356"/>
    <w:rsid w:val="2ADA6053"/>
    <w:rsid w:val="2ADC2701"/>
    <w:rsid w:val="2AF00025"/>
    <w:rsid w:val="2AFE6D29"/>
    <w:rsid w:val="2B254C30"/>
    <w:rsid w:val="2B284F38"/>
    <w:rsid w:val="2B2C3C27"/>
    <w:rsid w:val="2B3C7829"/>
    <w:rsid w:val="2B443D39"/>
    <w:rsid w:val="2B711554"/>
    <w:rsid w:val="2B763637"/>
    <w:rsid w:val="2B9B6245"/>
    <w:rsid w:val="2BA7061E"/>
    <w:rsid w:val="2BA87E76"/>
    <w:rsid w:val="2BB04C47"/>
    <w:rsid w:val="2BFF1DD3"/>
    <w:rsid w:val="2C0055A0"/>
    <w:rsid w:val="2C060962"/>
    <w:rsid w:val="2C0C746E"/>
    <w:rsid w:val="2C2C28B2"/>
    <w:rsid w:val="2C4A5653"/>
    <w:rsid w:val="2C671741"/>
    <w:rsid w:val="2C882884"/>
    <w:rsid w:val="2C941AFF"/>
    <w:rsid w:val="2C9455AE"/>
    <w:rsid w:val="2CBA4878"/>
    <w:rsid w:val="2CC070A7"/>
    <w:rsid w:val="2CE929D4"/>
    <w:rsid w:val="2CEC6557"/>
    <w:rsid w:val="2D0828B2"/>
    <w:rsid w:val="2D123224"/>
    <w:rsid w:val="2D1265F1"/>
    <w:rsid w:val="2D1548C7"/>
    <w:rsid w:val="2D220663"/>
    <w:rsid w:val="2D38074F"/>
    <w:rsid w:val="2D3B5532"/>
    <w:rsid w:val="2D3F1B0F"/>
    <w:rsid w:val="2D502387"/>
    <w:rsid w:val="2D636E4D"/>
    <w:rsid w:val="2D654C55"/>
    <w:rsid w:val="2D742FF2"/>
    <w:rsid w:val="2D8C63A3"/>
    <w:rsid w:val="2DA276D4"/>
    <w:rsid w:val="2DBC5704"/>
    <w:rsid w:val="2DDE7170"/>
    <w:rsid w:val="2DF22335"/>
    <w:rsid w:val="2E1B361E"/>
    <w:rsid w:val="2E656BC7"/>
    <w:rsid w:val="2E764C7A"/>
    <w:rsid w:val="2E9B17D1"/>
    <w:rsid w:val="2EDA0826"/>
    <w:rsid w:val="2EE17987"/>
    <w:rsid w:val="2EE9608B"/>
    <w:rsid w:val="2EF024E3"/>
    <w:rsid w:val="2F3903D4"/>
    <w:rsid w:val="2F4045CF"/>
    <w:rsid w:val="2F621E08"/>
    <w:rsid w:val="2F7E2E20"/>
    <w:rsid w:val="2F8512FC"/>
    <w:rsid w:val="2F8F4BF3"/>
    <w:rsid w:val="2FBF26E1"/>
    <w:rsid w:val="2FCF0FD6"/>
    <w:rsid w:val="2FEF3B00"/>
    <w:rsid w:val="2FF7772B"/>
    <w:rsid w:val="2FFF28E0"/>
    <w:rsid w:val="30224D9D"/>
    <w:rsid w:val="302A0134"/>
    <w:rsid w:val="304D2D7F"/>
    <w:rsid w:val="30664FF1"/>
    <w:rsid w:val="30723E80"/>
    <w:rsid w:val="307F1F78"/>
    <w:rsid w:val="30B230AB"/>
    <w:rsid w:val="30B57C06"/>
    <w:rsid w:val="30D03191"/>
    <w:rsid w:val="30D32917"/>
    <w:rsid w:val="30E22DFF"/>
    <w:rsid w:val="31144F51"/>
    <w:rsid w:val="311B3900"/>
    <w:rsid w:val="313F1A7F"/>
    <w:rsid w:val="31861E26"/>
    <w:rsid w:val="318E6004"/>
    <w:rsid w:val="31B934DF"/>
    <w:rsid w:val="31D43285"/>
    <w:rsid w:val="31E9371D"/>
    <w:rsid w:val="321C2939"/>
    <w:rsid w:val="322D0DA5"/>
    <w:rsid w:val="322D5C93"/>
    <w:rsid w:val="3238697A"/>
    <w:rsid w:val="323C0139"/>
    <w:rsid w:val="326D3856"/>
    <w:rsid w:val="32700042"/>
    <w:rsid w:val="327B22D2"/>
    <w:rsid w:val="327D360B"/>
    <w:rsid w:val="32972AE1"/>
    <w:rsid w:val="3298346C"/>
    <w:rsid w:val="32B946DB"/>
    <w:rsid w:val="32BC4B72"/>
    <w:rsid w:val="32CD7021"/>
    <w:rsid w:val="32D00AE0"/>
    <w:rsid w:val="32E01DD7"/>
    <w:rsid w:val="32E715EF"/>
    <w:rsid w:val="32EA08A7"/>
    <w:rsid w:val="32F065E9"/>
    <w:rsid w:val="32F17A87"/>
    <w:rsid w:val="32F20545"/>
    <w:rsid w:val="330A4617"/>
    <w:rsid w:val="33154C90"/>
    <w:rsid w:val="33287859"/>
    <w:rsid w:val="3338095C"/>
    <w:rsid w:val="335014C4"/>
    <w:rsid w:val="335D5CE1"/>
    <w:rsid w:val="33614AB8"/>
    <w:rsid w:val="33824818"/>
    <w:rsid w:val="33BB6E65"/>
    <w:rsid w:val="33E32A95"/>
    <w:rsid w:val="33E54BBF"/>
    <w:rsid w:val="33E85277"/>
    <w:rsid w:val="33EC586D"/>
    <w:rsid w:val="33EF293D"/>
    <w:rsid w:val="34005DCF"/>
    <w:rsid w:val="34031034"/>
    <w:rsid w:val="34204E79"/>
    <w:rsid w:val="3424499B"/>
    <w:rsid w:val="34292A3C"/>
    <w:rsid w:val="3433211A"/>
    <w:rsid w:val="344A2B14"/>
    <w:rsid w:val="345D4148"/>
    <w:rsid w:val="347507EB"/>
    <w:rsid w:val="348F2958"/>
    <w:rsid w:val="348F462E"/>
    <w:rsid w:val="3490637E"/>
    <w:rsid w:val="349825E0"/>
    <w:rsid w:val="34A17F84"/>
    <w:rsid w:val="34A42225"/>
    <w:rsid w:val="34CE19C1"/>
    <w:rsid w:val="34D73A15"/>
    <w:rsid w:val="34DE5D84"/>
    <w:rsid w:val="34F37E30"/>
    <w:rsid w:val="35026F4B"/>
    <w:rsid w:val="351C6BAD"/>
    <w:rsid w:val="35235ADD"/>
    <w:rsid w:val="352915AC"/>
    <w:rsid w:val="352E3523"/>
    <w:rsid w:val="3534171D"/>
    <w:rsid w:val="357C5189"/>
    <w:rsid w:val="357F5F51"/>
    <w:rsid w:val="3583008C"/>
    <w:rsid w:val="358E0EB5"/>
    <w:rsid w:val="358E6D65"/>
    <w:rsid w:val="35994829"/>
    <w:rsid w:val="35BB2321"/>
    <w:rsid w:val="35F66AB0"/>
    <w:rsid w:val="36093B27"/>
    <w:rsid w:val="360E1DE1"/>
    <w:rsid w:val="36136901"/>
    <w:rsid w:val="36144458"/>
    <w:rsid w:val="361B225D"/>
    <w:rsid w:val="362B27BF"/>
    <w:rsid w:val="36394B26"/>
    <w:rsid w:val="365E6596"/>
    <w:rsid w:val="36602007"/>
    <w:rsid w:val="36642FB2"/>
    <w:rsid w:val="366618C7"/>
    <w:rsid w:val="366B1AD6"/>
    <w:rsid w:val="367A25C9"/>
    <w:rsid w:val="367B3F0F"/>
    <w:rsid w:val="36890A2C"/>
    <w:rsid w:val="369D2E5E"/>
    <w:rsid w:val="36A24C49"/>
    <w:rsid w:val="36B77F56"/>
    <w:rsid w:val="36B9358C"/>
    <w:rsid w:val="36DB1CFE"/>
    <w:rsid w:val="36DC0BC0"/>
    <w:rsid w:val="371A51A9"/>
    <w:rsid w:val="372B1404"/>
    <w:rsid w:val="378A2E1D"/>
    <w:rsid w:val="37B75FCD"/>
    <w:rsid w:val="37C4321A"/>
    <w:rsid w:val="37D86F38"/>
    <w:rsid w:val="38170AF8"/>
    <w:rsid w:val="381F6C79"/>
    <w:rsid w:val="38270E2E"/>
    <w:rsid w:val="382D04E7"/>
    <w:rsid w:val="385D1E89"/>
    <w:rsid w:val="386A4E2C"/>
    <w:rsid w:val="38922AEC"/>
    <w:rsid w:val="38B24EE1"/>
    <w:rsid w:val="38B35EA6"/>
    <w:rsid w:val="38E064AE"/>
    <w:rsid w:val="38E075A3"/>
    <w:rsid w:val="390D2FE8"/>
    <w:rsid w:val="39117723"/>
    <w:rsid w:val="39267507"/>
    <w:rsid w:val="392A5D78"/>
    <w:rsid w:val="392C587A"/>
    <w:rsid w:val="39365FDF"/>
    <w:rsid w:val="39433A43"/>
    <w:rsid w:val="3985199A"/>
    <w:rsid w:val="39D864CC"/>
    <w:rsid w:val="39DE3136"/>
    <w:rsid w:val="39E62EF9"/>
    <w:rsid w:val="39F601F7"/>
    <w:rsid w:val="3A2A20D4"/>
    <w:rsid w:val="3A2B228F"/>
    <w:rsid w:val="3A2C28B9"/>
    <w:rsid w:val="3A3951BD"/>
    <w:rsid w:val="3A5A5534"/>
    <w:rsid w:val="3A5E3E04"/>
    <w:rsid w:val="3A7B03C1"/>
    <w:rsid w:val="3A9643BE"/>
    <w:rsid w:val="3AAB54F6"/>
    <w:rsid w:val="3AB0119B"/>
    <w:rsid w:val="3AB42A96"/>
    <w:rsid w:val="3ABC7CEE"/>
    <w:rsid w:val="3AC35E1E"/>
    <w:rsid w:val="3ACC3B85"/>
    <w:rsid w:val="3AE12E79"/>
    <w:rsid w:val="3B04673F"/>
    <w:rsid w:val="3B093B64"/>
    <w:rsid w:val="3B3B7AA0"/>
    <w:rsid w:val="3B3B7EEC"/>
    <w:rsid w:val="3B3C6E0B"/>
    <w:rsid w:val="3B406BAE"/>
    <w:rsid w:val="3B421F55"/>
    <w:rsid w:val="3B4B7710"/>
    <w:rsid w:val="3B5216C6"/>
    <w:rsid w:val="3B5B7DED"/>
    <w:rsid w:val="3B6F29A8"/>
    <w:rsid w:val="3B8A3802"/>
    <w:rsid w:val="3B9D64C2"/>
    <w:rsid w:val="3BAF1C21"/>
    <w:rsid w:val="3BB84807"/>
    <w:rsid w:val="3BBF29BC"/>
    <w:rsid w:val="3BCA035A"/>
    <w:rsid w:val="3BDF5F38"/>
    <w:rsid w:val="3BE21FF8"/>
    <w:rsid w:val="3BEA4858"/>
    <w:rsid w:val="3BF25EE0"/>
    <w:rsid w:val="3BF95F85"/>
    <w:rsid w:val="3C1B6646"/>
    <w:rsid w:val="3C3F2833"/>
    <w:rsid w:val="3C6978B0"/>
    <w:rsid w:val="3C8446EA"/>
    <w:rsid w:val="3C876A6E"/>
    <w:rsid w:val="3C8B75B2"/>
    <w:rsid w:val="3C932B53"/>
    <w:rsid w:val="3C952F21"/>
    <w:rsid w:val="3CAB4812"/>
    <w:rsid w:val="3CBF56F8"/>
    <w:rsid w:val="3CC062AF"/>
    <w:rsid w:val="3CC21436"/>
    <w:rsid w:val="3CD53E49"/>
    <w:rsid w:val="3CD7353E"/>
    <w:rsid w:val="3CD9248D"/>
    <w:rsid w:val="3CE17A99"/>
    <w:rsid w:val="3CF839E5"/>
    <w:rsid w:val="3CFC6473"/>
    <w:rsid w:val="3D0D3AB7"/>
    <w:rsid w:val="3D2009B3"/>
    <w:rsid w:val="3D2F7060"/>
    <w:rsid w:val="3D6576AF"/>
    <w:rsid w:val="3D686763"/>
    <w:rsid w:val="3D713E7A"/>
    <w:rsid w:val="3D785FFC"/>
    <w:rsid w:val="3D8077AA"/>
    <w:rsid w:val="3D9731D4"/>
    <w:rsid w:val="3DBD6105"/>
    <w:rsid w:val="3DCB5A20"/>
    <w:rsid w:val="3DCD307C"/>
    <w:rsid w:val="3DE511B8"/>
    <w:rsid w:val="3E356FEE"/>
    <w:rsid w:val="3E4F5CCD"/>
    <w:rsid w:val="3E6678E5"/>
    <w:rsid w:val="3E946AE9"/>
    <w:rsid w:val="3EAA7772"/>
    <w:rsid w:val="3ED03C16"/>
    <w:rsid w:val="3F074BA6"/>
    <w:rsid w:val="3F120122"/>
    <w:rsid w:val="3F214472"/>
    <w:rsid w:val="3F277090"/>
    <w:rsid w:val="3F470F3D"/>
    <w:rsid w:val="3F48254A"/>
    <w:rsid w:val="3F607DA8"/>
    <w:rsid w:val="3F696585"/>
    <w:rsid w:val="3F944B53"/>
    <w:rsid w:val="3F980540"/>
    <w:rsid w:val="3FBD063E"/>
    <w:rsid w:val="3FC4377B"/>
    <w:rsid w:val="3FD92E1C"/>
    <w:rsid w:val="3FE963CA"/>
    <w:rsid w:val="3FEA6BD8"/>
    <w:rsid w:val="400762EA"/>
    <w:rsid w:val="401E5514"/>
    <w:rsid w:val="40220D3F"/>
    <w:rsid w:val="403D3393"/>
    <w:rsid w:val="403E6021"/>
    <w:rsid w:val="40477F08"/>
    <w:rsid w:val="405173B8"/>
    <w:rsid w:val="40670557"/>
    <w:rsid w:val="40677B95"/>
    <w:rsid w:val="407751C1"/>
    <w:rsid w:val="407B3292"/>
    <w:rsid w:val="407F3B46"/>
    <w:rsid w:val="408D1DBF"/>
    <w:rsid w:val="409018AF"/>
    <w:rsid w:val="40D33740"/>
    <w:rsid w:val="41093144"/>
    <w:rsid w:val="41093958"/>
    <w:rsid w:val="41126CAF"/>
    <w:rsid w:val="41263FC1"/>
    <w:rsid w:val="41371814"/>
    <w:rsid w:val="41391F47"/>
    <w:rsid w:val="413A2E50"/>
    <w:rsid w:val="413C70B6"/>
    <w:rsid w:val="41633C19"/>
    <w:rsid w:val="416B054D"/>
    <w:rsid w:val="417361BD"/>
    <w:rsid w:val="41D41A8C"/>
    <w:rsid w:val="41DB6C88"/>
    <w:rsid w:val="41EA1493"/>
    <w:rsid w:val="41EB302C"/>
    <w:rsid w:val="41F82012"/>
    <w:rsid w:val="41FE16F1"/>
    <w:rsid w:val="42095484"/>
    <w:rsid w:val="420E4D20"/>
    <w:rsid w:val="421C029A"/>
    <w:rsid w:val="42540016"/>
    <w:rsid w:val="427109D1"/>
    <w:rsid w:val="42845443"/>
    <w:rsid w:val="428E4DB1"/>
    <w:rsid w:val="428E6F0B"/>
    <w:rsid w:val="428F5C13"/>
    <w:rsid w:val="429F55E7"/>
    <w:rsid w:val="42E92FF6"/>
    <w:rsid w:val="42EA1489"/>
    <w:rsid w:val="430E2C62"/>
    <w:rsid w:val="432305B6"/>
    <w:rsid w:val="43562EAC"/>
    <w:rsid w:val="436D4129"/>
    <w:rsid w:val="4374370A"/>
    <w:rsid w:val="437564F5"/>
    <w:rsid w:val="43843447"/>
    <w:rsid w:val="43860D47"/>
    <w:rsid w:val="439133A7"/>
    <w:rsid w:val="439704F8"/>
    <w:rsid w:val="43A82D15"/>
    <w:rsid w:val="43AC47FE"/>
    <w:rsid w:val="43B07126"/>
    <w:rsid w:val="43B709CB"/>
    <w:rsid w:val="43DD6A67"/>
    <w:rsid w:val="43E41737"/>
    <w:rsid w:val="44224E33"/>
    <w:rsid w:val="444C64FE"/>
    <w:rsid w:val="445057CF"/>
    <w:rsid w:val="446737C3"/>
    <w:rsid w:val="446D163F"/>
    <w:rsid w:val="446D3E2D"/>
    <w:rsid w:val="44AB5468"/>
    <w:rsid w:val="44C4440A"/>
    <w:rsid w:val="44CD6E7E"/>
    <w:rsid w:val="44D11A02"/>
    <w:rsid w:val="44EE62CA"/>
    <w:rsid w:val="45467B6D"/>
    <w:rsid w:val="4558084C"/>
    <w:rsid w:val="456374C6"/>
    <w:rsid w:val="45676163"/>
    <w:rsid w:val="456F4189"/>
    <w:rsid w:val="456F4455"/>
    <w:rsid w:val="459442FA"/>
    <w:rsid w:val="45A2444E"/>
    <w:rsid w:val="45F60406"/>
    <w:rsid w:val="46023C90"/>
    <w:rsid w:val="462F56C6"/>
    <w:rsid w:val="463858E1"/>
    <w:rsid w:val="46715A5D"/>
    <w:rsid w:val="46A33E8E"/>
    <w:rsid w:val="46AC620D"/>
    <w:rsid w:val="46B670B3"/>
    <w:rsid w:val="46C3042B"/>
    <w:rsid w:val="46E034E7"/>
    <w:rsid w:val="46E10EDA"/>
    <w:rsid w:val="46E80A0F"/>
    <w:rsid w:val="46E93D34"/>
    <w:rsid w:val="46EC0546"/>
    <w:rsid w:val="46F66454"/>
    <w:rsid w:val="470806F6"/>
    <w:rsid w:val="472E5D37"/>
    <w:rsid w:val="4734568A"/>
    <w:rsid w:val="475613F9"/>
    <w:rsid w:val="479A15EC"/>
    <w:rsid w:val="47A64966"/>
    <w:rsid w:val="47C51F1A"/>
    <w:rsid w:val="47C9694C"/>
    <w:rsid w:val="47D009F6"/>
    <w:rsid w:val="47FA55EB"/>
    <w:rsid w:val="48007DC3"/>
    <w:rsid w:val="481C2373"/>
    <w:rsid w:val="482161E5"/>
    <w:rsid w:val="48252207"/>
    <w:rsid w:val="482660E2"/>
    <w:rsid w:val="484301E1"/>
    <w:rsid w:val="484747D8"/>
    <w:rsid w:val="4849729D"/>
    <w:rsid w:val="48674619"/>
    <w:rsid w:val="48746FC1"/>
    <w:rsid w:val="489E7680"/>
    <w:rsid w:val="489F67F3"/>
    <w:rsid w:val="491247BF"/>
    <w:rsid w:val="4929464F"/>
    <w:rsid w:val="49603324"/>
    <w:rsid w:val="497A7C79"/>
    <w:rsid w:val="49971C14"/>
    <w:rsid w:val="499A7D82"/>
    <w:rsid w:val="49AC0384"/>
    <w:rsid w:val="49D95C04"/>
    <w:rsid w:val="49EA0282"/>
    <w:rsid w:val="4A002008"/>
    <w:rsid w:val="4A070B63"/>
    <w:rsid w:val="4A085BA4"/>
    <w:rsid w:val="4A17645A"/>
    <w:rsid w:val="4A2E2E00"/>
    <w:rsid w:val="4A371AAD"/>
    <w:rsid w:val="4A3D3962"/>
    <w:rsid w:val="4A462341"/>
    <w:rsid w:val="4A672521"/>
    <w:rsid w:val="4A9D1896"/>
    <w:rsid w:val="4A9E08F8"/>
    <w:rsid w:val="4AFE19D1"/>
    <w:rsid w:val="4B117A90"/>
    <w:rsid w:val="4B247974"/>
    <w:rsid w:val="4B3F4438"/>
    <w:rsid w:val="4B5A31E5"/>
    <w:rsid w:val="4B79317B"/>
    <w:rsid w:val="4B98222D"/>
    <w:rsid w:val="4BBB0BF4"/>
    <w:rsid w:val="4BD64C9E"/>
    <w:rsid w:val="4C0C018E"/>
    <w:rsid w:val="4C215BCC"/>
    <w:rsid w:val="4C441701"/>
    <w:rsid w:val="4C523EBC"/>
    <w:rsid w:val="4C644834"/>
    <w:rsid w:val="4C7A54C4"/>
    <w:rsid w:val="4C9055CB"/>
    <w:rsid w:val="4CA61D3E"/>
    <w:rsid w:val="4CD55CA8"/>
    <w:rsid w:val="4CD81FB6"/>
    <w:rsid w:val="4CDB6F34"/>
    <w:rsid w:val="4CFA2996"/>
    <w:rsid w:val="4CFA4D49"/>
    <w:rsid w:val="4D614A75"/>
    <w:rsid w:val="4D620AB1"/>
    <w:rsid w:val="4D8202C3"/>
    <w:rsid w:val="4D8B7341"/>
    <w:rsid w:val="4DA4242C"/>
    <w:rsid w:val="4DE670F0"/>
    <w:rsid w:val="4E0153F6"/>
    <w:rsid w:val="4E0677AB"/>
    <w:rsid w:val="4E160E61"/>
    <w:rsid w:val="4E2016E8"/>
    <w:rsid w:val="4E250C08"/>
    <w:rsid w:val="4E2A0BA9"/>
    <w:rsid w:val="4E472A4A"/>
    <w:rsid w:val="4E7D3E98"/>
    <w:rsid w:val="4E7D426D"/>
    <w:rsid w:val="4E9873BA"/>
    <w:rsid w:val="4EAD7AD0"/>
    <w:rsid w:val="4EB60E1C"/>
    <w:rsid w:val="4EDD6607"/>
    <w:rsid w:val="4EF13BB1"/>
    <w:rsid w:val="4F0F6C0B"/>
    <w:rsid w:val="4F3042CC"/>
    <w:rsid w:val="4F317509"/>
    <w:rsid w:val="4F3C580B"/>
    <w:rsid w:val="4F7C474A"/>
    <w:rsid w:val="4F872AFB"/>
    <w:rsid w:val="4F977AC7"/>
    <w:rsid w:val="4F9C38B6"/>
    <w:rsid w:val="4FA63196"/>
    <w:rsid w:val="4FB32F8B"/>
    <w:rsid w:val="4FDF45D7"/>
    <w:rsid w:val="4FE3411C"/>
    <w:rsid w:val="4FFD2D8E"/>
    <w:rsid w:val="50060ED4"/>
    <w:rsid w:val="50173D35"/>
    <w:rsid w:val="502C7182"/>
    <w:rsid w:val="504D5C09"/>
    <w:rsid w:val="505B4347"/>
    <w:rsid w:val="50783905"/>
    <w:rsid w:val="508748B6"/>
    <w:rsid w:val="50950C55"/>
    <w:rsid w:val="509B40AE"/>
    <w:rsid w:val="50A72E40"/>
    <w:rsid w:val="50AD0235"/>
    <w:rsid w:val="50B05655"/>
    <w:rsid w:val="50CA2BBB"/>
    <w:rsid w:val="50D81E54"/>
    <w:rsid w:val="50E26DB5"/>
    <w:rsid w:val="511568F7"/>
    <w:rsid w:val="512613EC"/>
    <w:rsid w:val="512D3BEE"/>
    <w:rsid w:val="51451B79"/>
    <w:rsid w:val="518732BD"/>
    <w:rsid w:val="51883876"/>
    <w:rsid w:val="518876F1"/>
    <w:rsid w:val="51991EA6"/>
    <w:rsid w:val="519C2235"/>
    <w:rsid w:val="51CA132F"/>
    <w:rsid w:val="51D354C2"/>
    <w:rsid w:val="51D8660F"/>
    <w:rsid w:val="51DD49B6"/>
    <w:rsid w:val="51FC0432"/>
    <w:rsid w:val="52113C82"/>
    <w:rsid w:val="52374D6B"/>
    <w:rsid w:val="524A223A"/>
    <w:rsid w:val="52543328"/>
    <w:rsid w:val="52773632"/>
    <w:rsid w:val="5293368D"/>
    <w:rsid w:val="529D3067"/>
    <w:rsid w:val="52D37E05"/>
    <w:rsid w:val="52F503C1"/>
    <w:rsid w:val="52FB707B"/>
    <w:rsid w:val="532C2CE5"/>
    <w:rsid w:val="53343C6C"/>
    <w:rsid w:val="53373541"/>
    <w:rsid w:val="53400358"/>
    <w:rsid w:val="535F0CA0"/>
    <w:rsid w:val="53607323"/>
    <w:rsid w:val="537B3969"/>
    <w:rsid w:val="537D1B02"/>
    <w:rsid w:val="53892E96"/>
    <w:rsid w:val="53943CC0"/>
    <w:rsid w:val="539F76F1"/>
    <w:rsid w:val="53B02297"/>
    <w:rsid w:val="53F57F4F"/>
    <w:rsid w:val="53FA4499"/>
    <w:rsid w:val="540E2FEE"/>
    <w:rsid w:val="54120B01"/>
    <w:rsid w:val="54233251"/>
    <w:rsid w:val="542E5506"/>
    <w:rsid w:val="54502526"/>
    <w:rsid w:val="547654BE"/>
    <w:rsid w:val="54DC27D4"/>
    <w:rsid w:val="54EF125B"/>
    <w:rsid w:val="55083CA7"/>
    <w:rsid w:val="550F5E1A"/>
    <w:rsid w:val="55205819"/>
    <w:rsid w:val="553B1003"/>
    <w:rsid w:val="55460DEE"/>
    <w:rsid w:val="55476E54"/>
    <w:rsid w:val="555869E7"/>
    <w:rsid w:val="5580315F"/>
    <w:rsid w:val="55886176"/>
    <w:rsid w:val="558A2DA2"/>
    <w:rsid w:val="559D7818"/>
    <w:rsid w:val="55AC0D28"/>
    <w:rsid w:val="55CF7842"/>
    <w:rsid w:val="55D24BF7"/>
    <w:rsid w:val="55DA16E4"/>
    <w:rsid w:val="55FB24B9"/>
    <w:rsid w:val="55FD4044"/>
    <w:rsid w:val="561956DE"/>
    <w:rsid w:val="561A4C40"/>
    <w:rsid w:val="56621F64"/>
    <w:rsid w:val="56784363"/>
    <w:rsid w:val="5678465E"/>
    <w:rsid w:val="56BB05A3"/>
    <w:rsid w:val="56E715E0"/>
    <w:rsid w:val="56F40653"/>
    <w:rsid w:val="571710DA"/>
    <w:rsid w:val="572243C3"/>
    <w:rsid w:val="57233360"/>
    <w:rsid w:val="5725480C"/>
    <w:rsid w:val="572632B9"/>
    <w:rsid w:val="5729408B"/>
    <w:rsid w:val="57673C36"/>
    <w:rsid w:val="57772B6A"/>
    <w:rsid w:val="579B1D8C"/>
    <w:rsid w:val="57B60CC4"/>
    <w:rsid w:val="57CB6F17"/>
    <w:rsid w:val="57DE4073"/>
    <w:rsid w:val="580945A1"/>
    <w:rsid w:val="58141D8F"/>
    <w:rsid w:val="58171DC2"/>
    <w:rsid w:val="58434A5F"/>
    <w:rsid w:val="585A44E6"/>
    <w:rsid w:val="586036D6"/>
    <w:rsid w:val="58612D31"/>
    <w:rsid w:val="587B136B"/>
    <w:rsid w:val="587F072F"/>
    <w:rsid w:val="588007E3"/>
    <w:rsid w:val="589C53DF"/>
    <w:rsid w:val="58A054D2"/>
    <w:rsid w:val="58A30CBE"/>
    <w:rsid w:val="58AA110C"/>
    <w:rsid w:val="58B1635A"/>
    <w:rsid w:val="58F01C88"/>
    <w:rsid w:val="58F23100"/>
    <w:rsid w:val="590F5291"/>
    <w:rsid w:val="59262959"/>
    <w:rsid w:val="592D43ED"/>
    <w:rsid w:val="59361A6F"/>
    <w:rsid w:val="59384B70"/>
    <w:rsid w:val="594B773C"/>
    <w:rsid w:val="595B7E8B"/>
    <w:rsid w:val="595C5FE5"/>
    <w:rsid w:val="59696CD7"/>
    <w:rsid w:val="596C1877"/>
    <w:rsid w:val="59777B5B"/>
    <w:rsid w:val="598130FE"/>
    <w:rsid w:val="59883613"/>
    <w:rsid w:val="598B4768"/>
    <w:rsid w:val="599E62C6"/>
    <w:rsid w:val="59A13496"/>
    <w:rsid w:val="59A77A9F"/>
    <w:rsid w:val="59AB510D"/>
    <w:rsid w:val="59E91418"/>
    <w:rsid w:val="59F55A61"/>
    <w:rsid w:val="5A602D2A"/>
    <w:rsid w:val="5A6106D7"/>
    <w:rsid w:val="5A754DE0"/>
    <w:rsid w:val="5A8F7D6E"/>
    <w:rsid w:val="5AB4012F"/>
    <w:rsid w:val="5AFA329D"/>
    <w:rsid w:val="5B0032B0"/>
    <w:rsid w:val="5B0806C3"/>
    <w:rsid w:val="5B0E5A5D"/>
    <w:rsid w:val="5B1328EB"/>
    <w:rsid w:val="5B2A6CEC"/>
    <w:rsid w:val="5B2E1A53"/>
    <w:rsid w:val="5B552736"/>
    <w:rsid w:val="5B79050A"/>
    <w:rsid w:val="5B8300B1"/>
    <w:rsid w:val="5BA44BB9"/>
    <w:rsid w:val="5BB16E51"/>
    <w:rsid w:val="5BC40C3F"/>
    <w:rsid w:val="5BC763FA"/>
    <w:rsid w:val="5BC90D4D"/>
    <w:rsid w:val="5BCB2F7A"/>
    <w:rsid w:val="5BE61918"/>
    <w:rsid w:val="5BF16825"/>
    <w:rsid w:val="5BF226BA"/>
    <w:rsid w:val="5C07081F"/>
    <w:rsid w:val="5C0D7460"/>
    <w:rsid w:val="5C1B42CB"/>
    <w:rsid w:val="5C1E6F42"/>
    <w:rsid w:val="5C276B42"/>
    <w:rsid w:val="5C294310"/>
    <w:rsid w:val="5C8276A4"/>
    <w:rsid w:val="5C8521B9"/>
    <w:rsid w:val="5C962598"/>
    <w:rsid w:val="5CD13336"/>
    <w:rsid w:val="5CD32C78"/>
    <w:rsid w:val="5CD95B7B"/>
    <w:rsid w:val="5CED6B26"/>
    <w:rsid w:val="5D032631"/>
    <w:rsid w:val="5D070A3A"/>
    <w:rsid w:val="5D28389C"/>
    <w:rsid w:val="5D317533"/>
    <w:rsid w:val="5D3C3FFA"/>
    <w:rsid w:val="5D467217"/>
    <w:rsid w:val="5D507E75"/>
    <w:rsid w:val="5D610296"/>
    <w:rsid w:val="5D796EB5"/>
    <w:rsid w:val="5D7C3368"/>
    <w:rsid w:val="5D7C46B9"/>
    <w:rsid w:val="5D7E37A9"/>
    <w:rsid w:val="5D7E5538"/>
    <w:rsid w:val="5D8F4B6A"/>
    <w:rsid w:val="5D9513EC"/>
    <w:rsid w:val="5D9E0579"/>
    <w:rsid w:val="5DB70560"/>
    <w:rsid w:val="5DBC2F3B"/>
    <w:rsid w:val="5DBC44C3"/>
    <w:rsid w:val="5DC733C2"/>
    <w:rsid w:val="5DD0445A"/>
    <w:rsid w:val="5DE64EFC"/>
    <w:rsid w:val="5DEB59C8"/>
    <w:rsid w:val="5E102AF4"/>
    <w:rsid w:val="5E1D07CE"/>
    <w:rsid w:val="5E360B0A"/>
    <w:rsid w:val="5E3C0228"/>
    <w:rsid w:val="5E671A49"/>
    <w:rsid w:val="5E80146C"/>
    <w:rsid w:val="5EB15D0A"/>
    <w:rsid w:val="5EC01C40"/>
    <w:rsid w:val="5EE4753E"/>
    <w:rsid w:val="5EF40B25"/>
    <w:rsid w:val="5EF801CE"/>
    <w:rsid w:val="5F013A94"/>
    <w:rsid w:val="5F10740D"/>
    <w:rsid w:val="5F263E1E"/>
    <w:rsid w:val="5F2913F5"/>
    <w:rsid w:val="5F4A1345"/>
    <w:rsid w:val="5F546C87"/>
    <w:rsid w:val="5F617CF3"/>
    <w:rsid w:val="5F782CE4"/>
    <w:rsid w:val="5F800DC9"/>
    <w:rsid w:val="5F9E39E2"/>
    <w:rsid w:val="5FAF46CE"/>
    <w:rsid w:val="5FBB03B7"/>
    <w:rsid w:val="5FD14362"/>
    <w:rsid w:val="5FE37D27"/>
    <w:rsid w:val="5FEE54F7"/>
    <w:rsid w:val="5FF11056"/>
    <w:rsid w:val="60187A77"/>
    <w:rsid w:val="60194ABD"/>
    <w:rsid w:val="602F0DBA"/>
    <w:rsid w:val="6033049D"/>
    <w:rsid w:val="604D4C6F"/>
    <w:rsid w:val="605F3613"/>
    <w:rsid w:val="60A522C5"/>
    <w:rsid w:val="60AB2E2F"/>
    <w:rsid w:val="60B078DD"/>
    <w:rsid w:val="60B27F91"/>
    <w:rsid w:val="60D128AF"/>
    <w:rsid w:val="60E14245"/>
    <w:rsid w:val="60E42BCC"/>
    <w:rsid w:val="60ED69E4"/>
    <w:rsid w:val="61020CE0"/>
    <w:rsid w:val="61275175"/>
    <w:rsid w:val="61675B66"/>
    <w:rsid w:val="6180099D"/>
    <w:rsid w:val="619D4ECE"/>
    <w:rsid w:val="61C1581A"/>
    <w:rsid w:val="61DA7327"/>
    <w:rsid w:val="61EA30E5"/>
    <w:rsid w:val="6211400A"/>
    <w:rsid w:val="62173BA3"/>
    <w:rsid w:val="621E0EB2"/>
    <w:rsid w:val="62362F32"/>
    <w:rsid w:val="623F57E0"/>
    <w:rsid w:val="6256312D"/>
    <w:rsid w:val="626C5880"/>
    <w:rsid w:val="628232F6"/>
    <w:rsid w:val="62A569BB"/>
    <w:rsid w:val="62B02C7A"/>
    <w:rsid w:val="62B75841"/>
    <w:rsid w:val="62BC6478"/>
    <w:rsid w:val="62CD56A3"/>
    <w:rsid w:val="62D35295"/>
    <w:rsid w:val="62DB6218"/>
    <w:rsid w:val="631A1FED"/>
    <w:rsid w:val="631F16E2"/>
    <w:rsid w:val="634B32BB"/>
    <w:rsid w:val="634C638E"/>
    <w:rsid w:val="63777387"/>
    <w:rsid w:val="637874E2"/>
    <w:rsid w:val="6381535B"/>
    <w:rsid w:val="6393188C"/>
    <w:rsid w:val="639A5286"/>
    <w:rsid w:val="63BE616A"/>
    <w:rsid w:val="6416294C"/>
    <w:rsid w:val="646A437F"/>
    <w:rsid w:val="64A20D94"/>
    <w:rsid w:val="64AB62F5"/>
    <w:rsid w:val="64AF53A8"/>
    <w:rsid w:val="64B82026"/>
    <w:rsid w:val="64C20C1C"/>
    <w:rsid w:val="64D46226"/>
    <w:rsid w:val="64E21E2A"/>
    <w:rsid w:val="64E322A8"/>
    <w:rsid w:val="64EE7EA7"/>
    <w:rsid w:val="64F367F6"/>
    <w:rsid w:val="64F963BF"/>
    <w:rsid w:val="64FF281B"/>
    <w:rsid w:val="65292B1A"/>
    <w:rsid w:val="65593EB7"/>
    <w:rsid w:val="656E7B61"/>
    <w:rsid w:val="65835665"/>
    <w:rsid w:val="659F7D1B"/>
    <w:rsid w:val="65A71CFA"/>
    <w:rsid w:val="65AB4BEC"/>
    <w:rsid w:val="65C46267"/>
    <w:rsid w:val="65DB73B8"/>
    <w:rsid w:val="65DC4597"/>
    <w:rsid w:val="65F97A2D"/>
    <w:rsid w:val="66194447"/>
    <w:rsid w:val="661B1482"/>
    <w:rsid w:val="66513522"/>
    <w:rsid w:val="665E3CE8"/>
    <w:rsid w:val="667352C5"/>
    <w:rsid w:val="66A25F24"/>
    <w:rsid w:val="66C739CD"/>
    <w:rsid w:val="66E84973"/>
    <w:rsid w:val="66FE6B6A"/>
    <w:rsid w:val="67072185"/>
    <w:rsid w:val="670D441D"/>
    <w:rsid w:val="67645CE9"/>
    <w:rsid w:val="677A6F48"/>
    <w:rsid w:val="677C2F50"/>
    <w:rsid w:val="67A00ABC"/>
    <w:rsid w:val="67A65425"/>
    <w:rsid w:val="67A97F8B"/>
    <w:rsid w:val="67CA318F"/>
    <w:rsid w:val="67E622B3"/>
    <w:rsid w:val="67EA2D0F"/>
    <w:rsid w:val="681701CA"/>
    <w:rsid w:val="683F3AC4"/>
    <w:rsid w:val="68430781"/>
    <w:rsid w:val="688C3790"/>
    <w:rsid w:val="688D10E4"/>
    <w:rsid w:val="688F1657"/>
    <w:rsid w:val="68B75C4E"/>
    <w:rsid w:val="68ED5A14"/>
    <w:rsid w:val="690E3B78"/>
    <w:rsid w:val="69207390"/>
    <w:rsid w:val="692E0583"/>
    <w:rsid w:val="69486ECC"/>
    <w:rsid w:val="69534E19"/>
    <w:rsid w:val="6953779A"/>
    <w:rsid w:val="69653029"/>
    <w:rsid w:val="69683E99"/>
    <w:rsid w:val="698C6D24"/>
    <w:rsid w:val="69B650A8"/>
    <w:rsid w:val="69C675CD"/>
    <w:rsid w:val="69E96E0F"/>
    <w:rsid w:val="6A026ACA"/>
    <w:rsid w:val="6A122C84"/>
    <w:rsid w:val="6A4A1BF9"/>
    <w:rsid w:val="6A50110F"/>
    <w:rsid w:val="6A5523F4"/>
    <w:rsid w:val="6A8A55B7"/>
    <w:rsid w:val="6AA13BE3"/>
    <w:rsid w:val="6AA51EAC"/>
    <w:rsid w:val="6AA933EA"/>
    <w:rsid w:val="6AB440A0"/>
    <w:rsid w:val="6AB95B63"/>
    <w:rsid w:val="6ABD2CB7"/>
    <w:rsid w:val="6AC226C5"/>
    <w:rsid w:val="6AC66F70"/>
    <w:rsid w:val="6ACC2D06"/>
    <w:rsid w:val="6AF50393"/>
    <w:rsid w:val="6AF65DFA"/>
    <w:rsid w:val="6AFA2A3D"/>
    <w:rsid w:val="6B2338BD"/>
    <w:rsid w:val="6B247622"/>
    <w:rsid w:val="6B4E700F"/>
    <w:rsid w:val="6B504C0A"/>
    <w:rsid w:val="6B965F39"/>
    <w:rsid w:val="6B9C496F"/>
    <w:rsid w:val="6BAC79E5"/>
    <w:rsid w:val="6BB12944"/>
    <w:rsid w:val="6BCD2DD5"/>
    <w:rsid w:val="6BD567CF"/>
    <w:rsid w:val="6BD81E3D"/>
    <w:rsid w:val="6BF36FA5"/>
    <w:rsid w:val="6C1D7BEB"/>
    <w:rsid w:val="6C2B25A0"/>
    <w:rsid w:val="6C5A6FB5"/>
    <w:rsid w:val="6C995A38"/>
    <w:rsid w:val="6C9B6741"/>
    <w:rsid w:val="6CA15ECC"/>
    <w:rsid w:val="6CB10752"/>
    <w:rsid w:val="6CB309EF"/>
    <w:rsid w:val="6CB87914"/>
    <w:rsid w:val="6CE54BAD"/>
    <w:rsid w:val="6CE8101B"/>
    <w:rsid w:val="6CEC321F"/>
    <w:rsid w:val="6CEE7292"/>
    <w:rsid w:val="6CFD1B93"/>
    <w:rsid w:val="6D266772"/>
    <w:rsid w:val="6D272642"/>
    <w:rsid w:val="6D2854A6"/>
    <w:rsid w:val="6D3309F8"/>
    <w:rsid w:val="6D3F1EC7"/>
    <w:rsid w:val="6D65362B"/>
    <w:rsid w:val="6D744E54"/>
    <w:rsid w:val="6D8617C0"/>
    <w:rsid w:val="6DB62B4B"/>
    <w:rsid w:val="6DC263FD"/>
    <w:rsid w:val="6DC47111"/>
    <w:rsid w:val="6DF130DE"/>
    <w:rsid w:val="6E076DA5"/>
    <w:rsid w:val="6E113E4B"/>
    <w:rsid w:val="6E4E40C8"/>
    <w:rsid w:val="6E5A7850"/>
    <w:rsid w:val="6E636042"/>
    <w:rsid w:val="6E6E5B24"/>
    <w:rsid w:val="6E760EFB"/>
    <w:rsid w:val="6E7B44FE"/>
    <w:rsid w:val="6E8E394F"/>
    <w:rsid w:val="6EA15BB7"/>
    <w:rsid w:val="6EA30CEE"/>
    <w:rsid w:val="6EA63DEE"/>
    <w:rsid w:val="6EB8529A"/>
    <w:rsid w:val="6F1F655F"/>
    <w:rsid w:val="6F455859"/>
    <w:rsid w:val="6F4B6C67"/>
    <w:rsid w:val="6F803FC0"/>
    <w:rsid w:val="6F8C266A"/>
    <w:rsid w:val="6F946ED5"/>
    <w:rsid w:val="6F9612CB"/>
    <w:rsid w:val="6F9C09A1"/>
    <w:rsid w:val="6FC53F07"/>
    <w:rsid w:val="6FD41AE9"/>
    <w:rsid w:val="6FF03E15"/>
    <w:rsid w:val="6FF7056E"/>
    <w:rsid w:val="7014277E"/>
    <w:rsid w:val="70285077"/>
    <w:rsid w:val="70486310"/>
    <w:rsid w:val="70545BA6"/>
    <w:rsid w:val="70660A4D"/>
    <w:rsid w:val="706A7177"/>
    <w:rsid w:val="707122A6"/>
    <w:rsid w:val="70727120"/>
    <w:rsid w:val="707C7A7B"/>
    <w:rsid w:val="708E10B8"/>
    <w:rsid w:val="70E12CBD"/>
    <w:rsid w:val="70EA38C4"/>
    <w:rsid w:val="70FF6F71"/>
    <w:rsid w:val="715F5000"/>
    <w:rsid w:val="716E5D48"/>
    <w:rsid w:val="718379A0"/>
    <w:rsid w:val="71951823"/>
    <w:rsid w:val="719704A3"/>
    <w:rsid w:val="71976C81"/>
    <w:rsid w:val="71B93CFD"/>
    <w:rsid w:val="71CE5200"/>
    <w:rsid w:val="71D7450E"/>
    <w:rsid w:val="71DB6F3E"/>
    <w:rsid w:val="71F21818"/>
    <w:rsid w:val="71FE5DBD"/>
    <w:rsid w:val="72141825"/>
    <w:rsid w:val="721C2CB6"/>
    <w:rsid w:val="72330E5C"/>
    <w:rsid w:val="723776DA"/>
    <w:rsid w:val="72396AD4"/>
    <w:rsid w:val="723C010B"/>
    <w:rsid w:val="725918EB"/>
    <w:rsid w:val="725F0F5E"/>
    <w:rsid w:val="726A0424"/>
    <w:rsid w:val="726E1701"/>
    <w:rsid w:val="72830CB3"/>
    <w:rsid w:val="728341DF"/>
    <w:rsid w:val="7284105E"/>
    <w:rsid w:val="728F2A08"/>
    <w:rsid w:val="72966949"/>
    <w:rsid w:val="72980A97"/>
    <w:rsid w:val="72B13AFE"/>
    <w:rsid w:val="72BA43E6"/>
    <w:rsid w:val="72E03208"/>
    <w:rsid w:val="72F10C5B"/>
    <w:rsid w:val="72FC1FD8"/>
    <w:rsid w:val="730205AC"/>
    <w:rsid w:val="730912E2"/>
    <w:rsid w:val="73111390"/>
    <w:rsid w:val="731400B3"/>
    <w:rsid w:val="73330F8D"/>
    <w:rsid w:val="73364D26"/>
    <w:rsid w:val="73382BD5"/>
    <w:rsid w:val="733A588C"/>
    <w:rsid w:val="734660C9"/>
    <w:rsid w:val="7357634A"/>
    <w:rsid w:val="735D2FC3"/>
    <w:rsid w:val="73635AF7"/>
    <w:rsid w:val="737443EE"/>
    <w:rsid w:val="73785109"/>
    <w:rsid w:val="737B0514"/>
    <w:rsid w:val="73881F79"/>
    <w:rsid w:val="739F195E"/>
    <w:rsid w:val="73AD0937"/>
    <w:rsid w:val="73BC005E"/>
    <w:rsid w:val="73E65287"/>
    <w:rsid w:val="73E74E7C"/>
    <w:rsid w:val="73ED761F"/>
    <w:rsid w:val="73F16462"/>
    <w:rsid w:val="73FE3A7B"/>
    <w:rsid w:val="743B48C9"/>
    <w:rsid w:val="747619DF"/>
    <w:rsid w:val="74847D88"/>
    <w:rsid w:val="74891E9B"/>
    <w:rsid w:val="74945700"/>
    <w:rsid w:val="74AE64AF"/>
    <w:rsid w:val="74CD60FC"/>
    <w:rsid w:val="74D52FDA"/>
    <w:rsid w:val="74DD2C14"/>
    <w:rsid w:val="74F52A34"/>
    <w:rsid w:val="75012A4C"/>
    <w:rsid w:val="750A1D63"/>
    <w:rsid w:val="753E0935"/>
    <w:rsid w:val="754955A1"/>
    <w:rsid w:val="754E52B9"/>
    <w:rsid w:val="75696B9E"/>
    <w:rsid w:val="75700B76"/>
    <w:rsid w:val="75725679"/>
    <w:rsid w:val="758C0963"/>
    <w:rsid w:val="759A405B"/>
    <w:rsid w:val="75A12E04"/>
    <w:rsid w:val="75A25FBE"/>
    <w:rsid w:val="75AB27CF"/>
    <w:rsid w:val="75B864B0"/>
    <w:rsid w:val="75DC00A7"/>
    <w:rsid w:val="75EA283A"/>
    <w:rsid w:val="75EA4FE2"/>
    <w:rsid w:val="75EF24BF"/>
    <w:rsid w:val="75F6664F"/>
    <w:rsid w:val="76197675"/>
    <w:rsid w:val="763F6E83"/>
    <w:rsid w:val="765C44AC"/>
    <w:rsid w:val="767E0A5F"/>
    <w:rsid w:val="768D05FC"/>
    <w:rsid w:val="76A632DC"/>
    <w:rsid w:val="76B71830"/>
    <w:rsid w:val="76BF157A"/>
    <w:rsid w:val="76FB2E8F"/>
    <w:rsid w:val="771616A6"/>
    <w:rsid w:val="771A3720"/>
    <w:rsid w:val="771B4188"/>
    <w:rsid w:val="772818CF"/>
    <w:rsid w:val="7760657C"/>
    <w:rsid w:val="77616C02"/>
    <w:rsid w:val="776838FC"/>
    <w:rsid w:val="777922FA"/>
    <w:rsid w:val="779616E6"/>
    <w:rsid w:val="779F4EF4"/>
    <w:rsid w:val="77BE70C2"/>
    <w:rsid w:val="77D02017"/>
    <w:rsid w:val="77D031DA"/>
    <w:rsid w:val="77EC2A9F"/>
    <w:rsid w:val="781F1C01"/>
    <w:rsid w:val="784B094F"/>
    <w:rsid w:val="784D44ED"/>
    <w:rsid w:val="786B4835"/>
    <w:rsid w:val="786C1462"/>
    <w:rsid w:val="786E02BF"/>
    <w:rsid w:val="78795C9C"/>
    <w:rsid w:val="788C0B0F"/>
    <w:rsid w:val="789D3F6D"/>
    <w:rsid w:val="78B24F5D"/>
    <w:rsid w:val="78C73258"/>
    <w:rsid w:val="78CF680E"/>
    <w:rsid w:val="78D403AC"/>
    <w:rsid w:val="78D50F59"/>
    <w:rsid w:val="78DB6C3D"/>
    <w:rsid w:val="78FA3995"/>
    <w:rsid w:val="79120349"/>
    <w:rsid w:val="792B1054"/>
    <w:rsid w:val="793115EB"/>
    <w:rsid w:val="799C4201"/>
    <w:rsid w:val="79BD249F"/>
    <w:rsid w:val="79D40FD6"/>
    <w:rsid w:val="7A102F36"/>
    <w:rsid w:val="7A12552D"/>
    <w:rsid w:val="7A155A62"/>
    <w:rsid w:val="7A1F7262"/>
    <w:rsid w:val="7A221377"/>
    <w:rsid w:val="7A861442"/>
    <w:rsid w:val="7A877F7D"/>
    <w:rsid w:val="7A991D11"/>
    <w:rsid w:val="7A9F5C35"/>
    <w:rsid w:val="7AAA7FA2"/>
    <w:rsid w:val="7AB969FC"/>
    <w:rsid w:val="7ABE6A3D"/>
    <w:rsid w:val="7ABF6BB3"/>
    <w:rsid w:val="7AEF7965"/>
    <w:rsid w:val="7AF50332"/>
    <w:rsid w:val="7B24755A"/>
    <w:rsid w:val="7B340AAD"/>
    <w:rsid w:val="7B3B1507"/>
    <w:rsid w:val="7B4D7CB4"/>
    <w:rsid w:val="7B856F45"/>
    <w:rsid w:val="7B8757E0"/>
    <w:rsid w:val="7B8A78A1"/>
    <w:rsid w:val="7BAE1137"/>
    <w:rsid w:val="7BCF5F22"/>
    <w:rsid w:val="7C161448"/>
    <w:rsid w:val="7C296138"/>
    <w:rsid w:val="7C4B644A"/>
    <w:rsid w:val="7C4C0828"/>
    <w:rsid w:val="7C60276B"/>
    <w:rsid w:val="7C635AF3"/>
    <w:rsid w:val="7C7D4EDC"/>
    <w:rsid w:val="7C8618B6"/>
    <w:rsid w:val="7C8B221B"/>
    <w:rsid w:val="7CA0386F"/>
    <w:rsid w:val="7CA13D1C"/>
    <w:rsid w:val="7CA22422"/>
    <w:rsid w:val="7CC00F9D"/>
    <w:rsid w:val="7CCF049A"/>
    <w:rsid w:val="7CD16631"/>
    <w:rsid w:val="7CDC74AE"/>
    <w:rsid w:val="7CFC5143"/>
    <w:rsid w:val="7D09206C"/>
    <w:rsid w:val="7D250A0A"/>
    <w:rsid w:val="7D503C28"/>
    <w:rsid w:val="7D554571"/>
    <w:rsid w:val="7D7C5EB4"/>
    <w:rsid w:val="7D9119B2"/>
    <w:rsid w:val="7DA5642D"/>
    <w:rsid w:val="7DB74CDC"/>
    <w:rsid w:val="7DE06756"/>
    <w:rsid w:val="7E015789"/>
    <w:rsid w:val="7E050E35"/>
    <w:rsid w:val="7E06649E"/>
    <w:rsid w:val="7E09296A"/>
    <w:rsid w:val="7E0D753A"/>
    <w:rsid w:val="7E147786"/>
    <w:rsid w:val="7E24305B"/>
    <w:rsid w:val="7E324DEE"/>
    <w:rsid w:val="7E3C5BDE"/>
    <w:rsid w:val="7E414504"/>
    <w:rsid w:val="7E456581"/>
    <w:rsid w:val="7E5E643B"/>
    <w:rsid w:val="7E644309"/>
    <w:rsid w:val="7E700B69"/>
    <w:rsid w:val="7E7A199D"/>
    <w:rsid w:val="7E8B09C9"/>
    <w:rsid w:val="7EBD6B57"/>
    <w:rsid w:val="7ECD54A1"/>
    <w:rsid w:val="7EE0405C"/>
    <w:rsid w:val="7EE10F4C"/>
    <w:rsid w:val="7F0B1B9C"/>
    <w:rsid w:val="7F3E25F2"/>
    <w:rsid w:val="7F441F19"/>
    <w:rsid w:val="7F665DA8"/>
    <w:rsid w:val="7F7839DA"/>
    <w:rsid w:val="7F8B0A93"/>
    <w:rsid w:val="7F912012"/>
    <w:rsid w:val="7FC810F1"/>
    <w:rsid w:val="7FD81BD8"/>
    <w:rsid w:val="7FF7741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880" w:firstLineChars="200"/>
      <w:jc w:val="both"/>
    </w:pPr>
    <w:rPr>
      <w:rFonts w:ascii="Times New Roman" w:hAnsi="Times New Roman" w:eastAsia="方正仿宋_GBK" w:cs="Arial"/>
      <w:kern w:val="2"/>
      <w:sz w:val="32"/>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3"/>
    <w:next w:val="1"/>
    <w:qFormat/>
    <w:uiPriority w:val="0"/>
    <w:pPr>
      <w:spacing w:before="280" w:after="290" w:line="376" w:lineRule="auto"/>
      <w:outlineLvl w:val="3"/>
    </w:pPr>
    <w:rPr>
      <w:rFonts w:ascii="等线 Light" w:hAnsi="等线 Light" w:eastAsia="等线 Light" w:cs="Times New Roman"/>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Calibri" w:hAnsi="Calibri" w:eastAsia="宋体" w:cs="Times New Roman"/>
      <w:sz w:val="21"/>
      <w:szCs w:val="24"/>
    </w:rPr>
  </w:style>
  <w:style w:type="paragraph" w:styleId="6">
    <w:name w:val="Body Text"/>
    <w:basedOn w:val="1"/>
    <w:next w:val="7"/>
    <w:qFormat/>
    <w:uiPriority w:val="0"/>
    <w:pPr>
      <w:spacing w:after="120"/>
    </w:pPr>
    <w:rPr>
      <w:rFonts w:eastAsia="宋体" w:cs="Times New Roman"/>
      <w:szCs w:val="24"/>
    </w:rPr>
  </w:style>
  <w:style w:type="paragraph" w:styleId="7">
    <w:name w:val="toc 5"/>
    <w:basedOn w:val="1"/>
    <w:next w:val="1"/>
    <w:unhideWhenUsed/>
    <w:qFormat/>
    <w:uiPriority w:val="39"/>
    <w:pPr>
      <w:ind w:left="1280"/>
      <w:jc w:val="left"/>
    </w:pPr>
    <w:rPr>
      <w:rFonts w:ascii="Calibri" w:hAnsi="Calibri" w:cs="Calibri"/>
      <w:sz w:val="20"/>
    </w:r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link w:val="24"/>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character" w:styleId="16">
    <w:name w:val="Emphasis"/>
    <w:basedOn w:val="14"/>
    <w:qFormat/>
    <w:uiPriority w:val="0"/>
    <w:rPr>
      <w:i/>
    </w:rPr>
  </w:style>
  <w:style w:type="character" w:customStyle="1" w:styleId="17">
    <w:name w:val="apple-converted-space"/>
    <w:basedOn w:val="14"/>
    <w:qFormat/>
    <w:uiPriority w:val="0"/>
  </w:style>
  <w:style w:type="character" w:customStyle="1" w:styleId="18">
    <w:name w:val="fontstyle01"/>
    <w:basedOn w:val="14"/>
    <w:qFormat/>
    <w:uiPriority w:val="0"/>
    <w:rPr>
      <w:rFonts w:ascii="FZFSK--GBK1-0" w:hAnsi="FZFSK--GBK1-0" w:eastAsia="FZFSK--GBK1-0" w:cs="FZFSK--GBK1-0"/>
      <w:color w:val="000000"/>
      <w:sz w:val="32"/>
      <w:szCs w:val="32"/>
    </w:rPr>
  </w:style>
  <w:style w:type="character" w:customStyle="1" w:styleId="19">
    <w:name w:val="fontstyle11"/>
    <w:basedOn w:val="14"/>
    <w:qFormat/>
    <w:uiPriority w:val="0"/>
    <w:rPr>
      <w:rFonts w:ascii="宋体" w:hAnsi="宋体" w:eastAsia="宋体" w:cs="宋体"/>
      <w:color w:val="000000"/>
      <w:sz w:val="28"/>
      <w:szCs w:val="28"/>
    </w:rPr>
  </w:style>
  <w:style w:type="character" w:customStyle="1" w:styleId="20">
    <w:name w:val="fontstyle31"/>
    <w:basedOn w:val="14"/>
    <w:qFormat/>
    <w:uiPriority w:val="0"/>
    <w:rPr>
      <w:rFonts w:ascii="E-BZ" w:hAnsi="E-BZ" w:eastAsia="E-BZ" w:cs="E-BZ"/>
      <w:color w:val="000000"/>
      <w:sz w:val="30"/>
      <w:szCs w:val="30"/>
    </w:rPr>
  </w:style>
  <w:style w:type="character" w:customStyle="1" w:styleId="21">
    <w:name w:val="fontstyle21"/>
    <w:basedOn w:val="14"/>
    <w:qFormat/>
    <w:uiPriority w:val="0"/>
    <w:rPr>
      <w:rFonts w:ascii="TimesNewRomanPSMT" w:hAnsi="TimesNewRomanPSMT" w:eastAsia="TimesNewRomanPSMT" w:cs="TimesNewRomanPSMT"/>
      <w:color w:val="000000"/>
      <w:sz w:val="32"/>
      <w:szCs w:val="32"/>
    </w:rPr>
  </w:style>
  <w:style w:type="character" w:customStyle="1" w:styleId="22">
    <w:name w:val="font91"/>
    <w:qFormat/>
    <w:uiPriority w:val="0"/>
    <w:rPr>
      <w:rFonts w:ascii="方正仿宋_GBK" w:hAnsi="方正仿宋_GBK" w:eastAsia="方正仿宋_GBK" w:cs="方正仿宋_GBK"/>
      <w:color w:val="000000"/>
      <w:sz w:val="28"/>
      <w:szCs w:val="28"/>
      <w:u w:val="none"/>
    </w:rPr>
  </w:style>
  <w:style w:type="paragraph" w:customStyle="1" w:styleId="23">
    <w:name w:val="Default"/>
    <w:qFormat/>
    <w:uiPriority w:val="99"/>
    <w:pPr>
      <w:widowControl w:val="0"/>
      <w:autoSpaceDE w:val="0"/>
      <w:autoSpaceDN w:val="0"/>
      <w:adjustRightInd w:val="0"/>
    </w:pPr>
    <w:rPr>
      <w:rFonts w:ascii="方正黑体_GBK" w:hAnsi="方正黑体_GBK" w:eastAsia="方正黑体_GBK" w:cs="Times New Roman"/>
      <w:color w:val="000000"/>
      <w:kern w:val="2"/>
      <w:sz w:val="24"/>
      <w:szCs w:val="22"/>
      <w:lang w:val="en-US" w:eastAsia="zh-CN" w:bidi="ar-SA"/>
    </w:rPr>
  </w:style>
  <w:style w:type="character" w:customStyle="1" w:styleId="24">
    <w:name w:val="批注框文本 Char"/>
    <w:basedOn w:val="14"/>
    <w:link w:val="9"/>
    <w:qFormat/>
    <w:uiPriority w:val="0"/>
    <w:rPr>
      <w:rFonts w:eastAsia="方正仿宋_GBK"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13178</Words>
  <Characters>14184</Characters>
  <Lines>104</Lines>
  <Paragraphs>29</Paragraphs>
  <TotalTime>27</TotalTime>
  <ScaleCrop>false</ScaleCrop>
  <LinksUpToDate>false</LinksUpToDate>
  <CharactersWithSpaces>14291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2022-11-25T03:20:00Z</dcterms:created>
  <dc:creator>YAL-AL00</dc:creator>
  <cp:lastModifiedBy>NTKO</cp:lastModifiedBy>
  <cp:lastPrinted>2024-06-19T07:29:00Z</cp:lastPrinted>
  <dcterms:modified xsi:type="dcterms:W3CDTF">2024-06-21T06:02:24Z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DF45C9BEA6434031B3D6933F67245325_13</vt:lpwstr>
  </property>
  <property fmtid="{D5CDD505-2E9C-101B-9397-08002B2CF9AE}" pid="3" name="KSOProductBuildVer">
    <vt:lpwstr>2052-11.1.0.14309</vt:lpwstr>
  </property>
</Properties>
</file>