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重庆市大渡口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222222"/>
          <w:spacing w:val="0"/>
          <w:sz w:val="44"/>
          <w:szCs w:val="44"/>
          <w:shd w:val="clear" w:fill="FFFFFF"/>
        </w:rPr>
        <w:t>区财政局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222222"/>
          <w:spacing w:val="0"/>
          <w:sz w:val="44"/>
          <w:szCs w:val="44"/>
          <w:shd w:val="clear" w:fill="FFFFFF"/>
        </w:rPr>
        <w:t>推进社会信用体系建设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222222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大渡口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</w:rPr>
        <w:t>区财政局结合自身职能，扎实推进社会信用体系建设，进一步筑牢社会信用体系，打造诚信财政。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</w:rPr>
        <w:t>一是加强领导，落实责任。对照社会信用体系建设工作要点，区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财政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</w:rPr>
        <w:t>局成立了信用体系工作领导小组，强化措施手段，确保优质高效完成各项目标任务。针对工作中存在的问题，及时召开全局工作推进会，学习和传达有关信用建设工作的会议精神和要求，压实工作职责，确保工作落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</w:rPr>
        <w:t>加大宣传，营造氛围。在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shd w:val="clear" w:color="auto" w:fill="FFFFFF"/>
        </w:rPr>
        <w:t>办公场所公共宣传栏张贴信用宣传海报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</w:rPr>
        <w:t>宣传社会信用体系建设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有关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</w:rPr>
        <w:t>政策，普及财政诚信知识，切实引导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shd w:val="clear" w:color="auto" w:fill="FFFFFF"/>
        </w:rPr>
        <w:t>干部职工、企业及相关人员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</w:rPr>
        <w:t>“知信、用信、维信、守信”。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</w:rPr>
        <w:t>履行责任，规范财经纪律。组织开展会计信息质量检查工作。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不定时对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</w:rPr>
        <w:t>代理记账机构代理记账业务开展情况进行检查，检查内容主要包括设立条件与信用公示、执业质量及会计信息质量等方面。针对检查中发现的问题，提出了具体的检查意见，要求各机构按照时间节点整改到位，全面规范财经纪律，培育会计诚信风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right="0" w:firstLine="4800" w:firstLineChars="1500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default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重庆市大渡口区财政局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2022年10月14日</w:t>
      </w: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E0AED"/>
    <w:rsid w:val="25A03A0C"/>
    <w:rsid w:val="2AAE16AF"/>
    <w:rsid w:val="33382034"/>
    <w:rsid w:val="346E6AAA"/>
    <w:rsid w:val="7980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2022-10-13T10:23:00Z</dcterms:created>
  <dc:creator>admin</dc:creator>
  <cp:lastModifiedBy>NTKO</cp:lastModifiedBy>
  <dcterms:modified xsi:type="dcterms:W3CDTF">2022-10-14T07:20:40Z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