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outlineLvl w:val="0"/>
        <w:rPr>
          <w:rFonts w:hint="eastAsia" w:ascii="黑体" w:hAnsi="黑体" w:eastAsia="宋体"/>
          <w:b/>
          <w:bCs/>
          <w:color w:val="FF0000"/>
          <w:spacing w:val="8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</w:rPr>
        <w:t>大渡口区财政局20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23</w:t>
      </w:r>
      <w:r>
        <w:rPr>
          <w:rFonts w:hint="eastAsia" w:ascii="宋体" w:hAnsi="宋体" w:cs="宋体"/>
          <w:b/>
          <w:bCs/>
          <w:sz w:val="30"/>
          <w:szCs w:val="30"/>
        </w:rPr>
        <w:t>年会计服务中介机构采购文件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（二）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94" w:lineRule="exact"/>
        <w:textAlignment w:val="auto"/>
        <w:rPr>
          <w:rFonts w:ascii="宋体" w:hAnsi="宋体" w:cs="宋体"/>
          <w:sz w:val="24"/>
          <w:szCs w:val="24"/>
        </w:rPr>
      </w:pPr>
      <w:bookmarkStart w:id="0" w:name="_Toc26820"/>
      <w:bookmarkStart w:id="1" w:name="_Toc25458"/>
      <w:bookmarkStart w:id="2" w:name="_Toc7625"/>
      <w:bookmarkStart w:id="3" w:name="_Toc3463"/>
      <w:bookmarkStart w:id="4" w:name="_Toc18881"/>
      <w:bookmarkStart w:id="5" w:name="_Toc317775175"/>
      <w:bookmarkStart w:id="6" w:name="_Toc18159"/>
      <w:bookmarkStart w:id="7" w:name="_Toc313893526"/>
      <w:bookmarkStart w:id="8" w:name="_Toc12808"/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94" w:lineRule="exact"/>
        <w:textAlignment w:val="auto"/>
        <w:rPr>
          <w:rFonts w:ascii="宋体" w:hAnsi="宋体" w:cs="宋体"/>
          <w:b/>
          <w:bCs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sz w:val="24"/>
          <w:szCs w:val="24"/>
        </w:rPr>
        <w:t>一、采购内容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65"/>
        <w:tblW w:w="85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8"/>
        <w:gridCol w:w="1425"/>
        <w:gridCol w:w="1710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5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采购预算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（万元）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资金来源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35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大渡口区20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行政事业单位及代理记账机构</w:t>
            </w:r>
            <w:r>
              <w:rPr>
                <w:rFonts w:hint="eastAsia" w:ascii="宋体" w:hAnsi="宋体" w:cs="宋体"/>
                <w:sz w:val="24"/>
                <w:szCs w:val="24"/>
              </w:rPr>
              <w:t>会计信息质量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检查服务</w:t>
            </w:r>
            <w:r>
              <w:rPr>
                <w:rFonts w:hint="eastAsia" w:ascii="宋体" w:hAnsi="宋体" w:cs="宋体"/>
                <w:sz w:val="24"/>
                <w:szCs w:val="24"/>
              </w:rPr>
              <w:t>采购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14.352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财政预算资金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采购预算金额为投标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总</w:t>
            </w:r>
            <w:r>
              <w:rPr>
                <w:rFonts w:hint="eastAsia" w:ascii="宋体" w:hAnsi="宋体" w:cs="宋体"/>
                <w:sz w:val="24"/>
                <w:szCs w:val="24"/>
              </w:rPr>
              <w:t>限价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报价不得超过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14.352</w:t>
            </w:r>
            <w:r>
              <w:rPr>
                <w:rFonts w:hint="eastAsia" w:ascii="宋体" w:hAnsi="宋体" w:cs="宋体"/>
                <w:sz w:val="24"/>
                <w:szCs w:val="24"/>
              </w:rPr>
              <w:t>万元</w:t>
            </w:r>
          </w:p>
        </w:tc>
      </w:tr>
    </w:tbl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94" w:lineRule="exact"/>
        <w:textAlignment w:val="auto"/>
        <w:rPr>
          <w:rFonts w:ascii="宋体" w:hAnsi="宋体" w:cs="宋体"/>
          <w:sz w:val="24"/>
          <w:szCs w:val="24"/>
        </w:rPr>
      </w:pPr>
      <w:bookmarkStart w:id="9" w:name="_Toc22399"/>
      <w:bookmarkStart w:id="10" w:name="_Toc6462"/>
      <w:bookmarkStart w:id="11" w:name="_Toc15727"/>
      <w:bookmarkStart w:id="12" w:name="_Toc25190"/>
      <w:bookmarkStart w:id="13" w:name="_Toc15576"/>
      <w:bookmarkStart w:id="14" w:name="_Toc1790"/>
      <w:bookmarkStart w:id="15" w:name="_Toc19437"/>
      <w:bookmarkStart w:id="16" w:name="_Toc373860293"/>
      <w:bookmarkStart w:id="17" w:name="_Toc317775178"/>
      <w:r>
        <w:rPr>
          <w:rFonts w:hint="eastAsia" w:ascii="宋体" w:hAnsi="宋体" w:cs="宋体"/>
          <w:sz w:val="24"/>
          <w:szCs w:val="24"/>
        </w:rPr>
        <w:t>二、</w:t>
      </w:r>
      <w:r>
        <w:rPr>
          <w:rFonts w:hint="eastAsia" w:ascii="宋体" w:hAnsi="宋体" w:cs="宋体"/>
          <w:sz w:val="24"/>
          <w:szCs w:val="24"/>
          <w:lang w:eastAsia="zh-CN"/>
        </w:rPr>
        <w:t>投标</w:t>
      </w:r>
      <w:r>
        <w:rPr>
          <w:rFonts w:hint="eastAsia" w:ascii="宋体" w:hAnsi="宋体" w:cs="宋体"/>
          <w:sz w:val="24"/>
          <w:szCs w:val="24"/>
        </w:rPr>
        <w:t>资格</w:t>
      </w:r>
      <w:bookmarkEnd w:id="9"/>
      <w:bookmarkEnd w:id="10"/>
      <w:bookmarkEnd w:id="11"/>
      <w:bookmarkEnd w:id="12"/>
      <w:bookmarkEnd w:id="13"/>
      <w:bookmarkEnd w:id="14"/>
      <w:bookmarkEnd w:id="1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（一）资质条件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1.具有独立承担民事责任的能力；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2.具有良好的商业信誉和健全的财务会计制度；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3.具有履行合同所必需的</w:t>
      </w:r>
      <w:r>
        <w:rPr>
          <w:rFonts w:hint="eastAsia" w:ascii="宋体" w:hAnsi="宋体" w:cs="宋体"/>
          <w:sz w:val="24"/>
          <w:szCs w:val="24"/>
          <w:lang w:eastAsia="zh-CN"/>
        </w:rPr>
        <w:t>办公</w:t>
      </w:r>
      <w:r>
        <w:rPr>
          <w:rFonts w:hint="eastAsia" w:ascii="宋体" w:hAnsi="宋体" w:cs="宋体"/>
          <w:sz w:val="24"/>
          <w:szCs w:val="24"/>
        </w:rPr>
        <w:t>设备和专业技术能力；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4.有依法缴纳税收和社会保障资金的良好记录；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</w:t>
      </w:r>
      <w:r>
        <w:rPr>
          <w:rFonts w:hint="eastAsia" w:ascii="宋体" w:hAnsi="宋体" w:cs="宋体"/>
          <w:sz w:val="24"/>
          <w:szCs w:val="24"/>
          <w:lang w:eastAsia="zh-CN"/>
        </w:rPr>
        <w:t>在社会信用体系中无严重失信</w:t>
      </w:r>
      <w:r>
        <w:rPr>
          <w:rFonts w:hint="eastAsia" w:ascii="宋体" w:hAnsi="宋体" w:cs="宋体"/>
          <w:sz w:val="24"/>
          <w:szCs w:val="24"/>
        </w:rPr>
        <w:t>记录；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6.法律、行政法规规定的其他条件。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（二）本项目不接受联合体投标</w:t>
      </w:r>
    </w:p>
    <w:bookmarkEnd w:id="16"/>
    <w:bookmarkEnd w:id="17"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三、采购服务内容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（一）服务内容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1.大渡口区202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eastAsia="zh-CN"/>
        </w:rPr>
        <w:t>行政事业单位及代理记账机构</w:t>
      </w:r>
      <w:r>
        <w:rPr>
          <w:rFonts w:hint="eastAsia" w:ascii="宋体" w:hAnsi="宋体" w:cs="宋体"/>
          <w:sz w:val="24"/>
          <w:szCs w:val="24"/>
        </w:rPr>
        <w:t>会计信息质量检查服务</w:t>
      </w:r>
      <w:r>
        <w:rPr>
          <w:rFonts w:hint="eastAsia" w:ascii="宋体" w:hAnsi="宋体" w:cs="宋体"/>
          <w:sz w:val="24"/>
          <w:szCs w:val="24"/>
          <w:lang w:eastAsia="zh-CN"/>
        </w:rPr>
        <w:t>项目，</w:t>
      </w:r>
      <w:r>
        <w:rPr>
          <w:rFonts w:hint="eastAsia" w:ascii="宋体" w:hAnsi="宋体" w:cs="宋体"/>
          <w:sz w:val="24"/>
          <w:szCs w:val="24"/>
        </w:rPr>
        <w:t>采购预算总额为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143,520</w:t>
      </w:r>
      <w:r>
        <w:rPr>
          <w:rFonts w:hint="eastAsia" w:ascii="宋体" w:hAnsi="宋体" w:cs="宋体"/>
          <w:sz w:val="24"/>
          <w:szCs w:val="24"/>
        </w:rPr>
        <w:t>元，</w:t>
      </w:r>
      <w:r>
        <w:rPr>
          <w:rFonts w:hint="eastAsia" w:ascii="宋体" w:hAnsi="宋体" w:cs="宋体"/>
          <w:sz w:val="24"/>
          <w:szCs w:val="24"/>
          <w:lang w:eastAsia="zh-CN"/>
        </w:rPr>
        <w:t>购买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家会计服务机构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,</w:t>
      </w:r>
      <w:bookmarkStart w:id="18" w:name="OLE_LINK1"/>
      <w:r>
        <w:rPr>
          <w:rFonts w:hint="eastAsia" w:ascii="宋体" w:hAnsi="宋体" w:cs="宋体"/>
          <w:sz w:val="24"/>
          <w:szCs w:val="24"/>
          <w:lang w:val="en-US" w:eastAsia="zh-CN"/>
        </w:rPr>
        <w:t>检查9</w:t>
      </w:r>
      <w:r>
        <w:rPr>
          <w:rFonts w:hint="eastAsia" w:ascii="宋体" w:hAnsi="宋体" w:cs="宋体"/>
          <w:sz w:val="24"/>
          <w:szCs w:val="24"/>
        </w:rPr>
        <w:t>个行政事业单位202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年会计信息质量</w:t>
      </w:r>
      <w:r>
        <w:rPr>
          <w:rFonts w:hint="eastAsia" w:ascii="宋体" w:hAnsi="宋体" w:cs="宋体"/>
          <w:sz w:val="24"/>
          <w:szCs w:val="24"/>
          <w:lang w:eastAsia="zh-CN"/>
        </w:rPr>
        <w:t>、自行采购</w:t>
      </w:r>
      <w:r>
        <w:rPr>
          <w:rFonts w:hint="eastAsia" w:ascii="宋体" w:hAnsi="宋体" w:cs="宋体"/>
          <w:sz w:val="24"/>
          <w:szCs w:val="24"/>
        </w:rPr>
        <w:t>内控建设</w:t>
      </w:r>
      <w:r>
        <w:rPr>
          <w:rFonts w:hint="eastAsia" w:ascii="宋体" w:hAnsi="宋体" w:cs="宋体"/>
          <w:sz w:val="24"/>
          <w:szCs w:val="24"/>
          <w:lang w:eastAsia="zh-CN"/>
        </w:rPr>
        <w:t>（包括自行采购内控制度、岗位设置制度执行）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lang w:eastAsia="zh-CN"/>
        </w:rPr>
        <w:t>预算</w:t>
      </w:r>
      <w:r>
        <w:rPr>
          <w:rFonts w:hint="eastAsia" w:ascii="宋体" w:hAnsi="宋体" w:cs="宋体"/>
          <w:sz w:val="24"/>
          <w:szCs w:val="24"/>
        </w:rPr>
        <w:t>绩效管理</w:t>
      </w:r>
      <w:r>
        <w:rPr>
          <w:rFonts w:hint="eastAsia" w:ascii="宋体" w:hAnsi="宋体" w:cs="宋体"/>
          <w:sz w:val="24"/>
          <w:szCs w:val="24"/>
          <w:lang w:eastAsia="zh-CN"/>
        </w:rPr>
        <w:t>、项目资金管理与使用、拖欠民营中小企业款项</w:t>
      </w:r>
      <w:r>
        <w:rPr>
          <w:rFonts w:hint="eastAsia" w:ascii="宋体" w:hAnsi="宋体" w:cs="宋体"/>
          <w:sz w:val="24"/>
          <w:szCs w:val="24"/>
        </w:rPr>
        <w:t>等方面</w:t>
      </w:r>
      <w:r>
        <w:rPr>
          <w:rFonts w:hint="eastAsia" w:ascii="宋体" w:hAnsi="宋体" w:cs="宋体"/>
          <w:sz w:val="24"/>
          <w:szCs w:val="24"/>
          <w:lang w:eastAsia="zh-CN"/>
        </w:rPr>
        <w:t>情况，检查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5个代理记账机构2022年</w:t>
      </w:r>
      <w:r>
        <w:rPr>
          <w:rFonts w:hint="default" w:ascii="宋体" w:hAnsi="宋体" w:cs="宋体"/>
          <w:sz w:val="24"/>
          <w:szCs w:val="24"/>
          <w:lang w:val="en-US" w:eastAsia="zh-CN"/>
        </w:rPr>
        <w:t>持续经营条件、执业质量、会计信息质量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等方面情况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bookmarkEnd w:id="18"/>
      <w:r>
        <w:rPr>
          <w:rFonts w:hint="eastAsia" w:ascii="宋体" w:hAnsi="宋体" w:cs="宋体"/>
          <w:sz w:val="24"/>
          <w:szCs w:val="24"/>
        </w:rPr>
        <w:t>投标限价为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143</w:t>
      </w:r>
      <w:r>
        <w:rPr>
          <w:rFonts w:hint="eastAsia" w:ascii="宋体" w:hAns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520</w:t>
      </w:r>
      <w:r>
        <w:rPr>
          <w:rFonts w:hint="eastAsia" w:ascii="宋体" w:hAnsi="宋体" w:cs="宋体"/>
          <w:sz w:val="24"/>
          <w:szCs w:val="24"/>
        </w:rPr>
        <w:t>元。</w:t>
      </w:r>
    </w:p>
    <w:p>
      <w:pPr>
        <w:spacing w:line="594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eastAsia="zh-CN"/>
        </w:rPr>
        <w:t>检查单位见下表：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检查单位一览表</w:t>
      </w:r>
      <w:bookmarkStart w:id="33" w:name="_GoBack"/>
      <w:bookmarkEnd w:id="33"/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65"/>
        <w:tblW w:w="937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3312"/>
        <w:gridCol w:w="708"/>
        <w:gridCol w:w="487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区卫生健康委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新山村街道社区卫生服务中心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重庆市大渡口区人民医院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跳磴镇卫生院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茄子溪街道社区卫生服务中心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重庆月明财务咨询有限公司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春晖路街道社区卫生服务中心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重庆嘉德浩会计服务有限公司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重庆市大渡口区妇幼保健院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重庆风控企业管理咨询有限公司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重庆市大渡口区疾病预防控制中心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重庆涵正企业管理咨询有限公司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区卫生计生监督执法局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重庆优选家会计服务有限公司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sz w:val="24"/>
          <w:szCs w:val="24"/>
        </w:rPr>
        <w:t>中介机构接受委托任务后，若中途有临时追加任务，按照《政府采购法》相关规定</w:t>
      </w:r>
      <w:r>
        <w:rPr>
          <w:rFonts w:hint="eastAsia" w:ascii="宋体" w:hAnsi="宋体" w:cs="宋体"/>
          <w:sz w:val="24"/>
          <w:szCs w:val="24"/>
          <w:lang w:eastAsia="zh-CN"/>
        </w:rPr>
        <w:t>及本文件成交价格为基础</w:t>
      </w:r>
      <w:r>
        <w:rPr>
          <w:rFonts w:hint="eastAsia" w:ascii="宋体" w:hAnsi="宋体" w:cs="宋体"/>
          <w:sz w:val="24"/>
          <w:szCs w:val="24"/>
        </w:rPr>
        <w:t>双方</w:t>
      </w:r>
      <w:r>
        <w:rPr>
          <w:rFonts w:hint="eastAsia" w:ascii="宋体" w:hAnsi="宋体" w:cs="宋体"/>
          <w:sz w:val="24"/>
          <w:szCs w:val="24"/>
          <w:lang w:eastAsia="zh-CN"/>
        </w:rPr>
        <w:t>友好</w:t>
      </w:r>
      <w:r>
        <w:rPr>
          <w:rFonts w:hint="eastAsia" w:ascii="宋体" w:hAnsi="宋体" w:cs="宋体"/>
          <w:sz w:val="24"/>
          <w:szCs w:val="24"/>
        </w:rPr>
        <w:t>协商。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（二）服务要求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1.前期筹备。中标供应商应作好检查的前期准备工作，熟练掌握与会计信息质量检查（包括内部控制制度建设情况、</w:t>
      </w:r>
      <w:r>
        <w:rPr>
          <w:rFonts w:hint="eastAsia" w:ascii="宋体" w:hAnsi="宋体" w:cs="宋体"/>
          <w:sz w:val="24"/>
          <w:szCs w:val="24"/>
          <w:lang w:eastAsia="zh-CN"/>
        </w:rPr>
        <w:t>预算</w:t>
      </w:r>
      <w:r>
        <w:rPr>
          <w:rFonts w:hint="eastAsia" w:ascii="宋体" w:hAnsi="宋体" w:cs="宋体"/>
          <w:sz w:val="24"/>
          <w:szCs w:val="24"/>
        </w:rPr>
        <w:t>绩效</w:t>
      </w:r>
      <w:r>
        <w:rPr>
          <w:rFonts w:hint="eastAsia" w:ascii="宋体" w:hAnsi="宋体" w:cs="宋体"/>
          <w:sz w:val="24"/>
          <w:szCs w:val="24"/>
          <w:lang w:eastAsia="zh-CN"/>
        </w:rPr>
        <w:t>项目自评情况</w:t>
      </w:r>
      <w:r>
        <w:rPr>
          <w:rFonts w:hint="eastAsia" w:ascii="宋体" w:hAnsi="宋体" w:cs="宋体"/>
          <w:sz w:val="24"/>
          <w:szCs w:val="24"/>
        </w:rPr>
        <w:t>等</w:t>
      </w:r>
      <w:r>
        <w:rPr>
          <w:rFonts w:hint="eastAsia" w:ascii="宋体" w:hAnsi="宋体" w:cs="宋体"/>
          <w:sz w:val="24"/>
          <w:szCs w:val="24"/>
          <w:lang w:eastAsia="zh-CN"/>
        </w:rPr>
        <w:t>）等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相关的政策、文件及要求，熟悉行政事业单位财政财务管理特性。按要求成立检查工作组，参加采购人组织的查前培训，并对检查工作组成员提出工作质量与廉洁纪律要求。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2.现场检查。中标供应商应到单位开展现场检查，查阅相关会计凭证，询问相关人员，填制工作底稿。工作底稿要做到客观公正，表述正确。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3.撰写检查报告初稿。根据现场检查结果及工作底稿，撰写检查报告初稿。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4.三方沟通确认。检查报告初稿应与采购人、被检查单位沟通，对相关事项及检查发现问题进行确认。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5.再次核实。对于存在的问题视具体情况和要求进行再次核实或者检查。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6.提交正式报告。经三方确认后，形成正式检查报告。检查报告应做到所述事项准确，文字表述顺畅，无明显逻辑错误，引用依据应当准确且在法定效力期内。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廉政纪律及质量把控。中标机构派出的检查人员应严格遵守廉政纪律，确保报告质量和工作进度。若检查期间收到对检查人员廉政方面投诉且被核实的，未按规定时间完成工作任务的，检查报告出现文字表述不清晰、问题描述错误、违规条款引用错误等情形，采购人有权根据情况扣减经费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四、服务期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服务期自合同签订之日起</w:t>
      </w:r>
      <w:r>
        <w:rPr>
          <w:rFonts w:hint="eastAsia" w:ascii="宋体" w:hAnsi="宋体" w:cs="宋体"/>
          <w:sz w:val="24"/>
          <w:szCs w:val="24"/>
          <w:lang w:eastAsia="zh-CN"/>
        </w:rPr>
        <w:t>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2023年11月10日止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五、付款方式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80" w:firstLineChars="200"/>
        <w:textAlignment w:val="auto"/>
        <w:rPr>
          <w:rFonts w:ascii="宋体" w:hAnsi="宋体" w:cs="宋体"/>
          <w:color w:val="FF0000"/>
          <w:sz w:val="24"/>
          <w:szCs w:val="24"/>
        </w:rPr>
      </w:pPr>
      <w:bookmarkStart w:id="19" w:name="_Toc5085"/>
      <w:bookmarkStart w:id="20" w:name="_Toc9654"/>
      <w:bookmarkStart w:id="21" w:name="_Toc20778"/>
      <w:bookmarkStart w:id="22" w:name="_Toc25886"/>
      <w:bookmarkStart w:id="23" w:name="_Toc27955"/>
      <w:bookmarkStart w:id="24" w:name="_Toc11828"/>
      <w:bookmarkStart w:id="25" w:name="_Toc3475"/>
      <w:bookmarkStart w:id="26" w:name="_Toc9027"/>
      <w:bookmarkStart w:id="27" w:name="_Toc14778"/>
      <w:bookmarkStart w:id="28" w:name="_Toc19730"/>
      <w:bookmarkStart w:id="29" w:name="_Toc13969"/>
      <w:bookmarkStart w:id="30" w:name="_Toc25516"/>
      <w:bookmarkStart w:id="31" w:name="_Toc15478"/>
      <w:bookmarkStart w:id="32" w:name="_Toc31315"/>
      <w:r>
        <w:rPr>
          <w:rFonts w:hint="eastAsia" w:ascii="宋体" w:hAnsi="宋体" w:cs="宋体"/>
          <w:sz w:val="24"/>
          <w:szCs w:val="24"/>
          <w:lang w:eastAsia="zh-CN"/>
        </w:rPr>
        <w:t>提交检查报告初稿后支付中标金额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的70%，</w:t>
      </w:r>
      <w:r>
        <w:rPr>
          <w:rFonts w:hint="eastAsia" w:ascii="宋体" w:hAnsi="宋体" w:cs="宋体"/>
          <w:sz w:val="24"/>
          <w:szCs w:val="24"/>
        </w:rPr>
        <w:t>采购人</w:t>
      </w:r>
      <w:r>
        <w:rPr>
          <w:rFonts w:hint="eastAsia" w:ascii="宋体" w:hAnsi="宋体" w:cs="宋体"/>
          <w:sz w:val="24"/>
          <w:szCs w:val="24"/>
          <w:lang w:eastAsia="zh-CN"/>
        </w:rPr>
        <w:t>最后</w:t>
      </w:r>
      <w:r>
        <w:rPr>
          <w:rFonts w:hint="eastAsia" w:ascii="宋体" w:hAnsi="宋体" w:cs="宋体"/>
          <w:sz w:val="24"/>
          <w:szCs w:val="24"/>
        </w:rPr>
        <w:t>验收确认后</w:t>
      </w:r>
      <w:r>
        <w:rPr>
          <w:rFonts w:hint="eastAsia" w:ascii="宋体" w:hAnsi="宋体" w:cs="宋体"/>
          <w:sz w:val="24"/>
          <w:szCs w:val="24"/>
          <w:lang w:eastAsia="zh-CN"/>
        </w:rPr>
        <w:t>支付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30%</w:t>
      </w:r>
      <w:r>
        <w:rPr>
          <w:rFonts w:hint="eastAsia" w:ascii="宋体" w:hAnsi="宋体" w:cs="宋体"/>
          <w:sz w:val="24"/>
          <w:szCs w:val="24"/>
        </w:rPr>
        <w:t>。</w:t>
      </w:r>
      <w:bookmarkEnd w:id="19"/>
      <w:bookmarkEnd w:id="20"/>
      <w:bookmarkEnd w:id="21"/>
      <w:bookmarkEnd w:id="22"/>
      <w:bookmarkEnd w:id="23"/>
      <w:bookmarkEnd w:id="24"/>
      <w:bookmarkEnd w:id="25"/>
    </w:p>
    <w:bookmarkEnd w:id="26"/>
    <w:bookmarkEnd w:id="27"/>
    <w:bookmarkEnd w:id="28"/>
    <w:bookmarkEnd w:id="29"/>
    <w:bookmarkEnd w:id="30"/>
    <w:bookmarkEnd w:id="31"/>
    <w:bookmarkEnd w:id="32"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六</w:t>
      </w:r>
      <w:r>
        <w:rPr>
          <w:rFonts w:hint="eastAsia" w:ascii="宋体" w:hAnsi="宋体" w:cs="宋体"/>
          <w:b/>
          <w:bCs/>
          <w:sz w:val="24"/>
          <w:szCs w:val="24"/>
        </w:rPr>
        <w:t>、评选方法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2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1. </w:t>
      </w:r>
      <w:r>
        <w:rPr>
          <w:rFonts w:hint="eastAsia" w:ascii="宋体" w:hAnsi="宋体" w:cs="宋体"/>
          <w:sz w:val="24"/>
          <w:szCs w:val="24"/>
        </w:rPr>
        <w:t>综合评分法。</w:t>
      </w:r>
      <w:r>
        <w:rPr>
          <w:rFonts w:hint="eastAsia" w:ascii="宋体" w:hAnsi="宋体" w:cs="宋体"/>
          <w:kern w:val="0"/>
          <w:sz w:val="24"/>
          <w:szCs w:val="24"/>
        </w:rPr>
        <w:t>满分100分，</w:t>
      </w:r>
      <w:r>
        <w:rPr>
          <w:rFonts w:hint="eastAsia" w:ascii="宋体" w:hAnsi="宋体" w:cs="宋体"/>
          <w:sz w:val="24"/>
          <w:szCs w:val="24"/>
        </w:rPr>
        <w:t>采购人对供应商的响应文件进行评分，</w:t>
      </w:r>
      <w:r>
        <w:rPr>
          <w:rFonts w:hint="eastAsia" w:ascii="宋体" w:hAnsi="宋体" w:cs="宋体"/>
          <w:kern w:val="0"/>
          <w:sz w:val="24"/>
          <w:szCs w:val="24"/>
        </w:rPr>
        <w:t>得分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排名前三的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3个</w:t>
      </w:r>
      <w:r>
        <w:rPr>
          <w:rFonts w:hint="eastAsia" w:ascii="宋体" w:hAnsi="宋体" w:cs="宋体"/>
          <w:kern w:val="0"/>
          <w:sz w:val="24"/>
          <w:szCs w:val="24"/>
        </w:rPr>
        <w:t>供应商为成交供应商</w:t>
      </w:r>
      <w:r>
        <w:rPr>
          <w:rFonts w:hint="eastAsia" w:ascii="宋体" w:hAnsi="宋体" w:cs="宋体"/>
          <w:sz w:val="24"/>
          <w:szCs w:val="24"/>
        </w:rPr>
        <w:t>；未入围的报名供应商不参与评审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2. </w:t>
      </w:r>
      <w:r>
        <w:rPr>
          <w:rFonts w:hint="eastAsia" w:ascii="宋体" w:hAnsi="宋体" w:cs="宋体"/>
          <w:sz w:val="24"/>
          <w:szCs w:val="24"/>
          <w:lang w:eastAsia="zh-CN"/>
        </w:rPr>
        <w:t>报价要求。报价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以投标报价函报价为准，现场不再进行二次报价。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94" w:lineRule="exact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eastAsia="zh-CN"/>
        </w:rPr>
        <w:t>七</w:t>
      </w:r>
      <w:r>
        <w:rPr>
          <w:rFonts w:hint="eastAsia" w:ascii="宋体" w:hAnsi="宋体" w:cs="宋体"/>
          <w:sz w:val="24"/>
          <w:szCs w:val="24"/>
          <w:u w:val="none"/>
        </w:rPr>
        <w:t>、其他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约定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. </w:t>
      </w:r>
      <w:r>
        <w:rPr>
          <w:rFonts w:hint="eastAsia" w:ascii="宋体" w:hAnsi="宋体" w:cs="宋体"/>
          <w:sz w:val="24"/>
          <w:szCs w:val="24"/>
        </w:rPr>
        <w:t>凡有意参加</w:t>
      </w:r>
      <w:r>
        <w:rPr>
          <w:rFonts w:hint="eastAsia" w:ascii="宋体" w:hAnsi="宋体" w:cs="宋体"/>
          <w:sz w:val="24"/>
          <w:szCs w:val="24"/>
          <w:lang w:eastAsia="zh-CN"/>
        </w:rPr>
        <w:t>竞标</w:t>
      </w:r>
      <w:r>
        <w:rPr>
          <w:rFonts w:hint="eastAsia" w:ascii="宋体" w:hAnsi="宋体" w:cs="宋体"/>
          <w:sz w:val="24"/>
          <w:szCs w:val="24"/>
        </w:rPr>
        <w:t>的供应商，请于公告发布之日起至报名截止时间之前，在重庆市</w:t>
      </w:r>
      <w:r>
        <w:rPr>
          <w:rFonts w:hint="eastAsia" w:ascii="宋体" w:hAnsi="宋体" w:cs="宋体"/>
          <w:sz w:val="24"/>
          <w:szCs w:val="24"/>
          <w:lang w:eastAsia="zh-CN"/>
        </w:rPr>
        <w:t>大渡口区</w:t>
      </w:r>
      <w:r>
        <w:rPr>
          <w:rFonts w:hint="eastAsia" w:ascii="宋体" w:hAnsi="宋体" w:cs="宋体"/>
          <w:sz w:val="24"/>
          <w:szCs w:val="24"/>
        </w:rPr>
        <w:t>政府</w:t>
      </w:r>
      <w:r>
        <w:rPr>
          <w:rFonts w:hint="eastAsia" w:ascii="宋体" w:hAnsi="宋体" w:cs="宋体"/>
          <w:sz w:val="24"/>
          <w:szCs w:val="24"/>
          <w:lang w:eastAsia="zh-CN"/>
        </w:rPr>
        <w:t>门户</w:t>
      </w:r>
      <w:r>
        <w:rPr>
          <w:rFonts w:hint="eastAsia" w:ascii="宋体" w:hAnsi="宋体" w:cs="宋体"/>
          <w:sz w:val="24"/>
          <w:szCs w:val="24"/>
        </w:rPr>
        <w:t>网上下载查看本项目需求文件以及变更公告等</w:t>
      </w:r>
      <w:r>
        <w:rPr>
          <w:rFonts w:hint="eastAsia" w:ascii="宋体" w:hAnsi="宋体" w:cs="宋体"/>
          <w:sz w:val="24"/>
          <w:szCs w:val="24"/>
          <w:lang w:eastAsia="zh-CN"/>
        </w:rPr>
        <w:t>竞标</w:t>
      </w:r>
      <w:r>
        <w:rPr>
          <w:rFonts w:hint="eastAsia" w:ascii="宋体" w:hAnsi="宋体" w:cs="宋体"/>
          <w:sz w:val="24"/>
          <w:szCs w:val="24"/>
        </w:rPr>
        <w:t>前公布的所有项目资料，无论供应商下载查看与否，均视为已知晓所有</w:t>
      </w:r>
      <w:r>
        <w:rPr>
          <w:rFonts w:hint="eastAsia" w:ascii="宋体" w:hAnsi="宋体" w:cs="宋体"/>
          <w:sz w:val="24"/>
          <w:szCs w:val="24"/>
          <w:lang w:eastAsia="zh-CN"/>
        </w:rPr>
        <w:t>竞标</w:t>
      </w:r>
      <w:r>
        <w:rPr>
          <w:rFonts w:hint="eastAsia" w:ascii="宋体" w:hAnsi="宋体" w:cs="宋体"/>
          <w:sz w:val="24"/>
          <w:szCs w:val="24"/>
        </w:rPr>
        <w:t>实质性要求内容。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2. </w:t>
      </w:r>
      <w:r>
        <w:rPr>
          <w:rFonts w:hint="eastAsia" w:ascii="宋体" w:hAnsi="宋体" w:cs="宋体"/>
          <w:sz w:val="24"/>
          <w:szCs w:val="24"/>
        </w:rPr>
        <w:t>供应商必须对以上条款和服务承诺明确列出，承诺内容必须达到要求。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3. </w:t>
      </w:r>
      <w:r>
        <w:rPr>
          <w:rFonts w:hint="eastAsia" w:ascii="宋体" w:hAnsi="宋体" w:cs="宋体"/>
          <w:sz w:val="24"/>
          <w:szCs w:val="24"/>
        </w:rPr>
        <w:t>其他未尽事宜由供需双方在采购合同中详细约定。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4. </w:t>
      </w:r>
      <w:r>
        <w:rPr>
          <w:rFonts w:hint="eastAsia" w:ascii="宋体" w:hAnsi="宋体" w:cs="宋体"/>
          <w:sz w:val="24"/>
          <w:szCs w:val="24"/>
        </w:rPr>
        <w:t>无论谈判结果如何，供应商参与本项目的所有费用均自行承担。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八</w:t>
      </w:r>
      <w:r>
        <w:rPr>
          <w:rFonts w:hint="eastAsia" w:ascii="宋体" w:hAnsi="宋体" w:cs="宋体"/>
          <w:b/>
          <w:bCs/>
          <w:sz w:val="24"/>
          <w:szCs w:val="24"/>
        </w:rPr>
        <w:t>、供应商提交响应文件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  <w:u w:val="none"/>
        </w:rPr>
      </w:pPr>
      <w:r>
        <w:rPr>
          <w:rFonts w:hint="eastAsia" w:ascii="宋体" w:hAnsi="宋体" w:cs="宋体"/>
          <w:sz w:val="24"/>
          <w:szCs w:val="24"/>
        </w:rPr>
        <w:t>1、供应商</w:t>
      </w:r>
      <w:r>
        <w:rPr>
          <w:rFonts w:hint="eastAsia" w:ascii="宋体" w:hAnsi="宋体" w:cs="宋体"/>
          <w:sz w:val="24"/>
          <w:szCs w:val="24"/>
          <w:lang w:eastAsia="zh-CN"/>
        </w:rPr>
        <w:t>提交响应文件时间：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20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23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日北京时间09:00至20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23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日北京时间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: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0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0</w:t>
      </w:r>
      <w:r>
        <w:rPr>
          <w:rFonts w:hint="eastAsia" w:ascii="宋体" w:hAnsi="宋体" w:cs="宋体"/>
          <w:sz w:val="24"/>
          <w:szCs w:val="24"/>
          <w:u w:val="none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b/>
          <w:bCs/>
          <w:sz w:val="24"/>
          <w:szCs w:val="24"/>
          <w:u w:val="none"/>
        </w:rPr>
      </w:pPr>
      <w:r>
        <w:rPr>
          <w:rFonts w:hint="eastAsia" w:ascii="宋体" w:hAnsi="宋体" w:cs="宋体"/>
          <w:sz w:val="24"/>
          <w:szCs w:val="24"/>
        </w:rPr>
        <w:t>2、提交响应文件截止时间：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20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23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日北京时间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: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0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0。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3、提交响应文件内容：竞标文件、法定代表人身份证明书和法定代表人授权委托书原件（法定代表人参加投标只需提供法定代表人身份证明书原件）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、提交响应文件地址：大渡口区</w:t>
      </w:r>
      <w:r>
        <w:rPr>
          <w:rFonts w:hint="eastAsia" w:ascii="宋体" w:hAnsi="宋体" w:cs="宋体"/>
          <w:sz w:val="24"/>
          <w:szCs w:val="24"/>
          <w:lang w:eastAsia="zh-CN"/>
        </w:rPr>
        <w:t>财政局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368</w:t>
      </w:r>
      <w:r>
        <w:rPr>
          <w:rFonts w:hint="eastAsia" w:ascii="宋体" w:hAnsi="宋体" w:cs="宋体"/>
          <w:sz w:val="24"/>
          <w:szCs w:val="24"/>
        </w:rPr>
        <w:t>会议室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、供应商响应文件</w:t>
      </w:r>
      <w:r>
        <w:rPr>
          <w:rFonts w:hint="eastAsia" w:ascii="宋体" w:hAnsi="宋体" w:cs="宋体"/>
          <w:sz w:val="24"/>
          <w:szCs w:val="24"/>
          <w:lang w:eastAsia="zh-CN"/>
        </w:rPr>
        <w:t>正本、副本各壹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份</w:t>
      </w:r>
      <w:r>
        <w:rPr>
          <w:rFonts w:hint="eastAsia" w:ascii="宋体" w:hAnsi="宋体" w:cs="宋体"/>
          <w:sz w:val="24"/>
          <w:szCs w:val="24"/>
        </w:rPr>
        <w:t xml:space="preserve">。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九</w:t>
      </w:r>
      <w:r>
        <w:rPr>
          <w:rFonts w:hint="eastAsia" w:ascii="宋体" w:hAnsi="宋体" w:cs="宋体"/>
          <w:b/>
          <w:bCs/>
          <w:sz w:val="24"/>
          <w:szCs w:val="24"/>
        </w:rPr>
        <w:t>、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评标事宜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</w:t>
      </w:r>
      <w:r>
        <w:rPr>
          <w:rFonts w:hint="eastAsia" w:ascii="宋体" w:hAnsi="宋体" w:cs="宋体"/>
          <w:sz w:val="24"/>
          <w:szCs w:val="24"/>
          <w:lang w:eastAsia="zh-CN"/>
        </w:rPr>
        <w:t>评标</w:t>
      </w:r>
      <w:r>
        <w:rPr>
          <w:rFonts w:hint="eastAsia" w:ascii="宋体" w:hAnsi="宋体" w:cs="宋体"/>
          <w:sz w:val="24"/>
          <w:szCs w:val="24"/>
        </w:rPr>
        <w:t>时间：20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</w:rPr>
        <w:t>日北京时间10：00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</w:t>
      </w:r>
      <w:r>
        <w:rPr>
          <w:rFonts w:hint="eastAsia" w:ascii="宋体" w:hAnsi="宋体" w:cs="宋体"/>
          <w:sz w:val="24"/>
          <w:szCs w:val="24"/>
          <w:lang w:eastAsia="zh-CN"/>
        </w:rPr>
        <w:t>评标</w:t>
      </w:r>
      <w:r>
        <w:rPr>
          <w:rFonts w:hint="eastAsia" w:ascii="宋体" w:hAnsi="宋体" w:cs="宋体"/>
          <w:sz w:val="24"/>
          <w:szCs w:val="24"/>
        </w:rPr>
        <w:t>地点：大渡口区</w:t>
      </w:r>
      <w:r>
        <w:rPr>
          <w:rFonts w:hint="eastAsia" w:ascii="宋体" w:hAnsi="宋体" w:cs="宋体"/>
          <w:sz w:val="24"/>
          <w:szCs w:val="24"/>
          <w:lang w:eastAsia="zh-CN"/>
        </w:rPr>
        <w:t>财政局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368</w:t>
      </w:r>
      <w:r>
        <w:rPr>
          <w:rFonts w:hint="eastAsia" w:ascii="宋体" w:hAnsi="宋体" w:cs="宋体"/>
          <w:sz w:val="24"/>
          <w:szCs w:val="24"/>
        </w:rPr>
        <w:t>会议室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3、经</w:t>
      </w:r>
      <w:r>
        <w:rPr>
          <w:rFonts w:hint="eastAsia" w:ascii="宋体" w:hAnsi="宋体" w:cs="宋体"/>
          <w:sz w:val="24"/>
          <w:szCs w:val="24"/>
          <w:lang w:eastAsia="zh-CN"/>
        </w:rPr>
        <w:t>综合评标</w:t>
      </w:r>
      <w:r>
        <w:rPr>
          <w:rFonts w:hint="eastAsia" w:ascii="宋体" w:hAnsi="宋体" w:cs="宋体"/>
          <w:sz w:val="24"/>
          <w:szCs w:val="24"/>
        </w:rPr>
        <w:t>确定</w:t>
      </w:r>
      <w:r>
        <w:rPr>
          <w:rFonts w:hint="eastAsia" w:ascii="宋体" w:hAnsi="宋体" w:cs="宋体"/>
          <w:sz w:val="24"/>
          <w:szCs w:val="24"/>
          <w:lang w:eastAsia="zh-CN"/>
        </w:rPr>
        <w:t>中标结果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后</w:t>
      </w:r>
      <w:r>
        <w:rPr>
          <w:rFonts w:hint="eastAsia" w:ascii="宋体" w:hAnsi="宋体" w:cs="宋体"/>
          <w:sz w:val="24"/>
          <w:szCs w:val="24"/>
        </w:rPr>
        <w:t>，供应商应当按照</w:t>
      </w:r>
      <w:r>
        <w:rPr>
          <w:rFonts w:hint="eastAsia" w:ascii="宋体" w:hAnsi="宋体" w:cs="宋体"/>
          <w:sz w:val="24"/>
          <w:szCs w:val="24"/>
          <w:u w:val="none"/>
        </w:rPr>
        <w:t>变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动</w:t>
      </w:r>
      <w:r>
        <w:rPr>
          <w:rFonts w:hint="eastAsia" w:ascii="宋体" w:hAnsi="宋体" w:cs="宋体"/>
          <w:sz w:val="24"/>
          <w:szCs w:val="24"/>
        </w:rPr>
        <w:t>情况提交书面承诺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，未提交的供应商作</w:t>
      </w:r>
      <w:r>
        <w:rPr>
          <w:rFonts w:hint="eastAsia" w:ascii="宋体" w:hAnsi="宋体" w:cs="宋体"/>
          <w:sz w:val="24"/>
          <w:szCs w:val="24"/>
        </w:rPr>
        <w:t>废标处理。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94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十</w:t>
      </w:r>
      <w:r>
        <w:rPr>
          <w:rFonts w:hint="eastAsia" w:ascii="宋体" w:hAnsi="宋体" w:cs="宋体"/>
          <w:sz w:val="24"/>
          <w:szCs w:val="24"/>
        </w:rPr>
        <w:t>、联系方式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采购人： 大渡口区财政局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 王娟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  话：68082250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cs="宋体"/>
          <w:sz w:val="24"/>
          <w:szCs w:val="24"/>
          <w:u w:val="none"/>
        </w:rPr>
        <w:t>地  址：大渡口区文体路126号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行政中心</w:t>
      </w:r>
      <w:r>
        <w:rPr>
          <w:rFonts w:hint="eastAsia" w:ascii="宋体" w:hAnsi="宋体" w:cs="宋体"/>
          <w:sz w:val="24"/>
          <w:szCs w:val="24"/>
          <w:u w:val="none"/>
        </w:rPr>
        <w:t>307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室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</w:p>
    <w:p>
      <w:pPr>
        <w:spacing w:line="312" w:lineRule="auto"/>
        <w:jc w:val="center"/>
        <w:rPr>
          <w:rFonts w:ascii="宋体" w:hAnsi="宋体" w:cs="宋体"/>
          <w:b/>
          <w:bCs/>
          <w:szCs w:val="28"/>
        </w:rPr>
      </w:pPr>
    </w:p>
    <w:p>
      <w:pPr>
        <w:spacing w:line="312" w:lineRule="auto"/>
        <w:jc w:val="center"/>
        <w:rPr>
          <w:rFonts w:ascii="宋体" w:hAnsi="宋体" w:cs="宋体"/>
          <w:b/>
          <w:bCs/>
          <w:szCs w:val="28"/>
        </w:rPr>
      </w:pPr>
      <w:r>
        <w:rPr>
          <w:rFonts w:hint="eastAsia" w:ascii="宋体" w:hAnsi="宋体" w:cs="宋体"/>
          <w:b/>
          <w:bCs/>
          <w:szCs w:val="28"/>
        </w:rPr>
        <w:t>评审标准</w:t>
      </w:r>
    </w:p>
    <w:p>
      <w:pPr>
        <w:spacing w:line="312" w:lineRule="auto"/>
        <w:jc w:val="center"/>
        <w:rPr>
          <w:rFonts w:ascii="宋体" w:hAnsi="宋体" w:cs="宋体"/>
          <w:b/>
          <w:bCs/>
          <w:szCs w:val="28"/>
        </w:rPr>
      </w:pPr>
    </w:p>
    <w:tbl>
      <w:tblPr>
        <w:tblStyle w:val="65"/>
        <w:tblpPr w:leftFromText="180" w:rightFromText="180" w:vertAnchor="text" w:tblpXSpec="center" w:tblpY="1"/>
        <w:tblOverlap w:val="never"/>
        <w:tblW w:w="10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69"/>
        <w:gridCol w:w="729"/>
        <w:gridCol w:w="4903"/>
        <w:gridCol w:w="2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评分因素</w:t>
            </w:r>
          </w:p>
        </w:tc>
        <w:tc>
          <w:tcPr>
            <w:tcW w:w="72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490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评分标准（以下评分标准为举例）</w:t>
            </w:r>
          </w:p>
        </w:tc>
        <w:tc>
          <w:tcPr>
            <w:tcW w:w="2724" w:type="dxa"/>
            <w:vAlign w:val="center"/>
          </w:tcPr>
          <w:p>
            <w:pPr>
              <w:pStyle w:val="174"/>
              <w:spacing w:before="0" w:after="0" w:line="440" w:lineRule="exact"/>
              <w:rPr>
                <w:rFonts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投标报价</w:t>
            </w:r>
          </w:p>
        </w:tc>
        <w:tc>
          <w:tcPr>
            <w:tcW w:w="72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903" w:type="dxa"/>
            <w:vAlign w:val="center"/>
          </w:tcPr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有效的投标报价中的最低价为评标基准价，按照下列公式计算每个投标人的投标价格得分。</w:t>
            </w:r>
          </w:p>
          <w:p>
            <w:pPr>
              <w:widowControl/>
              <w:spacing w:line="300" w:lineRule="exact"/>
              <w:outlineLvl w:val="2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投标报价得分＝（评标基准价/投标报价）×价格权重×100。</w:t>
            </w:r>
          </w:p>
        </w:tc>
        <w:tc>
          <w:tcPr>
            <w:tcW w:w="2724" w:type="dxa"/>
            <w:vAlign w:val="center"/>
          </w:tcPr>
          <w:p>
            <w:pPr>
              <w:spacing w:line="360" w:lineRule="exact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高于预算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价为无效报价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服务部分</w:t>
            </w:r>
          </w:p>
          <w:p>
            <w:pPr>
              <w:spacing w:line="36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微软雅黑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微软雅黑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903" w:type="dxa"/>
            <w:vAlign w:val="center"/>
          </w:tcPr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检查基本流程、方案。</w:t>
            </w:r>
          </w:p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1、服务及现场管理方案。（3-3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优得20-3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分，良得10-19分，差得3-9分。</w:t>
            </w:r>
          </w:p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2、服务优化方案。（3-1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分，良得5-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分，差得3-4分。</w:t>
            </w:r>
          </w:p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3、服务质量保障方案。（1-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分，良得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分，差得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4、服务现场安全保障方案（1-5分）</w:t>
            </w:r>
          </w:p>
          <w:p>
            <w:pPr>
              <w:widowControl/>
              <w:spacing w:line="300" w:lineRule="exact"/>
              <w:outlineLvl w:val="2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优得4-5分，良得2-3分，差得1分。</w:t>
            </w:r>
          </w:p>
        </w:tc>
        <w:tc>
          <w:tcPr>
            <w:tcW w:w="2724" w:type="dxa"/>
            <w:vAlign w:val="center"/>
          </w:tcPr>
          <w:p>
            <w:pPr>
              <w:spacing w:line="360" w:lineRule="exact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提供纸质流程及方案。采购人根据采购服务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求，对各供应商提供的书面方案进行横向比较评分。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7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spacing w:line="32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商务部分</w:t>
            </w:r>
          </w:p>
          <w:p>
            <w:pPr>
              <w:spacing w:line="32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outlineLvl w:val="2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903" w:type="dxa"/>
            <w:vAlign w:val="bottom"/>
          </w:tcPr>
          <w:p>
            <w:pPr>
              <w:widowControl/>
              <w:spacing w:line="300" w:lineRule="exact"/>
              <w:jc w:val="both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经验10分。201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年至今参与过行政事业单位审计、财政监督检查工作的一个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2分，最多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10分。</w:t>
            </w:r>
          </w:p>
          <w:p>
            <w:pPr>
              <w:widowControl/>
              <w:spacing w:line="300" w:lineRule="exact"/>
              <w:jc w:val="both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4" w:type="dxa"/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提供合同复印件，原件必查，未提供原件不得分。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3" w:type="dxa"/>
            <w:vAlign w:val="center"/>
          </w:tcPr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团队要求20分。检查团队应至少包含5名注册会计师、5名会计师,可以是10人注册会计师。能提供齐全资料的得1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分，少提供一名注册会计师证书的扣2分、少提供一名会计师证书的扣1分。检查团队少于4人，该项不得分。高于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名注册会计师，每增加1名注册会计师加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分，最多加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提供检查团队组成人员名单（提供20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年1月-20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月的人员社保证明原件）及相应资质证书复印件（原件备查），实际操作中未经业主同意不得更改。</w:t>
            </w:r>
          </w:p>
        </w:tc>
      </w:tr>
    </w:tbl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spacing w:line="312" w:lineRule="auto"/>
        <w:jc w:val="center"/>
        <w:rPr>
          <w:rFonts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供应商编制响应文件要求</w:t>
      </w:r>
    </w:p>
    <w:p>
      <w:pPr>
        <w:numPr>
          <w:ilvl w:val="0"/>
          <w:numId w:val="12"/>
        </w:num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报价</w:t>
      </w:r>
    </w:p>
    <w:p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（一）报价函</w:t>
      </w:r>
    </w:p>
    <w:p>
      <w:pPr>
        <w:tabs>
          <w:tab w:val="left" w:pos="6300"/>
        </w:tabs>
        <w:snapToGrid w:val="0"/>
        <w:spacing w:line="360" w:lineRule="auto"/>
        <w:jc w:val="center"/>
        <w:outlineLvl w:val="0"/>
        <w:rPr>
          <w:rFonts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报价函</w:t>
      </w:r>
    </w:p>
    <w:p>
      <w:pPr>
        <w:tabs>
          <w:tab w:val="left" w:pos="6300"/>
        </w:tabs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>（采购人名称）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我方收到____________________________（项目名称）的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文件，经详细研究，决定参加该项目的</w:t>
      </w:r>
      <w:r>
        <w:rPr>
          <w:rFonts w:hint="eastAsia" w:ascii="宋体" w:hAnsi="宋体" w:cs="宋体"/>
          <w:sz w:val="24"/>
          <w:szCs w:val="24"/>
          <w:lang w:eastAsia="zh-CN"/>
        </w:rPr>
        <w:t>采购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numPr>
          <w:ilvl w:val="0"/>
          <w:numId w:val="13"/>
        </w:numPr>
        <w:tabs>
          <w:tab w:val="left" w:pos="6300"/>
        </w:tabs>
        <w:snapToGrid w:val="0"/>
        <w:spacing w:line="360" w:lineRule="auto"/>
        <w:ind w:left="14" w:leftChars="5" w:firstLine="458" w:firstLineChars="191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愿意按照谈判采购文件中的一切要求，提供本项目的技术服务，报价为人民币</w:t>
      </w:r>
      <w:r>
        <w:rPr>
          <w:rFonts w:hint="eastAsia" w:ascii="宋体" w:hAnsi="宋体" w:cs="宋体"/>
          <w:sz w:val="24"/>
          <w:szCs w:val="24"/>
          <w:u w:val="single"/>
        </w:rPr>
        <w:t>大写：     元整</w:t>
      </w:r>
      <w:r>
        <w:rPr>
          <w:rFonts w:hint="eastAsia" w:ascii="宋体" w:hAnsi="宋体" w:cs="宋体"/>
          <w:sz w:val="24"/>
          <w:szCs w:val="24"/>
        </w:rPr>
        <w:t>；人民币</w:t>
      </w:r>
      <w:r>
        <w:rPr>
          <w:rFonts w:hint="eastAsia" w:ascii="宋体" w:hAnsi="宋体" w:cs="宋体"/>
          <w:sz w:val="24"/>
          <w:szCs w:val="24"/>
          <w:u w:val="single"/>
        </w:rPr>
        <w:t>小写：    元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numPr>
          <w:ilvl w:val="0"/>
          <w:numId w:val="13"/>
        </w:numPr>
        <w:tabs>
          <w:tab w:val="left" w:pos="6300"/>
        </w:tabs>
        <w:snapToGrid w:val="0"/>
        <w:spacing w:line="360" w:lineRule="auto"/>
        <w:ind w:left="14" w:leftChars="5" w:firstLine="458" w:firstLineChars="191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我方现提交的响应文件为：响应文件</w:t>
      </w:r>
      <w:r>
        <w:rPr>
          <w:rFonts w:hint="eastAsia" w:ascii="宋体" w:hAnsi="宋体" w:cs="宋体"/>
          <w:sz w:val="24"/>
          <w:szCs w:val="24"/>
          <w:lang w:eastAsia="zh-CN"/>
        </w:rPr>
        <w:t>纸质</w:t>
      </w:r>
      <w:r>
        <w:rPr>
          <w:rFonts w:hint="eastAsia" w:ascii="宋体" w:hAnsi="宋体" w:cs="宋体"/>
          <w:sz w:val="24"/>
          <w:szCs w:val="24"/>
        </w:rPr>
        <w:t>文档</w:t>
      </w:r>
      <w:r>
        <w:rPr>
          <w:rFonts w:hint="eastAsia" w:ascii="宋体" w:hAnsi="宋体" w:cs="宋体"/>
          <w:sz w:val="24"/>
          <w:szCs w:val="24"/>
          <w:lang w:eastAsia="zh-CN"/>
        </w:rPr>
        <w:t>正本、副本各</w:t>
      </w:r>
      <w:r>
        <w:rPr>
          <w:rFonts w:hint="eastAsia" w:ascii="宋体" w:hAnsi="宋体" w:cs="宋体"/>
          <w:sz w:val="24"/>
          <w:szCs w:val="24"/>
        </w:rPr>
        <w:t>壹份。</w:t>
      </w:r>
    </w:p>
    <w:p>
      <w:pPr>
        <w:numPr>
          <w:ilvl w:val="0"/>
          <w:numId w:val="13"/>
        </w:numPr>
        <w:tabs>
          <w:tab w:val="left" w:pos="6300"/>
        </w:tabs>
        <w:snapToGrid w:val="0"/>
        <w:spacing w:line="360" w:lineRule="auto"/>
        <w:ind w:left="14" w:leftChars="5" w:firstLine="458" w:firstLineChars="191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我方完全理解和接受贵方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文件的一切规定和要求及评审办法。</w:t>
      </w:r>
    </w:p>
    <w:p>
      <w:pPr>
        <w:numPr>
          <w:ilvl w:val="0"/>
          <w:numId w:val="13"/>
        </w:numPr>
        <w:tabs>
          <w:tab w:val="left" w:pos="6300"/>
        </w:tabs>
        <w:snapToGrid w:val="0"/>
        <w:spacing w:line="360" w:lineRule="auto"/>
        <w:ind w:left="14" w:leftChars="5" w:firstLine="458" w:firstLineChars="191"/>
        <w:rPr>
          <w:rFonts w:hint="eastAsia" w:ascii="宋体" w:hAnsi="宋体" w:cs="宋体"/>
          <w:sz w:val="24"/>
          <w:szCs w:val="24"/>
          <w:u w:val="none"/>
        </w:rPr>
      </w:pPr>
      <w:r>
        <w:rPr>
          <w:rFonts w:hint="eastAsia" w:ascii="宋体" w:hAnsi="宋体" w:cs="宋体"/>
          <w:sz w:val="24"/>
          <w:szCs w:val="24"/>
        </w:rPr>
        <w:t>在整个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  <w:lang w:eastAsia="zh-CN"/>
        </w:rPr>
        <w:t>评标</w:t>
      </w:r>
      <w:r>
        <w:rPr>
          <w:rFonts w:hint="eastAsia" w:ascii="宋体" w:hAnsi="宋体" w:cs="宋体"/>
          <w:sz w:val="24"/>
          <w:szCs w:val="24"/>
        </w:rPr>
        <w:t>过程中，我方若有违规行为，</w:t>
      </w:r>
      <w:r>
        <w:rPr>
          <w:rFonts w:hint="default" w:ascii="宋体" w:hAnsi="宋体" w:cs="宋体"/>
          <w:sz w:val="24"/>
          <w:szCs w:val="24"/>
          <w:u w:val="none"/>
        </w:rPr>
        <w:t>根据有关规定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纳入信用体系“</w:t>
      </w:r>
      <w:r>
        <w:rPr>
          <w:rFonts w:hint="default" w:ascii="宋体" w:hAnsi="宋体" w:cs="宋体"/>
          <w:sz w:val="24"/>
          <w:szCs w:val="24"/>
          <w:u w:val="none"/>
        </w:rPr>
        <w:t>失信记录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”</w:t>
      </w:r>
      <w:r>
        <w:rPr>
          <w:rFonts w:hint="default" w:ascii="宋体" w:hAnsi="宋体" w:cs="宋体"/>
          <w:sz w:val="24"/>
          <w:szCs w:val="24"/>
          <w:u w:val="none"/>
        </w:rPr>
        <w:t>实施联合惩戒，并向社会公告</w:t>
      </w:r>
      <w:r>
        <w:rPr>
          <w:rFonts w:hint="eastAsia" w:ascii="宋体" w:hAnsi="宋体" w:cs="宋体"/>
          <w:sz w:val="24"/>
          <w:szCs w:val="24"/>
          <w:u w:val="none"/>
        </w:rPr>
        <w:t>等给予惩罚。</w:t>
      </w:r>
    </w:p>
    <w:p>
      <w:pPr>
        <w:numPr>
          <w:ilvl w:val="0"/>
          <w:numId w:val="13"/>
        </w:numPr>
        <w:tabs>
          <w:tab w:val="left" w:pos="6300"/>
        </w:tabs>
        <w:snapToGrid w:val="0"/>
        <w:spacing w:line="360" w:lineRule="auto"/>
        <w:ind w:left="14" w:leftChars="5" w:firstLine="458" w:firstLineChars="191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我方若中选，将按照</w:t>
      </w:r>
      <w:r>
        <w:rPr>
          <w:rFonts w:hint="eastAsia" w:ascii="宋体" w:hAnsi="宋体" w:cs="宋体"/>
          <w:sz w:val="24"/>
          <w:szCs w:val="24"/>
          <w:lang w:eastAsia="zh-CN"/>
        </w:rPr>
        <w:t>采购</w:t>
      </w:r>
      <w:r>
        <w:rPr>
          <w:rFonts w:hint="eastAsia" w:ascii="宋体" w:hAnsi="宋体" w:cs="宋体"/>
          <w:sz w:val="24"/>
          <w:szCs w:val="24"/>
        </w:rPr>
        <w:t>结果签订合同，并且严格履行合同义务。本承诺函将成为合同不可分割的一部分，与合同具有同等的法律效力。</w:t>
      </w:r>
    </w:p>
    <w:p>
      <w:pPr>
        <w:numPr>
          <w:ilvl w:val="0"/>
          <w:numId w:val="13"/>
        </w:numPr>
        <w:tabs>
          <w:tab w:val="left" w:pos="6300"/>
        </w:tabs>
        <w:snapToGrid w:val="0"/>
        <w:spacing w:line="360" w:lineRule="auto"/>
        <w:ind w:left="14" w:leftChars="5" w:firstLine="458" w:firstLineChars="191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8"/>
        </w:rPr>
        <w:t>我方理解，最低报价不是成交的唯一条件。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供应商名称（公章）：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   年   月   日            </w:t>
      </w:r>
    </w:p>
    <w:p>
      <w:pPr>
        <w:spacing w:line="312" w:lineRule="auto"/>
        <w:rPr>
          <w:rFonts w:ascii="宋体" w:hAnsi="宋体" w:cs="宋体"/>
        </w:rPr>
      </w:pPr>
    </w:p>
    <w:p>
      <w:pPr>
        <w:spacing w:line="312" w:lineRule="auto"/>
        <w:ind w:right="480" w:firstLine="6480" w:firstLineChars="27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</w:t>
      </w:r>
    </w:p>
    <w:p>
      <w:pPr>
        <w:spacing w:line="312" w:lineRule="auto"/>
        <w:ind w:firstLine="420"/>
        <w:rPr>
          <w:rFonts w:ascii="宋体" w:hAnsi="宋体" w:cs="宋体"/>
          <w:b/>
          <w:szCs w:val="28"/>
        </w:rPr>
      </w:pPr>
    </w:p>
    <w:p>
      <w:pPr>
        <w:spacing w:line="312" w:lineRule="auto"/>
        <w:rPr>
          <w:rFonts w:ascii="宋体" w:hAnsi="宋体" w:cs="宋体"/>
          <w:b/>
          <w:szCs w:val="28"/>
        </w:rPr>
      </w:pPr>
    </w:p>
    <w:p>
      <w:pPr>
        <w:spacing w:line="312" w:lineRule="auto"/>
        <w:rPr>
          <w:rFonts w:ascii="宋体" w:hAnsi="宋体" w:cs="宋体"/>
          <w:b/>
          <w:szCs w:val="28"/>
        </w:rPr>
      </w:pPr>
    </w:p>
    <w:p>
      <w:pPr>
        <w:spacing w:line="312" w:lineRule="auto"/>
        <w:ind w:firstLine="480" w:firstLineChars="200"/>
        <w:rPr>
          <w:rFonts w:ascii="宋体" w:hAnsi="宋体" w:cs="宋体"/>
          <w:color w:val="FF0000"/>
          <w:sz w:val="24"/>
          <w:szCs w:val="24"/>
        </w:rPr>
      </w:pPr>
    </w:p>
    <w:p>
      <w:pPr>
        <w:spacing w:line="312" w:lineRule="auto"/>
        <w:ind w:firstLine="480" w:firstLineChars="200"/>
        <w:rPr>
          <w:rFonts w:ascii="宋体" w:hAnsi="宋体" w:cs="宋体"/>
          <w:color w:val="FF0000"/>
          <w:sz w:val="24"/>
          <w:szCs w:val="24"/>
        </w:rPr>
        <w:sectPr>
          <w:headerReference r:id="rId3" w:type="default"/>
          <w:footerReference r:id="rId4" w:type="default"/>
          <w:pgSz w:w="11907" w:h="16840"/>
          <w:pgMar w:top="1134" w:right="1418" w:bottom="1134" w:left="1418" w:header="964" w:footer="992" w:gutter="0"/>
          <w:pgNumType w:fmt="numberInDash"/>
          <w:cols w:space="720" w:num="1"/>
          <w:docGrid w:linePitch="312" w:charSpace="0"/>
        </w:sectPr>
      </w:pPr>
    </w:p>
    <w:p>
      <w:pPr>
        <w:numPr>
          <w:ilvl w:val="0"/>
          <w:numId w:val="12"/>
        </w:num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服务方案</w:t>
      </w:r>
    </w:p>
    <w:p>
      <w:pPr>
        <w:spacing w:line="312" w:lineRule="auto"/>
        <w:jc w:val="center"/>
        <w:rPr>
          <w:rFonts w:ascii="宋体" w:hAnsi="宋体" w:cs="宋体"/>
          <w:b/>
          <w:i/>
          <w:iCs/>
          <w:sz w:val="24"/>
          <w:szCs w:val="24"/>
          <w:u w:val="single"/>
        </w:rPr>
      </w:pPr>
      <w:r>
        <w:rPr>
          <w:rFonts w:hint="eastAsia" w:ascii="宋体" w:hAnsi="宋体" w:cs="宋体"/>
          <w:i/>
          <w:iCs/>
          <w:sz w:val="24"/>
          <w:szCs w:val="24"/>
          <w:u w:val="single"/>
        </w:rPr>
        <w:t>服务方案（格式自定）</w:t>
      </w:r>
    </w:p>
    <w:p>
      <w:pPr>
        <w:spacing w:line="312" w:lineRule="auto"/>
        <w:rPr>
          <w:rFonts w:ascii="宋体" w:hAnsi="宋体" w:cs="宋体"/>
          <w:b/>
          <w:sz w:val="24"/>
          <w:szCs w:val="24"/>
        </w:rPr>
      </w:pPr>
    </w:p>
    <w:p>
      <w:pPr>
        <w:pStyle w:val="4"/>
        <w:spacing w:before="0" w:after="0"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pStyle w:val="4"/>
        <w:numPr>
          <w:ilvl w:val="0"/>
          <w:numId w:val="12"/>
        </w:numPr>
        <w:spacing w:before="0" w:after="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资格条件及其他</w:t>
      </w:r>
    </w:p>
    <w:p>
      <w:pPr>
        <w:spacing w:line="312" w:lineRule="auto"/>
        <w:jc w:val="center"/>
        <w:rPr>
          <w:rFonts w:ascii="宋体" w:hAnsi="宋体" w:cs="宋体"/>
          <w:i/>
          <w:iCs/>
          <w:sz w:val="24"/>
          <w:szCs w:val="24"/>
          <w:u w:val="single"/>
        </w:rPr>
      </w:pPr>
      <w:r>
        <w:rPr>
          <w:rFonts w:hint="eastAsia" w:ascii="宋体" w:hAnsi="宋体" w:cs="宋体"/>
          <w:i/>
          <w:iCs/>
          <w:sz w:val="24"/>
          <w:szCs w:val="24"/>
          <w:u w:val="single"/>
        </w:rPr>
        <w:t>按照采购文件要求提供扫描件</w:t>
      </w:r>
    </w:p>
    <w:p/>
    <w:p>
      <w:pPr>
        <w:pStyle w:val="4"/>
        <w:spacing w:before="0" w:after="0" w:line="312" w:lineRule="auto"/>
        <w:rPr>
          <w:rFonts w:ascii="宋体" w:hAnsi="宋体" w:cs="宋体"/>
          <w:sz w:val="24"/>
          <w:szCs w:val="24"/>
        </w:rPr>
      </w:pPr>
    </w:p>
    <w:p>
      <w:pPr>
        <w:pStyle w:val="4"/>
        <w:numPr>
          <w:ilvl w:val="0"/>
          <w:numId w:val="12"/>
        </w:numPr>
        <w:spacing w:before="0" w:after="0"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其他应提供的资料</w:t>
      </w:r>
    </w:p>
    <w:p>
      <w:pPr>
        <w:ind w:firstLine="480" w:firstLineChars="200"/>
      </w:pPr>
      <w:r>
        <w:rPr>
          <w:rFonts w:hint="eastAsia" w:ascii="宋体" w:hAnsi="宋体" w:cs="宋体"/>
          <w:sz w:val="24"/>
          <w:szCs w:val="24"/>
        </w:rPr>
        <w:t>其他与项目有关的资料（自附）：供应商总体情况介绍、其他与本项目有关的资料等。</w:t>
      </w: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br w:type="page"/>
      </w: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五、法定代表人授权委托书（格式）</w:t>
      </w:r>
    </w:p>
    <w:p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法定代表人授权委托书</w:t>
      </w: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  <w:szCs w:val="24"/>
        </w:rPr>
        <w:t>（采购人名称）：</w:t>
      </w:r>
    </w:p>
    <w:p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（法定代表人名称）是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  <w:szCs w:val="24"/>
        </w:rPr>
        <w:t>（供应商名称）的法定代表人，特授权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（被授权人姓名及身份证代码）电话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代表我单位全权办理上述项目的谈判、签约等具体工作，并签署全部有关文件、协议及合同。</w:t>
      </w:r>
    </w:p>
    <w:p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我单位对被授权人的签字负全部责任。</w:t>
      </w:r>
    </w:p>
    <w:p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在撤消授权的书面通知以前，本授权书一直有效。被授权人在授权书有效期内签署的所有文件不因授权的撤消而失效。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被授权人：                                 法定代表人：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（签字或盖章）                             （签字或盖章）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（附：被授权人身份证正反面复印件）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（供应商公章）</w:t>
      </w: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   月   日</w:t>
      </w: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center"/>
        <w:rPr>
          <w:rFonts w:ascii="黑体" w:hAnsi="黑体" w:eastAsia="黑体"/>
        </w:rPr>
      </w:pPr>
      <w:r>
        <w:rPr>
          <w:rFonts w:hint="eastAsia" w:ascii="宋体" w:hAnsi="宋体" w:cs="宋体"/>
          <w:sz w:val="24"/>
          <w:szCs w:val="24"/>
        </w:rPr>
        <w:t>（结束）</w:t>
      </w:r>
    </w:p>
    <w:p>
      <w:pPr>
        <w:tabs>
          <w:tab w:val="left" w:pos="6300"/>
        </w:tabs>
        <w:snapToGrid w:val="0"/>
        <w:spacing w:line="312" w:lineRule="auto"/>
        <w:ind w:right="480" w:firstLine="570"/>
        <w:jc w:val="center"/>
        <w:rPr>
          <w:rFonts w:ascii="黑体" w:hAnsi="黑体" w:eastAsia="黑体"/>
        </w:rPr>
      </w:pPr>
    </w:p>
    <w:sectPr>
      <w:headerReference r:id="rId5" w:type="default"/>
      <w:footerReference r:id="rId6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 Light">
    <w:altName w:val="黑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  <w: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7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22.55pt;mso-position-horizontal:center;mso-position-horizontal-relative:margin;mso-wrap-style:none;z-index:251656192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//GzHS&#10;AAAAAwEAAA8AAAAAAAAAAQAgAAAAIgAAAGRycy9kb3ducmV2LnhtbFBLAQIUABQAAAAIAIdO4kBq&#10;HDRF7QEAALQDAAAOAAAAAAAAAAEAIAAAACE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7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0.35pt;width: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KkUuzQAAAA&#10;AwEAAA8AAAAAAAAAAQAgAAAAIgAAAGRycy9kb3ducmV2LnhtbFBLAQIUABQAAAAIAIdO4kCuxc8a&#10;7AEAALU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229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13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decimal"/>
      <w:pStyle w:val="147"/>
      <w:lvlText w:val="（%1）"/>
      <w:lvlJc w:val="left"/>
      <w:pPr>
        <w:tabs>
          <w:tab w:val="left" w:pos="1230"/>
        </w:tabs>
        <w:ind w:left="0" w:firstLine="51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D"/>
    <w:multiLevelType w:val="singleLevel"/>
    <w:tmpl w:val="0000000D"/>
    <w:lvl w:ilvl="0" w:tentative="0">
      <w:start w:val="1"/>
      <w:numFmt w:val="bullet"/>
      <w:pStyle w:val="2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bullet"/>
      <w:pStyle w:val="249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5">
    <w:nsid w:val="0000000F"/>
    <w:multiLevelType w:val="multilevel"/>
    <w:tmpl w:val="0000000F"/>
    <w:lvl w:ilvl="0" w:tentative="0">
      <w:start w:val="1"/>
      <w:numFmt w:val="upperLetter"/>
      <w:pStyle w:val="131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3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00000011"/>
    <w:multiLevelType w:val="singleLevel"/>
    <w:tmpl w:val="00000011"/>
    <w:lvl w:ilvl="0" w:tentative="0">
      <w:start w:val="1"/>
      <w:numFmt w:val="decimal"/>
      <w:pStyle w:val="16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00000012"/>
    <w:multiLevelType w:val="multilevel"/>
    <w:tmpl w:val="00000012"/>
    <w:lvl w:ilvl="0" w:tentative="0">
      <w:start w:val="1"/>
      <w:numFmt w:val="bullet"/>
      <w:pStyle w:val="138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8">
    <w:nsid w:val="00000013"/>
    <w:multiLevelType w:val="singleLevel"/>
    <w:tmpl w:val="00000013"/>
    <w:lvl w:ilvl="0" w:tentative="0">
      <w:start w:val="1"/>
      <w:numFmt w:val="bullet"/>
      <w:pStyle w:val="2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00000014"/>
    <w:multiLevelType w:val="singleLevel"/>
    <w:tmpl w:val="00000014"/>
    <w:lvl w:ilvl="0" w:tentative="0">
      <w:start w:val="1"/>
      <w:numFmt w:val="decimal"/>
      <w:pStyle w:val="145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0">
    <w:nsid w:val="00000015"/>
    <w:multiLevelType w:val="multilevel"/>
    <w:tmpl w:val="00000015"/>
    <w:lvl w:ilvl="0" w:tentative="0">
      <w:start w:val="1"/>
      <w:numFmt w:val="chineseCountingThousand"/>
      <w:pStyle w:val="203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64F7617D"/>
    <w:multiLevelType w:val="singleLevel"/>
    <w:tmpl w:val="64F761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76D247D1"/>
    <w:multiLevelType w:val="singleLevel"/>
    <w:tmpl w:val="76D247D1"/>
    <w:lvl w:ilvl="0" w:tentative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0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629"/>
    <w:rsid w:val="000144C9"/>
    <w:rsid w:val="0002088C"/>
    <w:rsid w:val="00033DAB"/>
    <w:rsid w:val="000370BC"/>
    <w:rsid w:val="00042D13"/>
    <w:rsid w:val="00056A6E"/>
    <w:rsid w:val="000601B2"/>
    <w:rsid w:val="00072CEF"/>
    <w:rsid w:val="0008422C"/>
    <w:rsid w:val="000E232C"/>
    <w:rsid w:val="000E3326"/>
    <w:rsid w:val="0011647C"/>
    <w:rsid w:val="00116BB6"/>
    <w:rsid w:val="00117275"/>
    <w:rsid w:val="001173E3"/>
    <w:rsid w:val="001306AD"/>
    <w:rsid w:val="001435CF"/>
    <w:rsid w:val="001445A2"/>
    <w:rsid w:val="0015070D"/>
    <w:rsid w:val="0015525F"/>
    <w:rsid w:val="00165915"/>
    <w:rsid w:val="00166EEA"/>
    <w:rsid w:val="00172A27"/>
    <w:rsid w:val="001765E3"/>
    <w:rsid w:val="00192985"/>
    <w:rsid w:val="001A3E64"/>
    <w:rsid w:val="001F59CD"/>
    <w:rsid w:val="001F74AE"/>
    <w:rsid w:val="002122FC"/>
    <w:rsid w:val="0021327B"/>
    <w:rsid w:val="00213E88"/>
    <w:rsid w:val="0021595A"/>
    <w:rsid w:val="00223B9B"/>
    <w:rsid w:val="0022691C"/>
    <w:rsid w:val="00241172"/>
    <w:rsid w:val="00256FAE"/>
    <w:rsid w:val="002676F5"/>
    <w:rsid w:val="00297EC4"/>
    <w:rsid w:val="002B0676"/>
    <w:rsid w:val="002C7EDF"/>
    <w:rsid w:val="002F2847"/>
    <w:rsid w:val="002F5C86"/>
    <w:rsid w:val="00313FC6"/>
    <w:rsid w:val="00314FE1"/>
    <w:rsid w:val="0031623A"/>
    <w:rsid w:val="00316DF3"/>
    <w:rsid w:val="00330491"/>
    <w:rsid w:val="003332D6"/>
    <w:rsid w:val="0033562A"/>
    <w:rsid w:val="00342B64"/>
    <w:rsid w:val="003453EB"/>
    <w:rsid w:val="00353AC2"/>
    <w:rsid w:val="003609C0"/>
    <w:rsid w:val="00363A72"/>
    <w:rsid w:val="003876E3"/>
    <w:rsid w:val="003878EB"/>
    <w:rsid w:val="003A0967"/>
    <w:rsid w:val="003B48D3"/>
    <w:rsid w:val="003E69B4"/>
    <w:rsid w:val="003E7CAB"/>
    <w:rsid w:val="003F7078"/>
    <w:rsid w:val="00421287"/>
    <w:rsid w:val="0043243B"/>
    <w:rsid w:val="004569BA"/>
    <w:rsid w:val="00460545"/>
    <w:rsid w:val="00463661"/>
    <w:rsid w:val="00493794"/>
    <w:rsid w:val="00495D1A"/>
    <w:rsid w:val="0049754E"/>
    <w:rsid w:val="004A1198"/>
    <w:rsid w:val="004A2061"/>
    <w:rsid w:val="004B4D5B"/>
    <w:rsid w:val="004C55B8"/>
    <w:rsid w:val="00507899"/>
    <w:rsid w:val="005106F8"/>
    <w:rsid w:val="00521F48"/>
    <w:rsid w:val="00531162"/>
    <w:rsid w:val="00537A61"/>
    <w:rsid w:val="00544AC9"/>
    <w:rsid w:val="0055266E"/>
    <w:rsid w:val="0055762B"/>
    <w:rsid w:val="00562F84"/>
    <w:rsid w:val="00580744"/>
    <w:rsid w:val="005A658A"/>
    <w:rsid w:val="005C530A"/>
    <w:rsid w:val="005C7A84"/>
    <w:rsid w:val="005F22A3"/>
    <w:rsid w:val="00607C63"/>
    <w:rsid w:val="00625F79"/>
    <w:rsid w:val="00643888"/>
    <w:rsid w:val="006452FB"/>
    <w:rsid w:val="0065313C"/>
    <w:rsid w:val="00664DC0"/>
    <w:rsid w:val="00667DF3"/>
    <w:rsid w:val="00675CDE"/>
    <w:rsid w:val="006802F3"/>
    <w:rsid w:val="006A2801"/>
    <w:rsid w:val="006A3401"/>
    <w:rsid w:val="006C1EC9"/>
    <w:rsid w:val="006C353F"/>
    <w:rsid w:val="006C67A2"/>
    <w:rsid w:val="006C7CD3"/>
    <w:rsid w:val="00723BC4"/>
    <w:rsid w:val="00731090"/>
    <w:rsid w:val="007442A0"/>
    <w:rsid w:val="00755658"/>
    <w:rsid w:val="00773049"/>
    <w:rsid w:val="00791D34"/>
    <w:rsid w:val="007A3A16"/>
    <w:rsid w:val="007C5E80"/>
    <w:rsid w:val="007D57AF"/>
    <w:rsid w:val="007E13BD"/>
    <w:rsid w:val="007E1D36"/>
    <w:rsid w:val="007F2A53"/>
    <w:rsid w:val="00854CC0"/>
    <w:rsid w:val="00854ED3"/>
    <w:rsid w:val="00872901"/>
    <w:rsid w:val="008825DA"/>
    <w:rsid w:val="008F1F63"/>
    <w:rsid w:val="008F3680"/>
    <w:rsid w:val="009261F0"/>
    <w:rsid w:val="009302D1"/>
    <w:rsid w:val="00936181"/>
    <w:rsid w:val="00936197"/>
    <w:rsid w:val="00940646"/>
    <w:rsid w:val="009415FC"/>
    <w:rsid w:val="009570EF"/>
    <w:rsid w:val="00962AED"/>
    <w:rsid w:val="009710AF"/>
    <w:rsid w:val="0097589B"/>
    <w:rsid w:val="0099728C"/>
    <w:rsid w:val="009A1DF9"/>
    <w:rsid w:val="009A317C"/>
    <w:rsid w:val="009A770F"/>
    <w:rsid w:val="009B4011"/>
    <w:rsid w:val="009C25EB"/>
    <w:rsid w:val="009C273F"/>
    <w:rsid w:val="009E62CD"/>
    <w:rsid w:val="009F399A"/>
    <w:rsid w:val="009F5836"/>
    <w:rsid w:val="00A06259"/>
    <w:rsid w:val="00A3078D"/>
    <w:rsid w:val="00A56F1E"/>
    <w:rsid w:val="00A614CD"/>
    <w:rsid w:val="00A757A0"/>
    <w:rsid w:val="00A9133B"/>
    <w:rsid w:val="00AC755D"/>
    <w:rsid w:val="00AF3E34"/>
    <w:rsid w:val="00B000A7"/>
    <w:rsid w:val="00B01F29"/>
    <w:rsid w:val="00B3337A"/>
    <w:rsid w:val="00B43355"/>
    <w:rsid w:val="00B60CC0"/>
    <w:rsid w:val="00B60F1F"/>
    <w:rsid w:val="00B730A8"/>
    <w:rsid w:val="00BA1F2C"/>
    <w:rsid w:val="00BB3E0F"/>
    <w:rsid w:val="00BB3F7A"/>
    <w:rsid w:val="00BC4CA6"/>
    <w:rsid w:val="00BD5A39"/>
    <w:rsid w:val="00BF23A8"/>
    <w:rsid w:val="00BF771D"/>
    <w:rsid w:val="00C14479"/>
    <w:rsid w:val="00C34570"/>
    <w:rsid w:val="00C909A2"/>
    <w:rsid w:val="00CB395B"/>
    <w:rsid w:val="00CC15A7"/>
    <w:rsid w:val="00CC3CDB"/>
    <w:rsid w:val="00CC4F85"/>
    <w:rsid w:val="00CD410E"/>
    <w:rsid w:val="00CD444E"/>
    <w:rsid w:val="00D21D58"/>
    <w:rsid w:val="00D226A5"/>
    <w:rsid w:val="00D2377C"/>
    <w:rsid w:val="00D40159"/>
    <w:rsid w:val="00D858CC"/>
    <w:rsid w:val="00DA4850"/>
    <w:rsid w:val="00DD11C0"/>
    <w:rsid w:val="00DD38BE"/>
    <w:rsid w:val="00DF02E6"/>
    <w:rsid w:val="00E2740B"/>
    <w:rsid w:val="00E40564"/>
    <w:rsid w:val="00E45B7C"/>
    <w:rsid w:val="00E46A0A"/>
    <w:rsid w:val="00E54E2D"/>
    <w:rsid w:val="00E670E8"/>
    <w:rsid w:val="00E863F1"/>
    <w:rsid w:val="00EA524F"/>
    <w:rsid w:val="00EF60F7"/>
    <w:rsid w:val="00F10101"/>
    <w:rsid w:val="00F53AE7"/>
    <w:rsid w:val="00F746A5"/>
    <w:rsid w:val="00F91500"/>
    <w:rsid w:val="00FC7767"/>
    <w:rsid w:val="00FD14FB"/>
    <w:rsid w:val="011F60DE"/>
    <w:rsid w:val="03A56717"/>
    <w:rsid w:val="049B65DB"/>
    <w:rsid w:val="04C65CEA"/>
    <w:rsid w:val="05AC35D5"/>
    <w:rsid w:val="05D2305C"/>
    <w:rsid w:val="05E14F8B"/>
    <w:rsid w:val="063C7A64"/>
    <w:rsid w:val="06486E20"/>
    <w:rsid w:val="067710B7"/>
    <w:rsid w:val="0743495E"/>
    <w:rsid w:val="07610150"/>
    <w:rsid w:val="08846939"/>
    <w:rsid w:val="08AE43BE"/>
    <w:rsid w:val="08ED3546"/>
    <w:rsid w:val="09F65106"/>
    <w:rsid w:val="09FE01B7"/>
    <w:rsid w:val="0A594527"/>
    <w:rsid w:val="0A76543F"/>
    <w:rsid w:val="0B322E43"/>
    <w:rsid w:val="0BAA1613"/>
    <w:rsid w:val="0C182DE7"/>
    <w:rsid w:val="0C19118B"/>
    <w:rsid w:val="0C640CDB"/>
    <w:rsid w:val="0C8D445E"/>
    <w:rsid w:val="0CA82495"/>
    <w:rsid w:val="0D3A01CA"/>
    <w:rsid w:val="0D8E5867"/>
    <w:rsid w:val="0D931077"/>
    <w:rsid w:val="0EAE4719"/>
    <w:rsid w:val="0EFE3F6B"/>
    <w:rsid w:val="0F173212"/>
    <w:rsid w:val="0FB37D15"/>
    <w:rsid w:val="0FBF52D2"/>
    <w:rsid w:val="101E0686"/>
    <w:rsid w:val="121917B7"/>
    <w:rsid w:val="12A756F6"/>
    <w:rsid w:val="13136F1F"/>
    <w:rsid w:val="136C74AD"/>
    <w:rsid w:val="13DF7994"/>
    <w:rsid w:val="13FF0684"/>
    <w:rsid w:val="15A60C02"/>
    <w:rsid w:val="15FE02B7"/>
    <w:rsid w:val="16477CFC"/>
    <w:rsid w:val="17A351B3"/>
    <w:rsid w:val="17BB473B"/>
    <w:rsid w:val="194E2644"/>
    <w:rsid w:val="1B04328A"/>
    <w:rsid w:val="1C0E01AF"/>
    <w:rsid w:val="1CC93C86"/>
    <w:rsid w:val="1CFD13C7"/>
    <w:rsid w:val="1D700481"/>
    <w:rsid w:val="1E1718B6"/>
    <w:rsid w:val="1E76255D"/>
    <w:rsid w:val="1F2D3C95"/>
    <w:rsid w:val="1F690B98"/>
    <w:rsid w:val="202E1EEE"/>
    <w:rsid w:val="209A1EEB"/>
    <w:rsid w:val="21337A47"/>
    <w:rsid w:val="21700ECF"/>
    <w:rsid w:val="223351C2"/>
    <w:rsid w:val="22EF2ECF"/>
    <w:rsid w:val="238672E1"/>
    <w:rsid w:val="256A00A8"/>
    <w:rsid w:val="2707294B"/>
    <w:rsid w:val="286A2FF5"/>
    <w:rsid w:val="2A0E0065"/>
    <w:rsid w:val="2A536DC9"/>
    <w:rsid w:val="2A9A00C1"/>
    <w:rsid w:val="2B391819"/>
    <w:rsid w:val="2B4C63F5"/>
    <w:rsid w:val="2D065616"/>
    <w:rsid w:val="2DFE2814"/>
    <w:rsid w:val="2ECB3FBB"/>
    <w:rsid w:val="2F6F4694"/>
    <w:rsid w:val="2F71271F"/>
    <w:rsid w:val="2F843E14"/>
    <w:rsid w:val="308C129D"/>
    <w:rsid w:val="31A33616"/>
    <w:rsid w:val="31B25415"/>
    <w:rsid w:val="31D874D8"/>
    <w:rsid w:val="31FC4FB8"/>
    <w:rsid w:val="32342EDD"/>
    <w:rsid w:val="32623E46"/>
    <w:rsid w:val="32A2373E"/>
    <w:rsid w:val="32A353C8"/>
    <w:rsid w:val="33FD18EC"/>
    <w:rsid w:val="34381A1C"/>
    <w:rsid w:val="34B77F02"/>
    <w:rsid w:val="34CC3626"/>
    <w:rsid w:val="35041F65"/>
    <w:rsid w:val="36E61E1F"/>
    <w:rsid w:val="380F6440"/>
    <w:rsid w:val="388D3861"/>
    <w:rsid w:val="39C52F55"/>
    <w:rsid w:val="39D961DF"/>
    <w:rsid w:val="3B5532B8"/>
    <w:rsid w:val="3BC843DA"/>
    <w:rsid w:val="3D0144C3"/>
    <w:rsid w:val="3D337CFF"/>
    <w:rsid w:val="3E5F77D2"/>
    <w:rsid w:val="3E6007CC"/>
    <w:rsid w:val="3E994615"/>
    <w:rsid w:val="3EDB7D99"/>
    <w:rsid w:val="3FCD46EF"/>
    <w:rsid w:val="404E5EBC"/>
    <w:rsid w:val="411B1F4A"/>
    <w:rsid w:val="411C0495"/>
    <w:rsid w:val="426466A2"/>
    <w:rsid w:val="42AE0D52"/>
    <w:rsid w:val="43260821"/>
    <w:rsid w:val="439350DD"/>
    <w:rsid w:val="43B752AC"/>
    <w:rsid w:val="440D1961"/>
    <w:rsid w:val="44910BB2"/>
    <w:rsid w:val="458F0D5A"/>
    <w:rsid w:val="45FB04BF"/>
    <w:rsid w:val="46900824"/>
    <w:rsid w:val="46D713BC"/>
    <w:rsid w:val="47351345"/>
    <w:rsid w:val="47EB5E78"/>
    <w:rsid w:val="48FF43F1"/>
    <w:rsid w:val="4A2A5122"/>
    <w:rsid w:val="4A7439FF"/>
    <w:rsid w:val="4A9124B6"/>
    <w:rsid w:val="4BC9209C"/>
    <w:rsid w:val="4CED6140"/>
    <w:rsid w:val="4D2439E5"/>
    <w:rsid w:val="4E507E4C"/>
    <w:rsid w:val="4E99569F"/>
    <w:rsid w:val="4F637870"/>
    <w:rsid w:val="4F856A83"/>
    <w:rsid w:val="50A820A5"/>
    <w:rsid w:val="50AC609A"/>
    <w:rsid w:val="50DB1025"/>
    <w:rsid w:val="518D138D"/>
    <w:rsid w:val="52F7033D"/>
    <w:rsid w:val="531A7B70"/>
    <w:rsid w:val="53A82B13"/>
    <w:rsid w:val="54C74852"/>
    <w:rsid w:val="55560D4A"/>
    <w:rsid w:val="56EB7A76"/>
    <w:rsid w:val="57495874"/>
    <w:rsid w:val="57CF095E"/>
    <w:rsid w:val="57E025AA"/>
    <w:rsid w:val="580769B5"/>
    <w:rsid w:val="5827087D"/>
    <w:rsid w:val="58956A7A"/>
    <w:rsid w:val="58D419B6"/>
    <w:rsid w:val="59C4132A"/>
    <w:rsid w:val="59CE33CC"/>
    <w:rsid w:val="5A067F8B"/>
    <w:rsid w:val="5A3C4B17"/>
    <w:rsid w:val="5A701F3C"/>
    <w:rsid w:val="5A93303A"/>
    <w:rsid w:val="5A9515D1"/>
    <w:rsid w:val="5B3F583A"/>
    <w:rsid w:val="5B8C0E98"/>
    <w:rsid w:val="5D787F6C"/>
    <w:rsid w:val="5DA26239"/>
    <w:rsid w:val="5DAE6341"/>
    <w:rsid w:val="5DF70CC0"/>
    <w:rsid w:val="5E5233F7"/>
    <w:rsid w:val="5E763F3D"/>
    <w:rsid w:val="5EB706C2"/>
    <w:rsid w:val="5F052CC2"/>
    <w:rsid w:val="5F7D538B"/>
    <w:rsid w:val="5FE31EEF"/>
    <w:rsid w:val="60427286"/>
    <w:rsid w:val="604A6F28"/>
    <w:rsid w:val="6251185D"/>
    <w:rsid w:val="62F748F8"/>
    <w:rsid w:val="6395446B"/>
    <w:rsid w:val="639635F7"/>
    <w:rsid w:val="63CD4CAD"/>
    <w:rsid w:val="63D97A76"/>
    <w:rsid w:val="6407391B"/>
    <w:rsid w:val="642738C4"/>
    <w:rsid w:val="64EB0C8B"/>
    <w:rsid w:val="65F91B55"/>
    <w:rsid w:val="66C62BF8"/>
    <w:rsid w:val="67630E9B"/>
    <w:rsid w:val="67B15328"/>
    <w:rsid w:val="67F07DC5"/>
    <w:rsid w:val="681C2935"/>
    <w:rsid w:val="687A7D8C"/>
    <w:rsid w:val="68910D0F"/>
    <w:rsid w:val="69094C59"/>
    <w:rsid w:val="69934D28"/>
    <w:rsid w:val="6A28724C"/>
    <w:rsid w:val="6A423918"/>
    <w:rsid w:val="6BA82332"/>
    <w:rsid w:val="6BDB2ECC"/>
    <w:rsid w:val="6CA57642"/>
    <w:rsid w:val="6D907759"/>
    <w:rsid w:val="6E7D5154"/>
    <w:rsid w:val="6EAC7CBE"/>
    <w:rsid w:val="6EBF7C2E"/>
    <w:rsid w:val="708C1B63"/>
    <w:rsid w:val="71287CA7"/>
    <w:rsid w:val="7183443D"/>
    <w:rsid w:val="7200754E"/>
    <w:rsid w:val="72652598"/>
    <w:rsid w:val="730F1554"/>
    <w:rsid w:val="746C33B8"/>
    <w:rsid w:val="751E519F"/>
    <w:rsid w:val="75630020"/>
    <w:rsid w:val="764B43A8"/>
    <w:rsid w:val="76DB3120"/>
    <w:rsid w:val="77485289"/>
    <w:rsid w:val="77A44B58"/>
    <w:rsid w:val="786C34F3"/>
    <w:rsid w:val="7927265A"/>
    <w:rsid w:val="79AD0E19"/>
    <w:rsid w:val="7AC615B7"/>
    <w:rsid w:val="7AEF191C"/>
    <w:rsid w:val="7B214D90"/>
    <w:rsid w:val="7C451D06"/>
    <w:rsid w:val="7D44601A"/>
    <w:rsid w:val="7D4B1EED"/>
    <w:rsid w:val="7D7A0AE6"/>
    <w:rsid w:val="7DAB6BB7"/>
    <w:rsid w:val="7E3E5089"/>
    <w:rsid w:val="7E467AE4"/>
    <w:rsid w:val="7F427AAB"/>
    <w:rsid w:val="7F6A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3">
    <w:name w:val="heading 2"/>
    <w:basedOn w:val="1"/>
    <w:next w:val="1"/>
    <w:link w:val="92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96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6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57">
    <w:name w:val="Default Paragraph Font"/>
    <w:semiHidden/>
    <w:unhideWhenUsed/>
    <w:qFormat/>
    <w:uiPriority w:val="1"/>
  </w:style>
  <w:style w:type="table" w:default="1" w:styleId="6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2">
    <w:name w:val="annotation subject"/>
    <w:basedOn w:val="13"/>
    <w:next w:val="13"/>
    <w:link w:val="73"/>
    <w:qFormat/>
    <w:uiPriority w:val="0"/>
    <w:pPr>
      <w:adjustRightInd/>
      <w:spacing w:line="240" w:lineRule="auto"/>
      <w:textAlignment w:val="auto"/>
    </w:pPr>
  </w:style>
  <w:style w:type="paragraph" w:styleId="13">
    <w:name w:val="annotation text"/>
    <w:basedOn w:val="1"/>
    <w:link w:val="74"/>
    <w:qFormat/>
    <w:uiPriority w:val="0"/>
    <w:pPr>
      <w:adjustRightInd w:val="0"/>
      <w:spacing w:line="360" w:lineRule="atLeast"/>
      <w:jc w:val="left"/>
      <w:textAlignment w:val="baseline"/>
    </w:pPr>
    <w:rPr>
      <w:sz w:val="24"/>
    </w:rPr>
  </w:style>
  <w:style w:type="paragraph" w:styleId="14">
    <w:name w:val="toc 7"/>
    <w:basedOn w:val="1"/>
    <w:next w:val="1"/>
    <w:qFormat/>
    <w:uiPriority w:val="0"/>
    <w:pPr>
      <w:ind w:left="2520" w:leftChars="1200"/>
    </w:pPr>
  </w:style>
  <w:style w:type="paragraph" w:styleId="15">
    <w:name w:val="Body Text First Indent"/>
    <w:basedOn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16">
    <w:name w:val="List Number 2"/>
    <w:basedOn w:val="1"/>
    <w:qFormat/>
    <w:uiPriority w:val="0"/>
    <w:pPr>
      <w:numPr>
        <w:ilvl w:val="0"/>
        <w:numId w:val="1"/>
      </w:numPr>
      <w:tabs>
        <w:tab w:val="left" w:pos="780"/>
        <w:tab w:val="clear" w:pos="425"/>
      </w:tabs>
      <w:spacing w:line="360" w:lineRule="auto"/>
    </w:pPr>
    <w:rPr>
      <w:sz w:val="24"/>
    </w:rPr>
  </w:style>
  <w:style w:type="paragraph" w:styleId="17">
    <w:name w:val="List Bullet 4"/>
    <w:basedOn w:val="1"/>
    <w:qFormat/>
    <w:uiPriority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8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9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20">
    <w:name w:val="Document Map"/>
    <w:basedOn w:val="1"/>
    <w:qFormat/>
    <w:uiPriority w:val="0"/>
    <w:pPr>
      <w:shd w:val="clear" w:color="auto" w:fill="000080"/>
    </w:pPr>
  </w:style>
  <w:style w:type="paragraph" w:styleId="21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22">
    <w:name w:val="Body Text 3"/>
    <w:basedOn w:val="1"/>
    <w:qFormat/>
    <w:uiPriority w:val="0"/>
    <w:pPr>
      <w:adjustRightInd w:val="0"/>
      <w:snapToGrid w:val="0"/>
      <w:spacing w:after="120" w:line="360" w:lineRule="auto"/>
    </w:pPr>
    <w:rPr>
      <w:sz w:val="16"/>
    </w:rPr>
  </w:style>
  <w:style w:type="paragraph" w:styleId="23">
    <w:name w:val="List Bullet 3"/>
    <w:basedOn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4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25">
    <w:name w:val="Body Text Indent"/>
    <w:basedOn w:val="1"/>
    <w:link w:val="81"/>
    <w:qFormat/>
    <w:uiPriority w:val="0"/>
    <w:pPr>
      <w:spacing w:line="700" w:lineRule="exact"/>
      <w:ind w:left="960"/>
    </w:pPr>
    <w:rPr>
      <w:sz w:val="44"/>
    </w:rPr>
  </w:style>
  <w:style w:type="paragraph" w:styleId="26">
    <w:name w:val="List Number 3"/>
    <w:basedOn w:val="1"/>
    <w:qFormat/>
    <w:uiPriority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7">
    <w:name w:val="List 2"/>
    <w:basedOn w:val="1"/>
    <w:qFormat/>
    <w:uiPriority w:val="0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8">
    <w:name w:val="List Continue"/>
    <w:basedOn w:val="1"/>
    <w:qFormat/>
    <w:uiPriority w:val="0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9">
    <w:name w:val="List Bullet 2"/>
    <w:basedOn w:val="1"/>
    <w:qFormat/>
    <w:uiPriority w:val="0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30">
    <w:name w:val="toc 5"/>
    <w:basedOn w:val="1"/>
    <w:next w:val="1"/>
    <w:qFormat/>
    <w:uiPriority w:val="0"/>
    <w:pPr>
      <w:ind w:left="1680" w:leftChars="800"/>
    </w:pPr>
  </w:style>
  <w:style w:type="paragraph" w:styleId="31">
    <w:name w:val="toc 3"/>
    <w:basedOn w:val="1"/>
    <w:next w:val="1"/>
    <w:qFormat/>
    <w:uiPriority w:val="39"/>
    <w:pPr>
      <w:ind w:left="840" w:leftChars="400"/>
    </w:pPr>
  </w:style>
  <w:style w:type="paragraph" w:styleId="32">
    <w:name w:val="Plain Text"/>
    <w:basedOn w:val="1"/>
    <w:link w:val="88"/>
    <w:qFormat/>
    <w:uiPriority w:val="0"/>
    <w:rPr>
      <w:rFonts w:ascii="宋体" w:hAnsi="Courier New"/>
      <w:sz w:val="21"/>
    </w:rPr>
  </w:style>
  <w:style w:type="paragraph" w:styleId="33">
    <w:name w:val="toc 8"/>
    <w:basedOn w:val="1"/>
    <w:next w:val="1"/>
    <w:qFormat/>
    <w:uiPriority w:val="0"/>
    <w:pPr>
      <w:ind w:left="2940" w:leftChars="1400"/>
    </w:pPr>
  </w:style>
  <w:style w:type="paragraph" w:styleId="34">
    <w:name w:val="Date"/>
    <w:basedOn w:val="1"/>
    <w:next w:val="1"/>
    <w:link w:val="108"/>
    <w:qFormat/>
    <w:uiPriority w:val="0"/>
  </w:style>
  <w:style w:type="paragraph" w:styleId="35">
    <w:name w:val="Body Text Indent 2"/>
    <w:basedOn w:val="1"/>
    <w:link w:val="70"/>
    <w:qFormat/>
    <w:uiPriority w:val="0"/>
    <w:pPr>
      <w:snapToGrid w:val="0"/>
      <w:spacing w:line="560" w:lineRule="atLeast"/>
      <w:ind w:firstLine="540"/>
    </w:pPr>
  </w:style>
  <w:style w:type="paragraph" w:styleId="36">
    <w:name w:val="Balloon Text"/>
    <w:basedOn w:val="1"/>
    <w:qFormat/>
    <w:uiPriority w:val="0"/>
    <w:rPr>
      <w:sz w:val="18"/>
    </w:rPr>
  </w:style>
  <w:style w:type="paragraph" w:styleId="37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8">
    <w:name w:val="Body Text First Indent 2"/>
    <w:basedOn w:val="25"/>
    <w:link w:val="80"/>
    <w:qFormat/>
    <w:uiPriority w:val="0"/>
    <w:pPr>
      <w:spacing w:after="120" w:line="240" w:lineRule="auto"/>
      <w:ind w:left="420" w:leftChars="200" w:firstLine="420" w:firstLineChars="200"/>
    </w:pPr>
  </w:style>
  <w:style w:type="paragraph" w:styleId="39">
    <w:name w:val="header"/>
    <w:basedOn w:val="1"/>
    <w:link w:val="1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0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41">
    <w:name w:val="List Continue 4"/>
    <w:basedOn w:val="1"/>
    <w:qFormat/>
    <w:uiPriority w:val="0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42">
    <w:name w:val="toc 4"/>
    <w:basedOn w:val="1"/>
    <w:next w:val="1"/>
    <w:qFormat/>
    <w:uiPriority w:val="0"/>
    <w:pPr>
      <w:ind w:left="1260" w:leftChars="600"/>
    </w:pPr>
  </w:style>
  <w:style w:type="paragraph" w:styleId="43">
    <w:name w:val="footnote text"/>
    <w:basedOn w:val="1"/>
    <w:link w:val="68"/>
    <w:qFormat/>
    <w:uiPriority w:val="0"/>
    <w:pPr>
      <w:spacing w:line="360" w:lineRule="auto"/>
    </w:pPr>
    <w:rPr>
      <w:sz w:val="18"/>
    </w:rPr>
  </w:style>
  <w:style w:type="paragraph" w:styleId="44">
    <w:name w:val="toc 6"/>
    <w:basedOn w:val="1"/>
    <w:next w:val="1"/>
    <w:qFormat/>
    <w:uiPriority w:val="0"/>
    <w:pPr>
      <w:ind w:left="2100" w:leftChars="1000"/>
    </w:pPr>
  </w:style>
  <w:style w:type="paragraph" w:styleId="45">
    <w:name w:val="List 5"/>
    <w:basedOn w:val="1"/>
    <w:qFormat/>
    <w:uiPriority w:val="0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6">
    <w:name w:val="Body Text Indent 3"/>
    <w:basedOn w:val="1"/>
    <w:qFormat/>
    <w:uiPriority w:val="0"/>
    <w:pPr>
      <w:spacing w:line="360" w:lineRule="auto"/>
      <w:ind w:firstLine="632"/>
    </w:pPr>
    <w:rPr>
      <w:rFonts w:ascii="黑体" w:eastAsia="黑体"/>
    </w:rPr>
  </w:style>
  <w:style w:type="paragraph" w:styleId="47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8">
    <w:name w:val="toc 2"/>
    <w:basedOn w:val="1"/>
    <w:next w:val="1"/>
    <w:qFormat/>
    <w:uiPriority w:val="39"/>
    <w:pPr>
      <w:ind w:left="420" w:leftChars="200"/>
    </w:pPr>
  </w:style>
  <w:style w:type="paragraph" w:styleId="49">
    <w:name w:val="toc 9"/>
    <w:basedOn w:val="1"/>
    <w:next w:val="1"/>
    <w:qFormat/>
    <w:uiPriority w:val="0"/>
    <w:pPr>
      <w:ind w:left="3360" w:leftChars="1600"/>
    </w:pPr>
  </w:style>
  <w:style w:type="paragraph" w:styleId="50">
    <w:name w:val="Body Text 2"/>
    <w:basedOn w:val="1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51">
    <w:name w:val="List 4"/>
    <w:basedOn w:val="1"/>
    <w:qFormat/>
    <w:uiPriority w:val="0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52">
    <w:name w:val="List Continue 2"/>
    <w:basedOn w:val="1"/>
    <w:qFormat/>
    <w:uiPriority w:val="0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4">
    <w:name w:val="List Continue 3"/>
    <w:basedOn w:val="1"/>
    <w:qFormat/>
    <w:uiPriority w:val="0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5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  <w:sz w:val="21"/>
    </w:rPr>
  </w:style>
  <w:style w:type="paragraph" w:styleId="56">
    <w:name w:val="Title"/>
    <w:basedOn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character" w:styleId="58">
    <w:name w:val="Strong"/>
    <w:qFormat/>
    <w:uiPriority w:val="22"/>
    <w:rPr>
      <w:b/>
    </w:rPr>
  </w:style>
  <w:style w:type="character" w:styleId="59">
    <w:name w:val="page number"/>
    <w:basedOn w:val="57"/>
    <w:qFormat/>
    <w:uiPriority w:val="0"/>
  </w:style>
  <w:style w:type="character" w:styleId="60">
    <w:name w:val="FollowedHyperlink"/>
    <w:qFormat/>
    <w:uiPriority w:val="0"/>
    <w:rPr>
      <w:color w:val="333333"/>
      <w:u w:val="none"/>
    </w:rPr>
  </w:style>
  <w:style w:type="character" w:styleId="61">
    <w:name w:val="Emphasis"/>
    <w:qFormat/>
    <w:uiPriority w:val="0"/>
    <w:rPr>
      <w:i/>
    </w:rPr>
  </w:style>
  <w:style w:type="character" w:styleId="62">
    <w:name w:val="Hyperlink"/>
    <w:qFormat/>
    <w:uiPriority w:val="99"/>
    <w:rPr>
      <w:color w:val="333333"/>
      <w:u w:val="none"/>
    </w:rPr>
  </w:style>
  <w:style w:type="character" w:styleId="63">
    <w:name w:val="annotation reference"/>
    <w:qFormat/>
    <w:uiPriority w:val="0"/>
    <w:rPr>
      <w:sz w:val="21"/>
      <w:szCs w:val="21"/>
    </w:rPr>
  </w:style>
  <w:style w:type="character" w:styleId="64">
    <w:name w:val="footnote reference"/>
    <w:qFormat/>
    <w:uiPriority w:val="0"/>
    <w:rPr>
      <w:position w:val="6"/>
      <w:sz w:val="14"/>
      <w:vertAlign w:val="superscript"/>
    </w:rPr>
  </w:style>
  <w:style w:type="table" w:styleId="66">
    <w:name w:val="Table Grid"/>
    <w:basedOn w:val="65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7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68">
    <w:name w:val="脚注文本 Char"/>
    <w:link w:val="43"/>
    <w:qFormat/>
    <w:uiPriority w:val="0"/>
    <w:rPr>
      <w:kern w:val="2"/>
      <w:sz w:val="18"/>
    </w:rPr>
  </w:style>
  <w:style w:type="character" w:customStyle="1" w:styleId="69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70">
    <w:name w:val="正文文本缩进 2 Char"/>
    <w:link w:val="35"/>
    <w:qFormat/>
    <w:uiPriority w:val="0"/>
    <w:rPr>
      <w:kern w:val="2"/>
      <w:sz w:val="28"/>
    </w:rPr>
  </w:style>
  <w:style w:type="character" w:customStyle="1" w:styleId="71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72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73">
    <w:name w:val="批注主题 Char"/>
    <w:basedOn w:val="74"/>
    <w:link w:val="12"/>
    <w:qFormat/>
    <w:uiPriority w:val="0"/>
    <w:rPr>
      <w:sz w:val="24"/>
    </w:rPr>
  </w:style>
  <w:style w:type="character" w:customStyle="1" w:styleId="74">
    <w:name w:val="批注文字 Char"/>
    <w:link w:val="13"/>
    <w:qFormat/>
    <w:uiPriority w:val="0"/>
    <w:rPr>
      <w:sz w:val="24"/>
    </w:rPr>
  </w:style>
  <w:style w:type="character" w:customStyle="1" w:styleId="75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76">
    <w:name w:val="Char Char11"/>
    <w:qFormat/>
    <w:uiPriority w:val="0"/>
    <w:rPr>
      <w:rFonts w:ascii="宋体"/>
      <w:kern w:val="2"/>
      <w:sz w:val="28"/>
    </w:rPr>
  </w:style>
  <w:style w:type="character" w:customStyle="1" w:styleId="77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78">
    <w:name w:val="文字 Char"/>
    <w:qFormat/>
    <w:uiPriority w:val="0"/>
    <w:rPr>
      <w:rFonts w:ascii="宋体"/>
      <w:kern w:val="2"/>
      <w:sz w:val="28"/>
    </w:rPr>
  </w:style>
  <w:style w:type="character" w:customStyle="1" w:styleId="79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80">
    <w:name w:val="正文首行缩进 2 Char"/>
    <w:basedOn w:val="81"/>
    <w:link w:val="38"/>
    <w:qFormat/>
    <w:uiPriority w:val="0"/>
    <w:rPr>
      <w:kern w:val="2"/>
      <w:sz w:val="44"/>
    </w:rPr>
  </w:style>
  <w:style w:type="character" w:customStyle="1" w:styleId="81">
    <w:name w:val="正文文本缩进 Char"/>
    <w:link w:val="25"/>
    <w:qFormat/>
    <w:uiPriority w:val="0"/>
    <w:rPr>
      <w:kern w:val="2"/>
      <w:sz w:val="44"/>
    </w:rPr>
  </w:style>
  <w:style w:type="character" w:customStyle="1" w:styleId="82">
    <w:name w:val="font6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3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84">
    <w:name w:val="页脚 Char"/>
    <w:link w:val="37"/>
    <w:qFormat/>
    <w:uiPriority w:val="99"/>
    <w:rPr>
      <w:kern w:val="2"/>
      <w:sz w:val="18"/>
    </w:rPr>
  </w:style>
  <w:style w:type="character" w:customStyle="1" w:styleId="85">
    <w:name w:val="Comment Text Char"/>
    <w:semiHidden/>
    <w:qFormat/>
    <w:locked/>
    <w:uiPriority w:val="0"/>
    <w:rPr>
      <w:rFonts w:ascii="Times New Roman" w:hAnsi="Times New Roman" w:cs="Times New Roman"/>
      <w:sz w:val="20"/>
      <w:szCs w:val="20"/>
    </w:rPr>
  </w:style>
  <w:style w:type="character" w:customStyle="1" w:styleId="86">
    <w:name w:val="v151"/>
    <w:qFormat/>
    <w:uiPriority w:val="0"/>
    <w:rPr>
      <w:sz w:val="18"/>
    </w:rPr>
  </w:style>
  <w:style w:type="character" w:customStyle="1" w:styleId="87">
    <w:name w:val="font1"/>
    <w:qFormat/>
    <w:uiPriority w:val="0"/>
    <w:rPr>
      <w:color w:val="000000"/>
      <w:sz w:val="18"/>
    </w:rPr>
  </w:style>
  <w:style w:type="character" w:customStyle="1" w:styleId="88">
    <w:name w:val="纯文本 Char"/>
    <w:link w:val="32"/>
    <w:qFormat/>
    <w:locked/>
    <w:uiPriority w:val="99"/>
    <w:rPr>
      <w:rFonts w:ascii="宋体" w:hAnsi="Courier New"/>
      <w:kern w:val="2"/>
      <w:sz w:val="21"/>
    </w:rPr>
  </w:style>
  <w:style w:type="character" w:customStyle="1" w:styleId="89">
    <w:name w:val="Char Char Char Char Char Char Char 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90">
    <w:name w:val="Table Text Char Char Char Char"/>
    <w:link w:val="91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91">
    <w:name w:val="Table Text"/>
    <w:link w:val="90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92">
    <w:name w:val="标题 2 Char"/>
    <w:link w:val="3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93">
    <w:name w:val="H2 Char"/>
    <w:qFormat/>
    <w:uiPriority w:val="0"/>
    <w:rPr>
      <w:rFonts w:ascii="Arial" w:hAnsi="Arial" w:eastAsia="宋体"/>
      <w:kern w:val="2"/>
      <w:sz w:val="28"/>
      <w:lang w:val="en-US" w:eastAsia="zh-CN"/>
    </w:rPr>
  </w:style>
  <w:style w:type="character" w:customStyle="1" w:styleId="94">
    <w:name w:val="top-det1"/>
    <w:qFormat/>
    <w:uiPriority w:val="0"/>
    <w:rPr>
      <w:b/>
      <w:color w:val="000000"/>
    </w:rPr>
  </w:style>
  <w:style w:type="character" w:customStyle="1" w:styleId="95">
    <w:name w:val="批注文字 字符"/>
    <w:qFormat/>
    <w:uiPriority w:val="0"/>
    <w:rPr>
      <w:sz w:val="24"/>
    </w:rPr>
  </w:style>
  <w:style w:type="character" w:customStyle="1" w:styleId="96">
    <w:name w:val="标题 3 Char"/>
    <w:link w:val="4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97">
    <w:name w:val="crowed11"/>
    <w:qFormat/>
    <w:uiPriority w:val="0"/>
    <w:rPr>
      <w:rFonts w:hint="default"/>
      <w:sz w:val="24"/>
    </w:rPr>
  </w:style>
  <w:style w:type="character" w:customStyle="1" w:styleId="98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99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00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01">
    <w:name w:val="文字 Char Char"/>
    <w:link w:val="102"/>
    <w:qFormat/>
    <w:uiPriority w:val="0"/>
    <w:rPr>
      <w:rFonts w:ascii="宋体"/>
      <w:kern w:val="2"/>
      <w:sz w:val="28"/>
    </w:rPr>
  </w:style>
  <w:style w:type="paragraph" w:customStyle="1" w:styleId="102">
    <w:name w:val="文字"/>
    <w:basedOn w:val="1"/>
    <w:link w:val="101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103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04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05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6">
    <w:name w:val="标题 3 字符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07">
    <w:name w:val="content-white1"/>
    <w:qFormat/>
    <w:uiPriority w:val="0"/>
    <w:rPr>
      <w:color w:val="auto"/>
      <w:sz w:val="18"/>
      <w:u w:val="none"/>
    </w:rPr>
  </w:style>
  <w:style w:type="character" w:customStyle="1" w:styleId="108">
    <w:name w:val="日期 Char"/>
    <w:link w:val="34"/>
    <w:qFormat/>
    <w:uiPriority w:val="0"/>
    <w:rPr>
      <w:kern w:val="2"/>
      <w:sz w:val="28"/>
    </w:rPr>
  </w:style>
  <w:style w:type="character" w:customStyle="1" w:styleId="109">
    <w:name w:val="font31"/>
    <w:qFormat/>
    <w:uiPriority w:val="0"/>
    <w:rPr>
      <w:rFonts w:hint="default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110">
    <w:name w:val="页眉 Char"/>
    <w:link w:val="39"/>
    <w:qFormat/>
    <w:uiPriority w:val="99"/>
    <w:rPr>
      <w:kern w:val="2"/>
      <w:sz w:val="18"/>
    </w:rPr>
  </w:style>
  <w:style w:type="character" w:customStyle="1" w:styleId="111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12">
    <w:name w:val="未命名11"/>
    <w:qFormat/>
    <w:uiPriority w:val="0"/>
    <w:rPr>
      <w:color w:val="77FFFF"/>
      <w:sz w:val="24"/>
    </w:rPr>
  </w:style>
  <w:style w:type="character" w:customStyle="1" w:styleId="113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4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15">
    <w:name w:val="Table Text Char1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116">
    <w:name w:val="项目"/>
    <w:basedOn w:val="1"/>
    <w:qFormat/>
    <w:uiPriority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1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18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19">
    <w:name w:val="内容标题"/>
    <w:basedOn w:val="20"/>
    <w:qFormat/>
    <w:uiPriority w:val="0"/>
    <w:rPr>
      <w:rFonts w:ascii="Tahoma" w:hAnsi="Tahoma"/>
      <w:sz w:val="24"/>
    </w:rPr>
  </w:style>
  <w:style w:type="paragraph" w:customStyle="1" w:styleId="120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1">
    <w:name w:val="content"/>
    <w:basedOn w:val="1"/>
    <w:qFormat/>
    <w:uiPriority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22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1"/>
    </w:rPr>
  </w:style>
  <w:style w:type="paragraph" w:customStyle="1" w:styleId="123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  <w:sz w:val="21"/>
    </w:rPr>
  </w:style>
  <w:style w:type="paragraph" w:customStyle="1" w:styleId="124">
    <w:name w:val="正文表格"/>
    <w:basedOn w:val="1"/>
    <w:qFormat/>
    <w:uiPriority w:val="0"/>
    <w:pPr>
      <w:adjustRightInd w:val="0"/>
      <w:spacing w:before="40" w:after="40"/>
    </w:pPr>
    <w:rPr>
      <w:sz w:val="24"/>
    </w:rPr>
  </w:style>
  <w:style w:type="paragraph" w:customStyle="1" w:styleId="125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26">
    <w:name w:val="af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127">
    <w:name w:val="Title - Revision"/>
    <w:basedOn w:val="56"/>
    <w:qFormat/>
    <w:uiPriority w:val="0"/>
    <w:pPr>
      <w:spacing w:before="720"/>
    </w:pPr>
  </w:style>
  <w:style w:type="paragraph" w:customStyle="1" w:styleId="128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29">
    <w:name w:val="Title - Date"/>
    <w:basedOn w:val="56"/>
    <w:next w:val="1"/>
    <w:qFormat/>
    <w:uiPriority w:val="0"/>
    <w:pPr>
      <w:spacing w:before="240" w:after="720"/>
    </w:pPr>
    <w:rPr>
      <w:sz w:val="28"/>
    </w:rPr>
  </w:style>
  <w:style w:type="paragraph" w:customStyle="1" w:styleId="130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31">
    <w:name w:val="Item Step in Table"/>
    <w:qFormat/>
    <w:uiPriority w:val="0"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32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3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4">
    <w:name w:val="表号"/>
    <w:basedOn w:val="1"/>
    <w:qFormat/>
    <w:uiPriority w:val="0"/>
    <w:pPr>
      <w:numPr>
        <w:ilvl w:val="0"/>
        <w:numId w:val="5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lang w:eastAsia="en-US"/>
    </w:rPr>
  </w:style>
  <w:style w:type="paragraph" w:customStyle="1" w:styleId="135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36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  <w:sz w:val="21"/>
    </w:rPr>
  </w:style>
  <w:style w:type="paragraph" w:customStyle="1" w:styleId="137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38">
    <w:name w:val="Item List"/>
    <w:qFormat/>
    <w:uiPriority w:val="0"/>
    <w:pPr>
      <w:numPr>
        <w:ilvl w:val="0"/>
        <w:numId w:val="6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39">
    <w:name w:val="标准正文"/>
    <w:basedOn w:val="25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41">
    <w:name w:val="CSS1级正文 Char"/>
    <w:basedOn w:val="24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42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43">
    <w:name w:val="图标"/>
    <w:basedOn w:val="1"/>
    <w:next w:val="1"/>
    <w:qFormat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44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5">
    <w:name w:val="操作步骤"/>
    <w:basedOn w:val="1"/>
    <w:qFormat/>
    <w:uiPriority w:val="0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  <w:sz w:val="21"/>
    </w:rPr>
  </w:style>
  <w:style w:type="paragraph" w:customStyle="1" w:styleId="146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7">
    <w:name w:val="样式 样式 首行缩进:  2 字符 + 首行缩进:  2 字符"/>
    <w:basedOn w:val="1"/>
    <w:qFormat/>
    <w:uiPriority w:val="0"/>
    <w:pPr>
      <w:numPr>
        <w:ilvl w:val="0"/>
        <w:numId w:val="8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148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149">
    <w:name w:val="表头样式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b/>
      <w:kern w:val="0"/>
      <w:sz w:val="21"/>
    </w:rPr>
  </w:style>
  <w:style w:type="paragraph" w:customStyle="1" w:styleId="150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51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52">
    <w:name w:val="表格内文字"/>
    <w:basedOn w:val="32"/>
    <w:qFormat/>
    <w:uiPriority w:val="0"/>
    <w:pPr>
      <w:adjustRightInd w:val="0"/>
    </w:pPr>
    <w:rPr>
      <w:color w:val="000000"/>
      <w:lang w:val="en-GB"/>
    </w:rPr>
  </w:style>
  <w:style w:type="paragraph" w:customStyle="1" w:styleId="15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54">
    <w:name w:val="样式3"/>
    <w:basedOn w:val="2"/>
    <w:next w:val="2"/>
    <w:qFormat/>
    <w:uiPriority w:val="0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155">
    <w:name w:val="正文格式"/>
    <w:basedOn w:val="1"/>
    <w:qFormat/>
    <w:uiPriority w:val="0"/>
    <w:pPr>
      <w:widowControl/>
      <w:adjustRightInd w:val="0"/>
      <w:snapToGrid w:val="0"/>
      <w:spacing w:before="60" w:line="360" w:lineRule="auto"/>
      <w:ind w:firstLine="480" w:firstLineChars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56">
    <w:name w:val="司法正文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57">
    <w:name w:val="附录2"/>
    <w:basedOn w:val="1"/>
    <w:next w:val="1"/>
    <w:qFormat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58">
    <w:name w:val="段落正文"/>
    <w:basedOn w:val="1"/>
    <w:qFormat/>
    <w:uiPriority w:val="0"/>
    <w:pPr>
      <w:spacing w:before="156" w:beforeLines="50" w:line="360" w:lineRule="auto"/>
      <w:ind w:firstLine="200" w:firstLineChars="200"/>
    </w:pPr>
    <w:rPr>
      <w:spacing w:val="2"/>
      <w:sz w:val="24"/>
    </w:rPr>
  </w:style>
  <w:style w:type="paragraph" w:customStyle="1" w:styleId="159">
    <w:name w:val="文章正文"/>
    <w:basedOn w:val="1"/>
    <w:qFormat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60">
    <w:name w:val="Char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61">
    <w:name w:val="列表项目"/>
    <w:basedOn w:val="1"/>
    <w:qFormat/>
    <w:uiPriority w:val="0"/>
    <w:pPr>
      <w:tabs>
        <w:tab w:val="left" w:pos="420"/>
      </w:tabs>
      <w:spacing w:line="288" w:lineRule="auto"/>
      <w:ind w:left="840" w:leftChars="200" w:hanging="420" w:hangingChars="200"/>
    </w:pPr>
    <w:rPr>
      <w:sz w:val="21"/>
    </w:rPr>
  </w:style>
  <w:style w:type="paragraph" w:customStyle="1" w:styleId="162">
    <w:name w:val="列出段落1"/>
    <w:next w:val="19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3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4">
    <w:name w:val="正文4"/>
    <w:basedOn w:val="1"/>
    <w:qFormat/>
    <w:uiPriority w:val="0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65">
    <w:name w:val="关键词"/>
    <w:basedOn w:val="1"/>
    <w:next w:val="1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66">
    <w:name w:val="可研正文"/>
    <w:basedOn w:val="24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67">
    <w:name w:val="标书正文:  0.74 厘米"/>
    <w:basedOn w:val="1"/>
    <w:qFormat/>
    <w:uiPriority w:val="0"/>
    <w:pPr>
      <w:snapToGrid w:val="0"/>
      <w:spacing w:line="360" w:lineRule="auto"/>
      <w:ind w:firstLine="420"/>
    </w:pPr>
    <w:rPr>
      <w:sz w:val="24"/>
    </w:rPr>
  </w:style>
  <w:style w:type="paragraph" w:customStyle="1" w:styleId="168">
    <w:name w:val="样式 标题 6第五层条 + 三号 段前: 0.5 行"/>
    <w:basedOn w:val="7"/>
    <w:qFormat/>
    <w:uiPriority w:val="0"/>
    <w:pPr>
      <w:widowControl/>
      <w:adjustRightInd/>
      <w:snapToGrid/>
      <w:spacing w:before="156" w:beforeLines="50"/>
      <w:jc w:val="left"/>
    </w:pPr>
    <w:rPr>
      <w:snapToGrid w:val="0"/>
      <w:kern w:val="24"/>
      <w:sz w:val="28"/>
    </w:rPr>
  </w:style>
  <w:style w:type="paragraph" w:customStyle="1" w:styleId="169">
    <w:name w:val="1"/>
    <w:basedOn w:val="1"/>
    <w:next w:val="32"/>
    <w:qFormat/>
    <w:uiPriority w:val="0"/>
    <w:rPr>
      <w:rFonts w:ascii="宋体" w:hAnsi="Courier New"/>
      <w:sz w:val="21"/>
    </w:rPr>
  </w:style>
  <w:style w:type="paragraph" w:customStyle="1" w:styleId="170">
    <w:name w:val="没有缩进（为图形使用）"/>
    <w:basedOn w:val="1"/>
    <w:qFormat/>
    <w:uiPriority w:val="0"/>
    <w:pPr>
      <w:spacing w:before="120" w:after="120" w:line="360" w:lineRule="auto"/>
    </w:pPr>
    <w:rPr>
      <w:sz w:val="24"/>
    </w:rPr>
  </w:style>
  <w:style w:type="paragraph" w:customStyle="1" w:styleId="171">
    <w:name w:val="标题无"/>
    <w:basedOn w:val="1"/>
    <w:qFormat/>
    <w:uiPriority w:val="0"/>
    <w:pPr>
      <w:spacing w:line="360" w:lineRule="auto"/>
    </w:pPr>
    <w:rPr>
      <w:sz w:val="24"/>
    </w:rPr>
  </w:style>
  <w:style w:type="paragraph" w:customStyle="1" w:styleId="172">
    <w:name w:val="修订1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3">
    <w:name w:val="章标题"/>
    <w:next w:val="1"/>
    <w:qFormat/>
    <w:uiPriority w:val="0"/>
    <w:pPr>
      <w:numPr>
        <w:ilvl w:val="1"/>
        <w:numId w:val="4"/>
      </w:numPr>
      <w:spacing w:before="156" w:beforeLines="50" w:after="156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7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75">
    <w:name w:val="Char Char14 Char Char"/>
    <w:basedOn w:val="1"/>
    <w:qFormat/>
    <w:uiPriority w:val="0"/>
    <w:rPr>
      <w:sz w:val="21"/>
      <w:szCs w:val="24"/>
    </w:rPr>
  </w:style>
  <w:style w:type="paragraph" w:customStyle="1" w:styleId="176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77">
    <w:name w:val="Char1"/>
    <w:basedOn w:val="1"/>
    <w:qFormat/>
    <w:uiPriority w:val="0"/>
    <w:rPr>
      <w:sz w:val="21"/>
    </w:rPr>
  </w:style>
  <w:style w:type="paragraph" w:customStyle="1" w:styleId="178">
    <w:name w:val="正文1"/>
    <w:basedOn w:val="1"/>
    <w:qFormat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79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80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81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82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83">
    <w:name w:val="Char2 Char Char Char Char Char Char"/>
    <w:basedOn w:val="1"/>
    <w:qFormat/>
    <w:uiPriority w:val="0"/>
    <w:rPr>
      <w:rFonts w:ascii="仿宋_GB2312"/>
      <w:b/>
      <w:sz w:val="30"/>
    </w:rPr>
  </w:style>
  <w:style w:type="paragraph" w:customStyle="1" w:styleId="184">
    <w:name w:val="Char Char Char Char Char"/>
    <w:basedOn w:val="1"/>
    <w:qFormat/>
    <w:uiPriority w:val="0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185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186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87">
    <w:name w:val="二级条标题"/>
    <w:basedOn w:val="188"/>
    <w:next w:val="189"/>
    <w:qFormat/>
    <w:uiPriority w:val="0"/>
    <w:pPr>
      <w:ind w:left="840"/>
      <w:outlineLvl w:val="3"/>
    </w:pPr>
  </w:style>
  <w:style w:type="paragraph" w:customStyle="1" w:styleId="188">
    <w:name w:val="一级条标题"/>
    <w:basedOn w:val="173"/>
    <w:next w:val="189"/>
    <w:qFormat/>
    <w:uiPriority w:val="0"/>
    <w:pPr>
      <w:numPr>
        <w:numId w:val="0"/>
      </w:numPr>
      <w:spacing w:before="0" w:beforeLines="0" w:after="0" w:afterLines="0"/>
      <w:ind w:left="525"/>
      <w:outlineLvl w:val="2"/>
    </w:pPr>
    <w:rPr>
      <w:sz w:val="21"/>
    </w:rPr>
  </w:style>
  <w:style w:type="paragraph" w:customStyle="1" w:styleId="18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0">
    <w:name w:val="Char2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91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  <w:sz w:val="21"/>
    </w:rPr>
  </w:style>
  <w:style w:type="paragraph" w:customStyle="1" w:styleId="192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93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94">
    <w:name w:val="首行缩进 1"/>
    <w:basedOn w:val="1"/>
    <w:qFormat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195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196">
    <w:name w:val="样式 正文缩进正文（首行缩进两字）表正文正文非缩进特点标题4段1 + 首行缩进:  2 字符"/>
    <w:basedOn w:val="18"/>
    <w:qFormat/>
    <w:uiPriority w:val="0"/>
    <w:pPr>
      <w:ind w:firstLine="480" w:firstLineChars="200"/>
    </w:pPr>
  </w:style>
  <w:style w:type="paragraph" w:customStyle="1" w:styleId="197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98">
    <w:name w:val="IN Feature"/>
    <w:next w:val="136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199">
    <w:name w:val="样式1"/>
    <w:basedOn w:val="5"/>
    <w:qFormat/>
    <w:uiPriority w:val="0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200">
    <w:name w:val="样式 行距: 1.5 倍行距1"/>
    <w:basedOn w:val="1"/>
    <w:qFormat/>
    <w:uiPriority w:val="0"/>
    <w:pPr>
      <w:snapToGrid w:val="0"/>
    </w:pPr>
    <w:rPr>
      <w:sz w:val="21"/>
    </w:rPr>
  </w:style>
  <w:style w:type="paragraph" w:customStyle="1" w:styleId="201">
    <w:name w:val="Style Heading 3h3Heading 3 - oldLevel 3 HeadH3level_3PIM 3se..."/>
    <w:basedOn w:val="4"/>
    <w:qFormat/>
    <w:uiPriority w:val="0"/>
    <w:pPr>
      <w:tabs>
        <w:tab w:val="left" w:pos="709"/>
        <w:tab w:val="left" w:pos="1620"/>
      </w:tabs>
      <w:ind w:left="1620" w:hanging="360"/>
    </w:pPr>
  </w:style>
  <w:style w:type="paragraph" w:customStyle="1" w:styleId="202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3">
    <w:name w:val="样式2"/>
    <w:basedOn w:val="5"/>
    <w:qFormat/>
    <w:uiPriority w:val="0"/>
    <w:pPr>
      <w:numPr>
        <w:ilvl w:val="0"/>
        <w:numId w:val="9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04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205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206">
    <w:name w:val="编号正文"/>
    <w:basedOn w:val="207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07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208">
    <w:name w:val="样式 标题 1章标题Heading 0Section HeadPIM 1H1h11st levell11H1..."/>
    <w:basedOn w:val="2"/>
    <w:qFormat/>
    <w:uiPriority w:val="0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209">
    <w:name w:val="Char Char1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10">
    <w:name w:val="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11">
    <w:name w:val="二级列表"/>
    <w:basedOn w:val="158"/>
    <w:next w:val="158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12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13">
    <w:name w:val="样式 标题 1 + 居中 段前: 6 磅 段后: 6 磅 行距: 1.5 倍行距"/>
    <w:basedOn w:val="2"/>
    <w:qFormat/>
    <w:uiPriority w:val="0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14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15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16">
    <w:name w:val="_"/>
    <w:basedOn w:val="1"/>
    <w:qFormat/>
    <w:uiPriority w:val="0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17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18">
    <w:name w:val="样式 首行缩进:  0.74 厘米"/>
    <w:basedOn w:val="1"/>
    <w:qFormat/>
    <w:uiPriority w:val="0"/>
    <w:pPr>
      <w:spacing w:line="360" w:lineRule="auto"/>
      <w:ind w:firstLine="420"/>
    </w:pPr>
    <w:rPr>
      <w:sz w:val="24"/>
    </w:rPr>
  </w:style>
  <w:style w:type="paragraph" w:customStyle="1" w:styleId="219">
    <w:name w:val="标题2"/>
    <w:basedOn w:val="3"/>
    <w:qFormat/>
    <w:uiPriority w:val="0"/>
    <w:pPr>
      <w:keepNext w:val="0"/>
      <w:keepLines w:val="0"/>
      <w:adjustRightInd w:val="0"/>
      <w:snapToGrid w:val="0"/>
      <w:spacing w:before="0" w:after="0"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220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21">
    <w:name w:val="样式 仿宋_GB2312 首行缩进:  2 字符"/>
    <w:basedOn w:val="1"/>
    <w:qFormat/>
    <w:uiPriority w:val="0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22">
    <w:name w:val="样式 样式 正文首行缩进 2 + 左  0 字符 + 首行缩进:  2.57 字符"/>
    <w:basedOn w:val="1"/>
    <w:next w:val="1"/>
    <w:qFormat/>
    <w:uiPriority w:val="0"/>
    <w:pPr>
      <w:adjustRightInd w:val="0"/>
      <w:snapToGrid w:val="0"/>
      <w:spacing w:after="120"/>
      <w:ind w:firstLine="540" w:firstLineChars="257"/>
    </w:pPr>
    <w:rPr>
      <w:sz w:val="21"/>
    </w:rPr>
  </w:style>
  <w:style w:type="paragraph" w:customStyle="1" w:styleId="223">
    <w:name w:val="简单回函地址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24">
    <w:name w:val="正文 + 三号"/>
    <w:basedOn w:val="1"/>
    <w:qFormat/>
    <w:uiPriority w:val="0"/>
    <w:rPr>
      <w:sz w:val="21"/>
    </w:rPr>
  </w:style>
  <w:style w:type="paragraph" w:customStyle="1" w:styleId="225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226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27">
    <w:name w:val="图片文字"/>
    <w:basedOn w:val="1"/>
    <w:qFormat/>
    <w:uiPriority w:val="0"/>
    <w:pPr>
      <w:spacing w:line="240" w:lineRule="atLeast"/>
      <w:jc w:val="center"/>
    </w:pPr>
    <w:rPr>
      <w:sz w:val="21"/>
    </w:rPr>
  </w:style>
  <w:style w:type="paragraph" w:customStyle="1" w:styleId="228">
    <w:name w:val="摘要"/>
    <w:basedOn w:val="1"/>
    <w:next w:val="3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229">
    <w:name w:val="样式 正文首行缩进 2 + 首行缩进:  2 字符"/>
    <w:basedOn w:val="1"/>
    <w:qFormat/>
    <w:uiPriority w:val="0"/>
    <w:pPr>
      <w:numPr>
        <w:ilvl w:val="0"/>
        <w:numId w:val="10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30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 w:val="21"/>
    </w:rPr>
  </w:style>
  <w:style w:type="paragraph" w:customStyle="1" w:styleId="231">
    <w:name w:val="Table Contents"/>
    <w:basedOn w:val="24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232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33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34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35">
    <w:name w:val="文本框样式1"/>
    <w:basedOn w:val="1"/>
    <w:qFormat/>
    <w:uiPriority w:val="0"/>
    <w:pPr>
      <w:adjustRightInd w:val="0"/>
      <w:snapToGrid w:val="0"/>
      <w:spacing w:before="60" w:line="180" w:lineRule="exact"/>
      <w:jc w:val="center"/>
    </w:pPr>
    <w:rPr>
      <w:sz w:val="21"/>
    </w:rPr>
  </w:style>
  <w:style w:type="paragraph" w:customStyle="1" w:styleId="236">
    <w:name w:val="Char Char Char Char Char Char Char1"/>
    <w:basedOn w:val="20"/>
    <w:qFormat/>
    <w:uiPriority w:val="0"/>
    <w:rPr>
      <w:rFonts w:ascii="宋体" w:hAnsi="Tahoma"/>
    </w:rPr>
  </w:style>
  <w:style w:type="paragraph" w:customStyle="1" w:styleId="237">
    <w:name w:val="Char Char Char Char"/>
    <w:basedOn w:val="1"/>
    <w:qFormat/>
    <w:uiPriority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38">
    <w:name w:val="样式4"/>
    <w:basedOn w:val="5"/>
    <w:qFormat/>
    <w:uiPriority w:val="0"/>
    <w:pPr>
      <w:adjustRightInd w:val="0"/>
      <w:snapToGrid w:val="0"/>
    </w:pPr>
  </w:style>
  <w:style w:type="paragraph" w:customStyle="1" w:styleId="239">
    <w:name w:val="正文（首行不缩进）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  <w:sz w:val="21"/>
    </w:rPr>
  </w:style>
  <w:style w:type="paragraph" w:customStyle="1" w:styleId="240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41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2">
    <w:name w:val="Char1 Char Char Char1"/>
    <w:basedOn w:val="1"/>
    <w:qFormat/>
    <w:uiPriority w:val="0"/>
    <w:rPr>
      <w:rFonts w:ascii="Tahoma" w:hAnsi="Tahoma"/>
      <w:sz w:val="30"/>
    </w:rPr>
  </w:style>
  <w:style w:type="paragraph" w:customStyle="1" w:styleId="243">
    <w:name w:val="彩色底纹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1"/>
      <w:lang w:eastAsia="en-US"/>
    </w:rPr>
  </w:style>
  <w:style w:type="paragraph" w:customStyle="1" w:styleId="245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246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1"/>
    </w:rPr>
  </w:style>
  <w:style w:type="paragraph" w:customStyle="1" w:styleId="247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48">
    <w:name w:val="标题3——2"/>
    <w:basedOn w:val="4"/>
    <w:next w:val="15"/>
    <w:qFormat/>
    <w:uiPriority w:val="0"/>
    <w:pPr>
      <w:tabs>
        <w:tab w:val="left" w:pos="1280"/>
        <w:tab w:val="right" w:leader="dot" w:pos="8777"/>
      </w:tabs>
      <w:spacing w:before="312"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49">
    <w:name w:val="首行缩进"/>
    <w:basedOn w:val="1"/>
    <w:qFormat/>
    <w:uiPriority w:val="0"/>
    <w:pPr>
      <w:numPr>
        <w:ilvl w:val="0"/>
        <w:numId w:val="11"/>
      </w:numPr>
      <w:spacing w:line="360" w:lineRule="auto"/>
    </w:pPr>
    <w:rPr>
      <w:rFonts w:eastAsia="仿宋_GB2312"/>
    </w:rPr>
  </w:style>
  <w:style w:type="paragraph" w:customStyle="1" w:styleId="250">
    <w:name w:val="bt"/>
    <w:basedOn w:val="1"/>
    <w:next w:val="24"/>
    <w:qFormat/>
    <w:uiPriority w:val="0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paragraph" w:styleId="25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罗成</Manager>
  <Company>重庆市政府采购中心</Company>
  <Pages>7</Pages>
  <Words>481</Words>
  <Characters>2748</Characters>
  <Lines>22</Lines>
  <Paragraphs>6</Paragraphs>
  <TotalTime>1</TotalTime>
  <ScaleCrop>false</ScaleCrop>
  <LinksUpToDate>false</LinksUpToDate>
  <CharactersWithSpaces>3223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2019-07-16T08:54:00Z</dcterms:created>
  <dc:creator>罗成</dc:creator>
  <cp:lastModifiedBy>王娟</cp:lastModifiedBy>
  <cp:lastPrinted>2022-04-25T07:22:00Z</cp:lastPrinted>
  <dcterms:modified xsi:type="dcterms:W3CDTF">2023-09-26T02:52:31Z</dcterms:modified>
  <dc:title>竞争性谈判文件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