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0"/>
        <w:rPr>
          <w:rFonts w:hint="eastAsia" w:ascii="黑体" w:hAnsi="黑体" w:eastAsia="宋体"/>
          <w:b/>
          <w:bCs/>
          <w:color w:val="FF0000"/>
          <w:spacing w:val="8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大渡口区财政局20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0"/>
          <w:szCs w:val="30"/>
        </w:rPr>
        <w:t>年会计服务中介机构采购文件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0" w:name="_Toc3463"/>
      <w:bookmarkStart w:id="1" w:name="_Toc12808"/>
      <w:bookmarkStart w:id="2" w:name="_Toc317775175"/>
      <w:bookmarkStart w:id="3" w:name="_Toc313893526"/>
      <w:bookmarkStart w:id="4" w:name="_Toc18159"/>
      <w:bookmarkStart w:id="5" w:name="_Toc7625"/>
      <w:bookmarkStart w:id="6" w:name="_Toc25458"/>
      <w:bookmarkStart w:id="7" w:name="_Toc26820"/>
      <w:bookmarkStart w:id="8" w:name="_Toc18881"/>
    </w:p>
    <w:p>
      <w:pPr>
        <w:pStyle w:val="4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hint="eastAsia" w:ascii="宋体" w:hAns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</w:rPr>
        <w:t>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65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大渡口区20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行政事业单位及代理记账机构</w:t>
            </w:r>
            <w:r>
              <w:rPr>
                <w:rFonts w:hint="eastAsia" w:ascii="宋体" w:hAnsi="宋体" w:cs="宋体"/>
                <w:sz w:val="24"/>
                <w:szCs w:val="24"/>
              </w:rPr>
              <w:t>会计信息质量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检查服务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采购（包一）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10.672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财政预算资金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采购预算金额为投标限价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大渡口区20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行政事业单位及代理记账机构</w:t>
            </w:r>
            <w:r>
              <w:rPr>
                <w:rFonts w:hint="eastAsia" w:ascii="宋体" w:hAnsi="宋体" w:cs="宋体"/>
                <w:sz w:val="24"/>
                <w:szCs w:val="24"/>
              </w:rPr>
              <w:t>会计信息质量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检查服务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采购（包二）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14.352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财政预算资金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采购预算金额为投标限价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bookmarkStart w:id="9" w:name="_Hlk344477914"/>
            <w:r>
              <w:rPr>
                <w:rFonts w:hint="eastAsia" w:ascii="宋体" w:hAnsi="宋体" w:cs="宋体"/>
                <w:sz w:val="24"/>
                <w:szCs w:val="24"/>
              </w:rPr>
              <w:t>大渡口区20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行政事业单位及代理记账机构</w:t>
            </w:r>
            <w:r>
              <w:rPr>
                <w:rFonts w:hint="eastAsia" w:ascii="宋体" w:hAnsi="宋体" w:cs="宋体"/>
                <w:sz w:val="24"/>
                <w:szCs w:val="24"/>
              </w:rPr>
              <w:t>会计信息质量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检查服务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采购（包三）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财政预算资金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采购预算金额为投标限价</w:t>
            </w:r>
          </w:p>
        </w:tc>
      </w:tr>
      <w:bookmarkEnd w:id="9"/>
    </w:tbl>
    <w:p>
      <w:pPr>
        <w:widowControl w:val="0"/>
        <w:numPr>
          <w:numId w:val="0"/>
        </w:numPr>
        <w:jc w:val="both"/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10" w:name="_Toc6462"/>
      <w:bookmarkStart w:id="11" w:name="_Toc19437"/>
      <w:bookmarkStart w:id="12" w:name="_Toc15727"/>
      <w:bookmarkStart w:id="13" w:name="_Toc22399"/>
      <w:bookmarkStart w:id="14" w:name="_Toc15576"/>
      <w:bookmarkStart w:id="15" w:name="_Toc1790"/>
      <w:bookmarkStart w:id="16" w:name="_Toc25190"/>
      <w:bookmarkStart w:id="17" w:name="_Toc317775178"/>
      <w:bookmarkStart w:id="18" w:name="_Toc373860293"/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资格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（一）资质条件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具有履行合同所必需的</w:t>
      </w:r>
      <w:r>
        <w:rPr>
          <w:rFonts w:hint="eastAsia" w:ascii="宋体" w:hAnsi="宋体" w:cs="宋体"/>
          <w:sz w:val="24"/>
          <w:szCs w:val="24"/>
          <w:lang w:eastAsia="zh-CN"/>
        </w:rPr>
        <w:t>办公</w:t>
      </w:r>
      <w:r>
        <w:rPr>
          <w:rFonts w:hint="eastAsia" w:ascii="宋体" w:hAnsi="宋体" w:cs="宋体"/>
          <w:sz w:val="24"/>
          <w:szCs w:val="24"/>
        </w:rPr>
        <w:t>设备和专业技术能力；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在社会信用体系中无严重失信</w:t>
      </w:r>
      <w:r>
        <w:rPr>
          <w:rFonts w:hint="eastAsia" w:ascii="宋体" w:hAnsi="宋体" w:cs="宋体"/>
          <w:sz w:val="24"/>
          <w:szCs w:val="24"/>
        </w:rPr>
        <w:t>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法律、行政法规规定的其他条件。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（二）本项目不接受联合体投标</w:t>
      </w:r>
    </w:p>
    <w:bookmarkEnd w:id="17"/>
    <w:bookmarkEnd w:id="18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三、采购服务内容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（一）服务内容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大渡口区202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行政事业单位及代理记账机构</w:t>
      </w:r>
      <w:r>
        <w:rPr>
          <w:rFonts w:hint="eastAsia" w:ascii="宋体" w:hAnsi="宋体" w:cs="宋体"/>
          <w:sz w:val="24"/>
          <w:szCs w:val="24"/>
        </w:rPr>
        <w:t>会计信息质量检查服务</w:t>
      </w:r>
      <w:r>
        <w:rPr>
          <w:rFonts w:hint="eastAsia" w:ascii="宋体" w:hAnsi="宋体" w:cs="宋体"/>
          <w:sz w:val="24"/>
          <w:szCs w:val="24"/>
          <w:lang w:eastAsia="zh-CN"/>
        </w:rPr>
        <w:t>项目（包一），</w:t>
      </w:r>
      <w:r>
        <w:rPr>
          <w:rFonts w:hint="eastAsia" w:ascii="宋体" w:hAnsi="宋体" w:cs="宋体"/>
          <w:sz w:val="24"/>
          <w:szCs w:val="24"/>
        </w:rPr>
        <w:t>采购预算总额为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106,720</w:t>
      </w:r>
      <w:r>
        <w:rPr>
          <w:rFonts w:hint="eastAsia" w:ascii="宋体" w:hAnsi="宋体" w:cs="宋体"/>
          <w:sz w:val="24"/>
          <w:szCs w:val="24"/>
        </w:rPr>
        <w:t>元，</w:t>
      </w:r>
      <w:r>
        <w:rPr>
          <w:rFonts w:hint="eastAsia" w:ascii="宋体" w:hAnsi="宋体" w:cs="宋体"/>
          <w:sz w:val="24"/>
          <w:szCs w:val="24"/>
          <w:lang w:eastAsia="zh-CN"/>
        </w:rPr>
        <w:t>购买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家会计服务机构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</w:t>
      </w:r>
      <w:bookmarkStart w:id="19" w:name="OLE_LINK1"/>
      <w:r>
        <w:rPr>
          <w:rFonts w:hint="eastAsia" w:ascii="宋体" w:hAnsi="宋体" w:cs="宋体"/>
          <w:sz w:val="24"/>
          <w:szCs w:val="24"/>
          <w:lang w:val="en-US" w:eastAsia="zh-CN"/>
        </w:rPr>
        <w:t>检查4</w:t>
      </w:r>
      <w:r>
        <w:rPr>
          <w:rFonts w:hint="eastAsia" w:ascii="宋体" w:hAnsi="宋体" w:cs="宋体"/>
          <w:sz w:val="24"/>
          <w:szCs w:val="24"/>
        </w:rPr>
        <w:t>个行政事业单位202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年会计信息质量</w:t>
      </w:r>
      <w:r>
        <w:rPr>
          <w:rFonts w:hint="eastAsia" w:ascii="宋体" w:hAnsi="宋体" w:cs="宋体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sz w:val="24"/>
          <w:szCs w:val="24"/>
        </w:rPr>
        <w:t>内控建设</w:t>
      </w:r>
      <w:r>
        <w:rPr>
          <w:rFonts w:hint="eastAsia" w:ascii="宋体" w:hAnsi="宋体" w:cs="宋体"/>
          <w:sz w:val="24"/>
          <w:szCs w:val="24"/>
          <w:lang w:eastAsia="zh-CN"/>
        </w:rPr>
        <w:t>（包括自行采购内控制度、岗位设置制度执行）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cs="宋体"/>
          <w:sz w:val="24"/>
          <w:szCs w:val="24"/>
        </w:rPr>
        <w:t>绩效管理</w:t>
      </w:r>
      <w:r>
        <w:rPr>
          <w:rFonts w:hint="eastAsia" w:ascii="宋体" w:hAnsi="宋体" w:cs="宋体"/>
          <w:sz w:val="24"/>
          <w:szCs w:val="24"/>
          <w:lang w:eastAsia="zh-CN"/>
        </w:rPr>
        <w:t>、项目资金管理与使用、拖欠民营中小企业款项</w:t>
      </w:r>
      <w:r>
        <w:rPr>
          <w:rFonts w:hint="eastAsia" w:ascii="宋体" w:hAnsi="宋体" w:cs="宋体"/>
          <w:sz w:val="24"/>
          <w:szCs w:val="24"/>
        </w:rPr>
        <w:t>等方面</w:t>
      </w:r>
      <w:r>
        <w:rPr>
          <w:rFonts w:hint="eastAsia" w:ascii="宋体" w:hAnsi="宋体" w:cs="宋体"/>
          <w:sz w:val="24"/>
          <w:szCs w:val="24"/>
          <w:lang w:eastAsia="zh-CN"/>
        </w:rPr>
        <w:t>情况；检查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10个代理记账机构2022年</w:t>
      </w:r>
      <w:r>
        <w:rPr>
          <w:rFonts w:hint="default" w:ascii="宋体" w:hAnsi="宋体" w:cs="宋体"/>
          <w:sz w:val="24"/>
          <w:szCs w:val="24"/>
          <w:lang w:val="en-US" w:eastAsia="zh-CN"/>
        </w:rPr>
        <w:t>持续经营条件、执业质量、会计信息质量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等方面情况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bookmarkEnd w:id="19"/>
      <w:r>
        <w:rPr>
          <w:rFonts w:hint="eastAsia" w:ascii="宋体" w:hAnsi="宋体" w:cs="宋体"/>
          <w:sz w:val="24"/>
          <w:szCs w:val="24"/>
        </w:rPr>
        <w:t>投标限价为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106</w:t>
      </w:r>
      <w:r>
        <w:rPr>
          <w:rFonts w:hint="eastAsia"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720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34" w:name="_GoBack"/>
      <w:bookmarkEnd w:id="34"/>
      <w:r>
        <w:rPr>
          <w:rFonts w:hint="eastAsia" w:ascii="宋体" w:hAnsi="宋体" w:cs="宋体"/>
          <w:sz w:val="24"/>
          <w:szCs w:val="24"/>
          <w:lang w:eastAsia="zh-CN"/>
        </w:rPr>
        <w:t>检查单位名单如下：</w:t>
      </w:r>
    </w:p>
    <w:tbl>
      <w:tblPr>
        <w:tblStyle w:val="65"/>
        <w:tblW w:w="93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312"/>
        <w:gridCol w:w="708"/>
        <w:gridCol w:w="48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重庆邦卓财务管理有限公司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重庆市大渡口区文化馆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重庆文鼎代理记账有限公司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重庆市大渡口区图书馆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重庆铭少财务咨询有限公司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重庆市大渡口区文物管理所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重庆昶诚财务管理有限公司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渝仁理企业管理咨询有限公司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重庆信华财务咨询有限公司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重庆檀盈代理记账有限公司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重庆市大渡口区乐昊企业管理有限公司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重庆兴赛财务咨询有限责任公司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重庆泰协代理记账有限公司</w:t>
            </w:r>
          </w:p>
        </w:tc>
      </w:tr>
    </w:tbl>
    <w:p>
      <w:pPr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大渡口区202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行政事业单位及代理记账机构</w:t>
      </w:r>
      <w:r>
        <w:rPr>
          <w:rFonts w:hint="eastAsia" w:ascii="宋体" w:hAnsi="宋体" w:cs="宋体"/>
          <w:sz w:val="24"/>
          <w:szCs w:val="24"/>
        </w:rPr>
        <w:t>会计信息质量检查服务</w:t>
      </w:r>
      <w:r>
        <w:rPr>
          <w:rFonts w:hint="eastAsia" w:ascii="宋体" w:hAnsi="宋体" w:cs="宋体"/>
          <w:sz w:val="24"/>
          <w:szCs w:val="24"/>
          <w:lang w:eastAsia="zh-CN"/>
        </w:rPr>
        <w:t>项目（包二），</w:t>
      </w:r>
      <w:r>
        <w:rPr>
          <w:rFonts w:hint="eastAsia" w:ascii="宋体" w:hAnsi="宋体" w:cs="宋体"/>
          <w:sz w:val="24"/>
          <w:szCs w:val="24"/>
        </w:rPr>
        <w:t>采购预算总额为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143,520</w:t>
      </w:r>
      <w:r>
        <w:rPr>
          <w:rFonts w:hint="eastAsia" w:ascii="宋体" w:hAnsi="宋体" w:cs="宋体"/>
          <w:sz w:val="24"/>
          <w:szCs w:val="24"/>
        </w:rPr>
        <w:t>元，</w:t>
      </w:r>
      <w:r>
        <w:rPr>
          <w:rFonts w:hint="eastAsia" w:ascii="宋体" w:hAnsi="宋体" w:cs="宋体"/>
          <w:sz w:val="24"/>
          <w:szCs w:val="24"/>
          <w:lang w:eastAsia="zh-CN"/>
        </w:rPr>
        <w:t>购买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家会计服务机构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,检查9</w:t>
      </w:r>
      <w:r>
        <w:rPr>
          <w:rFonts w:hint="eastAsia" w:ascii="宋体" w:hAnsi="宋体" w:cs="宋体"/>
          <w:sz w:val="24"/>
          <w:szCs w:val="24"/>
        </w:rPr>
        <w:t>个行政事业单位202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年会计信息质量</w:t>
      </w:r>
      <w:r>
        <w:rPr>
          <w:rFonts w:hint="eastAsia" w:ascii="宋体" w:hAnsi="宋体" w:cs="宋体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sz w:val="24"/>
          <w:szCs w:val="24"/>
        </w:rPr>
        <w:t>内控建设</w:t>
      </w:r>
      <w:r>
        <w:rPr>
          <w:rFonts w:hint="eastAsia" w:ascii="宋体" w:hAnsi="宋体" w:cs="宋体"/>
          <w:sz w:val="24"/>
          <w:szCs w:val="24"/>
          <w:lang w:eastAsia="zh-CN"/>
        </w:rPr>
        <w:t>（包括自行采购内控制度、岗位设置制度执行）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cs="宋体"/>
          <w:sz w:val="24"/>
          <w:szCs w:val="24"/>
        </w:rPr>
        <w:t>绩效管理</w:t>
      </w:r>
      <w:r>
        <w:rPr>
          <w:rFonts w:hint="eastAsia" w:ascii="宋体" w:hAnsi="宋体" w:cs="宋体"/>
          <w:sz w:val="24"/>
          <w:szCs w:val="24"/>
          <w:lang w:eastAsia="zh-CN"/>
        </w:rPr>
        <w:t>、项目资金管理与使用、拖欠民营中小企业款项</w:t>
      </w:r>
      <w:r>
        <w:rPr>
          <w:rFonts w:hint="eastAsia" w:ascii="宋体" w:hAnsi="宋体" w:cs="宋体"/>
          <w:sz w:val="24"/>
          <w:szCs w:val="24"/>
        </w:rPr>
        <w:t>等方面</w:t>
      </w:r>
      <w:r>
        <w:rPr>
          <w:rFonts w:hint="eastAsia" w:ascii="宋体" w:hAnsi="宋体" w:cs="宋体"/>
          <w:sz w:val="24"/>
          <w:szCs w:val="24"/>
          <w:lang w:eastAsia="zh-CN"/>
        </w:rPr>
        <w:t>情况；检查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5个代理记账机构2022年</w:t>
      </w:r>
      <w:r>
        <w:rPr>
          <w:rFonts w:hint="default" w:ascii="宋体" w:hAnsi="宋体" w:cs="宋体"/>
          <w:sz w:val="24"/>
          <w:szCs w:val="24"/>
          <w:lang w:val="en-US" w:eastAsia="zh-CN"/>
        </w:rPr>
        <w:t>持续经营条件、执业质量、会计信息质量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等方面情况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投标限价为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143</w:t>
      </w:r>
      <w:r>
        <w:rPr>
          <w:rFonts w:hint="eastAsia"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520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。检查单位名单如下：</w:t>
      </w:r>
    </w:p>
    <w:tbl>
      <w:tblPr>
        <w:tblStyle w:val="65"/>
        <w:tblW w:w="93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312"/>
        <w:gridCol w:w="708"/>
        <w:gridCol w:w="48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新山村街道社区卫生服务中心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重庆市大渡口区人民医院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跳磴镇卫生院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茄子溪街道社区卫生服务中心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重庆月明财务咨询有限公司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春晖路街道社区卫生服务中心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重庆嘉德浩会计服务有限公司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重庆市大渡口区妇幼保健院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重庆风控企业管理咨询有限公司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重庆市大渡口区疾病预防控制中心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重庆涵正企业管理咨询有限公司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区卫生计生监督执法局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重庆优选家会计服务有限公司</w:t>
            </w:r>
          </w:p>
        </w:tc>
      </w:tr>
    </w:tbl>
    <w:p>
      <w:pPr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大渡口区202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行政事业单位及代理记账机构</w:t>
      </w:r>
      <w:r>
        <w:rPr>
          <w:rFonts w:hint="eastAsia" w:ascii="宋体" w:hAnsi="宋体" w:cs="宋体"/>
          <w:sz w:val="24"/>
          <w:szCs w:val="24"/>
        </w:rPr>
        <w:t>会计信息质量检查服务</w:t>
      </w:r>
      <w:r>
        <w:rPr>
          <w:rFonts w:hint="eastAsia" w:ascii="宋体" w:hAnsi="宋体" w:cs="宋体"/>
          <w:sz w:val="24"/>
          <w:szCs w:val="24"/>
          <w:lang w:eastAsia="zh-CN"/>
        </w:rPr>
        <w:t>项目，</w:t>
      </w:r>
      <w:r>
        <w:rPr>
          <w:rFonts w:hint="eastAsia" w:ascii="宋体" w:hAnsi="宋体" w:cs="宋体"/>
          <w:sz w:val="24"/>
          <w:szCs w:val="24"/>
        </w:rPr>
        <w:t>采购预算总额为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114,080</w:t>
      </w:r>
      <w:r>
        <w:rPr>
          <w:rFonts w:hint="eastAsia" w:ascii="宋体" w:hAnsi="宋体" w:cs="宋体"/>
          <w:sz w:val="24"/>
          <w:szCs w:val="24"/>
        </w:rPr>
        <w:t>元，</w:t>
      </w:r>
      <w:r>
        <w:rPr>
          <w:rFonts w:hint="eastAsia" w:ascii="宋体" w:hAnsi="宋体" w:cs="宋体"/>
          <w:sz w:val="24"/>
          <w:szCs w:val="24"/>
          <w:lang w:eastAsia="zh-CN"/>
        </w:rPr>
        <w:t>购买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家会计服务机构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,检查5</w:t>
      </w:r>
      <w:r>
        <w:rPr>
          <w:rFonts w:hint="eastAsia" w:ascii="宋体" w:hAnsi="宋体" w:cs="宋体"/>
          <w:sz w:val="24"/>
          <w:szCs w:val="24"/>
        </w:rPr>
        <w:t>个行政事业单位202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年会计信息质量</w:t>
      </w:r>
      <w:r>
        <w:rPr>
          <w:rFonts w:hint="eastAsia" w:ascii="宋体" w:hAnsi="宋体" w:cs="宋体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sz w:val="24"/>
          <w:szCs w:val="24"/>
        </w:rPr>
        <w:t>内控建设</w:t>
      </w:r>
      <w:r>
        <w:rPr>
          <w:rFonts w:hint="eastAsia" w:ascii="宋体" w:hAnsi="宋体" w:cs="宋体"/>
          <w:sz w:val="24"/>
          <w:szCs w:val="24"/>
          <w:lang w:eastAsia="zh-CN"/>
        </w:rPr>
        <w:t>（包括自行采购内控制度、岗位设置制度执行）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cs="宋体"/>
          <w:sz w:val="24"/>
          <w:szCs w:val="24"/>
        </w:rPr>
        <w:t>绩效管理</w:t>
      </w:r>
      <w:r>
        <w:rPr>
          <w:rFonts w:hint="eastAsia" w:ascii="宋体" w:hAnsi="宋体" w:cs="宋体"/>
          <w:sz w:val="24"/>
          <w:szCs w:val="24"/>
          <w:lang w:eastAsia="zh-CN"/>
        </w:rPr>
        <w:t>、项目资金管理与使用、拖欠民营中小企业款项</w:t>
      </w:r>
      <w:r>
        <w:rPr>
          <w:rFonts w:hint="eastAsia" w:ascii="宋体" w:hAnsi="宋体" w:cs="宋体"/>
          <w:sz w:val="24"/>
          <w:szCs w:val="24"/>
        </w:rPr>
        <w:t>等方面</w:t>
      </w:r>
      <w:r>
        <w:rPr>
          <w:rFonts w:hint="eastAsia" w:ascii="宋体" w:hAnsi="宋体" w:cs="宋体"/>
          <w:sz w:val="24"/>
          <w:szCs w:val="24"/>
          <w:lang w:eastAsia="zh-CN"/>
        </w:rPr>
        <w:t>情况；检查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9个代理记账机构2022年</w:t>
      </w:r>
      <w:r>
        <w:rPr>
          <w:rFonts w:hint="default" w:ascii="宋体" w:hAnsi="宋体" w:cs="宋体"/>
          <w:sz w:val="24"/>
          <w:szCs w:val="24"/>
          <w:lang w:val="en-US" w:eastAsia="zh-CN"/>
        </w:rPr>
        <w:t>持续经营条件、执业质量、会计信息质量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等方面情况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投标限价为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114</w:t>
      </w:r>
      <w:r>
        <w:rPr>
          <w:rFonts w:hint="eastAsia"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。检查单位名单如下：</w:t>
      </w:r>
    </w:p>
    <w:tbl>
      <w:tblPr>
        <w:tblStyle w:val="65"/>
        <w:tblW w:w="93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403"/>
        <w:gridCol w:w="617"/>
        <w:gridCol w:w="48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重庆市好助手会计服务有限责任公司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大渡口区市政工程处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重庆犇源工商咨询有限公司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大渡口区环境卫生管理处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重庆满庆丰市场营销策划有限公司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大渡口区绿化工程处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重庆瑞雅代理记账有限公司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大渡口区公园管理处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大渡口区通识税务咨询服务工作室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泓博工商登记代理服务重庆有限公司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城邦（重庆）代账服务有限责任公司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重庆中奥代理服务有限公司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渝企汇（重庆）企业孵化器有限公司</w:t>
            </w:r>
          </w:p>
        </w:tc>
      </w:tr>
    </w:tbl>
    <w:p>
      <w:pPr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中介机构接受委托任务后，若中途有临时追加任务，按照《政府采购法》相关规定</w:t>
      </w:r>
      <w:r>
        <w:rPr>
          <w:rFonts w:hint="eastAsia" w:ascii="宋体" w:hAnsi="宋体" w:cs="宋体"/>
          <w:sz w:val="24"/>
          <w:szCs w:val="24"/>
          <w:lang w:eastAsia="zh-CN"/>
        </w:rPr>
        <w:t>及本文件成交价格为基础</w:t>
      </w:r>
      <w:r>
        <w:rPr>
          <w:rFonts w:hint="eastAsia" w:ascii="宋体" w:hAnsi="宋体" w:cs="宋体"/>
          <w:sz w:val="24"/>
          <w:szCs w:val="24"/>
        </w:rPr>
        <w:t>双方</w:t>
      </w:r>
      <w:r>
        <w:rPr>
          <w:rFonts w:hint="eastAsia" w:ascii="宋体" w:hAnsi="宋体" w:cs="宋体"/>
          <w:sz w:val="24"/>
          <w:szCs w:val="24"/>
          <w:lang w:eastAsia="zh-CN"/>
        </w:rPr>
        <w:t>友好</w:t>
      </w:r>
      <w:r>
        <w:rPr>
          <w:rFonts w:hint="eastAsia" w:ascii="宋体" w:hAnsi="宋体" w:cs="宋体"/>
          <w:sz w:val="24"/>
          <w:szCs w:val="24"/>
        </w:rPr>
        <w:t>协商。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（二）服务要求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 前期筹备。中标供应商应作好检查的前期准备工作，熟练掌握与会计信息质量检查（包括内部控制制度建设情况、</w:t>
      </w:r>
      <w:r>
        <w:rPr>
          <w:rFonts w:hint="eastAsia" w:ascii="宋体" w:hAnsi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cs="宋体"/>
          <w:sz w:val="24"/>
          <w:szCs w:val="24"/>
        </w:rPr>
        <w:t>绩效</w:t>
      </w:r>
      <w:r>
        <w:rPr>
          <w:rFonts w:hint="eastAsia" w:ascii="宋体" w:hAnsi="宋体" w:cs="宋体"/>
          <w:sz w:val="24"/>
          <w:szCs w:val="24"/>
          <w:lang w:eastAsia="zh-CN"/>
        </w:rPr>
        <w:t>项目自评情况</w:t>
      </w:r>
      <w:r>
        <w:rPr>
          <w:rFonts w:hint="eastAsia" w:ascii="宋体" w:hAnsi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）等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相关的政策、文件及要求，熟悉行政事业单位财政财务管理特性。按要求成立检查工作组，参加采购人组织的查前培训，并对检查工作组成员提出工作质量与廉洁纪律要求。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 现场检查。中标供应商应到单位开展现场检查，查阅相关会计凭证，询问相关人员，填制工作底稿。工作底稿要做到客观公正，表述正确。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 撰写检查报告初稿。根据现场检查结果及工作底稿，撰写检查报告初稿。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 三方沟通确认。检查报告初稿应与采购人、被检查单位沟通，对相关事项及检查发现问题进行确认。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 再次核实。对于存在的问题视具体情况和要求进行再次核实或者检查。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 提交正式报告。经三方确认后，形成正式检查报告。检查报告应做到所述事项准确，文字表述顺畅，无明显逻辑错误，引用依据应当准确且在法定效力期内。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 廉政纪律及质量把控。中标机构派出的检查人员应严格遵守廉政纪律，确保报告质量和工作进度。若检查期间收到对检查人员廉政方面投诉且被核实的，未按规定时间完成工作任务的，检查报告出现文字表述不清晰、问题描述错误、违规条款引用错误等情形，采购人有权根据情况扣减经费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 其他。项目资金专项检查应单独出具检查报告。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四、服务期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服务期自合同签订之日起</w:t>
      </w:r>
      <w:r>
        <w:rPr>
          <w:rFonts w:hint="eastAsia" w:ascii="宋体" w:hAnsi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2023年11月10日止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五、付款方式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color w:val="FF0000"/>
          <w:sz w:val="24"/>
          <w:szCs w:val="24"/>
        </w:rPr>
      </w:pPr>
      <w:bookmarkStart w:id="20" w:name="_Toc9654"/>
      <w:bookmarkStart w:id="21" w:name="_Toc5085"/>
      <w:bookmarkStart w:id="22" w:name="_Toc3475"/>
      <w:bookmarkStart w:id="23" w:name="_Toc27955"/>
      <w:bookmarkStart w:id="24" w:name="_Toc20778"/>
      <w:bookmarkStart w:id="25" w:name="_Toc11828"/>
      <w:bookmarkStart w:id="26" w:name="_Toc25886"/>
      <w:bookmarkStart w:id="27" w:name="_Toc25516"/>
      <w:bookmarkStart w:id="28" w:name="_Toc31315"/>
      <w:bookmarkStart w:id="29" w:name="_Toc13969"/>
      <w:bookmarkStart w:id="30" w:name="_Toc14778"/>
      <w:bookmarkStart w:id="31" w:name="_Toc19730"/>
      <w:bookmarkStart w:id="32" w:name="_Toc15478"/>
      <w:bookmarkStart w:id="33" w:name="_Toc9027"/>
      <w:r>
        <w:rPr>
          <w:rFonts w:hint="eastAsia" w:ascii="宋体" w:hAnsi="宋体" w:cs="宋体"/>
          <w:sz w:val="24"/>
          <w:szCs w:val="24"/>
          <w:lang w:eastAsia="zh-CN"/>
        </w:rPr>
        <w:t>提交检查报告初稿后支付中标金额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的70%，</w:t>
      </w:r>
      <w:r>
        <w:rPr>
          <w:rFonts w:hint="eastAsia" w:ascii="宋体" w:hAnsi="宋体" w:cs="宋体"/>
          <w:sz w:val="24"/>
          <w:szCs w:val="24"/>
        </w:rPr>
        <w:t>采购人</w:t>
      </w:r>
      <w:r>
        <w:rPr>
          <w:rFonts w:hint="eastAsia" w:ascii="宋体" w:hAnsi="宋体" w:cs="宋体"/>
          <w:sz w:val="24"/>
          <w:szCs w:val="24"/>
          <w:lang w:eastAsia="zh-CN"/>
        </w:rPr>
        <w:t>最后</w:t>
      </w:r>
      <w:r>
        <w:rPr>
          <w:rFonts w:hint="eastAsia" w:ascii="宋体" w:hAnsi="宋体" w:cs="宋体"/>
          <w:sz w:val="24"/>
          <w:szCs w:val="24"/>
        </w:rPr>
        <w:t>验收确认后</w:t>
      </w:r>
      <w:r>
        <w:rPr>
          <w:rFonts w:hint="eastAsia" w:ascii="宋体" w:hAnsi="宋体" w:cs="宋体"/>
          <w:sz w:val="24"/>
          <w:szCs w:val="24"/>
          <w:lang w:eastAsia="zh-CN"/>
        </w:rPr>
        <w:t>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30%</w:t>
      </w:r>
      <w:r>
        <w:rPr>
          <w:rFonts w:hint="eastAsia" w:ascii="宋体" w:hAnsi="宋体" w:cs="宋体"/>
          <w:sz w:val="24"/>
          <w:szCs w:val="24"/>
        </w:rPr>
        <w:t>。</w:t>
      </w:r>
      <w:bookmarkEnd w:id="20"/>
      <w:bookmarkEnd w:id="21"/>
      <w:bookmarkEnd w:id="22"/>
      <w:bookmarkEnd w:id="23"/>
      <w:bookmarkEnd w:id="24"/>
      <w:bookmarkEnd w:id="25"/>
      <w:bookmarkEnd w:id="26"/>
    </w:p>
    <w:bookmarkEnd w:id="27"/>
    <w:bookmarkEnd w:id="28"/>
    <w:bookmarkEnd w:id="29"/>
    <w:bookmarkEnd w:id="30"/>
    <w:bookmarkEnd w:id="31"/>
    <w:bookmarkEnd w:id="32"/>
    <w:bookmarkEnd w:id="33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szCs w:val="24"/>
        </w:rPr>
        <w:t>、评选方法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2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综合评分法。</w:t>
      </w:r>
      <w:r>
        <w:rPr>
          <w:rFonts w:hint="eastAsia" w:ascii="宋体" w:hAnsi="宋体" w:cs="宋体"/>
          <w:kern w:val="0"/>
          <w:sz w:val="24"/>
          <w:szCs w:val="24"/>
        </w:rPr>
        <w:t>满分100分，</w:t>
      </w:r>
      <w:r>
        <w:rPr>
          <w:rFonts w:hint="eastAsia" w:ascii="宋体" w:hAnsi="宋体" w:cs="宋体"/>
          <w:sz w:val="24"/>
          <w:szCs w:val="24"/>
        </w:rPr>
        <w:t>采购人对供应商的响应文件进行评分</w:t>
      </w:r>
      <w:r>
        <w:rPr>
          <w:rFonts w:hint="eastAsia" w:ascii="宋体" w:hAnsi="宋体" w:cs="宋体"/>
          <w:sz w:val="24"/>
          <w:szCs w:val="24"/>
          <w:lang w:eastAsia="zh-CN"/>
        </w:rPr>
        <w:t>；每个项目包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排名第一的</w:t>
      </w:r>
      <w:r>
        <w:rPr>
          <w:rFonts w:hint="eastAsia" w:ascii="宋体" w:hAnsi="宋体" w:cs="宋体"/>
          <w:kern w:val="0"/>
          <w:sz w:val="24"/>
          <w:szCs w:val="24"/>
        </w:rPr>
        <w:t>供应商为成交供应商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若供应商在多个项目包中排名第一，则有优先选择项目包的权利，但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不可兼得</w:t>
      </w:r>
      <w:r>
        <w:rPr>
          <w:rFonts w:hint="eastAsia" w:ascii="宋体" w:hAnsi="宋体" w:cs="宋体"/>
          <w:sz w:val="24"/>
          <w:szCs w:val="24"/>
        </w:rPr>
        <w:t>；未入围的报名供应商不参与评审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  <w:lang w:eastAsia="zh-CN"/>
        </w:rPr>
        <w:t>报价要求。报价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以投标报价函报价为准，现场不再进行二次报价。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  <w:u w:val="none"/>
        </w:rPr>
        <w:t>、其他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约定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凡有意参加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的供应商，请于公告发布之日起至报名截止时间之前，在重庆市</w:t>
      </w:r>
      <w:r>
        <w:rPr>
          <w:rFonts w:hint="eastAsia" w:ascii="宋体" w:hAnsi="宋体" w:cs="宋体"/>
          <w:sz w:val="24"/>
          <w:szCs w:val="24"/>
          <w:lang w:eastAsia="zh-CN"/>
        </w:rPr>
        <w:t>大渡口区</w:t>
      </w:r>
      <w:r>
        <w:rPr>
          <w:rFonts w:hint="eastAsia" w:ascii="宋体" w:hAnsi="宋体" w:cs="宋体"/>
          <w:sz w:val="24"/>
          <w:szCs w:val="24"/>
        </w:rPr>
        <w:t>政府</w:t>
      </w:r>
      <w:r>
        <w:rPr>
          <w:rFonts w:hint="eastAsia" w:ascii="宋体" w:hAnsi="宋体" w:cs="宋体"/>
          <w:sz w:val="24"/>
          <w:szCs w:val="24"/>
          <w:lang w:eastAsia="zh-CN"/>
        </w:rPr>
        <w:t>门户</w:t>
      </w:r>
      <w:r>
        <w:rPr>
          <w:rFonts w:hint="eastAsia" w:ascii="宋体" w:hAnsi="宋体" w:cs="宋体"/>
          <w:sz w:val="24"/>
          <w:szCs w:val="24"/>
        </w:rPr>
        <w:t>网上下载查看本项目需求文件以及变更公告等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前公布的所有项目资料，无论供应商下载查看与否，均视为已知晓所有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实质性要求内容。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供应商必须对以上条款和服务承诺明确列出，承诺内容必须达到要求。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其他未尽事宜由供需双方在采购合同中详细约定。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无论谈判结果如何，供应商参与本项目的所有费用均自行承担。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b/>
          <w:bCs/>
          <w:sz w:val="24"/>
          <w:szCs w:val="24"/>
        </w:rPr>
        <w:t>、供应商提交响应文件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供应商</w:t>
      </w:r>
      <w:r>
        <w:rPr>
          <w:rFonts w:hint="eastAsia" w:ascii="宋体" w:hAnsi="宋体" w:cs="宋体"/>
          <w:sz w:val="24"/>
          <w:szCs w:val="24"/>
          <w:lang w:eastAsia="zh-CN"/>
        </w:rPr>
        <w:t>提交响应文件时间：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日北京时间09:00至20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</w:t>
      </w:r>
      <w:r>
        <w:rPr>
          <w:rFonts w:hint="eastAsia" w:ascii="宋体" w:hAnsi="宋体" w:cs="宋体"/>
          <w:sz w:val="24"/>
          <w:szCs w:val="24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提交响应文件截止时间：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提交响应文件内容：竞标文件、法定代表人身份证明书和法定代表人授权委托书原件（法定代表人参加投标只需提供法定代表人身份证明书原件）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提交响应文件地址：大渡口区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cs="宋体"/>
          <w:sz w:val="24"/>
          <w:szCs w:val="24"/>
        </w:rPr>
        <w:t>供应商响应文件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评标事宜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none"/>
        </w:rPr>
        <w:t>20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cs="宋体"/>
          <w:sz w:val="24"/>
          <w:szCs w:val="24"/>
          <w:u w:val="none"/>
        </w:rPr>
        <w:t>年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u w:val="none"/>
        </w:rPr>
        <w:t>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  <w:u w:val="none"/>
        </w:rPr>
        <w:t>日北京时间10：00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地点：大渡口区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经</w:t>
      </w:r>
      <w:r>
        <w:rPr>
          <w:rFonts w:hint="eastAsia" w:ascii="宋体" w:hAnsi="宋体" w:cs="宋体"/>
          <w:sz w:val="24"/>
          <w:szCs w:val="24"/>
          <w:lang w:eastAsia="zh-CN"/>
        </w:rPr>
        <w:t>综合评标</w:t>
      </w:r>
      <w:r>
        <w:rPr>
          <w:rFonts w:hint="eastAsia" w:ascii="宋体" w:hAnsi="宋体" w:cs="宋体"/>
          <w:sz w:val="24"/>
          <w:szCs w:val="24"/>
        </w:rPr>
        <w:t>确定</w:t>
      </w:r>
      <w:r>
        <w:rPr>
          <w:rFonts w:hint="eastAsia" w:ascii="宋体" w:hAnsi="宋体" w:cs="宋体"/>
          <w:sz w:val="24"/>
          <w:szCs w:val="24"/>
          <w:lang w:eastAsia="zh-CN"/>
        </w:rPr>
        <w:t>中标结果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cs="宋体"/>
          <w:sz w:val="24"/>
          <w:szCs w:val="24"/>
        </w:rPr>
        <w:t>，供应商应当按照</w:t>
      </w:r>
      <w:r>
        <w:rPr>
          <w:rFonts w:hint="eastAsia" w:ascii="宋体" w:hAnsi="宋体" w:cs="宋体"/>
          <w:sz w:val="24"/>
          <w:szCs w:val="24"/>
          <w:u w:val="none"/>
        </w:rPr>
        <w:t>变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动</w:t>
      </w:r>
      <w:r>
        <w:rPr>
          <w:rFonts w:hint="eastAsia" w:ascii="宋体" w:hAnsi="宋体" w:cs="宋体"/>
          <w:sz w:val="24"/>
          <w:szCs w:val="24"/>
        </w:rPr>
        <w:t>情况提交书面承诺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，未提交的供应商作</w:t>
      </w:r>
      <w:r>
        <w:rPr>
          <w:rFonts w:hint="eastAsia" w:ascii="宋体" w:hAnsi="宋体" w:cs="宋体"/>
          <w:sz w:val="24"/>
          <w:szCs w:val="24"/>
        </w:rPr>
        <w:t>废标处理。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sz w:val="24"/>
          <w:szCs w:val="24"/>
        </w:rPr>
        <w:t>、联系方式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 大渡口区财政局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 王娟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  话：68082250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sz w:val="24"/>
          <w:szCs w:val="24"/>
          <w:u w:val="none"/>
        </w:rPr>
        <w:t>地  址：大渡口区文体路126号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行政中心</w:t>
      </w:r>
      <w:r>
        <w:rPr>
          <w:rFonts w:hint="eastAsia" w:ascii="宋体" w:hAnsi="宋体" w:cs="宋体"/>
          <w:sz w:val="24"/>
          <w:szCs w:val="24"/>
          <w:u w:val="none"/>
        </w:rPr>
        <w:t>307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tbl>
      <w:tblPr>
        <w:tblStyle w:val="65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729"/>
        <w:gridCol w:w="4903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9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2724" w:type="dxa"/>
            <w:vAlign w:val="center"/>
          </w:tcPr>
          <w:p>
            <w:pPr>
              <w:pStyle w:val="174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投标报价得分＝（评标基准价/投标报价）×价格权重×100。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检查基本流程、方案。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1、服务及现场管理方案。（3-3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优得20-3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分，良得10-19分，差得3-9分。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2、服务优化方案。（3-1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分，良得5-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分，差得3-4分。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3、服务质量保障方案。（1-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4、服务现场安全保障方案（1-5分）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优得4-5分，良得2-3分，差得1分。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提供纸质流程及方案。采购人根据采购服务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03" w:type="dxa"/>
            <w:vAlign w:val="bottom"/>
          </w:tcPr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经验10分。201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年至今参与过行政事业单位、财政监督检查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审计工作的一个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2分，最多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10分。</w:t>
            </w:r>
          </w:p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提供合同复印件，原件必查，未提供原件不得分。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团队要求20分。检查团队应至少包含5名注册会计师、5名会计师,可以是10人注册会计师。能提供齐全资料的得1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分，少提供一名注册会计师证书的扣2分、少提供一名会计师证书的扣1分。检查团队少于4人，该项不得分。高于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名注册会计师，每增加1名注册会计师加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分，最多加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提供检查团队组成人员名单（提供20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年1月-20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月的人员社保证明原件）及相应资质证书复印件（原件备查），实际操作中未经业主同意不得更改。</w:t>
            </w:r>
          </w:p>
        </w:tc>
      </w:tr>
    </w:tbl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numPr>
          <w:ilvl w:val="0"/>
          <w:numId w:val="14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（采购人名称）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愿意按照谈判采购文件中的一切要求，提供本项目的技术服务，报价为人民币</w:t>
      </w:r>
      <w:r>
        <w:rPr>
          <w:rFonts w:hint="eastAsia" w:ascii="宋体" w:hAnsi="宋体" w:cs="宋体"/>
          <w:sz w:val="24"/>
          <w:szCs w:val="24"/>
          <w:u w:val="single"/>
        </w:rPr>
        <w:t>大写：     元整</w:t>
      </w:r>
      <w:r>
        <w:rPr>
          <w:rFonts w:hint="eastAsia" w:ascii="宋体" w:hAnsi="宋体" w:cs="宋体"/>
          <w:sz w:val="24"/>
          <w:szCs w:val="24"/>
        </w:rPr>
        <w:t>；人民币</w:t>
      </w:r>
      <w:r>
        <w:rPr>
          <w:rFonts w:hint="eastAsia" w:ascii="宋体" w:hAnsi="宋体" w:cs="宋体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我方现提交的响应文件为：响应文件</w:t>
      </w:r>
      <w:r>
        <w:rPr>
          <w:rFonts w:hint="eastAsia" w:ascii="宋体" w:hAnsi="宋体" w:cs="宋体"/>
          <w:sz w:val="24"/>
          <w:szCs w:val="24"/>
          <w:lang w:eastAsia="zh-CN"/>
        </w:rPr>
        <w:t>纸质</w:t>
      </w:r>
      <w:r>
        <w:rPr>
          <w:rFonts w:hint="eastAsia" w:ascii="宋体" w:hAnsi="宋体" w:cs="宋体"/>
          <w:sz w:val="24"/>
          <w:szCs w:val="24"/>
        </w:rPr>
        <w:t>文档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</w:t>
      </w:r>
      <w:r>
        <w:rPr>
          <w:rFonts w:hint="eastAsia" w:ascii="宋体" w:hAnsi="宋体" w:cs="宋体"/>
          <w:sz w:val="24"/>
          <w:szCs w:val="24"/>
        </w:rPr>
        <w:t>壹份。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过程中，我方若有违规行为，</w:t>
      </w:r>
      <w:r>
        <w:rPr>
          <w:rFonts w:hint="default" w:ascii="宋体" w:hAnsi="宋体" w:cs="宋体"/>
          <w:sz w:val="24"/>
          <w:szCs w:val="24"/>
          <w:u w:val="none"/>
        </w:rPr>
        <w:t>根据有关规定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纳入信用体系“</w:t>
      </w:r>
      <w:r>
        <w:rPr>
          <w:rFonts w:hint="default" w:ascii="宋体" w:hAnsi="宋体" w:cs="宋体"/>
          <w:sz w:val="24"/>
          <w:szCs w:val="24"/>
          <w:u w:val="none"/>
        </w:rPr>
        <w:t>失信记录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”</w:t>
      </w:r>
      <w:r>
        <w:rPr>
          <w:rFonts w:hint="default" w:ascii="宋体" w:hAnsi="宋体" w:cs="宋体"/>
          <w:sz w:val="24"/>
          <w:szCs w:val="24"/>
          <w:u w:val="none"/>
        </w:rPr>
        <w:t>实施联合惩戒，并向社会公告</w:t>
      </w:r>
      <w:r>
        <w:rPr>
          <w:rFonts w:hint="eastAsia" w:ascii="宋体" w:hAnsi="宋体" w:cs="宋体"/>
          <w:sz w:val="24"/>
          <w:szCs w:val="24"/>
          <w:u w:val="none"/>
        </w:rPr>
        <w:t>等给予惩罚。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我方若中选，将按照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8"/>
        </w:rPr>
        <w:t>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            </w:t>
      </w:r>
    </w:p>
    <w:p>
      <w:pPr>
        <w:spacing w:line="312" w:lineRule="auto"/>
        <w:rPr>
          <w:rFonts w:ascii="宋体" w:hAnsi="宋体" w:cs="宋体"/>
        </w:rPr>
      </w:pPr>
    </w:p>
    <w:p>
      <w:pPr>
        <w:spacing w:line="312" w:lineRule="auto"/>
        <w:ind w:right="480" w:firstLine="6480" w:firstLineChars="2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</w:t>
      </w:r>
    </w:p>
    <w:p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14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服务方案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>
      <w:pPr>
        <w:pStyle w:val="4"/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4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</w:p>
    <w:p/>
    <w:p>
      <w:pPr>
        <w:pStyle w:val="4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4"/>
        </w:numPr>
        <w:spacing w:before="0" w:after="0"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其他应提供的资料</w:t>
      </w:r>
    </w:p>
    <w:p>
      <w:pPr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  <w:r>
        <w:rPr>
          <w:rFonts w:hint="eastAsia" w:ascii="宋体" w:hAnsi="宋体" w:cs="宋体"/>
          <w:sz w:val="24"/>
          <w:szCs w:val="24"/>
        </w:rPr>
        <w:t>（结束）</w:t>
      </w: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/GzHS&#10;AAAAAwEAAA8AAAAAAAAAAQAgAAAAIgAAAGRycy9kb3ducmV2LnhtbFBLAQIUABQAAAAIAIdO4kBq&#10;HDRF7QEAALQDAAAOAAAAAAAAAAEAIAAAACE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kUuzQAAAA&#10;AwEAAA8AAAAAAAAAAQAgAAAAIgAAAGRycy9kb3ducmV2LnhtbFBLAQIUABQAAAAIAIdO4kCuxc8a&#10;7AEAALU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6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3BE3B652"/>
    <w:multiLevelType w:val="singleLevel"/>
    <w:tmpl w:val="3BE3B6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75CB0467"/>
    <w:multiLevelType w:val="singleLevel"/>
    <w:tmpl w:val="75CB0467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76D247D1"/>
    <w:multiLevelType w:val="singleLevel"/>
    <w:tmpl w:val="76D247D1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29"/>
    <w:rsid w:val="000144C9"/>
    <w:rsid w:val="0002088C"/>
    <w:rsid w:val="00033DAB"/>
    <w:rsid w:val="000370BC"/>
    <w:rsid w:val="00042D13"/>
    <w:rsid w:val="00056A6E"/>
    <w:rsid w:val="000601B2"/>
    <w:rsid w:val="00072CEF"/>
    <w:rsid w:val="0008422C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92985"/>
    <w:rsid w:val="001A3E64"/>
    <w:rsid w:val="001F59CD"/>
    <w:rsid w:val="001F74AE"/>
    <w:rsid w:val="002122FC"/>
    <w:rsid w:val="0021327B"/>
    <w:rsid w:val="00213E88"/>
    <w:rsid w:val="0021595A"/>
    <w:rsid w:val="00223B9B"/>
    <w:rsid w:val="0022691C"/>
    <w:rsid w:val="00241172"/>
    <w:rsid w:val="00256FAE"/>
    <w:rsid w:val="002676F5"/>
    <w:rsid w:val="00297EC4"/>
    <w:rsid w:val="002B0676"/>
    <w:rsid w:val="002C7EDF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2B64"/>
    <w:rsid w:val="003453EB"/>
    <w:rsid w:val="00353AC2"/>
    <w:rsid w:val="003609C0"/>
    <w:rsid w:val="00363A72"/>
    <w:rsid w:val="003876E3"/>
    <w:rsid w:val="003878EB"/>
    <w:rsid w:val="003A0967"/>
    <w:rsid w:val="003B48D3"/>
    <w:rsid w:val="003E69B4"/>
    <w:rsid w:val="003E7CAB"/>
    <w:rsid w:val="003F7078"/>
    <w:rsid w:val="00421287"/>
    <w:rsid w:val="0043243B"/>
    <w:rsid w:val="004569BA"/>
    <w:rsid w:val="00460545"/>
    <w:rsid w:val="0046366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A658A"/>
    <w:rsid w:val="005C530A"/>
    <w:rsid w:val="005C7A84"/>
    <w:rsid w:val="005F22A3"/>
    <w:rsid w:val="00607C6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1EC9"/>
    <w:rsid w:val="006C353F"/>
    <w:rsid w:val="006C67A2"/>
    <w:rsid w:val="006C7CD3"/>
    <w:rsid w:val="00723BC4"/>
    <w:rsid w:val="00731090"/>
    <w:rsid w:val="007442A0"/>
    <w:rsid w:val="00755658"/>
    <w:rsid w:val="00773049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72901"/>
    <w:rsid w:val="008825DA"/>
    <w:rsid w:val="008F1F63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1DF9"/>
    <w:rsid w:val="009A317C"/>
    <w:rsid w:val="009A770F"/>
    <w:rsid w:val="009B4011"/>
    <w:rsid w:val="009C25EB"/>
    <w:rsid w:val="009C273F"/>
    <w:rsid w:val="009E62CD"/>
    <w:rsid w:val="009F399A"/>
    <w:rsid w:val="009F5836"/>
    <w:rsid w:val="00A06259"/>
    <w:rsid w:val="00A3078D"/>
    <w:rsid w:val="00A56F1E"/>
    <w:rsid w:val="00A614CD"/>
    <w:rsid w:val="00A757A0"/>
    <w:rsid w:val="00A9133B"/>
    <w:rsid w:val="00AC755D"/>
    <w:rsid w:val="00AF3E34"/>
    <w:rsid w:val="00B000A7"/>
    <w:rsid w:val="00B01F29"/>
    <w:rsid w:val="00B3337A"/>
    <w:rsid w:val="00B43355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909A2"/>
    <w:rsid w:val="00CB395B"/>
    <w:rsid w:val="00CC15A7"/>
    <w:rsid w:val="00CC3CDB"/>
    <w:rsid w:val="00CC4F85"/>
    <w:rsid w:val="00CD410E"/>
    <w:rsid w:val="00CD444E"/>
    <w:rsid w:val="00D21D58"/>
    <w:rsid w:val="00D226A5"/>
    <w:rsid w:val="00D2377C"/>
    <w:rsid w:val="00D40159"/>
    <w:rsid w:val="00D858CC"/>
    <w:rsid w:val="00DA4850"/>
    <w:rsid w:val="00DD11C0"/>
    <w:rsid w:val="00DD38BE"/>
    <w:rsid w:val="00DF02E6"/>
    <w:rsid w:val="00E2740B"/>
    <w:rsid w:val="00E40564"/>
    <w:rsid w:val="00E45B7C"/>
    <w:rsid w:val="00E46A0A"/>
    <w:rsid w:val="00E54E2D"/>
    <w:rsid w:val="00E670E8"/>
    <w:rsid w:val="00E863F1"/>
    <w:rsid w:val="00EA524F"/>
    <w:rsid w:val="00EF60F7"/>
    <w:rsid w:val="00F10101"/>
    <w:rsid w:val="00F53AE7"/>
    <w:rsid w:val="00F746A5"/>
    <w:rsid w:val="00F91500"/>
    <w:rsid w:val="00FC7767"/>
    <w:rsid w:val="00FD14FB"/>
    <w:rsid w:val="011F60DE"/>
    <w:rsid w:val="03A56717"/>
    <w:rsid w:val="04231AF4"/>
    <w:rsid w:val="049B65DB"/>
    <w:rsid w:val="04C65CEA"/>
    <w:rsid w:val="05AC35D5"/>
    <w:rsid w:val="05D2305C"/>
    <w:rsid w:val="05E14F8B"/>
    <w:rsid w:val="063C7A64"/>
    <w:rsid w:val="06486E20"/>
    <w:rsid w:val="067710B7"/>
    <w:rsid w:val="0743495E"/>
    <w:rsid w:val="07610150"/>
    <w:rsid w:val="07800131"/>
    <w:rsid w:val="08846939"/>
    <w:rsid w:val="08AE43BE"/>
    <w:rsid w:val="08ED3546"/>
    <w:rsid w:val="09432989"/>
    <w:rsid w:val="09F65106"/>
    <w:rsid w:val="09FE01B7"/>
    <w:rsid w:val="0A594527"/>
    <w:rsid w:val="0A76543F"/>
    <w:rsid w:val="0B322E43"/>
    <w:rsid w:val="0BAA1613"/>
    <w:rsid w:val="0C182DE7"/>
    <w:rsid w:val="0C19118B"/>
    <w:rsid w:val="0C640CDB"/>
    <w:rsid w:val="0C8D445E"/>
    <w:rsid w:val="0CA82495"/>
    <w:rsid w:val="0D3A01CA"/>
    <w:rsid w:val="0D8E5867"/>
    <w:rsid w:val="0D931077"/>
    <w:rsid w:val="0EAE4719"/>
    <w:rsid w:val="0EFE3F6B"/>
    <w:rsid w:val="0F173212"/>
    <w:rsid w:val="0FB37D15"/>
    <w:rsid w:val="0FBF52D2"/>
    <w:rsid w:val="101E0686"/>
    <w:rsid w:val="121917B7"/>
    <w:rsid w:val="12A756F6"/>
    <w:rsid w:val="13136F1F"/>
    <w:rsid w:val="136C74AD"/>
    <w:rsid w:val="13DF7994"/>
    <w:rsid w:val="13FF0684"/>
    <w:rsid w:val="15A60C02"/>
    <w:rsid w:val="15FE02B7"/>
    <w:rsid w:val="17A351B3"/>
    <w:rsid w:val="17BB473B"/>
    <w:rsid w:val="194E2644"/>
    <w:rsid w:val="1B04328A"/>
    <w:rsid w:val="1C0E01AF"/>
    <w:rsid w:val="1CC93C86"/>
    <w:rsid w:val="1CFD13C7"/>
    <w:rsid w:val="1D700481"/>
    <w:rsid w:val="1E1718B6"/>
    <w:rsid w:val="1E76255D"/>
    <w:rsid w:val="1F2D3C95"/>
    <w:rsid w:val="1F690B98"/>
    <w:rsid w:val="202E1EEE"/>
    <w:rsid w:val="209A1EEB"/>
    <w:rsid w:val="21337A47"/>
    <w:rsid w:val="21700ECF"/>
    <w:rsid w:val="223351C2"/>
    <w:rsid w:val="22601F41"/>
    <w:rsid w:val="22EF2ECF"/>
    <w:rsid w:val="238672E1"/>
    <w:rsid w:val="256A00A8"/>
    <w:rsid w:val="2707294B"/>
    <w:rsid w:val="286A2FF5"/>
    <w:rsid w:val="2A0E0065"/>
    <w:rsid w:val="2A536DC9"/>
    <w:rsid w:val="2A9A00C1"/>
    <w:rsid w:val="2B391819"/>
    <w:rsid w:val="2B4C63F5"/>
    <w:rsid w:val="2D065616"/>
    <w:rsid w:val="2DFE2814"/>
    <w:rsid w:val="2ECB3FBB"/>
    <w:rsid w:val="2F6F4694"/>
    <w:rsid w:val="2F71271F"/>
    <w:rsid w:val="2F843E14"/>
    <w:rsid w:val="308C129D"/>
    <w:rsid w:val="31A33616"/>
    <w:rsid w:val="31B25415"/>
    <w:rsid w:val="31D874D8"/>
    <w:rsid w:val="31FC4FB8"/>
    <w:rsid w:val="32342EDD"/>
    <w:rsid w:val="32623E46"/>
    <w:rsid w:val="32A2373E"/>
    <w:rsid w:val="32A353C8"/>
    <w:rsid w:val="334D2FC7"/>
    <w:rsid w:val="33FD18EC"/>
    <w:rsid w:val="34381A1C"/>
    <w:rsid w:val="34B77F02"/>
    <w:rsid w:val="34CC3626"/>
    <w:rsid w:val="35041F65"/>
    <w:rsid w:val="36E61E1F"/>
    <w:rsid w:val="380F6440"/>
    <w:rsid w:val="388D3861"/>
    <w:rsid w:val="39C52F55"/>
    <w:rsid w:val="39D961DF"/>
    <w:rsid w:val="3B5532B8"/>
    <w:rsid w:val="3BC843DA"/>
    <w:rsid w:val="3D0144C3"/>
    <w:rsid w:val="3D337CFF"/>
    <w:rsid w:val="3E5F77D2"/>
    <w:rsid w:val="3E6007CC"/>
    <w:rsid w:val="3E994615"/>
    <w:rsid w:val="3EDB7D99"/>
    <w:rsid w:val="3FCD46EF"/>
    <w:rsid w:val="404E5EBC"/>
    <w:rsid w:val="411B1F4A"/>
    <w:rsid w:val="411C0495"/>
    <w:rsid w:val="426466A2"/>
    <w:rsid w:val="42AE0D52"/>
    <w:rsid w:val="43260821"/>
    <w:rsid w:val="439350DD"/>
    <w:rsid w:val="43B752AC"/>
    <w:rsid w:val="440D1961"/>
    <w:rsid w:val="44910BB2"/>
    <w:rsid w:val="458F0D5A"/>
    <w:rsid w:val="45FB04BF"/>
    <w:rsid w:val="46900824"/>
    <w:rsid w:val="46D713BC"/>
    <w:rsid w:val="47351345"/>
    <w:rsid w:val="47EB5E78"/>
    <w:rsid w:val="48FF43F1"/>
    <w:rsid w:val="4A2A5122"/>
    <w:rsid w:val="4A7439FF"/>
    <w:rsid w:val="4A9124B6"/>
    <w:rsid w:val="4A9E4240"/>
    <w:rsid w:val="4BC9209C"/>
    <w:rsid w:val="4CED6140"/>
    <w:rsid w:val="4D2439E5"/>
    <w:rsid w:val="4DAA6D1C"/>
    <w:rsid w:val="4E507E4C"/>
    <w:rsid w:val="4E99569F"/>
    <w:rsid w:val="4F637870"/>
    <w:rsid w:val="4F856A83"/>
    <w:rsid w:val="4FCC1F99"/>
    <w:rsid w:val="505A2055"/>
    <w:rsid w:val="50A820A5"/>
    <w:rsid w:val="50AC609A"/>
    <w:rsid w:val="50DB1025"/>
    <w:rsid w:val="518D138D"/>
    <w:rsid w:val="523F72E8"/>
    <w:rsid w:val="52F7033D"/>
    <w:rsid w:val="531A7B70"/>
    <w:rsid w:val="532359C9"/>
    <w:rsid w:val="53A82B13"/>
    <w:rsid w:val="54C74852"/>
    <w:rsid w:val="55560D4A"/>
    <w:rsid w:val="55BC4ACF"/>
    <w:rsid w:val="56EB7A76"/>
    <w:rsid w:val="57495874"/>
    <w:rsid w:val="57CF095E"/>
    <w:rsid w:val="57E025AA"/>
    <w:rsid w:val="580769B5"/>
    <w:rsid w:val="5827087D"/>
    <w:rsid w:val="58956A7A"/>
    <w:rsid w:val="58D419B6"/>
    <w:rsid w:val="59C4132A"/>
    <w:rsid w:val="5A067F8B"/>
    <w:rsid w:val="5A3C4B17"/>
    <w:rsid w:val="5A701F3C"/>
    <w:rsid w:val="5A93303A"/>
    <w:rsid w:val="5A9515D1"/>
    <w:rsid w:val="5B3F583A"/>
    <w:rsid w:val="5B8C0E98"/>
    <w:rsid w:val="5D787F6C"/>
    <w:rsid w:val="5D9A3CA6"/>
    <w:rsid w:val="5DA26239"/>
    <w:rsid w:val="5DAE6341"/>
    <w:rsid w:val="5DF70CC0"/>
    <w:rsid w:val="5E5233F7"/>
    <w:rsid w:val="5E763F3D"/>
    <w:rsid w:val="5EB706C2"/>
    <w:rsid w:val="5F052CC2"/>
    <w:rsid w:val="5F7D538B"/>
    <w:rsid w:val="5FE31EEF"/>
    <w:rsid w:val="60427286"/>
    <w:rsid w:val="604A6F28"/>
    <w:rsid w:val="608455D4"/>
    <w:rsid w:val="6251185D"/>
    <w:rsid w:val="62F748F8"/>
    <w:rsid w:val="639635F7"/>
    <w:rsid w:val="63CD4CAD"/>
    <w:rsid w:val="63D97A76"/>
    <w:rsid w:val="6407391B"/>
    <w:rsid w:val="642738C4"/>
    <w:rsid w:val="64EB0C8B"/>
    <w:rsid w:val="65F91B55"/>
    <w:rsid w:val="66C62BF8"/>
    <w:rsid w:val="67630E9B"/>
    <w:rsid w:val="67B15328"/>
    <w:rsid w:val="67F07DC5"/>
    <w:rsid w:val="681C2935"/>
    <w:rsid w:val="687A7D8C"/>
    <w:rsid w:val="68910D0F"/>
    <w:rsid w:val="689D6263"/>
    <w:rsid w:val="69094C59"/>
    <w:rsid w:val="69934D28"/>
    <w:rsid w:val="6A28724C"/>
    <w:rsid w:val="6A423918"/>
    <w:rsid w:val="6BDB2ECC"/>
    <w:rsid w:val="6CA57642"/>
    <w:rsid w:val="6D542A20"/>
    <w:rsid w:val="6D907759"/>
    <w:rsid w:val="6E7D5154"/>
    <w:rsid w:val="6EAC7CBE"/>
    <w:rsid w:val="6EBF7C2E"/>
    <w:rsid w:val="6ED30198"/>
    <w:rsid w:val="708C1B63"/>
    <w:rsid w:val="71287CA7"/>
    <w:rsid w:val="7183443D"/>
    <w:rsid w:val="7200754E"/>
    <w:rsid w:val="72652598"/>
    <w:rsid w:val="746C33B8"/>
    <w:rsid w:val="751E519F"/>
    <w:rsid w:val="75630020"/>
    <w:rsid w:val="764B43A8"/>
    <w:rsid w:val="76DB3120"/>
    <w:rsid w:val="77485289"/>
    <w:rsid w:val="774E1646"/>
    <w:rsid w:val="77A44B58"/>
    <w:rsid w:val="781A6CFD"/>
    <w:rsid w:val="78522B62"/>
    <w:rsid w:val="786C34F3"/>
    <w:rsid w:val="7927265A"/>
    <w:rsid w:val="79AD0E19"/>
    <w:rsid w:val="7AC615B7"/>
    <w:rsid w:val="7AEF191C"/>
    <w:rsid w:val="7B214D90"/>
    <w:rsid w:val="7C451D06"/>
    <w:rsid w:val="7D44601A"/>
    <w:rsid w:val="7D4B1EED"/>
    <w:rsid w:val="7D7A0AE6"/>
    <w:rsid w:val="7DAB6BB7"/>
    <w:rsid w:val="7E3E5089"/>
    <w:rsid w:val="7E467AE4"/>
    <w:rsid w:val="7EB4015F"/>
    <w:rsid w:val="7F427AAB"/>
    <w:rsid w:val="7F6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annotation subject"/>
    <w:basedOn w:val="13"/>
    <w:next w:val="13"/>
    <w:link w:val="73"/>
    <w:qFormat/>
    <w:uiPriority w:val="0"/>
    <w:pPr>
      <w:adjustRightInd/>
      <w:spacing w:line="240" w:lineRule="auto"/>
      <w:textAlignment w:val="auto"/>
    </w:pPr>
  </w:style>
  <w:style w:type="paragraph" w:styleId="13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6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7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8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9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20">
    <w:name w:val="Document Map"/>
    <w:basedOn w:val="1"/>
    <w:qFormat/>
    <w:uiPriority w:val="0"/>
    <w:pPr>
      <w:shd w:val="clear" w:color="auto" w:fill="000080"/>
    </w:pPr>
  </w:style>
  <w:style w:type="paragraph" w:styleId="2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5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08"/>
    <w:qFormat/>
    <w:uiPriority w:val="0"/>
  </w:style>
  <w:style w:type="paragraph" w:styleId="35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Body Text First Indent 2"/>
    <w:basedOn w:val="25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9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0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1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2">
    <w:name w:val="toc 4"/>
    <w:basedOn w:val="1"/>
    <w:next w:val="1"/>
    <w:qFormat/>
    <w:uiPriority w:val="0"/>
    <w:pPr>
      <w:ind w:left="1260" w:leftChars="600"/>
    </w:pPr>
  </w:style>
  <w:style w:type="paragraph" w:styleId="43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4">
    <w:name w:val="toc 6"/>
    <w:basedOn w:val="1"/>
    <w:next w:val="1"/>
    <w:qFormat/>
    <w:uiPriority w:val="0"/>
    <w:pPr>
      <w:ind w:left="2100" w:leftChars="1000"/>
    </w:pPr>
  </w:style>
  <w:style w:type="paragraph" w:styleId="45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6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7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8">
    <w:name w:val="toc 2"/>
    <w:basedOn w:val="1"/>
    <w:next w:val="1"/>
    <w:qFormat/>
    <w:uiPriority w:val="39"/>
    <w:pPr>
      <w:ind w:left="420" w:leftChars="200"/>
    </w:pPr>
  </w:style>
  <w:style w:type="paragraph" w:styleId="49">
    <w:name w:val="toc 9"/>
    <w:basedOn w:val="1"/>
    <w:next w:val="1"/>
    <w:qFormat/>
    <w:uiPriority w:val="0"/>
    <w:pPr>
      <w:ind w:left="3360" w:leftChars="1600"/>
    </w:pPr>
  </w:style>
  <w:style w:type="paragraph" w:styleId="50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1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2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4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5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6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58">
    <w:name w:val="Strong"/>
    <w:qFormat/>
    <w:uiPriority w:val="22"/>
    <w:rPr>
      <w:b/>
    </w:rPr>
  </w:style>
  <w:style w:type="character" w:styleId="59">
    <w:name w:val="page number"/>
    <w:basedOn w:val="57"/>
    <w:qFormat/>
    <w:uiPriority w:val="0"/>
  </w:style>
  <w:style w:type="character" w:styleId="60">
    <w:name w:val="FollowedHyperlink"/>
    <w:qFormat/>
    <w:uiPriority w:val="0"/>
    <w:rPr>
      <w:color w:val="333333"/>
      <w:u w:val="none"/>
    </w:rPr>
  </w:style>
  <w:style w:type="character" w:styleId="61">
    <w:name w:val="Emphasis"/>
    <w:qFormat/>
    <w:uiPriority w:val="0"/>
    <w:rPr>
      <w:i/>
    </w:rPr>
  </w:style>
  <w:style w:type="character" w:styleId="62">
    <w:name w:val="Hyperlink"/>
    <w:qFormat/>
    <w:uiPriority w:val="99"/>
    <w:rPr>
      <w:color w:val="333333"/>
      <w:u w:val="none"/>
    </w:rPr>
  </w:style>
  <w:style w:type="character" w:styleId="63">
    <w:name w:val="annotation reference"/>
    <w:qFormat/>
    <w:uiPriority w:val="0"/>
    <w:rPr>
      <w:sz w:val="21"/>
      <w:szCs w:val="21"/>
    </w:rPr>
  </w:style>
  <w:style w:type="character" w:styleId="64">
    <w:name w:val="footnote reference"/>
    <w:qFormat/>
    <w:uiPriority w:val="0"/>
    <w:rPr>
      <w:position w:val="6"/>
      <w:sz w:val="14"/>
      <w:vertAlign w:val="superscript"/>
    </w:rPr>
  </w:style>
  <w:style w:type="table" w:styleId="66">
    <w:name w:val="Table Grid"/>
    <w:basedOn w:val="6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3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5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12"/>
    <w:qFormat/>
    <w:uiPriority w:val="0"/>
    <w:rPr>
      <w:sz w:val="24"/>
    </w:rPr>
  </w:style>
  <w:style w:type="character" w:customStyle="1" w:styleId="74">
    <w:name w:val="批注文字 Char"/>
    <w:link w:val="13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38"/>
    <w:qFormat/>
    <w:uiPriority w:val="0"/>
    <w:rPr>
      <w:kern w:val="2"/>
      <w:sz w:val="44"/>
    </w:rPr>
  </w:style>
  <w:style w:type="character" w:customStyle="1" w:styleId="81">
    <w:name w:val="正文文本缩进 Char"/>
    <w:link w:val="25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7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4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9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20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6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6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4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4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2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8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4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20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1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4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7</Pages>
  <Words>481</Words>
  <Characters>2748</Characters>
  <Lines>22</Lines>
  <Paragraphs>6</Paragraphs>
  <TotalTime>8</TotalTime>
  <ScaleCrop>false</ScaleCrop>
  <LinksUpToDate>false</LinksUpToDate>
  <CharactersWithSpaces>3223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2019-07-16T08:54:00Z</dcterms:created>
  <dc:creator>罗成</dc:creator>
  <cp:lastModifiedBy>文秀</cp:lastModifiedBy>
  <cp:lastPrinted>2023-09-26T11:06:36Z</cp:lastPrinted>
  <dcterms:modified xsi:type="dcterms:W3CDTF">2023-09-26T11:12:52Z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