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eastAsia="方正小标宋_GBK" w:cs="Times New Roman"/>
          <w:b w:val="0"/>
          <w:bCs w:val="0"/>
          <w:color w:val="auto"/>
          <w:sz w:val="44"/>
          <w:szCs w:val="44"/>
          <w:lang w:val="en-US" w:eastAsia="zh-CN"/>
        </w:rPr>
      </w:pPr>
      <w:r>
        <w:rPr>
          <w:rFonts w:hint="eastAsia" w:eastAsia="方正小标宋_GBK" w:cs="Times New Roman"/>
          <w:b w:val="0"/>
          <w:bCs w:val="0"/>
          <w:color w:val="auto"/>
          <w:sz w:val="44"/>
          <w:szCs w:val="44"/>
          <w:lang w:val="en-US" w:eastAsia="zh-CN"/>
        </w:rPr>
        <w:t>重庆市</w:t>
      </w:r>
      <w:r>
        <w:rPr>
          <w:rFonts w:hint="default" w:ascii="Times New Roman" w:hAnsi="Times New Roman" w:eastAsia="方正小标宋_GBK" w:cs="Times New Roman"/>
          <w:b w:val="0"/>
          <w:bCs w:val="0"/>
          <w:color w:val="auto"/>
          <w:sz w:val="44"/>
          <w:szCs w:val="44"/>
          <w:lang w:eastAsia="zh-CN"/>
        </w:rPr>
        <w:t>大渡口区</w:t>
      </w:r>
      <w:r>
        <w:rPr>
          <w:rFonts w:hint="eastAsia" w:eastAsia="方正小标宋_GBK" w:cs="Times New Roman"/>
          <w:b w:val="0"/>
          <w:bCs w:val="0"/>
          <w:color w:val="auto"/>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b w:val="0"/>
          <w:bCs w:val="0"/>
          <w:color w:val="auto"/>
          <w:sz w:val="44"/>
          <w:szCs w:val="44"/>
          <w:lang w:eastAsia="zh-CN"/>
        </w:rPr>
      </w:pPr>
      <w:r>
        <w:rPr>
          <w:rFonts w:hint="eastAsia" w:eastAsia="方正小标宋_GBK" w:cs="Times New Roman"/>
          <w:b w:val="0"/>
          <w:bCs w:val="0"/>
          <w:color w:val="auto"/>
          <w:sz w:val="44"/>
          <w:szCs w:val="44"/>
          <w:lang w:val="en-US" w:eastAsia="zh-CN"/>
        </w:rPr>
        <w:t>关于大渡口区</w:t>
      </w:r>
      <w:r>
        <w:rPr>
          <w:rFonts w:hint="default" w:ascii="Times New Roman" w:hAnsi="Times New Roman" w:eastAsia="方正小标宋_GBK" w:cs="Times New Roman"/>
          <w:b w:val="0"/>
          <w:bCs w:val="0"/>
          <w:color w:val="auto"/>
          <w:sz w:val="44"/>
          <w:szCs w:val="44"/>
          <w:lang w:eastAsia="zh-CN"/>
        </w:rPr>
        <w:t>城中村改造-钓鱼嘴（西）安置房</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eastAsia="zh-CN"/>
        </w:rPr>
        <w:t>项目预算评审服务</w:t>
      </w:r>
      <w:r>
        <w:rPr>
          <w:rFonts w:hint="default" w:ascii="Times New Roman" w:hAnsi="Times New Roman" w:eastAsia="方正小标宋_GBK" w:cs="Times New Roman"/>
          <w:b w:val="0"/>
          <w:bCs w:val="0"/>
          <w:color w:val="auto"/>
          <w:sz w:val="44"/>
          <w:szCs w:val="44"/>
        </w:rPr>
        <w:t>采购文件</w:t>
      </w:r>
    </w:p>
    <w:p>
      <w:pPr>
        <w:jc w:val="center"/>
        <w:outlineLvl w:val="0"/>
        <w:rPr>
          <w:rFonts w:hint="default" w:ascii="Times New Roman" w:hAnsi="Times New Roman" w:eastAsia="方正小标宋_GBK" w:cs="Times New Roman"/>
          <w:b w:val="0"/>
          <w:bCs w:val="0"/>
          <w:color w:val="auto"/>
          <w:sz w:val="44"/>
          <w:szCs w:val="44"/>
        </w:rPr>
      </w:pPr>
    </w:p>
    <w:p>
      <w:pPr>
        <w:pStyle w:val="7"/>
        <w:spacing w:before="0" w:after="0" w:line="594" w:lineRule="exact"/>
        <w:ind w:firstLine="640" w:firstLineChars="200"/>
        <w:rPr>
          <w:rFonts w:hint="default" w:ascii="Times New Roman" w:hAnsi="Times New Roman" w:eastAsia="方正黑体_GBK" w:cs="Times New Roman"/>
          <w:b w:val="0"/>
          <w:color w:val="auto"/>
          <w:szCs w:val="32"/>
        </w:rPr>
      </w:pPr>
      <w:bookmarkStart w:id="0" w:name="_Toc313893526"/>
      <w:bookmarkStart w:id="1" w:name="_Toc18159"/>
      <w:bookmarkStart w:id="2" w:name="_Toc317775175"/>
      <w:bookmarkStart w:id="3" w:name="_Toc18881"/>
      <w:bookmarkStart w:id="4" w:name="_Toc12808"/>
      <w:bookmarkStart w:id="5" w:name="_Toc3463"/>
      <w:bookmarkStart w:id="6" w:name="_Toc26820"/>
      <w:bookmarkStart w:id="7" w:name="_Toc7625"/>
      <w:bookmarkStart w:id="8" w:name="_Toc25458"/>
      <w:r>
        <w:rPr>
          <w:rFonts w:hint="default" w:ascii="Times New Roman" w:hAnsi="Times New Roman" w:eastAsia="方正黑体_GBK" w:cs="Times New Roman"/>
          <w:b w:val="0"/>
          <w:color w:val="auto"/>
          <w:szCs w:val="32"/>
        </w:rPr>
        <w:t>一、谈判采购内容</w:t>
      </w:r>
      <w:bookmarkEnd w:id="0"/>
      <w:bookmarkEnd w:id="1"/>
      <w:bookmarkEnd w:id="2"/>
      <w:bookmarkEnd w:id="3"/>
      <w:bookmarkEnd w:id="4"/>
      <w:bookmarkEnd w:id="5"/>
      <w:bookmarkEnd w:id="6"/>
      <w:bookmarkEnd w:id="7"/>
      <w:bookmarkEnd w:id="8"/>
    </w:p>
    <w:p>
      <w:pPr>
        <w:spacing w:line="594" w:lineRule="exact"/>
        <w:ind w:firstLine="640" w:firstLineChars="200"/>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（一）项目</w:t>
      </w:r>
      <w:r>
        <w:rPr>
          <w:rFonts w:hint="default" w:ascii="Times New Roman" w:hAnsi="Times New Roman" w:eastAsia="方正楷体_GBK" w:cs="Times New Roman"/>
          <w:color w:val="auto"/>
          <w:sz w:val="32"/>
          <w:szCs w:val="32"/>
          <w:lang w:eastAsia="zh-CN"/>
        </w:rPr>
        <w:t>预算金额</w:t>
      </w:r>
    </w:p>
    <w:tbl>
      <w:tblPr>
        <w:tblStyle w:val="67"/>
        <w:tblW w:w="9018" w:type="dxa"/>
        <w:jc w:val="center"/>
        <w:tblInd w:w="-2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344"/>
        <w:gridCol w:w="1341"/>
        <w:gridCol w:w="1460"/>
        <w:gridCol w:w="152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61" w:type="dxa"/>
            <w:vAlign w:val="center"/>
          </w:tcPr>
          <w:p>
            <w:pPr>
              <w:widowControl/>
              <w:spacing w:line="380" w:lineRule="exact"/>
              <w:jc w:val="center"/>
              <w:rPr>
                <w:rFonts w:ascii="仿宋" w:hAnsi="仿宋" w:eastAsia="仿宋"/>
                <w:b/>
                <w:sz w:val="24"/>
                <w:szCs w:val="24"/>
              </w:rPr>
            </w:pPr>
            <w:bookmarkStart w:id="9" w:name="_Toc1790"/>
            <w:bookmarkStart w:id="10" w:name="_Toc22399"/>
            <w:bookmarkStart w:id="11" w:name="_Toc15727"/>
            <w:bookmarkStart w:id="12" w:name="_Toc15576"/>
            <w:bookmarkStart w:id="13" w:name="_Toc19437"/>
            <w:bookmarkStart w:id="14" w:name="_Toc25190"/>
            <w:bookmarkStart w:id="15" w:name="_Toc6462"/>
            <w:bookmarkStart w:id="16" w:name="_Toc317775178"/>
            <w:bookmarkStart w:id="17" w:name="_Toc373860293"/>
            <w:r>
              <w:rPr>
                <w:rFonts w:hint="eastAsia" w:ascii="仿宋" w:hAnsi="仿宋" w:eastAsia="仿宋" w:cs="宋体"/>
                <w:b/>
                <w:sz w:val="24"/>
                <w:szCs w:val="24"/>
              </w:rPr>
              <w:t>序号</w:t>
            </w:r>
          </w:p>
        </w:tc>
        <w:tc>
          <w:tcPr>
            <w:tcW w:w="2344" w:type="dxa"/>
            <w:vAlign w:val="center"/>
          </w:tcPr>
          <w:p>
            <w:pPr>
              <w:widowControl/>
              <w:spacing w:line="380" w:lineRule="exact"/>
              <w:jc w:val="center"/>
              <w:rPr>
                <w:rFonts w:ascii="仿宋" w:hAnsi="仿宋" w:eastAsia="仿宋"/>
                <w:b/>
                <w:bCs/>
                <w:kern w:val="0"/>
                <w:sz w:val="24"/>
                <w:szCs w:val="24"/>
              </w:rPr>
            </w:pPr>
            <w:r>
              <w:rPr>
                <w:rFonts w:hint="eastAsia" w:ascii="仿宋" w:hAnsi="仿宋" w:eastAsia="仿宋" w:cs="宋体"/>
                <w:b/>
                <w:bCs/>
                <w:kern w:val="0"/>
                <w:sz w:val="24"/>
                <w:szCs w:val="24"/>
              </w:rPr>
              <w:t>项目名称</w:t>
            </w:r>
          </w:p>
        </w:tc>
        <w:tc>
          <w:tcPr>
            <w:tcW w:w="1341" w:type="dxa"/>
            <w:vAlign w:val="center"/>
          </w:tcPr>
          <w:p>
            <w:pPr>
              <w:widowControl/>
              <w:spacing w:line="38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最高限价</w:t>
            </w:r>
          </w:p>
          <w:p>
            <w:pPr>
              <w:widowControl/>
              <w:spacing w:line="380" w:lineRule="exact"/>
              <w:jc w:val="center"/>
              <w:rPr>
                <w:rFonts w:ascii="仿宋" w:hAnsi="仿宋" w:eastAsia="仿宋"/>
                <w:b/>
                <w:bCs/>
                <w:kern w:val="0"/>
                <w:sz w:val="24"/>
                <w:szCs w:val="24"/>
              </w:rPr>
            </w:pPr>
            <w:r>
              <w:rPr>
                <w:rFonts w:hint="eastAsia" w:ascii="仿宋" w:hAnsi="仿宋" w:eastAsia="仿宋" w:cs="宋体"/>
                <w:b/>
                <w:bCs/>
                <w:kern w:val="0"/>
                <w:sz w:val="24"/>
                <w:szCs w:val="24"/>
              </w:rPr>
              <w:t>（</w:t>
            </w:r>
            <w:r>
              <w:rPr>
                <w:rFonts w:hint="eastAsia" w:ascii="仿宋" w:hAnsi="仿宋" w:eastAsia="仿宋"/>
                <w:b/>
                <w:bCs/>
                <w:kern w:val="0"/>
                <w:sz w:val="24"/>
                <w:szCs w:val="24"/>
              </w:rPr>
              <w:t>元）</w:t>
            </w:r>
          </w:p>
        </w:tc>
        <w:tc>
          <w:tcPr>
            <w:tcW w:w="1460" w:type="dxa"/>
            <w:vAlign w:val="center"/>
          </w:tcPr>
          <w:p>
            <w:pPr>
              <w:widowControl/>
              <w:spacing w:line="380" w:lineRule="exact"/>
              <w:jc w:val="center"/>
              <w:rPr>
                <w:rFonts w:ascii="仿宋" w:hAnsi="仿宋" w:eastAsia="仿宋"/>
                <w:b/>
                <w:bCs/>
                <w:kern w:val="0"/>
                <w:sz w:val="24"/>
                <w:szCs w:val="24"/>
              </w:rPr>
            </w:pPr>
            <w:r>
              <w:rPr>
                <w:rFonts w:hint="eastAsia" w:ascii="仿宋" w:hAnsi="仿宋" w:eastAsia="仿宋" w:cs="宋体"/>
                <w:b/>
                <w:bCs/>
                <w:kern w:val="0"/>
                <w:sz w:val="24"/>
                <w:szCs w:val="24"/>
              </w:rPr>
              <w:t>竞标保证金</w:t>
            </w:r>
          </w:p>
          <w:p>
            <w:pPr>
              <w:spacing w:line="380" w:lineRule="exact"/>
              <w:jc w:val="center"/>
              <w:rPr>
                <w:rFonts w:ascii="仿宋" w:hAnsi="仿宋" w:eastAsia="仿宋"/>
                <w:b/>
                <w:bCs/>
                <w:kern w:val="0"/>
                <w:sz w:val="24"/>
                <w:szCs w:val="24"/>
              </w:rPr>
            </w:pPr>
            <w:r>
              <w:rPr>
                <w:rFonts w:hint="eastAsia" w:ascii="仿宋" w:hAnsi="仿宋" w:eastAsia="仿宋" w:cs="宋体"/>
                <w:b/>
                <w:bCs/>
                <w:kern w:val="0"/>
                <w:sz w:val="24"/>
                <w:szCs w:val="24"/>
              </w:rPr>
              <w:t>（元）</w:t>
            </w:r>
          </w:p>
        </w:tc>
        <w:tc>
          <w:tcPr>
            <w:tcW w:w="1520" w:type="dxa"/>
            <w:vAlign w:val="center"/>
          </w:tcPr>
          <w:p>
            <w:pPr>
              <w:jc w:val="center"/>
              <w:rPr>
                <w:rFonts w:hint="eastAsia" w:ascii="仿宋" w:hAnsi="仿宋" w:eastAsia="仿宋" w:cs="宋体"/>
                <w:b/>
                <w:bCs/>
                <w:kern w:val="0"/>
                <w:sz w:val="24"/>
                <w:szCs w:val="24"/>
                <w:lang w:eastAsia="zh-CN"/>
              </w:rPr>
            </w:pPr>
            <w:r>
              <w:rPr>
                <w:rFonts w:hint="eastAsia" w:ascii="仿宋" w:hAnsi="仿宋" w:eastAsia="仿宋" w:cs="宋体"/>
                <w:b/>
                <w:bCs/>
                <w:kern w:val="0"/>
                <w:sz w:val="24"/>
                <w:szCs w:val="24"/>
              </w:rPr>
              <w:t>成交</w:t>
            </w:r>
            <w:r>
              <w:rPr>
                <w:rFonts w:hint="eastAsia" w:ascii="仿宋" w:hAnsi="仿宋" w:eastAsia="仿宋" w:cs="宋体"/>
                <w:b/>
                <w:bCs/>
                <w:kern w:val="0"/>
                <w:sz w:val="24"/>
                <w:szCs w:val="24"/>
                <w:lang w:eastAsia="zh-CN"/>
              </w:rPr>
              <w:t>投标人</w:t>
            </w:r>
          </w:p>
          <w:p>
            <w:pPr>
              <w:jc w:val="center"/>
              <w:rPr>
                <w:rFonts w:ascii="仿宋" w:hAnsi="仿宋" w:eastAsia="仿宋" w:cs="宋体"/>
                <w:b/>
                <w:bCs/>
                <w:kern w:val="0"/>
                <w:sz w:val="24"/>
                <w:szCs w:val="24"/>
              </w:rPr>
            </w:pPr>
            <w:r>
              <w:rPr>
                <w:rFonts w:hint="eastAsia" w:ascii="仿宋" w:hAnsi="仿宋" w:eastAsia="仿宋" w:cs="宋体"/>
                <w:b/>
                <w:bCs/>
                <w:kern w:val="0"/>
                <w:sz w:val="24"/>
                <w:szCs w:val="24"/>
              </w:rPr>
              <w:t>数量（名）</w:t>
            </w:r>
          </w:p>
        </w:tc>
        <w:tc>
          <w:tcPr>
            <w:tcW w:w="1492" w:type="dxa"/>
            <w:vAlign w:val="center"/>
          </w:tcPr>
          <w:p>
            <w:pPr>
              <w:spacing w:line="380" w:lineRule="exact"/>
              <w:jc w:val="center"/>
            </w:pPr>
            <w:r>
              <w:rPr>
                <w:rFonts w:hint="eastAsia" w:ascii="仿宋" w:hAnsi="仿宋" w:eastAsia="仿宋" w:cs="宋体"/>
                <w:b/>
                <w:bCs/>
                <w:kern w:val="0"/>
                <w:sz w:val="24"/>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861" w:type="dxa"/>
            <w:vAlign w:val="center"/>
          </w:tcPr>
          <w:p>
            <w:pPr>
              <w:pStyle w:val="170"/>
              <w:spacing w:line="380" w:lineRule="exact"/>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344" w:type="dxa"/>
            <w:vAlign w:val="center"/>
          </w:tcPr>
          <w:p>
            <w:pPr>
              <w:widowControl/>
              <w:spacing w:line="38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1"/>
                <w:szCs w:val="21"/>
                <w:lang w:eastAsia="zh-CN"/>
              </w:rPr>
              <w:t>大渡口区城中村改造-钓鱼嘴（西）安置房项目预算评审服务</w:t>
            </w:r>
          </w:p>
        </w:tc>
        <w:tc>
          <w:tcPr>
            <w:tcW w:w="1341" w:type="dxa"/>
            <w:vAlign w:val="center"/>
          </w:tcPr>
          <w:p>
            <w:pPr>
              <w:widowControl/>
              <w:spacing w:line="38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462</w:t>
            </w:r>
            <w:r>
              <w:rPr>
                <w:rFonts w:hint="eastAsia" w:eastAsia="仿宋" w:cs="Times New Roman"/>
                <w:sz w:val="24"/>
                <w:szCs w:val="24"/>
                <w:lang w:val="en-US" w:eastAsia="zh-CN"/>
              </w:rPr>
              <w:t>,</w:t>
            </w:r>
            <w:r>
              <w:rPr>
                <w:rFonts w:hint="default" w:ascii="Times New Roman" w:hAnsi="Times New Roman" w:eastAsia="仿宋" w:cs="Times New Roman"/>
                <w:sz w:val="24"/>
                <w:szCs w:val="24"/>
                <w:lang w:val="en-US" w:eastAsia="zh-CN"/>
              </w:rPr>
              <w:t>000</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00</w:t>
            </w:r>
          </w:p>
        </w:tc>
        <w:tc>
          <w:tcPr>
            <w:tcW w:w="1460" w:type="dxa"/>
            <w:vAlign w:val="center"/>
          </w:tcPr>
          <w:p>
            <w:pPr>
              <w:widowControl/>
              <w:spacing w:line="380" w:lineRule="exact"/>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0</w:t>
            </w:r>
          </w:p>
        </w:tc>
        <w:tc>
          <w:tcPr>
            <w:tcW w:w="1520" w:type="dxa"/>
            <w:vAlign w:val="center"/>
          </w:tcPr>
          <w:p>
            <w:pPr>
              <w:widowControl/>
              <w:spacing w:line="380" w:lineRule="exact"/>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1</w:t>
            </w:r>
          </w:p>
        </w:tc>
        <w:tc>
          <w:tcPr>
            <w:tcW w:w="1492" w:type="dxa"/>
            <w:vAlign w:val="center"/>
          </w:tcPr>
          <w:p>
            <w:pPr>
              <w:widowControl/>
              <w:spacing w:line="380" w:lineRule="exact"/>
              <w:jc w:val="center"/>
            </w:pPr>
            <w:r>
              <w:rPr>
                <w:rFonts w:hint="eastAsia" w:ascii="仿宋" w:hAnsi="仿宋" w:eastAsia="仿宋" w:cs="仿宋_GB2312"/>
                <w:sz w:val="24"/>
                <w:szCs w:val="24"/>
                <w:lang w:eastAsia="zh-CN"/>
              </w:rPr>
              <w:t>其他未列明行业</w:t>
            </w:r>
          </w:p>
        </w:tc>
      </w:tr>
    </w:tbl>
    <w:p>
      <w:pPr>
        <w:snapToGrid w:val="0"/>
        <w:spacing w:line="594"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（二）报价要求</w:t>
      </w:r>
    </w:p>
    <w:p>
      <w:pPr>
        <w:snapToGrid w:val="0"/>
        <w:spacing w:line="594" w:lineRule="exact"/>
        <w:ind w:firstLine="643"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投标报价为投标人根据企业自身能力报出的采购限价的折扣率b。</w:t>
      </w:r>
    </w:p>
    <w:p>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注：b值为固定值，不得为区间值，b值精确到小数点后两位，0＜b≤100%。</w:t>
      </w:r>
    </w:p>
    <w:p>
      <w:pPr>
        <w:snapToGrid w:val="0"/>
        <w:spacing w:line="594" w:lineRule="exact"/>
        <w:ind w:firstLine="640" w:firstLineChars="200"/>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所有参与的投标商统一评分，按得分从高到低排序，排名前</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的</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成为中标人</w:t>
      </w:r>
      <w:r>
        <w:rPr>
          <w:rFonts w:hint="default" w:ascii="Times New Roman" w:hAnsi="Times New Roman" w:eastAsia="方正仿宋_GBK" w:cs="Times New Roman"/>
          <w:b/>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本项目为包干总价。</w:t>
      </w:r>
    </w:p>
    <w:p>
      <w:pPr>
        <w:snapToGrid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报价为人民币报价，报价包括完成本项目的所有工作所需的全部费用，其具体内容包括但不限于：服务人员和相关工作人员的费用（包括工资、劳保、医疗、福利、津贴、保险等费用）、设施设备费、一般办公费、特殊办公费、交通费、通讯费、管理费、利润、税金、考核费等全部费用。因成交</w:t>
      </w:r>
      <w:r>
        <w:rPr>
          <w:rFonts w:hint="eastAsia" w:eastAsia="方正仿宋_GBK" w:cs="Times New Roman"/>
          <w:color w:val="auto"/>
          <w:sz w:val="32"/>
          <w:szCs w:val="32"/>
          <w:lang w:val="en-US" w:eastAsia="zh-CN"/>
        </w:rPr>
        <w:t>投标人</w:t>
      </w:r>
      <w:r>
        <w:rPr>
          <w:rFonts w:hint="default" w:ascii="Times New Roman" w:hAnsi="Times New Roman" w:eastAsia="方正仿宋_GBK" w:cs="Times New Roman"/>
          <w:color w:val="auto"/>
          <w:sz w:val="32"/>
          <w:szCs w:val="32"/>
        </w:rPr>
        <w:t>自身原因造成漏报、少报皆由其自行承担责任，采购人不再补偿。最终合同价格为中标人所选分包对应的采购限价乘以该中标人报出的最终折扣率b。</w:t>
      </w:r>
    </w:p>
    <w:p>
      <w:pPr>
        <w:pStyle w:val="7"/>
        <w:spacing w:before="0" w:after="0" w:line="594" w:lineRule="exact"/>
        <w:ind w:firstLine="640" w:firstLineChars="200"/>
        <w:rPr>
          <w:rFonts w:hint="default" w:ascii="Times New Roman" w:hAnsi="Times New Roman" w:eastAsia="方正黑体_GBK" w:cs="Times New Roman"/>
          <w:b w:val="0"/>
          <w:color w:val="auto"/>
          <w:szCs w:val="32"/>
        </w:rPr>
      </w:pPr>
      <w:r>
        <w:rPr>
          <w:rFonts w:hint="default" w:ascii="Times New Roman" w:hAnsi="Times New Roman" w:eastAsia="方正黑体_GBK" w:cs="Times New Roman"/>
          <w:b w:val="0"/>
          <w:color w:val="auto"/>
          <w:szCs w:val="32"/>
        </w:rPr>
        <w:t>二、谈判资格</w:t>
      </w:r>
      <w:bookmarkEnd w:id="9"/>
      <w:bookmarkEnd w:id="10"/>
      <w:bookmarkEnd w:id="11"/>
      <w:bookmarkEnd w:id="12"/>
      <w:bookmarkEnd w:id="13"/>
      <w:bookmarkEnd w:id="14"/>
      <w:bookmarkEnd w:id="15"/>
    </w:p>
    <w:bookmarkEnd w:id="16"/>
    <w:bookmarkEnd w:id="17"/>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投标人</w:t>
      </w:r>
      <w:r>
        <w:rPr>
          <w:rFonts w:hint="default" w:ascii="Times New Roman" w:hAnsi="Times New Roman" w:eastAsia="方正仿宋_GBK" w:cs="Times New Roman"/>
          <w:color w:val="auto"/>
          <w:sz w:val="32"/>
          <w:szCs w:val="32"/>
        </w:rPr>
        <w:t>是指向采购人提供货物、工程或者服务的法人、其他组织或者自然人。</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（一）基本条件</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具有独立承担民事责任的能力；</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具有良好的商业信誉和健全的财务会计制度；</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具有履行合同所必需的设备和专业技术能力；</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有依法缴纳税收和社会保障资金的良好记录；</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参加政府采购活动前三年内，在经营活动中没有重大违法记录</w:t>
      </w:r>
      <w:r>
        <w:rPr>
          <w:rFonts w:hint="eastAsia"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6</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法律、行政法规规定的其他条件。</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（二）特定资格条件</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1.营业执照的营业范围需包括工程造价咨询；</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2.本项目的预算编制的造价咨询单位不得参加</w:t>
      </w:r>
      <w:r>
        <w:rPr>
          <w:rFonts w:hint="eastAsia"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本项目不接受联合体投标。</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w:t>
      </w:r>
      <w:r>
        <w:rPr>
          <w:rFonts w:hint="eastAsia"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val="en-US" w:eastAsia="zh-CN"/>
        </w:rPr>
        <w:t>）财务要求</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2021年、2022年、2023年的年度财务状况不亏损。</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投标人须在投标文件资格审查部分提供经会计师事务所或审计机构出具的合法有效的财务审计报告及财务报表，财务报表须至少包括现金流量表、资产负债表、利润表。</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投标人法人营业执照、税务登记证、组织机构代码证复印件电子档。说明：投标人按</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三证合一</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登记制度办理营业执照的，组织机构代码证和税务登记证以</w:t>
      </w:r>
      <w:r>
        <w:rPr>
          <w:rFonts w:hint="eastAsia" w:ascii="Times New Roman" w:eastAsia="方正仿宋_GBK" w:cs="Times New Roman"/>
          <w:color w:val="auto"/>
          <w:kern w:val="2"/>
          <w:sz w:val="32"/>
          <w:szCs w:val="32"/>
          <w:lang w:val="en-US" w:eastAsia="zh-CN" w:bidi="ar-SA"/>
        </w:rPr>
        <w:t>投标人</w:t>
      </w:r>
      <w:r>
        <w:rPr>
          <w:rFonts w:hint="default" w:ascii="Times New Roman" w:hAnsi="Times New Roman" w:eastAsia="方正仿宋_GBK" w:cs="Times New Roman"/>
          <w:color w:val="auto"/>
          <w:kern w:val="2"/>
          <w:sz w:val="32"/>
          <w:szCs w:val="32"/>
          <w:lang w:val="en-US" w:eastAsia="zh-CN" w:bidi="ar-SA"/>
        </w:rPr>
        <w:t>所提供的法人营业执照（副本）复印件电子档为准。</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注：1.以上所有证照必须年审合格，且在有效期内；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证照复印件必须清晰可见，且加盖</w:t>
      </w:r>
      <w:r>
        <w:rPr>
          <w:rFonts w:hint="eastAsia" w:ascii="Times New Roman" w:eastAsia="方正仿宋_GBK" w:cs="Times New Roman"/>
          <w:color w:val="auto"/>
          <w:kern w:val="2"/>
          <w:sz w:val="32"/>
          <w:szCs w:val="32"/>
          <w:lang w:val="en-US" w:eastAsia="zh-CN" w:bidi="ar-SA"/>
        </w:rPr>
        <w:t>投标人</w:t>
      </w:r>
      <w:r>
        <w:rPr>
          <w:rFonts w:hint="default" w:ascii="Times New Roman" w:hAnsi="Times New Roman" w:eastAsia="方正仿宋_GBK" w:cs="Times New Roman"/>
          <w:color w:val="auto"/>
          <w:kern w:val="2"/>
          <w:sz w:val="32"/>
          <w:szCs w:val="32"/>
          <w:lang w:val="en-US" w:eastAsia="zh-CN" w:bidi="ar-SA"/>
        </w:rPr>
        <w:t>单位鲜章</w:t>
      </w:r>
      <w:r>
        <w:rPr>
          <w:rFonts w:hint="eastAsia"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投标人须在投标文件资格审查部分提供有效的营业执照。</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val="en-US" w:eastAsia="zh-CN"/>
        </w:rPr>
        <w:t>业绩要求</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业绩时间要求：</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投标人在20</w:t>
      </w:r>
      <w:r>
        <w:rPr>
          <w:rFonts w:hint="eastAsia"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年1</w:t>
      </w:r>
      <w:r>
        <w:rPr>
          <w:rFonts w:hint="eastAsia"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月1日起至投标截止日止（以合同签订时间为准）承担过1个类似城市更新、旧城改造</w:t>
      </w:r>
      <w:r>
        <w:rPr>
          <w:rFonts w:hint="eastAsia" w:eastAsia="方正仿宋_GBK" w:cs="Times New Roman"/>
          <w:color w:val="auto"/>
          <w:sz w:val="32"/>
          <w:szCs w:val="32"/>
          <w:lang w:eastAsia="zh-CN"/>
        </w:rPr>
        <w:t>、房建</w:t>
      </w:r>
      <w:r>
        <w:rPr>
          <w:rFonts w:hint="default" w:ascii="Times New Roman" w:hAnsi="Times New Roman" w:eastAsia="方正仿宋_GBK" w:cs="Times New Roman"/>
          <w:color w:val="auto"/>
          <w:sz w:val="32"/>
          <w:szCs w:val="32"/>
        </w:rPr>
        <w:t>类型的工程量清单及组价编制或工程量清单及组价审核业绩。</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业绩证明材料要求：</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投标人须在投标文件资格审查部分提供合同协议书。若提供的上述业绩证明材料不能体现工程类别、业绩内容信息的，还须提供该业绩的业主证明。</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注：（1）投标人应对其提供的业绩证明材料的真实性负责；</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（2）不满足上述业绩要求的业绩视为无效。</w:t>
      </w:r>
    </w:p>
    <w:p>
      <w:pPr>
        <w:spacing w:line="594" w:lineRule="exact"/>
        <w:ind w:firstLine="640" w:firstLineChars="200"/>
        <w:rPr>
          <w:rFonts w:hint="default"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lang w:val="en-US" w:eastAsia="zh-CN"/>
        </w:rPr>
        <w:t>投标截止日投标资格情况</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投标人自行承诺不得存在下列情形之一：</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被人民法院列入失信被执行人名单且在被执行期内；</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被列入《重庆市工程建设领域招标投标信用管理暂行办法》规定的重点关注名单且记分达到12分且在记分有效期内；</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被列入《重庆市工程建设领域招标投标信用管理暂行办法》规定的重庆市工程建设领域招标投标失信惩戒对象名单（以下称黑名单）且在记分有效期内；</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被国家、重庆市（含市或任意区县）有关行政部门处以暂停投标资格行政处罚，且在处罚期限内；</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被重庆市市级有关行业主管部门暂停在渝承揽新业务且在暂停期内。</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投标人须在投标文件资格审查部分提供承诺。</w:t>
      </w:r>
    </w:p>
    <w:p>
      <w:pPr>
        <w:snapToGrid w:val="0"/>
        <w:spacing w:line="594" w:lineRule="exac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三、采购服务内容</w:t>
      </w:r>
    </w:p>
    <w:p>
      <w:pPr>
        <w:pStyle w:val="7"/>
        <w:spacing w:before="0" w:after="0" w:line="594" w:lineRule="exact"/>
        <w:ind w:firstLine="640" w:firstLineChars="200"/>
        <w:rPr>
          <w:rFonts w:hint="default" w:ascii="Times New Roman" w:hAnsi="Times New Roman" w:eastAsia="方正楷体_GBK" w:cs="Times New Roman"/>
          <w:b w:val="0"/>
          <w:color w:val="auto"/>
          <w:szCs w:val="32"/>
        </w:rPr>
      </w:pPr>
      <w:bookmarkStart w:id="18" w:name="_Toc5867"/>
      <w:r>
        <w:rPr>
          <w:rFonts w:hint="default" w:ascii="Times New Roman" w:hAnsi="Times New Roman" w:eastAsia="方正楷体_GBK" w:cs="Times New Roman"/>
          <w:b w:val="0"/>
          <w:color w:val="auto"/>
          <w:szCs w:val="32"/>
        </w:rPr>
        <w:t>（一）项目情况</w:t>
      </w:r>
      <w:bookmarkEnd w:id="18"/>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大渡口区城中村改造-钓鱼嘴（西）安置房项目，预算编制金额约为</w:t>
      </w:r>
      <w:r>
        <w:rPr>
          <w:rFonts w:hint="eastAsia" w:eastAsia="方正仿宋_GBK" w:cs="Times New Roman"/>
          <w:color w:val="auto"/>
          <w:sz w:val="32"/>
          <w:szCs w:val="32"/>
          <w:lang w:val="en-US" w:eastAsia="zh-CN"/>
        </w:rPr>
        <w:t>6.6</w:t>
      </w:r>
      <w:r>
        <w:rPr>
          <w:rFonts w:hint="default" w:ascii="Times New Roman" w:hAnsi="Times New Roman" w:eastAsia="方正仿宋_GBK" w:cs="Times New Roman"/>
          <w:color w:val="auto"/>
          <w:sz w:val="32"/>
          <w:szCs w:val="32"/>
        </w:rPr>
        <w:t>亿元。本项目总占地面积约79亩</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总建筑面积约18.89万平方米，其中地上建筑面积约14.05万平方米</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地下建筑面积约4.84万平方米。拟建设安置房约1570套，并修建附属基础设施如社区中心、物管用房、底商等合计约0.9万平方米。项目包括建筑主体工程、范围内建筑物的土石方工程、水电气安装、消防配套、强弱电及智能化等配套工程。具体内容以施工图和招标文件等资料明确范围和内容为准。</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val="0"/>
          <w:color w:val="auto"/>
          <w:kern w:val="2"/>
          <w:sz w:val="32"/>
          <w:szCs w:val="32"/>
          <w:lang w:val="en-US" w:eastAsia="zh-CN" w:bidi="ar-SA"/>
        </w:rPr>
        <w:t>（</w:t>
      </w:r>
      <w:r>
        <w:rPr>
          <w:rFonts w:hint="eastAsia" w:ascii="Times New Roman" w:hAnsi="Times New Roman" w:eastAsia="方正楷体_GBK" w:cs="Times New Roman"/>
          <w:b w:val="0"/>
          <w:color w:val="auto"/>
          <w:kern w:val="2"/>
          <w:sz w:val="32"/>
          <w:szCs w:val="32"/>
          <w:lang w:val="en-US" w:eastAsia="zh-CN" w:bidi="ar-SA"/>
        </w:rPr>
        <w:t>二</w:t>
      </w:r>
      <w:r>
        <w:rPr>
          <w:rFonts w:hint="default" w:ascii="Times New Roman" w:hAnsi="Times New Roman" w:eastAsia="方正楷体_GBK" w:cs="Times New Roman"/>
          <w:b w:val="0"/>
          <w:color w:val="auto"/>
          <w:kern w:val="2"/>
          <w:sz w:val="32"/>
          <w:szCs w:val="32"/>
          <w:lang w:val="en-US" w:eastAsia="zh-CN" w:bidi="ar-SA"/>
        </w:rPr>
        <w:t>）响应文件</w:t>
      </w:r>
    </w:p>
    <w:p>
      <w:pPr>
        <w:spacing w:line="594"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投标人</w:t>
      </w:r>
      <w:r>
        <w:rPr>
          <w:rFonts w:hint="default" w:ascii="Times New Roman" w:hAnsi="Times New Roman" w:eastAsia="方正仿宋_GBK" w:cs="Times New Roman"/>
          <w:color w:val="auto"/>
          <w:sz w:val="32"/>
          <w:szCs w:val="32"/>
        </w:rPr>
        <w:t>应当按照</w:t>
      </w:r>
      <w:r>
        <w:rPr>
          <w:rFonts w:hint="eastAsia" w:ascii="Times New Roman" w:hAnsi="Times New Roman" w:eastAsia="方正仿宋_GBK" w:cs="Times New Roman"/>
          <w:color w:val="auto"/>
          <w:sz w:val="32"/>
          <w:szCs w:val="32"/>
          <w:lang w:val="en-US" w:eastAsia="zh-CN"/>
        </w:rPr>
        <w:t>采购文件</w:t>
      </w:r>
      <w:r>
        <w:rPr>
          <w:rFonts w:hint="default" w:ascii="Times New Roman" w:hAnsi="Times New Roman" w:eastAsia="方正仿宋_GBK" w:cs="Times New Roman"/>
          <w:color w:val="auto"/>
          <w:sz w:val="32"/>
          <w:szCs w:val="32"/>
        </w:rPr>
        <w:t>的要求编制响应文件，并对采购文件提出的要求和条件作出实质性响应，响应文件应编制完整的页码、目录。</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响应文件组成</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响应文件由</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响应文件格式要求</w:t>
      </w:r>
      <w:bookmarkStart w:id="64" w:name="_GoBack"/>
      <w:bookmarkEnd w:id="64"/>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规定的部分和投标人所作的一切有效补充、修改和承诺等文件组成，投标人应按照</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响应文件格式</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规定的目录顺序组织编写，也可在基本格式基础上对表格进行扩展，未规定格式的由投标人自定格式。</w:t>
      </w:r>
    </w:p>
    <w:p>
      <w:pPr>
        <w:pStyle w:val="7"/>
        <w:spacing w:before="0" w:after="0" w:line="594" w:lineRule="exact"/>
        <w:ind w:firstLine="640" w:firstLineChars="200"/>
        <w:rPr>
          <w:rFonts w:hint="default" w:ascii="Times New Roman" w:hAnsi="Times New Roman" w:eastAsia="方正楷体_GBK" w:cs="Times New Roman"/>
          <w:b w:val="0"/>
          <w:color w:val="auto"/>
          <w:szCs w:val="32"/>
        </w:rPr>
      </w:pPr>
      <w:r>
        <w:rPr>
          <w:rFonts w:hint="default" w:ascii="Times New Roman" w:hAnsi="Times New Roman" w:eastAsia="方正楷体_GBK" w:cs="Times New Roman"/>
          <w:b w:val="0"/>
          <w:color w:val="auto"/>
          <w:szCs w:val="32"/>
        </w:rPr>
        <w:t>（</w:t>
      </w:r>
      <w:r>
        <w:rPr>
          <w:rFonts w:hint="eastAsia" w:eastAsia="方正楷体_GBK" w:cs="Times New Roman"/>
          <w:b w:val="0"/>
          <w:color w:val="auto"/>
          <w:szCs w:val="32"/>
          <w:lang w:val="en-US" w:eastAsia="zh-CN"/>
        </w:rPr>
        <w:t>三</w:t>
      </w:r>
      <w:r>
        <w:rPr>
          <w:rFonts w:hint="default" w:ascii="Times New Roman" w:hAnsi="Times New Roman" w:eastAsia="方正楷体_GBK" w:cs="Times New Roman"/>
          <w:b w:val="0"/>
          <w:color w:val="auto"/>
          <w:szCs w:val="32"/>
        </w:rPr>
        <w:t>）服务内容</w:t>
      </w:r>
    </w:p>
    <w:p>
      <w:pPr>
        <w:spacing w:line="594" w:lineRule="exact"/>
        <w:ind w:firstLine="640" w:firstLineChars="200"/>
        <w:rPr>
          <w:rFonts w:hint="eastAsia" w:ascii="Times New Roman" w:hAnsi="Times New Roman" w:eastAsia="方正仿宋_GBK" w:cs="Times New Roman"/>
          <w:color w:val="auto"/>
          <w:sz w:val="32"/>
          <w:szCs w:val="32"/>
        </w:rPr>
      </w:pPr>
      <w:bookmarkStart w:id="19" w:name="_Toc13994"/>
      <w:r>
        <w:rPr>
          <w:rFonts w:hint="eastAsia" w:ascii="Times New Roman" w:hAnsi="Times New Roman" w:eastAsia="方正仿宋_GBK" w:cs="Times New Roman"/>
          <w:color w:val="auto"/>
          <w:sz w:val="32"/>
          <w:szCs w:val="32"/>
        </w:rPr>
        <w:t>按政府投资项目管理工程造价相关规定的要求，对大渡口区城中村改造-钓鱼嘴（西）安置房项目施工图预算进行全面复核</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包括但不限于以下内容：工程量计算、定额套用、材料价格等工程量清单及组价进行全面复核；工程量不得直接采用施工图上工程量表上的量（除审核过程中有建设单位明确的书面来函外）；不得采用抽查法、指标法等除全面复核法以外的其它方法</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。确保工程量计算正确、不得高估冒算、工程量清单的列项不漏项，定额套用合理、材料价格合理、组价准确等，确保审核质量。</w:t>
      </w:r>
    </w:p>
    <w:p>
      <w:pPr>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1.</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应根据该项目的特点编制</w:t>
      </w:r>
      <w:r>
        <w:rPr>
          <w:rFonts w:hint="eastAsia" w:eastAsia="方正仿宋_GBK" w:cs="Times New Roman"/>
          <w:color w:val="auto"/>
          <w:sz w:val="32"/>
          <w:szCs w:val="32"/>
          <w:lang w:val="en-US" w:eastAsia="zh-CN"/>
        </w:rPr>
        <w:t>预算</w:t>
      </w:r>
      <w:r>
        <w:rPr>
          <w:rFonts w:hint="eastAsia" w:ascii="Times New Roman" w:hAnsi="Times New Roman" w:eastAsia="方正仿宋_GBK" w:cs="Times New Roman"/>
          <w:color w:val="auto"/>
          <w:sz w:val="32"/>
          <w:szCs w:val="32"/>
        </w:rPr>
        <w:t>评审实施方案和现场踏勘方案，评审结果定案后完成采购人要求的简要指标分析；</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2.评审过程中应坚持客观、公正、实事求是的工作原则，按照国家相关规定实施评审，并对出具的评审报告的合法性、真实性、准确性负责。</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需出具两本正式评审报告给采购人</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3.</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对评审资料的完整性、合法性、合理性进行评审，若在评审过程中发现资料不齐或逻辑有误应及时告知采购人，评审中发现的问题须以书面形式向采购人发出，由采购人向建设单位收集。</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只接收采购人提供的评审资料，不得私自接收建设单位等关联单位提交的资料</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4.</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对评审项目进展情况、评审中发现的问题和发生争议的事项应及时向采购人书面反映、并接受采购人的指导和监督，不得隐瞒评审中发现的问题或与建设单位等关联单位串通舞弊</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5.现场踏勘、工程量核对等由</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提出时间，由采购人统一安排，未经采购人同意，</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不得擅自进行现场踏勘或工程造价的核对，不得私自与建设单位等关联单位接触</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6.</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须妥善保管并及时退还送审资料，若遗失送审资料应赔偿相应损失</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7.</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严格遵守采购人评审要求</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8.本项目不允许转包、挂靠</w:t>
      </w:r>
      <w:r>
        <w:rPr>
          <w:rFonts w:hint="eastAsia" w:ascii="Times New Roman" w:hAnsi="Times New Roman" w:eastAsia="方正仿宋_GBK" w:cs="Times New Roman"/>
          <w:color w:val="auto"/>
          <w:sz w:val="32"/>
          <w:szCs w:val="32"/>
          <w:lang w:eastAsia="zh-CN"/>
        </w:rPr>
        <w:t>；</w:t>
      </w:r>
    </w:p>
    <w:p>
      <w:pPr>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9.</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在采购文件中提供的项目配备人员必须与实际审核人员一致，不得擅自变更项目人员。但采购人在评审过程中发现</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配备的人员无法满足项目评审需要的，可要求</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及时更换人员，</w:t>
      </w:r>
      <w:r>
        <w:rPr>
          <w:rFonts w:hint="eastAsia" w:eastAsia="方正仿宋_GBK" w:cs="Times New Roman"/>
          <w:color w:val="auto"/>
          <w:sz w:val="32"/>
          <w:szCs w:val="32"/>
          <w:lang w:eastAsia="zh-CN"/>
        </w:rPr>
        <w:t>投标人</w:t>
      </w:r>
      <w:r>
        <w:rPr>
          <w:rFonts w:hint="eastAsia" w:ascii="Times New Roman" w:hAnsi="Times New Roman" w:eastAsia="方正仿宋_GBK" w:cs="Times New Roman"/>
          <w:color w:val="auto"/>
          <w:sz w:val="32"/>
          <w:szCs w:val="32"/>
        </w:rPr>
        <w:t>须无条件接受。</w:t>
      </w:r>
    </w:p>
    <w:p>
      <w:pPr>
        <w:pStyle w:val="7"/>
        <w:spacing w:before="0" w:after="0" w:line="594" w:lineRule="exact"/>
        <w:ind w:firstLine="640" w:firstLineChars="200"/>
        <w:rPr>
          <w:rFonts w:hint="default" w:ascii="Times New Roman" w:hAnsi="Times New Roman" w:eastAsia="方正楷体_GBK" w:cs="Times New Roman"/>
          <w:b w:val="0"/>
          <w:color w:val="auto"/>
          <w:szCs w:val="32"/>
        </w:rPr>
      </w:pPr>
      <w:r>
        <w:rPr>
          <w:rFonts w:hint="default" w:ascii="Times New Roman" w:hAnsi="Times New Roman" w:eastAsia="方正楷体_GBK" w:cs="Times New Roman"/>
          <w:b w:val="0"/>
          <w:color w:val="auto"/>
          <w:szCs w:val="32"/>
        </w:rPr>
        <w:t>（</w:t>
      </w:r>
      <w:r>
        <w:rPr>
          <w:rFonts w:hint="eastAsia" w:eastAsia="方正楷体_GBK" w:cs="Times New Roman"/>
          <w:b w:val="0"/>
          <w:color w:val="auto"/>
          <w:szCs w:val="32"/>
          <w:lang w:val="en-US" w:eastAsia="zh-CN"/>
        </w:rPr>
        <w:t>四</w:t>
      </w:r>
      <w:r>
        <w:rPr>
          <w:rFonts w:hint="default" w:ascii="Times New Roman" w:hAnsi="Times New Roman" w:eastAsia="方正楷体_GBK" w:cs="Times New Roman"/>
          <w:b w:val="0"/>
          <w:color w:val="auto"/>
          <w:szCs w:val="32"/>
        </w:rPr>
        <w:t>）技术需求</w:t>
      </w:r>
      <w:bookmarkEnd w:id="19"/>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标注的项目组人员要求为符合性审查中的实质性要求，投标文件若有任意一条不满足按无效投标处理。</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项目组构成：</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项目组机构设置合理、人员专业配置齐全〔至少配备6人，其中至少含注册一级造价工程师（土木建筑工程）或造价工程师（土建）2人、注册一级造价工程师（安装工程）或造价工程师（安装）1人〕，人员分工明确、责任清晰。</w:t>
      </w:r>
    </w:p>
    <w:p>
      <w:pPr>
        <w:spacing w:line="594"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eastAsia="方正楷体_GBK" w:cs="Times New Roman"/>
          <w:color w:val="auto"/>
          <w:sz w:val="32"/>
          <w:szCs w:val="32"/>
          <w:lang w:val="en-US" w:eastAsia="zh-CN"/>
        </w:rPr>
        <w:t>“</w:t>
      </w:r>
      <w:r>
        <w:rPr>
          <w:rFonts w:hint="default" w:ascii="Times New Roman" w:hAnsi="Times New Roman" w:eastAsia="方正楷体_GBK" w:cs="Times New Roman"/>
          <w:color w:val="auto"/>
          <w:sz w:val="32"/>
          <w:szCs w:val="32"/>
          <w:lang w:val="en-US" w:eastAsia="zh-CN"/>
        </w:rPr>
        <w:t>※</w:t>
      </w:r>
      <w:r>
        <w:rPr>
          <w:rFonts w:hint="eastAsia" w:eastAsia="方正楷体_GBK" w:cs="Times New Roman"/>
          <w:color w:val="auto"/>
          <w:sz w:val="32"/>
          <w:szCs w:val="32"/>
          <w:lang w:val="en-US" w:eastAsia="zh-CN"/>
        </w:rPr>
        <w:t>”</w:t>
      </w:r>
      <w:r>
        <w:rPr>
          <w:rFonts w:hint="eastAsia"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项目负责人资格要求</w:t>
      </w:r>
      <w:r>
        <w:rPr>
          <w:rFonts w:hint="eastAsia" w:ascii="Times New Roman" w:hAnsi="Times New Roman" w:eastAsia="方正仿宋_GBK" w:cs="Times New Roman"/>
          <w:color w:val="auto"/>
          <w:kern w:val="2"/>
          <w:sz w:val="32"/>
          <w:szCs w:val="32"/>
          <w:lang w:val="en-US" w:eastAsia="zh-CN" w:bidi="ar-SA"/>
        </w:rPr>
        <w:t>：</w:t>
      </w:r>
    </w:p>
    <w:p>
      <w:pPr>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投标人拟派的项目负责人必须是投标人本单位人员，具有注册一级造价工程师执业资格并已在投标人本单位注册，同时具备工程类高级及以上职称，从事相关工作经验20年及以上。</w:t>
      </w:r>
    </w:p>
    <w:p>
      <w:pPr>
        <w:spacing w:line="594" w:lineRule="exact"/>
        <w:ind w:firstLine="640" w:firstLineChars="200"/>
        <w:rPr>
          <w:rFonts w:hint="default"/>
          <w:lang w:val="en-US" w:eastAsia="zh-CN"/>
        </w:rPr>
      </w:pPr>
      <w:r>
        <w:rPr>
          <w:rFonts w:hint="default" w:ascii="Times New Roman" w:hAnsi="Times New Roman" w:eastAsia="方正仿宋_GBK" w:cs="Times New Roman"/>
          <w:color w:val="auto"/>
          <w:sz w:val="32"/>
          <w:szCs w:val="32"/>
        </w:rPr>
        <w:t>投标人须在投标文件资格审查部分提供有效的拟派项目负责人职称证、身份证、注册证，投标人近6个月为其缴纳的养老保险证明材料；相关工作经验年限以注册造价工程师执业资格证书初始注册时间起算。</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专业负责人：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土建负责人：持有注册一级造价工程师（土木建筑工程）或造价工程师（土建）资格证书。</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安装负责人：持有注册一级造价工程师（安装工程）或造价工程师（安装）资格证书。</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w:t>
      </w:r>
      <w:r>
        <w:rPr>
          <w:rFonts w:hint="eastAsia" w:asci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项目组其他人员：均须持有注册造价工程师资格证书或注册造价员资格证书。</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注：提供项目组人员名单及其对应证书复印件、投标人为其缴纳的近3个月的社保证明材料复印件并加盖投标人公章。</w:t>
      </w:r>
    </w:p>
    <w:p>
      <w:pPr>
        <w:pStyle w:val="7"/>
        <w:spacing w:before="0" w:after="0" w:line="594" w:lineRule="atLeast"/>
        <w:ind w:firstLine="640" w:firstLineChars="200"/>
        <w:rPr>
          <w:rFonts w:hint="default" w:ascii="Times New Roman" w:hAnsi="Times New Roman" w:eastAsia="方正仿宋_GBK" w:cs="Times New Roman"/>
          <w:b w:val="0"/>
          <w:bCs/>
          <w:color w:val="auto"/>
          <w:szCs w:val="32"/>
        </w:rPr>
      </w:pPr>
      <w:bookmarkStart w:id="20" w:name="_Toc13725"/>
      <w:r>
        <w:rPr>
          <w:rFonts w:hint="default" w:ascii="Times New Roman" w:hAnsi="Times New Roman" w:eastAsia="方正仿宋_GBK" w:cs="Times New Roman"/>
          <w:b w:val="0"/>
          <w:bCs/>
          <w:color w:val="auto"/>
          <w:szCs w:val="32"/>
        </w:rPr>
        <w:t>（</w:t>
      </w:r>
      <w:r>
        <w:rPr>
          <w:rFonts w:hint="eastAsia" w:eastAsia="方正仿宋_GBK" w:cs="Times New Roman"/>
          <w:b w:val="0"/>
          <w:bCs/>
          <w:color w:val="auto"/>
          <w:szCs w:val="32"/>
          <w:lang w:val="en-US" w:eastAsia="zh-CN"/>
        </w:rPr>
        <w:t>五</w:t>
      </w:r>
      <w:r>
        <w:rPr>
          <w:rFonts w:hint="default" w:ascii="Times New Roman" w:hAnsi="Times New Roman" w:eastAsia="方正仿宋_GBK" w:cs="Times New Roman"/>
          <w:b w:val="0"/>
          <w:bCs/>
          <w:color w:val="auto"/>
          <w:szCs w:val="32"/>
        </w:rPr>
        <w:t>）服务基本要求</w:t>
      </w:r>
      <w:bookmarkEnd w:id="20"/>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1.</w:t>
      </w:r>
      <w:r>
        <w:rPr>
          <w:rFonts w:hint="default" w:ascii="Times New Roman" w:hAnsi="Times New Roman" w:eastAsia="方正仿宋_GBK" w:cs="Times New Roman"/>
          <w:color w:val="auto"/>
          <w:sz w:val="32"/>
          <w:szCs w:val="32"/>
        </w:rPr>
        <w:t>中标服务商必须服从采购人的项目工作安排，按时按质完成任务，及时就工作进度、重大事项向采购人沟通反馈；</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标服务商按照预算造价评审的工作程序和纪律，独立规范地开展工作，在采购人规定期限内完成任务，对预算造价评审报告的客观公正性、数据和材料的真实性、完整性等负责；依法开展相关的工作，对工作情况、成果的真实性、准确性负责；</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3.中标服务商派出的工作人员须选用经历、学历或职称与预算造价评审有关的专业资格人员，并有2年及以上的相关工作经验（提供相关证明材料），熟悉预算</w:t>
      </w:r>
      <w:r>
        <w:rPr>
          <w:rFonts w:hint="eastAsia" w:eastAsia="方正仿宋_GBK" w:cs="Times New Roman"/>
          <w:color w:val="auto"/>
          <w:sz w:val="32"/>
          <w:szCs w:val="32"/>
          <w:lang w:val="en-US" w:eastAsia="zh-CN"/>
        </w:rPr>
        <w:t>造价</w:t>
      </w:r>
      <w:r>
        <w:rPr>
          <w:rFonts w:hint="default" w:ascii="Times New Roman" w:hAnsi="Times New Roman" w:eastAsia="方正仿宋_GBK" w:cs="Times New Roman"/>
          <w:color w:val="auto"/>
          <w:sz w:val="32"/>
          <w:szCs w:val="32"/>
        </w:rPr>
        <w:t>评审业务，熟悉</w:t>
      </w:r>
      <w:r>
        <w:rPr>
          <w:rFonts w:hint="eastAsia" w:eastAsia="方正仿宋_GBK" w:cs="Times New Roman"/>
          <w:color w:val="auto"/>
          <w:sz w:val="32"/>
          <w:szCs w:val="32"/>
          <w:lang w:val="en-US" w:eastAsia="zh-CN"/>
        </w:rPr>
        <w:t>工程造价</w:t>
      </w:r>
      <w:r>
        <w:rPr>
          <w:rFonts w:hint="default" w:ascii="Times New Roman" w:hAnsi="Times New Roman" w:eastAsia="方正仿宋_GBK" w:cs="Times New Roman"/>
          <w:color w:val="auto"/>
          <w:sz w:val="32"/>
          <w:szCs w:val="32"/>
        </w:rPr>
        <w:t>政策，能充分胜任所从事的工作。派出的工作人员20</w:t>
      </w:r>
      <w:r>
        <w:rPr>
          <w:rFonts w:hint="eastAsia"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w:t>
      </w:r>
      <w:r>
        <w:rPr>
          <w:rFonts w:hint="eastAsia"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月至今（近三年）未接受过刑事处罚、行政处罚、行业惩戒；</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4.中标服务商每一项工作派出的工作人员应相对稳定，对曾经参与过类似项目的工作人员在后续项目开展时要优先选派，采购人择优选用；</w:t>
      </w:r>
    </w:p>
    <w:p>
      <w:pPr>
        <w:pStyle w:val="252"/>
        <w:spacing w:line="594" w:lineRule="atLeast"/>
        <w:ind w:firstLine="707" w:firstLineChars="22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5.中标服务商派出的工作人员不能胜任采购人工作的或与被评价单位存在利益关系的，中标服务商应第一时间告知采购人，采购人有权要求中标人调换工作人员；</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6.中标服务商工作人员不得向被评价单位收取或变相收取任何费用；</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7.中标服务商派出工作人员违反有关法律、法规或采购人制定的工作纪律或被有效投诉的，采购人除相应不支付或扣减要支付给中标人的费用外，情节严重的可解除与中标服务商的服务协议；</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8.中标服务商应完整准确、真实有序地反映和记录预算造价评审过程，分类归集、整理造册、规范存档和保管各类资料；建立委托事项档案；对所保管的预算造价评审档案材料承担保密责任；</w:t>
      </w:r>
    </w:p>
    <w:p>
      <w:pPr>
        <w:pStyle w:val="252"/>
        <w:spacing w:line="594" w:lineRule="atLeast"/>
        <w:ind w:firstLine="707" w:firstLineChars="22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9.中标服务商应接受采购人相关业务监督、指导和培训；</w:t>
      </w:r>
    </w:p>
    <w:p>
      <w:pPr>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10.采购人将结合本地实际工作情况制定考核标准，对中标服务商的预算造价评审工作过程及结果进行考核，中标服务商须无条件接受考核。考核总分未达到80分的中标服务商，下一年度将不再委托其开展</w:t>
      </w:r>
      <w:r>
        <w:rPr>
          <w:rFonts w:hint="eastAsia" w:eastAsia="方正仿宋_GBK" w:cs="Times New Roman"/>
          <w:color w:val="auto"/>
          <w:sz w:val="32"/>
          <w:szCs w:val="32"/>
          <w:lang w:val="en-US" w:eastAsia="zh-CN"/>
        </w:rPr>
        <w:t>造价评审</w:t>
      </w:r>
      <w:r>
        <w:rPr>
          <w:rFonts w:hint="default" w:ascii="Times New Roman" w:hAnsi="Times New Roman" w:eastAsia="方正仿宋_GBK" w:cs="Times New Roman"/>
          <w:color w:val="auto"/>
          <w:sz w:val="32"/>
          <w:szCs w:val="32"/>
        </w:rPr>
        <w:t>服务业务。</w:t>
      </w:r>
    </w:p>
    <w:p>
      <w:pPr>
        <w:tabs>
          <w:tab w:val="left" w:pos="567"/>
        </w:tabs>
        <w:spacing w:line="360" w:lineRule="auto"/>
        <w:jc w:val="center"/>
        <w:rPr>
          <w:rFonts w:hint="default" w:ascii="Times New Roman" w:hAnsi="Times New Roman" w:eastAsia="方正小标宋_GBK" w:cs="Times New Roman"/>
          <w:color w:val="FF0000"/>
          <w:sz w:val="32"/>
          <w:szCs w:val="32"/>
        </w:rPr>
      </w:pPr>
    </w:p>
    <w:p>
      <w:pPr>
        <w:tabs>
          <w:tab w:val="left" w:pos="567"/>
        </w:tabs>
        <w:spacing w:line="360" w:lineRule="auto"/>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中标服务商工作情况考评表</w:t>
      </w:r>
    </w:p>
    <w:tbl>
      <w:tblPr>
        <w:tblStyle w:val="67"/>
        <w:tblW w:w="1020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709"/>
        <w:gridCol w:w="856"/>
        <w:gridCol w:w="425"/>
        <w:gridCol w:w="426"/>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9" w:type="dxa"/>
            <w:gridSpan w:val="3"/>
            <w:vAlign w:val="center"/>
          </w:tcPr>
          <w:p>
            <w:pPr>
              <w:tabs>
                <w:tab w:val="left" w:pos="2580"/>
              </w:tabs>
              <w:adjustRightInd w:val="0"/>
              <w:snapToGrid w:val="0"/>
              <w:spacing w:line="0" w:lineRule="atLeast"/>
              <w:jc w:val="center"/>
              <w:rPr>
                <w:rFonts w:hint="eastAsia" w:ascii="方正黑体_GBK" w:hAnsi="方正黑体_GBK" w:eastAsia="方正黑体_GBK" w:cs="方正黑体_GBK"/>
                <w:b w:val="0"/>
                <w:bCs/>
                <w:color w:val="auto"/>
                <w:sz w:val="22"/>
                <w:szCs w:val="18"/>
              </w:rPr>
            </w:pPr>
            <w:r>
              <w:rPr>
                <w:rFonts w:hint="eastAsia" w:ascii="方正黑体_GBK" w:hAnsi="方正黑体_GBK" w:eastAsia="方正黑体_GBK" w:cs="方正黑体_GBK"/>
                <w:b w:val="0"/>
                <w:bCs/>
                <w:color w:val="auto"/>
                <w:sz w:val="22"/>
                <w:szCs w:val="18"/>
              </w:rPr>
              <w:t>考评要点及分值</w:t>
            </w:r>
          </w:p>
        </w:tc>
        <w:tc>
          <w:tcPr>
            <w:tcW w:w="425" w:type="dxa"/>
            <w:vAlign w:val="center"/>
          </w:tcPr>
          <w:p>
            <w:pPr>
              <w:adjustRightInd w:val="0"/>
              <w:snapToGrid w:val="0"/>
              <w:spacing w:line="0" w:lineRule="atLeast"/>
              <w:jc w:val="center"/>
              <w:rPr>
                <w:rFonts w:hint="eastAsia" w:ascii="方正黑体_GBK" w:hAnsi="方正黑体_GBK" w:eastAsia="方正黑体_GBK" w:cs="方正黑体_GBK"/>
                <w:b w:val="0"/>
                <w:bCs/>
                <w:color w:val="auto"/>
                <w:sz w:val="20"/>
                <w:szCs w:val="15"/>
              </w:rPr>
            </w:pPr>
            <w:r>
              <w:rPr>
                <w:rFonts w:hint="eastAsia" w:ascii="方正黑体_GBK" w:hAnsi="方正黑体_GBK" w:eastAsia="方正黑体_GBK" w:cs="方正黑体_GBK"/>
                <w:b w:val="0"/>
                <w:bCs/>
                <w:color w:val="auto"/>
                <w:sz w:val="20"/>
                <w:szCs w:val="15"/>
              </w:rPr>
              <w:t>考评</w:t>
            </w:r>
          </w:p>
          <w:p>
            <w:pPr>
              <w:adjustRightInd w:val="0"/>
              <w:snapToGrid w:val="0"/>
              <w:spacing w:line="0" w:lineRule="atLeast"/>
              <w:jc w:val="center"/>
              <w:rPr>
                <w:rFonts w:hint="eastAsia" w:ascii="方正黑体_GBK" w:hAnsi="方正黑体_GBK" w:eastAsia="方正黑体_GBK" w:cs="方正黑体_GBK"/>
                <w:b w:val="0"/>
                <w:bCs/>
                <w:color w:val="auto"/>
                <w:sz w:val="20"/>
                <w:szCs w:val="15"/>
              </w:rPr>
            </w:pPr>
            <w:r>
              <w:rPr>
                <w:rFonts w:hint="eastAsia" w:ascii="方正黑体_GBK" w:hAnsi="方正黑体_GBK" w:eastAsia="方正黑体_GBK" w:cs="方正黑体_GBK"/>
                <w:b w:val="0"/>
                <w:bCs/>
                <w:color w:val="auto"/>
                <w:sz w:val="20"/>
                <w:szCs w:val="15"/>
              </w:rPr>
              <w:t>得分</w:t>
            </w:r>
          </w:p>
        </w:tc>
        <w:tc>
          <w:tcPr>
            <w:tcW w:w="426" w:type="dxa"/>
            <w:vAlign w:val="center"/>
          </w:tcPr>
          <w:p>
            <w:pPr>
              <w:adjustRightInd w:val="0"/>
              <w:snapToGrid w:val="0"/>
              <w:spacing w:line="0" w:lineRule="atLeast"/>
              <w:jc w:val="center"/>
              <w:rPr>
                <w:rFonts w:hint="eastAsia" w:ascii="方正黑体_GBK" w:hAnsi="方正黑体_GBK" w:eastAsia="方正黑体_GBK" w:cs="方正黑体_GBK"/>
                <w:b w:val="0"/>
                <w:bCs/>
                <w:color w:val="auto"/>
                <w:sz w:val="20"/>
                <w:szCs w:val="15"/>
              </w:rPr>
            </w:pPr>
            <w:r>
              <w:rPr>
                <w:rFonts w:hint="eastAsia" w:ascii="方正黑体_GBK" w:hAnsi="方正黑体_GBK" w:eastAsia="方正黑体_GBK" w:cs="方正黑体_GBK"/>
                <w:b w:val="0"/>
                <w:bCs/>
                <w:color w:val="auto"/>
                <w:sz w:val="20"/>
                <w:szCs w:val="15"/>
              </w:rPr>
              <w:t>扣分</w:t>
            </w:r>
          </w:p>
          <w:p>
            <w:pPr>
              <w:adjustRightInd w:val="0"/>
              <w:snapToGrid w:val="0"/>
              <w:spacing w:line="0" w:lineRule="atLeast"/>
              <w:jc w:val="center"/>
              <w:rPr>
                <w:rFonts w:hint="eastAsia" w:ascii="方正黑体_GBK" w:hAnsi="方正黑体_GBK" w:eastAsia="方正黑体_GBK" w:cs="方正黑体_GBK"/>
                <w:b w:val="0"/>
                <w:bCs/>
                <w:color w:val="auto"/>
                <w:sz w:val="20"/>
                <w:szCs w:val="15"/>
              </w:rPr>
            </w:pPr>
            <w:r>
              <w:rPr>
                <w:rFonts w:hint="eastAsia" w:ascii="方正黑体_GBK" w:hAnsi="方正黑体_GBK" w:eastAsia="方正黑体_GBK" w:cs="方正黑体_GBK"/>
                <w:b w:val="0"/>
                <w:bCs/>
                <w:color w:val="auto"/>
                <w:sz w:val="20"/>
                <w:szCs w:val="15"/>
              </w:rPr>
              <w:t>原因</w:t>
            </w:r>
          </w:p>
        </w:tc>
        <w:tc>
          <w:tcPr>
            <w:tcW w:w="7082" w:type="dxa"/>
            <w:vAlign w:val="center"/>
          </w:tcPr>
          <w:p>
            <w:pPr>
              <w:adjustRightInd w:val="0"/>
              <w:snapToGrid w:val="0"/>
              <w:spacing w:line="0" w:lineRule="atLeast"/>
              <w:ind w:firstLine="440" w:firstLineChars="200"/>
              <w:jc w:val="center"/>
              <w:rPr>
                <w:rFonts w:hint="eastAsia" w:ascii="方正黑体_GBK" w:hAnsi="方正黑体_GBK" w:eastAsia="方正黑体_GBK" w:cs="方正黑体_GBK"/>
                <w:b w:val="0"/>
                <w:bCs/>
                <w:color w:val="auto"/>
                <w:sz w:val="22"/>
                <w:szCs w:val="18"/>
              </w:rPr>
            </w:pPr>
            <w:r>
              <w:rPr>
                <w:rFonts w:hint="eastAsia" w:ascii="方正黑体_GBK" w:hAnsi="方正黑体_GBK" w:eastAsia="方正黑体_GBK" w:cs="方正黑体_GBK"/>
                <w:b w:val="0"/>
                <w:bCs/>
                <w:color w:val="auto"/>
                <w:sz w:val="22"/>
                <w:szCs w:val="18"/>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4" w:hRule="atLeast"/>
        </w:trPr>
        <w:tc>
          <w:tcPr>
            <w:tcW w:w="704" w:type="dxa"/>
            <w:vMerge w:val="restart"/>
            <w:vAlign w:val="center"/>
          </w:tcPr>
          <w:p>
            <w:pPr>
              <w:pStyle w:val="27"/>
              <w:spacing w:line="0" w:lineRule="atLeast"/>
              <w:ind w:left="0" w:right="92" w:rightChars="33"/>
              <w:jc w:val="center"/>
              <w:rPr>
                <w:rFonts w:hint="default" w:ascii="Times New Roman" w:hAnsi="Times New Roman" w:eastAsia="方正仿宋_GBK" w:cs="Times New Roman"/>
                <w:b/>
                <w:bCs/>
                <w:color w:val="auto"/>
                <w:sz w:val="20"/>
                <w:szCs w:val="20"/>
              </w:rPr>
            </w:pPr>
            <w:r>
              <w:rPr>
                <w:rFonts w:hint="default" w:ascii="Times New Roman" w:hAnsi="Times New Roman" w:eastAsia="方正仿宋_GBK" w:cs="Times New Roman"/>
                <w:b/>
                <w:bCs/>
                <w:color w:val="auto"/>
                <w:sz w:val="20"/>
                <w:szCs w:val="20"/>
              </w:rPr>
              <w:t>工作组织实施情况</w:t>
            </w:r>
          </w:p>
          <w:p>
            <w:pPr>
              <w:pStyle w:val="27"/>
              <w:spacing w:line="0" w:lineRule="atLeast"/>
              <w:ind w:left="0" w:right="92" w:rightChars="33"/>
              <w:jc w:val="center"/>
              <w:rPr>
                <w:rFonts w:hint="default" w:ascii="Times New Roman" w:hAnsi="Times New Roman" w:eastAsia="方正仿宋_GBK" w:cs="Times New Roman"/>
                <w:b/>
                <w:bCs/>
                <w:color w:val="auto"/>
                <w:sz w:val="20"/>
                <w:szCs w:val="20"/>
              </w:rPr>
            </w:pPr>
            <w:r>
              <w:rPr>
                <w:rFonts w:hint="default" w:ascii="Times New Roman" w:hAnsi="Times New Roman" w:eastAsia="方正仿宋_GBK" w:cs="Times New Roman"/>
                <w:b/>
                <w:bCs/>
                <w:color w:val="auto"/>
                <w:sz w:val="20"/>
                <w:szCs w:val="20"/>
              </w:rPr>
              <w:t>（50分）</w:t>
            </w:r>
          </w:p>
        </w:tc>
        <w:tc>
          <w:tcPr>
            <w:tcW w:w="709" w:type="dxa"/>
            <w:vMerge w:val="restart"/>
            <w:vAlign w:val="center"/>
          </w:tcPr>
          <w:p>
            <w:pPr>
              <w:spacing w:line="240" w:lineRule="exact"/>
              <w:jc w:val="center"/>
              <w:rPr>
                <w:rFonts w:hint="default" w:ascii="Times New Roman" w:hAnsi="Times New Roman" w:eastAsia="方正仿宋_GBK" w:cs="Times New Roman"/>
                <w:b/>
                <w:bCs/>
                <w:color w:val="auto"/>
                <w:sz w:val="20"/>
                <w:szCs w:val="15"/>
              </w:rPr>
            </w:pPr>
            <w:r>
              <w:rPr>
                <w:rFonts w:hint="eastAsia" w:eastAsia="方正仿宋_GBK" w:cs="Times New Roman"/>
                <w:b w:val="0"/>
                <w:bCs/>
                <w:color w:val="auto"/>
                <w:sz w:val="20"/>
                <w:szCs w:val="15"/>
                <w:lang w:eastAsia="zh-CN"/>
              </w:rPr>
              <w:t>（</w:t>
            </w:r>
            <w:r>
              <w:rPr>
                <w:rFonts w:hint="default" w:ascii="Times New Roman" w:hAnsi="Times New Roman" w:eastAsia="方正仿宋_GBK" w:cs="Times New Roman"/>
                <w:b w:val="0"/>
                <w:bCs/>
                <w:color w:val="auto"/>
                <w:sz w:val="20"/>
                <w:szCs w:val="15"/>
              </w:rPr>
              <w:t>一</w:t>
            </w:r>
            <w:r>
              <w:rPr>
                <w:rFonts w:hint="eastAsia" w:eastAsia="方正仿宋_GBK" w:cs="Times New Roman"/>
                <w:b w:val="0"/>
                <w:bCs/>
                <w:color w:val="auto"/>
                <w:sz w:val="20"/>
                <w:szCs w:val="15"/>
                <w:lang w:eastAsia="zh-CN"/>
              </w:rPr>
              <w:t>）</w:t>
            </w:r>
            <w:r>
              <w:rPr>
                <w:rFonts w:hint="default" w:ascii="Times New Roman" w:hAnsi="Times New Roman" w:eastAsia="方正仿宋_GBK" w:cs="Times New Roman"/>
                <w:b/>
                <w:bCs/>
                <w:color w:val="auto"/>
                <w:sz w:val="20"/>
                <w:szCs w:val="15"/>
              </w:rPr>
              <w:t>服务响应情况</w:t>
            </w:r>
          </w:p>
          <w:p>
            <w:pPr>
              <w:spacing w:line="240" w:lineRule="exact"/>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（15分）</w:t>
            </w:r>
          </w:p>
        </w:tc>
        <w:tc>
          <w:tcPr>
            <w:tcW w:w="856" w:type="dxa"/>
            <w:vAlign w:val="center"/>
          </w:tcPr>
          <w:p>
            <w:p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1.人员配备</w:t>
            </w:r>
          </w:p>
          <w:p>
            <w:pPr>
              <w:spacing w:line="0" w:lineRule="atLeast"/>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（10分）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spacing w:line="0" w:lineRule="atLeast"/>
              <w:jc w:val="center"/>
              <w:rPr>
                <w:rFonts w:hint="default" w:ascii="Times New Roman" w:hAnsi="Times New Roman" w:eastAsia="方正仿宋_GBK" w:cs="Times New Roman"/>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主要考核以下三方面，根据具体情况作出判断并核定分数：</w:t>
            </w:r>
          </w:p>
          <w:p>
            <w:pPr>
              <w:numPr>
                <w:ilvl w:val="0"/>
                <w:numId w:val="13"/>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人员配备结构合理性，包括对委托的预算</w:t>
            </w:r>
            <w:r>
              <w:rPr>
                <w:rFonts w:hint="default" w:ascii="Times New Roman" w:hAnsi="Times New Roman" w:eastAsia="方正仿宋_GBK" w:cs="Times New Roman"/>
                <w:bCs/>
                <w:color w:val="auto"/>
                <w:sz w:val="18"/>
                <w:szCs w:val="13"/>
                <w:lang w:val="en-US" w:eastAsia="zh-CN"/>
              </w:rPr>
              <w:t>造价评审</w:t>
            </w:r>
            <w:r>
              <w:rPr>
                <w:rFonts w:hint="default" w:ascii="Times New Roman" w:hAnsi="Times New Roman" w:eastAsia="方正仿宋_GBK" w:cs="Times New Roman"/>
                <w:bCs/>
                <w:color w:val="auto"/>
                <w:sz w:val="18"/>
                <w:szCs w:val="13"/>
              </w:rPr>
              <w:t>工作配备人员的专业水平、相关工作经验、对相关政策及业务熟悉程度等情况；</w:t>
            </w:r>
          </w:p>
          <w:p>
            <w:pPr>
              <w:numPr>
                <w:ilvl w:val="0"/>
                <w:numId w:val="13"/>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中标服务商制定的工作方案中，配备的人员（含专家）有无存在应当回避而未回避的情形；</w:t>
            </w:r>
          </w:p>
          <w:p>
            <w:pPr>
              <w:numPr>
                <w:ilvl w:val="0"/>
                <w:numId w:val="13"/>
              </w:numPr>
              <w:adjustRightInd w:val="0"/>
              <w:snapToGrid w:val="0"/>
              <w:spacing w:line="240" w:lineRule="atLeast"/>
              <w:ind w:firstLine="360" w:firstLineChars="200"/>
              <w:rPr>
                <w:rFonts w:hint="default" w:ascii="Times New Roman" w:hAnsi="Times New Roman" w:eastAsia="方正仿宋_GBK" w:cs="Times New Roman"/>
                <w:color w:val="auto"/>
                <w:sz w:val="18"/>
                <w:szCs w:val="13"/>
              </w:rPr>
            </w:pPr>
            <w:r>
              <w:rPr>
                <w:rFonts w:hint="default" w:ascii="Times New Roman" w:hAnsi="Times New Roman" w:eastAsia="方正仿宋_GBK" w:cs="Times New Roman"/>
                <w:bCs/>
                <w:color w:val="auto"/>
                <w:sz w:val="18"/>
                <w:szCs w:val="13"/>
              </w:rPr>
              <w:t>人员队伍稳定性：赴现场核查的人员（尤其是专家），与工作方案中承诺的人员是否相符，如不相符，其说明原因是否合理。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4" w:type="dxa"/>
            <w:vMerge w:val="continue"/>
            <w:vAlign w:val="center"/>
          </w:tcPr>
          <w:p>
            <w:pPr>
              <w:spacing w:line="0" w:lineRule="atLeast"/>
              <w:jc w:val="center"/>
              <w:rPr>
                <w:rFonts w:hint="default" w:ascii="Times New Roman" w:hAnsi="Times New Roman" w:eastAsia="方正仿宋_GBK" w:cs="Times New Roman"/>
                <w:color w:val="auto"/>
                <w:sz w:val="20"/>
                <w:szCs w:val="15"/>
              </w:rPr>
            </w:pPr>
          </w:p>
        </w:tc>
        <w:tc>
          <w:tcPr>
            <w:tcW w:w="709" w:type="dxa"/>
            <w:vMerge w:val="continue"/>
            <w:vAlign w:val="center"/>
          </w:tcPr>
          <w:p>
            <w:pPr>
              <w:spacing w:line="0" w:lineRule="atLeast"/>
              <w:jc w:val="center"/>
              <w:rPr>
                <w:rFonts w:hint="default" w:ascii="Times New Roman" w:hAnsi="Times New Roman" w:eastAsia="方正仿宋_GBK" w:cs="Times New Roman"/>
                <w:b/>
                <w:color w:val="auto"/>
                <w:sz w:val="20"/>
                <w:szCs w:val="15"/>
              </w:rPr>
            </w:pPr>
          </w:p>
        </w:tc>
        <w:tc>
          <w:tcPr>
            <w:tcW w:w="856" w:type="dxa"/>
            <w:vAlign w:val="center"/>
          </w:tcPr>
          <w:p>
            <w:p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2.内部质量管理</w:t>
            </w:r>
          </w:p>
          <w:p>
            <w:pPr>
              <w:spacing w:line="0" w:lineRule="atLeast"/>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（5分）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spacing w:line="0" w:lineRule="atLeast"/>
              <w:jc w:val="center"/>
              <w:rPr>
                <w:rFonts w:hint="default" w:ascii="Times New Roman" w:hAnsi="Times New Roman" w:eastAsia="方正仿宋_GBK" w:cs="Times New Roman"/>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color w:val="auto"/>
                <w:sz w:val="18"/>
                <w:szCs w:val="13"/>
              </w:rPr>
            </w:pPr>
            <w:r>
              <w:rPr>
                <w:rFonts w:hint="default" w:ascii="Times New Roman" w:hAnsi="Times New Roman" w:eastAsia="方正仿宋_GBK" w:cs="Times New Roman"/>
                <w:bCs/>
                <w:color w:val="auto"/>
                <w:sz w:val="18"/>
                <w:szCs w:val="13"/>
              </w:rPr>
              <w:t>主要考核中标服务商内控机制健全、内控制度严谨、分级复核严格、质量控制落实到位、工作质量总体良好等情况，根据具体情况作出判断并核定分数。其中没有建立分级复核控制制度或业务质量考核中有不合格项目，本项得0分，</w:t>
            </w:r>
            <w:r>
              <w:rPr>
                <w:rFonts w:hint="default" w:ascii="Times New Roman" w:hAnsi="Times New Roman" w:eastAsia="方正仿宋_GBK" w:cs="Times New Roman"/>
                <w:color w:val="auto"/>
                <w:sz w:val="18"/>
                <w:szCs w:val="13"/>
              </w:rPr>
              <w:t>其他情况酌情扣分。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04" w:type="dxa"/>
            <w:vMerge w:val="continue"/>
            <w:vAlign w:val="center"/>
          </w:tcPr>
          <w:p>
            <w:pPr>
              <w:spacing w:line="0" w:lineRule="atLeast"/>
              <w:jc w:val="center"/>
              <w:rPr>
                <w:rFonts w:hint="default" w:ascii="Times New Roman" w:hAnsi="Times New Roman" w:eastAsia="方正仿宋_GBK" w:cs="Times New Roman"/>
                <w:color w:val="auto"/>
                <w:sz w:val="20"/>
                <w:szCs w:val="15"/>
              </w:rPr>
            </w:pPr>
          </w:p>
        </w:tc>
        <w:tc>
          <w:tcPr>
            <w:tcW w:w="1565" w:type="dxa"/>
            <w:gridSpan w:val="2"/>
            <w:vAlign w:val="center"/>
          </w:tcPr>
          <w:p>
            <w:p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（二）实施程序规范情况</w:t>
            </w:r>
          </w:p>
          <w:p>
            <w:pPr>
              <w:spacing w:line="0" w:lineRule="atLeast"/>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（15分）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spacing w:line="0" w:lineRule="atLeast"/>
              <w:jc w:val="center"/>
              <w:rPr>
                <w:rFonts w:hint="default" w:ascii="Times New Roman" w:hAnsi="Times New Roman" w:eastAsia="方正仿宋_GBK" w:cs="Times New Roman"/>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主要考核中标服务商在工作过程中遵守制度规定、工作程序及工作规范等情况，根据具体情况作出判断并核定分数。其中：</w:t>
            </w:r>
          </w:p>
          <w:p>
            <w:pPr>
              <w:numPr>
                <w:ilvl w:val="0"/>
                <w:numId w:val="14"/>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没有按照自身制定的评价工作计划开展工作的，每发现一处不符合规定扣5分，本项累计扣分为10分；</w:t>
            </w:r>
          </w:p>
          <w:p>
            <w:pPr>
              <w:numPr>
                <w:ilvl w:val="0"/>
                <w:numId w:val="14"/>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没有按要求及时沟通反馈工作进度、重大事项和重大问题的，每发生一起扣5分；</w:t>
            </w:r>
          </w:p>
          <w:p>
            <w:pPr>
              <w:numPr>
                <w:ilvl w:val="0"/>
                <w:numId w:val="14"/>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预算造价评审工作行为和结果没有实事求是，有悖行业规范、职业道德及执业准则的，本项得0分；</w:t>
            </w:r>
          </w:p>
          <w:p>
            <w:pPr>
              <w:numPr>
                <w:ilvl w:val="0"/>
                <w:numId w:val="14"/>
              </w:numPr>
              <w:adjustRightInd w:val="0"/>
              <w:snapToGrid w:val="0"/>
              <w:spacing w:line="240" w:lineRule="atLeast"/>
              <w:ind w:firstLine="360" w:firstLineChars="200"/>
              <w:rPr>
                <w:rFonts w:hint="default" w:ascii="Times New Roman" w:hAnsi="Times New Roman" w:eastAsia="方正仿宋_GBK" w:cs="Times New Roman"/>
                <w:color w:val="auto"/>
                <w:sz w:val="18"/>
                <w:szCs w:val="13"/>
              </w:rPr>
            </w:pPr>
            <w:r>
              <w:rPr>
                <w:rFonts w:hint="default" w:ascii="Times New Roman" w:hAnsi="Times New Roman" w:eastAsia="方正仿宋_GBK" w:cs="Times New Roman"/>
                <w:color w:val="auto"/>
                <w:sz w:val="18"/>
                <w:szCs w:val="13"/>
              </w:rPr>
              <w:t>其他情况酌情扣分。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4" w:hRule="atLeast"/>
        </w:trPr>
        <w:tc>
          <w:tcPr>
            <w:tcW w:w="704" w:type="dxa"/>
            <w:vMerge w:val="continue"/>
            <w:vAlign w:val="center"/>
          </w:tcPr>
          <w:p>
            <w:pPr>
              <w:spacing w:line="0" w:lineRule="atLeast"/>
              <w:jc w:val="center"/>
              <w:rPr>
                <w:rFonts w:hint="default" w:ascii="Times New Roman" w:hAnsi="Times New Roman" w:eastAsia="方正仿宋_GBK" w:cs="Times New Roman"/>
                <w:color w:val="auto"/>
                <w:sz w:val="20"/>
                <w:szCs w:val="15"/>
              </w:rPr>
            </w:pPr>
          </w:p>
        </w:tc>
        <w:tc>
          <w:tcPr>
            <w:tcW w:w="1565" w:type="dxa"/>
            <w:gridSpan w:val="2"/>
            <w:vAlign w:val="center"/>
          </w:tcPr>
          <w:p>
            <w:pPr>
              <w:numPr>
                <w:ilvl w:val="0"/>
                <w:numId w:val="15"/>
              </w:num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工作效率情况</w:t>
            </w:r>
          </w:p>
          <w:p>
            <w:pPr>
              <w:spacing w:line="0" w:lineRule="atLeast"/>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（10分）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spacing w:line="0" w:lineRule="atLeast"/>
              <w:jc w:val="center"/>
              <w:rPr>
                <w:rFonts w:hint="default" w:ascii="Times New Roman" w:hAnsi="Times New Roman" w:eastAsia="方正仿宋_GBK" w:cs="Times New Roman"/>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主要考核中标服务商是否</w:t>
            </w:r>
            <w:r>
              <w:rPr>
                <w:rFonts w:hint="default" w:ascii="Times New Roman" w:hAnsi="Times New Roman" w:eastAsia="方正仿宋_GBK" w:cs="Times New Roman"/>
                <w:color w:val="auto"/>
                <w:sz w:val="18"/>
                <w:szCs w:val="13"/>
              </w:rPr>
              <w:t>按</w:t>
            </w:r>
            <w:r>
              <w:rPr>
                <w:rFonts w:hint="default" w:ascii="Times New Roman" w:hAnsi="Times New Roman" w:eastAsia="方正仿宋_GBK" w:cs="Times New Roman"/>
                <w:bCs/>
                <w:color w:val="auto"/>
                <w:sz w:val="18"/>
                <w:szCs w:val="13"/>
              </w:rPr>
              <w:t>《预算造价评审业务委托协议书》</w:t>
            </w:r>
            <w:r>
              <w:rPr>
                <w:rFonts w:hint="default" w:ascii="Times New Roman" w:hAnsi="Times New Roman" w:eastAsia="方正仿宋_GBK" w:cs="Times New Roman"/>
                <w:color w:val="auto"/>
                <w:sz w:val="18"/>
                <w:szCs w:val="13"/>
              </w:rPr>
              <w:t>规定的内容和时间完成工作，</w:t>
            </w:r>
            <w:r>
              <w:rPr>
                <w:rFonts w:hint="default" w:ascii="Times New Roman" w:hAnsi="Times New Roman" w:eastAsia="方正仿宋_GBK" w:cs="Times New Roman"/>
                <w:bCs/>
                <w:color w:val="auto"/>
                <w:sz w:val="18"/>
                <w:szCs w:val="13"/>
              </w:rPr>
              <w:t>根据具体情况作出判断并核定分数。按规定时间完成得10分；</w:t>
            </w:r>
            <w:r>
              <w:rPr>
                <w:rFonts w:hint="default" w:ascii="Times New Roman" w:hAnsi="Times New Roman" w:eastAsia="方正仿宋_GBK" w:cs="Times New Roman"/>
                <w:color w:val="auto"/>
                <w:sz w:val="18"/>
                <w:szCs w:val="13"/>
              </w:rPr>
              <w:t>由于自身原因</w:t>
            </w:r>
            <w:r>
              <w:rPr>
                <w:rFonts w:hint="default" w:ascii="Times New Roman" w:hAnsi="Times New Roman" w:eastAsia="方正仿宋_GBK" w:cs="Times New Roman"/>
                <w:bCs/>
                <w:color w:val="auto"/>
                <w:sz w:val="18"/>
                <w:szCs w:val="13"/>
              </w:rPr>
              <w:t>每逾期一天，扣1分，本项累计扣分为10分。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4" w:hRule="atLeast"/>
        </w:trPr>
        <w:tc>
          <w:tcPr>
            <w:tcW w:w="704" w:type="dxa"/>
            <w:vMerge w:val="continue"/>
            <w:vAlign w:val="center"/>
          </w:tcPr>
          <w:p>
            <w:pPr>
              <w:spacing w:line="0" w:lineRule="atLeast"/>
              <w:jc w:val="center"/>
              <w:rPr>
                <w:rFonts w:hint="default" w:ascii="Times New Roman" w:hAnsi="Times New Roman" w:eastAsia="方正仿宋_GBK" w:cs="Times New Roman"/>
                <w:color w:val="auto"/>
                <w:sz w:val="20"/>
                <w:szCs w:val="15"/>
              </w:rPr>
            </w:pPr>
          </w:p>
        </w:tc>
        <w:tc>
          <w:tcPr>
            <w:tcW w:w="1565" w:type="dxa"/>
            <w:gridSpan w:val="2"/>
            <w:vAlign w:val="center"/>
          </w:tcPr>
          <w:p>
            <w:pPr>
              <w:numPr>
                <w:ilvl w:val="0"/>
                <w:numId w:val="15"/>
              </w:num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纪律遵守情况</w:t>
            </w:r>
          </w:p>
          <w:p>
            <w:pPr>
              <w:spacing w:line="0" w:lineRule="atLeast"/>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（10分）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adjustRightInd w:val="0"/>
              <w:snapToGrid w:val="0"/>
              <w:spacing w:line="240" w:lineRule="atLeast"/>
              <w:ind w:firstLine="480" w:firstLineChars="200"/>
              <w:jc w:val="center"/>
              <w:rPr>
                <w:rFonts w:hint="default" w:ascii="Times New Roman" w:hAnsi="Times New Roman" w:eastAsia="方正仿宋_GBK" w:cs="Times New Roman"/>
                <w:bCs/>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主要考核中标服务商在工作过程中是否按《预算造价评审业务委托协议书》规定遵守各项工作纪律和工作要求等情况,根据具体情况作出判断并核定分数。其中：</w:t>
            </w:r>
          </w:p>
          <w:p>
            <w:pPr>
              <w:numPr>
                <w:ilvl w:val="0"/>
                <w:numId w:val="16"/>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没有遵守合同规定的保密要求的，本项得0分；</w:t>
            </w:r>
          </w:p>
          <w:p>
            <w:pPr>
              <w:numPr>
                <w:ilvl w:val="0"/>
                <w:numId w:val="16"/>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没有遵守廉政纪律的，实行一票否决，考核总分全部计为零分，取消评价工作服务资格和终止委托等；</w:t>
            </w:r>
          </w:p>
          <w:p>
            <w:pPr>
              <w:numPr>
                <w:ilvl w:val="0"/>
                <w:numId w:val="16"/>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其他情况酌情扣分。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704" w:type="dxa"/>
            <w:vMerge w:val="restart"/>
            <w:vAlign w:val="center"/>
          </w:tcPr>
          <w:p>
            <w:pPr>
              <w:pStyle w:val="27"/>
              <w:spacing w:line="600" w:lineRule="exact"/>
              <w:ind w:left="0"/>
              <w:jc w:val="center"/>
              <w:rPr>
                <w:rFonts w:hint="default" w:ascii="Times New Roman" w:hAnsi="Times New Roman" w:eastAsia="方正仿宋_GBK" w:cs="Times New Roman"/>
                <w:b/>
                <w:bCs/>
                <w:color w:val="auto"/>
                <w:sz w:val="20"/>
                <w:szCs w:val="20"/>
              </w:rPr>
            </w:pPr>
            <w:r>
              <w:rPr>
                <w:rFonts w:hint="default" w:ascii="Times New Roman" w:hAnsi="Times New Roman" w:eastAsia="方正仿宋_GBK" w:cs="Times New Roman"/>
                <w:b/>
                <w:bCs/>
                <w:color w:val="auto"/>
                <w:sz w:val="20"/>
                <w:szCs w:val="20"/>
              </w:rPr>
              <w:t>评价业务质量情况</w:t>
            </w:r>
          </w:p>
          <w:p>
            <w:pPr>
              <w:pStyle w:val="27"/>
              <w:spacing w:line="600" w:lineRule="exact"/>
              <w:ind w:left="0"/>
              <w:jc w:val="center"/>
              <w:rPr>
                <w:rFonts w:hint="default" w:ascii="Times New Roman" w:hAnsi="Times New Roman" w:eastAsia="方正仿宋_GBK" w:cs="Times New Roman"/>
                <w:color w:val="auto"/>
                <w:sz w:val="20"/>
                <w:szCs w:val="15"/>
              </w:rPr>
            </w:pPr>
            <w:r>
              <w:rPr>
                <w:rFonts w:hint="default" w:ascii="Times New Roman" w:hAnsi="Times New Roman" w:eastAsia="方正仿宋_GBK" w:cs="Times New Roman"/>
                <w:b/>
                <w:bCs/>
                <w:color w:val="auto"/>
                <w:sz w:val="20"/>
                <w:szCs w:val="20"/>
              </w:rPr>
              <w:t>（50分）</w:t>
            </w:r>
          </w:p>
        </w:tc>
        <w:tc>
          <w:tcPr>
            <w:tcW w:w="1565" w:type="dxa"/>
            <w:gridSpan w:val="2"/>
            <w:vAlign w:val="center"/>
          </w:tcPr>
          <w:p>
            <w:p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（一）实施方案</w:t>
            </w:r>
          </w:p>
          <w:p>
            <w:pPr>
              <w:spacing w:line="0" w:lineRule="atLeast"/>
              <w:jc w:val="center"/>
              <w:rPr>
                <w:rFonts w:hint="default" w:ascii="Times New Roman" w:hAnsi="Times New Roman" w:eastAsia="方正仿宋_GBK" w:cs="Times New Roman"/>
                <w:color w:val="auto"/>
                <w:sz w:val="20"/>
                <w:szCs w:val="15"/>
              </w:rPr>
            </w:pPr>
            <w:r>
              <w:rPr>
                <w:rFonts w:hint="default" w:ascii="Times New Roman" w:hAnsi="Times New Roman" w:eastAsia="方正仿宋_GBK" w:cs="Times New Roman"/>
                <w:b/>
                <w:bCs/>
                <w:color w:val="auto"/>
                <w:sz w:val="20"/>
                <w:szCs w:val="15"/>
              </w:rPr>
              <w:t>（10分）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adjustRightInd w:val="0"/>
              <w:snapToGrid w:val="0"/>
              <w:spacing w:line="240" w:lineRule="atLeast"/>
              <w:ind w:firstLine="480" w:firstLineChars="200"/>
              <w:jc w:val="center"/>
              <w:rPr>
                <w:rFonts w:hint="default" w:ascii="Times New Roman" w:hAnsi="Times New Roman" w:eastAsia="方正仿宋_GBK" w:cs="Times New Roman"/>
                <w:bCs/>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主要考核中标服务商制定的评价实施方案的适宜性和周密性，根据具体情况作出判断并核定分数。其中：</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采用的评价方法不适合被评价对象实际情况的，扣3分；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评价工作职责分工不明确的，扣3分；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评价指标体系不合理、依据不科学的，扣3分；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评价基础数据报表体系与评价目的、评价指标体系等联系不密切、相关性不大的，扣4分；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评价程序不规范的，扣3分；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评价时间安排不符合要求的，扣3分；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其他情况酌情扣分。</w:t>
            </w:r>
          </w:p>
          <w:p>
            <w:pPr>
              <w:numPr>
                <w:ilvl w:val="0"/>
                <w:numId w:val="17"/>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本项累计扣分为10分。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trPr>
        <w:tc>
          <w:tcPr>
            <w:tcW w:w="704" w:type="dxa"/>
            <w:vMerge w:val="continue"/>
            <w:vAlign w:val="center"/>
          </w:tcPr>
          <w:p>
            <w:pPr>
              <w:spacing w:line="0" w:lineRule="atLeast"/>
              <w:jc w:val="center"/>
              <w:rPr>
                <w:rFonts w:hint="default" w:ascii="Times New Roman" w:hAnsi="Times New Roman" w:eastAsia="方正仿宋_GBK" w:cs="Times New Roman"/>
                <w:color w:val="auto"/>
                <w:sz w:val="20"/>
                <w:szCs w:val="15"/>
              </w:rPr>
            </w:pPr>
          </w:p>
        </w:tc>
        <w:tc>
          <w:tcPr>
            <w:tcW w:w="1565" w:type="dxa"/>
            <w:gridSpan w:val="2"/>
            <w:vAlign w:val="center"/>
          </w:tcPr>
          <w:p>
            <w:pPr>
              <w:spacing w:line="0" w:lineRule="atLeast"/>
              <w:jc w:val="center"/>
              <w:rPr>
                <w:rFonts w:hint="default" w:ascii="Times New Roman" w:hAnsi="Times New Roman" w:eastAsia="方正仿宋_GBK" w:cs="Times New Roman"/>
                <w:b/>
                <w:color w:val="auto"/>
                <w:sz w:val="20"/>
                <w:szCs w:val="15"/>
              </w:rPr>
            </w:pPr>
          </w:p>
          <w:p>
            <w:pPr>
              <w:spacing w:line="0" w:lineRule="atLeast"/>
              <w:jc w:val="center"/>
              <w:rPr>
                <w:rFonts w:hint="default" w:ascii="Times New Roman" w:hAnsi="Times New Roman" w:eastAsia="方正仿宋_GBK" w:cs="Times New Roman"/>
                <w:b/>
                <w:color w:val="auto"/>
                <w:sz w:val="20"/>
                <w:szCs w:val="15"/>
              </w:rPr>
            </w:pPr>
          </w:p>
          <w:p>
            <w:pPr>
              <w:spacing w:line="0" w:lineRule="atLeast"/>
              <w:jc w:val="center"/>
              <w:rPr>
                <w:rFonts w:hint="default" w:ascii="Times New Roman" w:hAnsi="Times New Roman" w:eastAsia="方正仿宋_GBK" w:cs="Times New Roman"/>
                <w:b/>
                <w:color w:val="auto"/>
                <w:sz w:val="20"/>
                <w:szCs w:val="15"/>
              </w:rPr>
            </w:pPr>
          </w:p>
          <w:p>
            <w:pPr>
              <w:spacing w:line="0" w:lineRule="atLeast"/>
              <w:jc w:val="center"/>
              <w:rPr>
                <w:rFonts w:hint="default" w:ascii="Times New Roman" w:hAnsi="Times New Roman" w:eastAsia="方正仿宋_GBK" w:cs="Times New Roman"/>
                <w:b/>
                <w:color w:val="auto"/>
                <w:sz w:val="20"/>
                <w:szCs w:val="15"/>
              </w:rPr>
            </w:pPr>
          </w:p>
          <w:p>
            <w:pPr>
              <w:spacing w:line="0" w:lineRule="atLeast"/>
              <w:jc w:val="center"/>
              <w:rPr>
                <w:rFonts w:hint="default" w:ascii="Times New Roman" w:hAnsi="Times New Roman" w:eastAsia="方正仿宋_GBK" w:cs="Times New Roman"/>
                <w:b/>
                <w:color w:val="auto"/>
                <w:sz w:val="20"/>
                <w:szCs w:val="15"/>
              </w:rPr>
            </w:pPr>
          </w:p>
          <w:p>
            <w:pPr>
              <w:spacing w:line="0" w:lineRule="atLeast"/>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color w:val="auto"/>
                <w:sz w:val="20"/>
                <w:szCs w:val="15"/>
              </w:rPr>
              <w:t>（</w:t>
            </w:r>
            <w:r>
              <w:rPr>
                <w:rFonts w:hint="default" w:ascii="Times New Roman" w:hAnsi="Times New Roman" w:eastAsia="方正仿宋_GBK" w:cs="Times New Roman"/>
                <w:b/>
                <w:bCs/>
                <w:color w:val="auto"/>
                <w:sz w:val="20"/>
                <w:szCs w:val="15"/>
              </w:rPr>
              <w:t>二）</w:t>
            </w:r>
            <w:r>
              <w:rPr>
                <w:rFonts w:hint="eastAsia" w:ascii="Times New Roman" w:hAnsi="Times New Roman" w:eastAsia="方正仿宋_GBK" w:cs="Times New Roman"/>
                <w:b/>
                <w:bCs/>
                <w:color w:val="auto"/>
                <w:sz w:val="20"/>
                <w:szCs w:val="15"/>
                <w:lang w:val="en-US" w:eastAsia="zh-CN"/>
              </w:rPr>
              <w:t>项目预算评审</w:t>
            </w:r>
            <w:r>
              <w:rPr>
                <w:rFonts w:hint="default" w:ascii="Times New Roman" w:hAnsi="Times New Roman" w:eastAsia="方正仿宋_GBK" w:cs="Times New Roman"/>
                <w:b/>
                <w:bCs/>
                <w:color w:val="auto"/>
                <w:sz w:val="20"/>
                <w:szCs w:val="15"/>
              </w:rPr>
              <w:t>报告</w:t>
            </w:r>
          </w:p>
          <w:p>
            <w:pPr>
              <w:spacing w:line="0" w:lineRule="atLeast"/>
              <w:jc w:val="center"/>
              <w:rPr>
                <w:rFonts w:hint="default" w:ascii="Times New Roman" w:hAnsi="Times New Roman" w:eastAsia="方正仿宋_GBK" w:cs="Times New Roman"/>
                <w:color w:val="auto"/>
                <w:sz w:val="20"/>
                <w:szCs w:val="15"/>
              </w:rPr>
            </w:pPr>
            <w:r>
              <w:rPr>
                <w:rFonts w:hint="default" w:ascii="Times New Roman" w:hAnsi="Times New Roman" w:eastAsia="方正仿宋_GBK" w:cs="Times New Roman"/>
                <w:b/>
                <w:bCs/>
                <w:color w:val="auto"/>
                <w:sz w:val="20"/>
                <w:szCs w:val="15"/>
              </w:rPr>
              <w:t>（30分）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adjustRightInd w:val="0"/>
              <w:snapToGrid w:val="0"/>
              <w:spacing w:line="240" w:lineRule="atLeast"/>
              <w:ind w:firstLine="480" w:firstLineChars="200"/>
              <w:jc w:val="center"/>
              <w:rPr>
                <w:rFonts w:hint="default" w:ascii="Times New Roman" w:hAnsi="Times New Roman" w:eastAsia="方正仿宋_GBK" w:cs="Times New Roman"/>
                <w:bCs/>
                <w:color w:val="auto"/>
                <w:sz w:val="24"/>
              </w:rPr>
            </w:pPr>
          </w:p>
        </w:tc>
        <w:tc>
          <w:tcPr>
            <w:tcW w:w="7082" w:type="dxa"/>
          </w:tcPr>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主要考核中标服务商出具的评价报告其依据充分性，内容数据真实性、完整性和准确性，问题及结论客观公正性，建议及措施合理可行性，以及结构规范性、分析透彻清晰性等，根据具体情况作出判断并核定分数。其中：</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评价依据不充分的，每处扣5分；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内容数据欠真实、完整、准确的，每处扣5分；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问题及结论欠客观公正的，每处扣5分；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建议及措施欠合理可行的，每处扣5分；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分析不够透彻清晰的，每处扣3分；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未按规定格式和内容编写评价报告的，每处扣3分；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相关数字、文字逻辑错误，每处扣3分；</w:t>
            </w:r>
          </w:p>
          <w:p>
            <w:pPr>
              <w:numPr>
                <w:ilvl w:val="0"/>
                <w:numId w:val="18"/>
              </w:num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其他情况酌情扣分。</w:t>
            </w:r>
          </w:p>
          <w:p>
            <w:pPr>
              <w:adjustRightInd w:val="0"/>
              <w:snapToGrid w:val="0"/>
              <w:spacing w:line="240" w:lineRule="atLeast"/>
              <w:ind w:firstLine="360" w:firstLineChars="200"/>
              <w:rPr>
                <w:rFonts w:hint="default" w:ascii="Times New Roman" w:hAnsi="Times New Roman" w:eastAsia="方正仿宋_GBK" w:cs="Times New Roman"/>
                <w:bCs/>
                <w:color w:val="auto"/>
                <w:sz w:val="18"/>
                <w:szCs w:val="13"/>
              </w:rPr>
            </w:pPr>
            <w:r>
              <w:rPr>
                <w:rFonts w:hint="default" w:ascii="Times New Roman" w:hAnsi="Times New Roman" w:eastAsia="方正仿宋_GBK" w:cs="Times New Roman"/>
                <w:bCs/>
                <w:color w:val="auto"/>
                <w:sz w:val="18"/>
                <w:szCs w:val="13"/>
              </w:rPr>
              <w:t>本项累计扣分为30分。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54" w:hRule="atLeast"/>
        </w:trPr>
        <w:tc>
          <w:tcPr>
            <w:tcW w:w="704" w:type="dxa"/>
            <w:vMerge w:val="continue"/>
            <w:vAlign w:val="center"/>
          </w:tcPr>
          <w:p>
            <w:pPr>
              <w:spacing w:line="0" w:lineRule="atLeast"/>
              <w:jc w:val="center"/>
              <w:rPr>
                <w:rFonts w:hint="default" w:ascii="Times New Roman" w:hAnsi="Times New Roman" w:eastAsia="方正仿宋_GBK" w:cs="Times New Roman"/>
                <w:color w:val="auto"/>
                <w:sz w:val="20"/>
                <w:szCs w:val="15"/>
              </w:rPr>
            </w:pPr>
          </w:p>
        </w:tc>
        <w:tc>
          <w:tcPr>
            <w:tcW w:w="1565" w:type="dxa"/>
            <w:gridSpan w:val="2"/>
            <w:vAlign w:val="center"/>
          </w:tcPr>
          <w:p>
            <w:pPr>
              <w:tabs>
                <w:tab w:val="left" w:pos="720"/>
              </w:tabs>
              <w:spacing w:line="0" w:lineRule="atLeast"/>
              <w:ind w:left="98" w:leftChars="35"/>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（三）档案资料</w:t>
            </w:r>
          </w:p>
          <w:p>
            <w:pPr>
              <w:tabs>
                <w:tab w:val="left" w:pos="720"/>
              </w:tabs>
              <w:spacing w:line="0" w:lineRule="atLeast"/>
              <w:ind w:left="98" w:leftChars="35"/>
              <w:jc w:val="center"/>
              <w:rPr>
                <w:rFonts w:hint="default" w:ascii="Times New Roman" w:hAnsi="Times New Roman" w:eastAsia="方正仿宋_GBK" w:cs="Times New Roman"/>
                <w:b/>
                <w:color w:val="auto"/>
                <w:sz w:val="20"/>
                <w:szCs w:val="15"/>
              </w:rPr>
            </w:pPr>
            <w:r>
              <w:rPr>
                <w:rFonts w:hint="default" w:ascii="Times New Roman" w:hAnsi="Times New Roman" w:eastAsia="方正仿宋_GBK" w:cs="Times New Roman"/>
                <w:b/>
                <w:bCs/>
                <w:color w:val="auto"/>
                <w:sz w:val="20"/>
                <w:szCs w:val="15"/>
              </w:rPr>
              <w:t>（10分）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adjustRightInd w:val="0"/>
              <w:snapToGrid w:val="0"/>
              <w:spacing w:line="240" w:lineRule="atLeast"/>
              <w:ind w:firstLine="480" w:firstLineChars="200"/>
              <w:jc w:val="center"/>
              <w:rPr>
                <w:rFonts w:hint="default" w:ascii="Times New Roman" w:hAnsi="Times New Roman" w:eastAsia="方正仿宋_GBK" w:cs="Times New Roman"/>
                <w:bCs/>
                <w:color w:val="auto"/>
                <w:sz w:val="24"/>
              </w:rPr>
            </w:pPr>
          </w:p>
        </w:tc>
        <w:tc>
          <w:tcPr>
            <w:tcW w:w="7082" w:type="dxa"/>
          </w:tcPr>
          <w:p>
            <w:pPr>
              <w:pStyle w:val="27"/>
              <w:adjustRightInd w:val="0"/>
              <w:snapToGrid w:val="0"/>
              <w:spacing w:line="240" w:lineRule="atLeast"/>
              <w:ind w:left="21"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主要考核中标服务商评价工作底稿等档案资料完整规范、整洁条理等，根据具体情况作出判断并核定分数。其中：</w:t>
            </w:r>
          </w:p>
          <w:p>
            <w:pPr>
              <w:pStyle w:val="27"/>
              <w:numPr>
                <w:ilvl w:val="0"/>
                <w:numId w:val="19"/>
              </w:numPr>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没有按要求建立委托事项档案的，本项得0分；</w:t>
            </w:r>
          </w:p>
          <w:p>
            <w:pPr>
              <w:pStyle w:val="27"/>
              <w:numPr>
                <w:ilvl w:val="0"/>
                <w:numId w:val="19"/>
              </w:numPr>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没有将归档保管的项目预算评审档案材料目录报备，扣5 分；</w:t>
            </w:r>
          </w:p>
          <w:p>
            <w:pPr>
              <w:pStyle w:val="27"/>
              <w:numPr>
                <w:ilvl w:val="0"/>
                <w:numId w:val="19"/>
              </w:numPr>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评价工作底稿不完整的，缺少一项扣2分；</w:t>
            </w:r>
          </w:p>
          <w:p>
            <w:pPr>
              <w:pStyle w:val="27"/>
              <w:numPr>
                <w:ilvl w:val="0"/>
                <w:numId w:val="19"/>
              </w:numPr>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评价工作底稿签名和签署意见不齐全，每处扣1分；</w:t>
            </w:r>
          </w:p>
          <w:p>
            <w:pPr>
              <w:pStyle w:val="27"/>
              <w:numPr>
                <w:ilvl w:val="0"/>
                <w:numId w:val="19"/>
              </w:numPr>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工作底稿不整洁的，扣5分；</w:t>
            </w:r>
          </w:p>
          <w:p>
            <w:pPr>
              <w:pStyle w:val="27"/>
              <w:numPr>
                <w:ilvl w:val="0"/>
                <w:numId w:val="19"/>
              </w:numPr>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其他情况酌情扣分。</w:t>
            </w:r>
          </w:p>
          <w:p>
            <w:pPr>
              <w:pStyle w:val="27"/>
              <w:adjustRightInd w:val="0"/>
              <w:snapToGrid w:val="0"/>
              <w:spacing w:line="240" w:lineRule="atLeast"/>
              <w:ind w:left="21" w:firstLine="360" w:firstLineChars="200"/>
              <w:rPr>
                <w:rFonts w:hint="default" w:ascii="Times New Roman" w:hAnsi="Times New Roman" w:eastAsia="方正仿宋_GBK" w:cs="Times New Roman"/>
                <w:bCs/>
                <w:color w:val="auto"/>
                <w:sz w:val="18"/>
                <w:szCs w:val="18"/>
              </w:rPr>
            </w:pPr>
            <w:r>
              <w:rPr>
                <w:rFonts w:hint="default" w:ascii="Times New Roman" w:hAnsi="Times New Roman" w:eastAsia="方正仿宋_GBK" w:cs="Times New Roman"/>
                <w:bCs/>
                <w:color w:val="auto"/>
                <w:sz w:val="18"/>
                <w:szCs w:val="18"/>
              </w:rPr>
              <w:t>本项累计扣分为10分。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trPr>
        <w:tc>
          <w:tcPr>
            <w:tcW w:w="704" w:type="dxa"/>
            <w:vAlign w:val="center"/>
          </w:tcPr>
          <w:p>
            <w:pPr>
              <w:spacing w:line="0" w:lineRule="atLeast"/>
              <w:jc w:val="center"/>
              <w:rPr>
                <w:rFonts w:hint="default" w:ascii="Times New Roman" w:hAnsi="Times New Roman" w:eastAsia="方正仿宋_GBK" w:cs="Times New Roman"/>
                <w:color w:val="auto"/>
                <w:sz w:val="20"/>
                <w:szCs w:val="15"/>
              </w:rPr>
            </w:pPr>
            <w:r>
              <w:rPr>
                <w:rFonts w:hint="eastAsia" w:ascii="方正黑体_GBK" w:hAnsi="方正黑体_GBK" w:eastAsia="方正黑体_GBK" w:cs="方正黑体_GBK"/>
                <w:b w:val="0"/>
                <w:bCs w:val="0"/>
                <w:color w:val="auto"/>
                <w:sz w:val="20"/>
                <w:szCs w:val="15"/>
              </w:rPr>
              <w:t>合计</w:t>
            </w:r>
          </w:p>
        </w:tc>
        <w:tc>
          <w:tcPr>
            <w:tcW w:w="1565" w:type="dxa"/>
            <w:gridSpan w:val="2"/>
            <w:vAlign w:val="center"/>
          </w:tcPr>
          <w:p>
            <w:pPr>
              <w:tabs>
                <w:tab w:val="left" w:pos="720"/>
              </w:tabs>
              <w:spacing w:line="0" w:lineRule="atLeast"/>
              <w:ind w:left="1325" w:hanging="1104" w:hangingChars="550"/>
              <w:jc w:val="center"/>
              <w:rPr>
                <w:rFonts w:hint="default" w:ascii="Times New Roman" w:hAnsi="Times New Roman" w:eastAsia="方正仿宋_GBK" w:cs="Times New Roman"/>
                <w:b/>
                <w:bCs/>
                <w:color w:val="auto"/>
                <w:sz w:val="20"/>
                <w:szCs w:val="15"/>
              </w:rPr>
            </w:pPr>
            <w:r>
              <w:rPr>
                <w:rFonts w:hint="default" w:ascii="Times New Roman" w:hAnsi="Times New Roman" w:eastAsia="方正仿宋_GBK" w:cs="Times New Roman"/>
                <w:b/>
                <w:bCs/>
                <w:color w:val="auto"/>
                <w:sz w:val="20"/>
                <w:szCs w:val="15"/>
              </w:rPr>
              <w:t>100分</w:t>
            </w:r>
          </w:p>
        </w:tc>
        <w:tc>
          <w:tcPr>
            <w:tcW w:w="425" w:type="dxa"/>
            <w:vAlign w:val="center"/>
          </w:tcPr>
          <w:p>
            <w:pPr>
              <w:spacing w:line="0" w:lineRule="atLeast"/>
              <w:jc w:val="center"/>
              <w:rPr>
                <w:rFonts w:hint="default" w:ascii="Times New Roman" w:hAnsi="Times New Roman" w:eastAsia="方正仿宋_GBK" w:cs="Times New Roman"/>
                <w:color w:val="auto"/>
                <w:sz w:val="24"/>
              </w:rPr>
            </w:pPr>
          </w:p>
        </w:tc>
        <w:tc>
          <w:tcPr>
            <w:tcW w:w="426" w:type="dxa"/>
            <w:vAlign w:val="center"/>
          </w:tcPr>
          <w:p>
            <w:pPr>
              <w:adjustRightInd w:val="0"/>
              <w:snapToGrid w:val="0"/>
              <w:spacing w:line="240" w:lineRule="atLeast"/>
              <w:ind w:firstLine="480" w:firstLineChars="200"/>
              <w:jc w:val="center"/>
              <w:rPr>
                <w:rFonts w:hint="default" w:ascii="Times New Roman" w:hAnsi="Times New Roman" w:eastAsia="方正仿宋_GBK" w:cs="Times New Roman"/>
                <w:bCs/>
                <w:color w:val="auto"/>
                <w:sz w:val="24"/>
              </w:rPr>
            </w:pPr>
          </w:p>
        </w:tc>
        <w:tc>
          <w:tcPr>
            <w:tcW w:w="7082" w:type="dxa"/>
          </w:tcPr>
          <w:p>
            <w:pPr>
              <w:pStyle w:val="27"/>
              <w:adjustRightInd w:val="0"/>
              <w:snapToGrid w:val="0"/>
              <w:spacing w:line="240" w:lineRule="atLeast"/>
              <w:ind w:firstLine="360" w:firstLineChars="200"/>
              <w:rPr>
                <w:rFonts w:hint="default" w:ascii="Times New Roman" w:hAnsi="Times New Roman" w:eastAsia="方正仿宋_GBK" w:cs="Times New Roman"/>
                <w:bCs/>
                <w:color w:val="auto"/>
                <w:sz w:val="18"/>
                <w:szCs w:val="18"/>
              </w:rPr>
            </w:pPr>
          </w:p>
        </w:tc>
      </w:tr>
    </w:tbl>
    <w:p>
      <w:pPr>
        <w:snapToGrid w:val="0"/>
        <w:spacing w:line="594" w:lineRule="atLeas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仿宋_GBK" w:cs="Times New Roman"/>
          <w:b w:val="0"/>
          <w:bCs/>
          <w:color w:val="auto"/>
          <w:kern w:val="2"/>
          <w:sz w:val="32"/>
          <w:szCs w:val="32"/>
          <w:lang w:val="en-US" w:eastAsia="zh-CN" w:bidi="ar-SA"/>
        </w:rPr>
        <w:t>（</w:t>
      </w:r>
      <w:r>
        <w:rPr>
          <w:rFonts w:hint="eastAsia" w:ascii="Times New Roman" w:hAnsi="Times New Roman" w:eastAsia="方正仿宋_GBK" w:cs="Times New Roman"/>
          <w:b w:val="0"/>
          <w:bCs/>
          <w:color w:val="auto"/>
          <w:kern w:val="2"/>
          <w:sz w:val="32"/>
          <w:szCs w:val="32"/>
          <w:lang w:val="en-US" w:eastAsia="zh-CN" w:bidi="ar-SA"/>
        </w:rPr>
        <w:t>六</w:t>
      </w:r>
      <w:r>
        <w:rPr>
          <w:rFonts w:hint="default" w:ascii="Times New Roman" w:hAnsi="Times New Roman" w:eastAsia="方正仿宋_GBK" w:cs="Times New Roman"/>
          <w:b w:val="0"/>
          <w:bCs/>
          <w:color w:val="auto"/>
          <w:kern w:val="2"/>
          <w:sz w:val="32"/>
          <w:szCs w:val="32"/>
          <w:lang w:val="en-US" w:eastAsia="zh-CN" w:bidi="ar-SA"/>
        </w:rPr>
        <w:t>）修正错误</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若响应文件出现计算或表达上的错误，修正错误的原则如下：</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1.响应文件中报价函的内容与响应文件中相应内容不一致的，以报价函为准；</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2.大写金额和小写金额不一致的，以大写金额为准；</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3.单价金额小数点或者百分比有明显错位的，以报价函总价为准，并修改单价；</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4.总价金额与按单价汇总金额不一致的，以单价金额计算结果为准。</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lang w:val="en-US" w:eastAsia="zh-CN"/>
        </w:rPr>
        <w:t>谈判</w:t>
      </w:r>
      <w:r>
        <w:rPr>
          <w:rFonts w:hint="default" w:ascii="Times New Roman" w:hAnsi="Times New Roman" w:eastAsia="方正仿宋_GBK" w:cs="Times New Roman"/>
          <w:bCs/>
          <w:color w:val="auto"/>
          <w:sz w:val="32"/>
          <w:szCs w:val="32"/>
        </w:rPr>
        <w:t>小组按上述修正错误的原则及方法调整或修正</w:t>
      </w:r>
      <w:r>
        <w:rPr>
          <w:rFonts w:hint="eastAsia" w:eastAsia="方正仿宋_GBK" w:cs="Times New Roman"/>
          <w:bCs/>
          <w:color w:val="auto"/>
          <w:sz w:val="32"/>
          <w:szCs w:val="32"/>
          <w:lang w:eastAsia="zh-CN"/>
        </w:rPr>
        <w:t>投标人</w:t>
      </w:r>
      <w:r>
        <w:rPr>
          <w:rFonts w:hint="eastAsia" w:ascii="Times New Roman" w:hAnsi="Times New Roman" w:eastAsia="方正仿宋_GBK" w:cs="Times New Roman"/>
          <w:bCs/>
          <w:color w:val="auto"/>
          <w:sz w:val="32"/>
          <w:szCs w:val="32"/>
          <w:lang w:val="en-US" w:eastAsia="zh-CN"/>
        </w:rPr>
        <w:t>投标人</w:t>
      </w:r>
      <w:r>
        <w:rPr>
          <w:rFonts w:hint="default" w:ascii="Times New Roman" w:hAnsi="Times New Roman" w:eastAsia="方正仿宋_GBK" w:cs="Times New Roman"/>
          <w:bCs/>
          <w:color w:val="auto"/>
          <w:sz w:val="32"/>
          <w:szCs w:val="32"/>
        </w:rPr>
        <w:t>报价，若同时出现两种以上不一致的，按照前款规定的顺序修正，</w:t>
      </w:r>
      <w:r>
        <w:rPr>
          <w:rFonts w:hint="eastAsia" w:ascii="Times New Roman" w:hAnsi="Times New Roman" w:eastAsia="方正仿宋_GBK" w:cs="Times New Roman"/>
          <w:bCs/>
          <w:color w:val="auto"/>
          <w:sz w:val="32"/>
          <w:szCs w:val="32"/>
          <w:lang w:val="en-US" w:eastAsia="zh-CN"/>
        </w:rPr>
        <w:t>投标人</w:t>
      </w:r>
      <w:r>
        <w:rPr>
          <w:rFonts w:hint="default" w:ascii="Times New Roman" w:hAnsi="Times New Roman" w:eastAsia="方正仿宋_GBK" w:cs="Times New Roman"/>
          <w:bCs/>
          <w:color w:val="auto"/>
          <w:sz w:val="32"/>
          <w:szCs w:val="32"/>
        </w:rPr>
        <w:t>同意并签字确认后，调整后的报价对</w:t>
      </w:r>
      <w:r>
        <w:rPr>
          <w:rFonts w:hint="eastAsia" w:eastAsia="方正仿宋_GBK" w:cs="Times New Roman"/>
          <w:bCs/>
          <w:color w:val="auto"/>
          <w:sz w:val="32"/>
          <w:szCs w:val="32"/>
          <w:lang w:eastAsia="zh-CN"/>
        </w:rPr>
        <w:t>投标人</w:t>
      </w:r>
      <w:r>
        <w:rPr>
          <w:rFonts w:hint="default" w:ascii="Times New Roman" w:hAnsi="Times New Roman" w:eastAsia="方正仿宋_GBK" w:cs="Times New Roman"/>
          <w:bCs/>
          <w:color w:val="auto"/>
          <w:sz w:val="32"/>
          <w:szCs w:val="32"/>
        </w:rPr>
        <w:t>具有约束作用。如果</w:t>
      </w:r>
      <w:r>
        <w:rPr>
          <w:rFonts w:hint="eastAsia" w:eastAsia="方正仿宋_GBK" w:cs="Times New Roman"/>
          <w:bCs/>
          <w:color w:val="auto"/>
          <w:sz w:val="32"/>
          <w:szCs w:val="32"/>
          <w:lang w:eastAsia="zh-CN"/>
        </w:rPr>
        <w:t>投标人</w:t>
      </w:r>
      <w:r>
        <w:rPr>
          <w:rFonts w:hint="default" w:ascii="Times New Roman" w:hAnsi="Times New Roman" w:eastAsia="方正仿宋_GBK" w:cs="Times New Roman"/>
          <w:bCs/>
          <w:color w:val="auto"/>
          <w:sz w:val="32"/>
          <w:szCs w:val="32"/>
        </w:rPr>
        <w:t>不接受修正后的报价，则其投标将作为无效投标处理。</w:t>
      </w:r>
    </w:p>
    <w:p>
      <w:pPr>
        <w:snapToGrid w:val="0"/>
        <w:spacing w:line="594" w:lineRule="atLeast"/>
        <w:ind w:firstLine="640" w:firstLineChars="200"/>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（七）响应文件语言：简体中文</w:t>
      </w:r>
    </w:p>
    <w:p>
      <w:pPr>
        <w:snapToGrid w:val="0"/>
        <w:spacing w:line="594" w:lineRule="atLeast"/>
        <w:ind w:firstLine="640" w:firstLineChars="200"/>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w:t>
      </w:r>
      <w:r>
        <w:rPr>
          <w:rFonts w:hint="eastAsia" w:ascii="Times New Roman" w:hAnsi="Times New Roman" w:eastAsia="方正仿宋_GBK" w:cs="Times New Roman"/>
          <w:b w:val="0"/>
          <w:bCs/>
          <w:color w:val="auto"/>
          <w:kern w:val="2"/>
          <w:sz w:val="32"/>
          <w:szCs w:val="32"/>
          <w:lang w:val="en-US" w:eastAsia="zh-CN" w:bidi="ar-SA"/>
        </w:rPr>
        <w:t>八</w:t>
      </w:r>
      <w:r>
        <w:rPr>
          <w:rFonts w:hint="default" w:ascii="Times New Roman" w:hAnsi="Times New Roman" w:eastAsia="方正仿宋_GBK" w:cs="Times New Roman"/>
          <w:b w:val="0"/>
          <w:bCs/>
          <w:color w:val="auto"/>
          <w:kern w:val="2"/>
          <w:sz w:val="32"/>
          <w:szCs w:val="32"/>
          <w:lang w:val="en-US" w:eastAsia="zh-CN" w:bidi="ar-SA"/>
        </w:rPr>
        <w:t>）无效响应</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1、</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或其响应文件发生以下条款情况之一者，视为无效投标：</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（1）</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不符合规定的基本资格条件或特定资格条件的。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（2）</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的营业执照无效的或营业范围不含工程造价咨询的。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（3）</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提供的服务方案中项目组人员不符合采购文件要求的。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（4）</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的响应文件不按规定的格式、内容填写或不按采购文件规定格式签字、盖章。</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（5）</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未在规定时间内，按照采购文件要求提交盖章要求的。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（6）</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提供资料的电子件不清晰的。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（7）</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以联合体形式参与投标的。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（8）</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为本项目的预算编制的造价咨询单位。</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（9）</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的响应文件含有与国家现行法律法规相违背的内容，或附有采购人无法接受的条件的。</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2、开标时投标人不足</w:t>
      </w:r>
      <w:r>
        <w:rPr>
          <w:rFonts w:hint="eastAsia" w:ascii="Times New Roman" w:eastAsia="方正仿宋_GBK" w:cs="Times New Roman"/>
          <w:bCs/>
          <w:color w:val="auto"/>
          <w:kern w:val="2"/>
          <w:sz w:val="32"/>
          <w:szCs w:val="32"/>
          <w:lang w:val="en-US" w:eastAsia="zh-CN" w:bidi="ar-SA"/>
        </w:rPr>
        <w:t>三</w:t>
      </w:r>
      <w:r>
        <w:rPr>
          <w:rFonts w:hint="default" w:ascii="Times New Roman" w:hAnsi="Times New Roman" w:eastAsia="方正仿宋_GBK" w:cs="Times New Roman"/>
          <w:bCs/>
          <w:color w:val="auto"/>
          <w:kern w:val="2"/>
          <w:sz w:val="32"/>
          <w:szCs w:val="32"/>
          <w:lang w:val="en-US" w:eastAsia="zh-CN" w:bidi="ar-SA"/>
        </w:rPr>
        <w:t>家，采购失败，采购人重新组织采购。</w:t>
      </w:r>
    </w:p>
    <w:p>
      <w:pPr>
        <w:snapToGrid w:val="0"/>
        <w:spacing w:line="594" w:lineRule="atLeast"/>
        <w:ind w:firstLine="640" w:firstLineChars="200"/>
        <w:rPr>
          <w:rFonts w:hint="default" w:ascii="Times New Roman" w:hAnsi="Times New Roman" w:eastAsia="方正仿宋_GBK" w:cs="Times New Roman"/>
          <w:b w:val="0"/>
          <w:bCs/>
          <w:color w:val="auto"/>
          <w:kern w:val="2"/>
          <w:sz w:val="32"/>
          <w:szCs w:val="32"/>
          <w:lang w:val="en-US" w:eastAsia="zh-CN" w:bidi="ar-SA"/>
        </w:rPr>
      </w:pPr>
      <w:r>
        <w:rPr>
          <w:rFonts w:hint="default" w:ascii="Times New Roman" w:hAnsi="Times New Roman" w:eastAsia="方正仿宋_GBK" w:cs="Times New Roman"/>
          <w:b w:val="0"/>
          <w:bCs/>
          <w:color w:val="auto"/>
          <w:kern w:val="2"/>
          <w:sz w:val="32"/>
          <w:szCs w:val="32"/>
          <w:lang w:val="en-US" w:eastAsia="zh-CN" w:bidi="ar-SA"/>
        </w:rPr>
        <w:t>（</w:t>
      </w:r>
      <w:r>
        <w:rPr>
          <w:rFonts w:hint="eastAsia" w:ascii="Times New Roman" w:hAnsi="Times New Roman" w:eastAsia="方正仿宋_GBK" w:cs="Times New Roman"/>
          <w:b w:val="0"/>
          <w:bCs/>
          <w:color w:val="auto"/>
          <w:kern w:val="2"/>
          <w:sz w:val="32"/>
          <w:szCs w:val="32"/>
          <w:lang w:val="en-US" w:eastAsia="zh-CN" w:bidi="ar-SA"/>
        </w:rPr>
        <w:t>九</w:t>
      </w:r>
      <w:r>
        <w:rPr>
          <w:rFonts w:hint="default" w:ascii="Times New Roman" w:hAnsi="Times New Roman" w:eastAsia="方正仿宋_GBK" w:cs="Times New Roman"/>
          <w:b w:val="0"/>
          <w:bCs/>
          <w:color w:val="auto"/>
          <w:kern w:val="2"/>
          <w:sz w:val="32"/>
          <w:szCs w:val="32"/>
          <w:lang w:val="en-US" w:eastAsia="zh-CN" w:bidi="ar-SA"/>
        </w:rPr>
        <w:t>）其他</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1.</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提供的投标文件，前后矛盾时，按最不利于</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的原则评审。</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bCs/>
          <w:color w:val="auto"/>
          <w:kern w:val="2"/>
          <w:sz w:val="32"/>
          <w:szCs w:val="32"/>
          <w:lang w:val="en-US" w:eastAsia="zh-CN" w:bidi="ar-SA"/>
        </w:rPr>
      </w:pPr>
      <w:r>
        <w:rPr>
          <w:rFonts w:hint="default" w:ascii="Times New Roman" w:hAnsi="Times New Roman" w:eastAsia="方正仿宋_GBK" w:cs="Times New Roman"/>
          <w:bCs/>
          <w:color w:val="auto"/>
          <w:kern w:val="2"/>
          <w:sz w:val="32"/>
          <w:szCs w:val="32"/>
          <w:lang w:val="en-US" w:eastAsia="zh-CN" w:bidi="ar-SA"/>
        </w:rPr>
        <w:t>2.无论</w:t>
      </w:r>
      <w:r>
        <w:rPr>
          <w:rFonts w:hint="eastAsia" w:ascii="Times New Roman" w:eastAsia="方正仿宋_GBK" w:cs="Times New Roman"/>
          <w:bCs/>
          <w:color w:val="auto"/>
          <w:kern w:val="2"/>
          <w:sz w:val="32"/>
          <w:szCs w:val="32"/>
          <w:lang w:val="en-US" w:eastAsia="zh-CN" w:bidi="ar-SA"/>
        </w:rPr>
        <w:t>谈判</w:t>
      </w:r>
      <w:r>
        <w:rPr>
          <w:rFonts w:hint="default" w:ascii="Times New Roman" w:hAnsi="Times New Roman" w:eastAsia="方正仿宋_GBK" w:cs="Times New Roman"/>
          <w:bCs/>
          <w:color w:val="auto"/>
          <w:kern w:val="2"/>
          <w:sz w:val="32"/>
          <w:szCs w:val="32"/>
          <w:lang w:val="en-US" w:eastAsia="zh-CN" w:bidi="ar-SA"/>
        </w:rPr>
        <w:t>结果如何，</w:t>
      </w:r>
      <w:r>
        <w:rPr>
          <w:rFonts w:hint="eastAsia" w:ascii="Times New Roman" w:hAnsi="Times New Roman" w:eastAsia="方正仿宋_GBK" w:cs="Times New Roman"/>
          <w:bCs/>
          <w:color w:val="auto"/>
          <w:kern w:val="2"/>
          <w:sz w:val="32"/>
          <w:szCs w:val="32"/>
          <w:lang w:val="en-US" w:eastAsia="zh-CN" w:bidi="ar-SA"/>
        </w:rPr>
        <w:t>投标人</w:t>
      </w:r>
      <w:r>
        <w:rPr>
          <w:rFonts w:hint="default" w:ascii="Times New Roman" w:hAnsi="Times New Roman" w:eastAsia="方正仿宋_GBK" w:cs="Times New Roman"/>
          <w:bCs/>
          <w:color w:val="auto"/>
          <w:kern w:val="2"/>
          <w:sz w:val="32"/>
          <w:szCs w:val="32"/>
          <w:lang w:val="en-US" w:eastAsia="zh-CN" w:bidi="ar-SA"/>
        </w:rPr>
        <w:t>参与本项目的所有费用均自行承担。</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rPr>
      </w:pPr>
      <w:r>
        <w:rPr>
          <w:rFonts w:hint="default" w:ascii="Times New Roman" w:hAnsi="Times New Roman" w:eastAsia="方正仿宋_GBK" w:cs="Times New Roman"/>
          <w:bCs/>
          <w:color w:val="auto"/>
          <w:kern w:val="2"/>
          <w:sz w:val="32"/>
          <w:szCs w:val="32"/>
          <w:lang w:val="en-US" w:eastAsia="zh-CN" w:bidi="ar-SA"/>
        </w:rPr>
        <w:t>3.其他未尽事宜由供需双方在采购合同中详细约定。</w:t>
      </w:r>
    </w:p>
    <w:p>
      <w:pPr>
        <w:snapToGrid w:val="0"/>
        <w:spacing w:line="594" w:lineRule="atLeas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四、服务期</w:t>
      </w:r>
    </w:p>
    <w:p>
      <w:pPr>
        <w:snapToGrid w:val="0"/>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自合同签订后</w:t>
      </w:r>
      <w:r>
        <w:rPr>
          <w:rFonts w:hint="eastAsia" w:eastAsia="方正仿宋_GBK" w:cs="Times New Roman"/>
          <w:bCs/>
          <w:color w:val="auto"/>
          <w:sz w:val="32"/>
          <w:szCs w:val="32"/>
          <w:lang w:val="en-US" w:eastAsia="zh-CN"/>
        </w:rPr>
        <w:t>30</w:t>
      </w:r>
      <w:r>
        <w:rPr>
          <w:rFonts w:hint="default" w:ascii="Times New Roman" w:hAnsi="Times New Roman" w:eastAsia="方正仿宋_GBK" w:cs="Times New Roman"/>
          <w:bCs/>
          <w:color w:val="auto"/>
          <w:sz w:val="32"/>
          <w:szCs w:val="32"/>
        </w:rPr>
        <w:t>日内提交正式</w:t>
      </w:r>
      <w:r>
        <w:rPr>
          <w:rFonts w:hint="eastAsia" w:eastAsia="方正仿宋_GBK" w:cs="Times New Roman"/>
          <w:bCs/>
          <w:color w:val="auto"/>
          <w:sz w:val="32"/>
          <w:szCs w:val="32"/>
          <w:lang w:val="en-US" w:eastAsia="zh-CN"/>
        </w:rPr>
        <w:t>项目预算评审</w:t>
      </w:r>
      <w:r>
        <w:rPr>
          <w:rFonts w:hint="default" w:ascii="Times New Roman" w:hAnsi="Times New Roman" w:eastAsia="方正仿宋_GBK" w:cs="Times New Roman"/>
          <w:bCs/>
          <w:color w:val="auto"/>
          <w:sz w:val="32"/>
          <w:szCs w:val="32"/>
        </w:rPr>
        <w:t>报告。</w:t>
      </w:r>
    </w:p>
    <w:p>
      <w:pPr>
        <w:snapToGrid w:val="0"/>
        <w:spacing w:line="594" w:lineRule="atLeas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五、付款方式</w:t>
      </w:r>
    </w:p>
    <w:p>
      <w:pPr>
        <w:snapToGrid w:val="0"/>
        <w:spacing w:line="594" w:lineRule="exact"/>
        <w:ind w:firstLine="640" w:firstLineChars="200"/>
        <w:rPr>
          <w:rFonts w:hint="default" w:ascii="Times New Roman" w:hAnsi="Times New Roman" w:eastAsia="方正仿宋_GBK" w:cs="Times New Roman"/>
          <w:b w:val="0"/>
          <w:bCs w:val="0"/>
          <w:color w:val="auto"/>
          <w:sz w:val="32"/>
          <w:szCs w:val="32"/>
        </w:rPr>
      </w:pPr>
      <w:bookmarkStart w:id="21" w:name="_Toc5085"/>
      <w:bookmarkStart w:id="22" w:name="_Toc9654"/>
      <w:bookmarkStart w:id="23" w:name="_Toc25886"/>
      <w:bookmarkStart w:id="24" w:name="_Toc27955"/>
      <w:bookmarkStart w:id="25" w:name="_Toc20778"/>
      <w:bookmarkStart w:id="26" w:name="_Toc3475"/>
      <w:bookmarkStart w:id="27" w:name="_Toc11828"/>
      <w:bookmarkStart w:id="28" w:name="_Toc19730"/>
      <w:bookmarkStart w:id="29" w:name="_Toc14778"/>
      <w:bookmarkStart w:id="30" w:name="_Toc15478"/>
      <w:bookmarkStart w:id="31" w:name="_Toc25516"/>
      <w:bookmarkStart w:id="32" w:name="_Toc31315"/>
      <w:bookmarkStart w:id="33" w:name="_Toc9027"/>
      <w:bookmarkStart w:id="34" w:name="_Toc13969"/>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一</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项目服务完成并出具正式审核报告，完成项目评审，经采购人验收审定合格，评审资料全部完好无损返回给采购人，成交</w:t>
      </w:r>
      <w:r>
        <w:rPr>
          <w:rFonts w:hint="eastAsia" w:eastAsia="方正仿宋_GBK" w:cs="Times New Roman"/>
          <w:b w:val="0"/>
          <w:bCs w:val="0"/>
          <w:color w:val="auto"/>
          <w:sz w:val="32"/>
          <w:szCs w:val="32"/>
          <w:lang w:eastAsia="zh-CN"/>
        </w:rPr>
        <w:t>投标人</w:t>
      </w:r>
      <w:r>
        <w:rPr>
          <w:rFonts w:hint="default" w:ascii="Times New Roman" w:hAnsi="Times New Roman" w:eastAsia="方正仿宋_GBK" w:cs="Times New Roman"/>
          <w:b w:val="0"/>
          <w:bCs w:val="0"/>
          <w:color w:val="auto"/>
          <w:sz w:val="32"/>
          <w:szCs w:val="32"/>
        </w:rPr>
        <w:t>向</w:t>
      </w:r>
      <w:r>
        <w:rPr>
          <w:rFonts w:hint="eastAsia" w:eastAsia="方正仿宋_GBK" w:cs="Times New Roman"/>
          <w:b w:val="0"/>
          <w:bCs w:val="0"/>
          <w:color w:val="auto"/>
          <w:sz w:val="32"/>
          <w:szCs w:val="32"/>
          <w:lang w:val="en-US" w:eastAsia="zh-CN"/>
        </w:rPr>
        <w:t>重庆市大渡口区城乡建设发展有限公司</w:t>
      </w:r>
      <w:r>
        <w:rPr>
          <w:rFonts w:hint="default" w:ascii="Times New Roman" w:hAnsi="Times New Roman" w:eastAsia="方正仿宋_GBK" w:cs="Times New Roman"/>
          <w:b w:val="0"/>
          <w:bCs w:val="0"/>
          <w:color w:val="auto"/>
          <w:sz w:val="32"/>
          <w:szCs w:val="32"/>
        </w:rPr>
        <w:t>开具正规发票，采购人向成交</w:t>
      </w:r>
      <w:r>
        <w:rPr>
          <w:rFonts w:hint="eastAsia" w:eastAsia="方正仿宋_GBK" w:cs="Times New Roman"/>
          <w:b w:val="0"/>
          <w:bCs w:val="0"/>
          <w:color w:val="auto"/>
          <w:sz w:val="32"/>
          <w:szCs w:val="32"/>
          <w:lang w:eastAsia="zh-CN"/>
        </w:rPr>
        <w:t>投标人</w:t>
      </w:r>
      <w:r>
        <w:rPr>
          <w:rFonts w:hint="default" w:ascii="Times New Roman" w:hAnsi="Times New Roman" w:eastAsia="方正仿宋_GBK" w:cs="Times New Roman"/>
          <w:b w:val="0"/>
          <w:bCs w:val="0"/>
          <w:color w:val="auto"/>
          <w:sz w:val="32"/>
          <w:szCs w:val="32"/>
        </w:rPr>
        <w:t>一次性支付咨询服务费。</w:t>
      </w:r>
    </w:p>
    <w:p>
      <w:pPr>
        <w:snapToGrid w:val="0"/>
        <w:spacing w:line="594" w:lineRule="exact"/>
        <w:ind w:firstLine="640" w:firstLineChars="200"/>
        <w:rPr>
          <w:rFonts w:hint="default" w:ascii="Times New Roman" w:hAnsi="Times New Roman" w:eastAsia="方正仿宋_GBK" w:cs="Times New Roman"/>
          <w:b w:val="0"/>
          <w:bCs w:val="0"/>
          <w:color w:val="auto"/>
          <w:sz w:val="32"/>
          <w:szCs w:val="32"/>
        </w:rPr>
      </w:pPr>
      <w:r>
        <w:rPr>
          <w:rFonts w:hint="eastAsia" w:eastAsia="方正仿宋_GBK" w:cs="Times New Roman"/>
          <w:b w:val="0"/>
          <w:bCs w:val="0"/>
          <w:color w:val="auto"/>
          <w:sz w:val="32"/>
          <w:szCs w:val="32"/>
          <w:lang w:eastAsia="zh-CN"/>
        </w:rPr>
        <w:t>（</w:t>
      </w:r>
      <w:r>
        <w:rPr>
          <w:rFonts w:hint="eastAsia" w:eastAsia="方正仿宋_GBK" w:cs="Times New Roman"/>
          <w:b w:val="0"/>
          <w:bCs w:val="0"/>
          <w:color w:val="auto"/>
          <w:sz w:val="32"/>
          <w:szCs w:val="32"/>
          <w:lang w:val="en-US" w:eastAsia="zh-CN"/>
        </w:rPr>
        <w:t>二</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本次采购预算金额以送审金额</w:t>
      </w:r>
      <w:r>
        <w:rPr>
          <w:rFonts w:hint="eastAsia" w:eastAsia="方正仿宋_GBK" w:cs="Times New Roman"/>
          <w:b w:val="0"/>
          <w:bCs w:val="0"/>
          <w:color w:val="auto"/>
          <w:sz w:val="32"/>
          <w:szCs w:val="32"/>
          <w:lang w:val="en-US" w:eastAsia="zh-CN"/>
        </w:rPr>
        <w:t>660,000,000.00</w:t>
      </w:r>
      <w:r>
        <w:rPr>
          <w:rFonts w:hint="default" w:ascii="Times New Roman" w:hAnsi="Times New Roman" w:eastAsia="方正仿宋_GBK" w:cs="Times New Roman"/>
          <w:b w:val="0"/>
          <w:bCs w:val="0"/>
          <w:color w:val="auto"/>
          <w:sz w:val="32"/>
          <w:szCs w:val="32"/>
        </w:rPr>
        <w:t>元编制，若建设单位报送的预算书金额有调整，咨询服务费用应作相应调整，即按中标金额与采购预算金额同比例进行上下浮动。咨询服务费的计算公式为：本次中标金额÷采购人采购时建设单位送审的预算编制金额（即660</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000</w:t>
      </w:r>
      <w:r>
        <w:rPr>
          <w:rFonts w:hint="eastAsia"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000.00元）×【建设单位最终确定的预算编制金额-（送审暂列金额+送审暂估价）】。</w:t>
      </w:r>
    </w:p>
    <w:p>
      <w:pPr>
        <w:pStyle w:val="7"/>
        <w:spacing w:before="0" w:after="0" w:line="594" w:lineRule="atLeast"/>
        <w:ind w:firstLine="640" w:firstLineChars="200"/>
        <w:rPr>
          <w:rFonts w:hint="default" w:ascii="Times New Roman" w:hAnsi="Times New Roman" w:eastAsia="方正黑体_GBK" w:cs="Times New Roman"/>
          <w:b w:val="0"/>
          <w:color w:val="auto"/>
          <w:szCs w:val="32"/>
        </w:rPr>
      </w:pPr>
      <w:r>
        <w:rPr>
          <w:rFonts w:hint="default" w:ascii="Times New Roman" w:hAnsi="Times New Roman" w:eastAsia="方正黑体_GBK" w:cs="Times New Roman"/>
          <w:b w:val="0"/>
          <w:color w:val="auto"/>
          <w:szCs w:val="32"/>
        </w:rPr>
        <w:t>六、联系方式</w:t>
      </w:r>
      <w:bookmarkEnd w:id="21"/>
      <w:bookmarkEnd w:id="22"/>
      <w:bookmarkEnd w:id="23"/>
      <w:bookmarkEnd w:id="24"/>
      <w:bookmarkEnd w:id="25"/>
      <w:bookmarkEnd w:id="26"/>
      <w:bookmarkEnd w:id="27"/>
    </w:p>
    <w:p>
      <w:pPr>
        <w:snapToGrid w:val="0"/>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采购人：重庆市大渡口区财政局</w:t>
      </w:r>
    </w:p>
    <w:p>
      <w:pPr>
        <w:snapToGrid w:val="0"/>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联系人：</w:t>
      </w:r>
      <w:r>
        <w:rPr>
          <w:rFonts w:hint="default" w:ascii="Times New Roman" w:hAnsi="Times New Roman" w:eastAsia="方正仿宋_GBK" w:cs="Times New Roman"/>
          <w:color w:val="auto"/>
          <w:sz w:val="32"/>
          <w:szCs w:val="32"/>
          <w:lang w:eastAsia="zh-CN"/>
        </w:rPr>
        <w:t>赵</w:t>
      </w:r>
      <w:r>
        <w:rPr>
          <w:rFonts w:hint="default" w:ascii="Times New Roman" w:hAnsi="Times New Roman" w:eastAsia="方正仿宋_GBK" w:cs="Times New Roman"/>
          <w:color w:val="auto"/>
          <w:sz w:val="32"/>
          <w:szCs w:val="32"/>
        </w:rPr>
        <w:t>老师</w:t>
      </w:r>
    </w:p>
    <w:p>
      <w:pPr>
        <w:snapToGrid w:val="0"/>
        <w:spacing w:line="594" w:lineRule="atLeast"/>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电  话：023-681</w:t>
      </w:r>
      <w:r>
        <w:rPr>
          <w:rFonts w:hint="eastAsia" w:eastAsia="方正仿宋_GBK" w:cs="Times New Roman"/>
          <w:color w:val="auto"/>
          <w:sz w:val="32"/>
          <w:szCs w:val="32"/>
          <w:lang w:val="en-US" w:eastAsia="zh-CN"/>
        </w:rPr>
        <w:t>53195</w:t>
      </w:r>
    </w:p>
    <w:p>
      <w:pPr>
        <w:snapToGrid w:val="0"/>
        <w:spacing w:line="594" w:lineRule="atLeas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地  址：重庆市大渡口区文体路126号南30</w:t>
      </w:r>
      <w:r>
        <w:rPr>
          <w:rFonts w:hint="eastAsia"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室</w:t>
      </w:r>
    </w:p>
    <w:p>
      <w:pPr>
        <w:pStyle w:val="7"/>
        <w:spacing w:before="0" w:after="0" w:line="594" w:lineRule="atLeast"/>
        <w:ind w:firstLine="640" w:firstLineChars="200"/>
        <w:rPr>
          <w:rFonts w:hint="default" w:ascii="Times New Roman" w:hAnsi="Times New Roman" w:eastAsia="方正黑体_GBK" w:cs="Times New Roman"/>
          <w:b w:val="0"/>
          <w:color w:val="auto"/>
          <w:szCs w:val="32"/>
        </w:rPr>
      </w:pPr>
      <w:r>
        <w:rPr>
          <w:rFonts w:hint="default" w:ascii="Times New Roman" w:hAnsi="Times New Roman" w:eastAsia="方正黑体_GBK" w:cs="Times New Roman"/>
          <w:b w:val="0"/>
          <w:color w:val="auto"/>
          <w:szCs w:val="32"/>
        </w:rPr>
        <w:t>七、</w:t>
      </w:r>
      <w:bookmarkEnd w:id="28"/>
      <w:bookmarkEnd w:id="29"/>
      <w:bookmarkEnd w:id="30"/>
      <w:bookmarkEnd w:id="31"/>
      <w:bookmarkEnd w:id="32"/>
      <w:bookmarkEnd w:id="33"/>
      <w:bookmarkEnd w:id="34"/>
      <w:r>
        <w:rPr>
          <w:rFonts w:hint="default" w:ascii="Times New Roman" w:hAnsi="Times New Roman" w:eastAsia="方正黑体_GBK" w:cs="Times New Roman"/>
          <w:b w:val="0"/>
          <w:color w:val="auto"/>
          <w:szCs w:val="32"/>
        </w:rPr>
        <w:t>其它有关规定</w:t>
      </w:r>
    </w:p>
    <w:p>
      <w:pPr>
        <w:spacing w:line="594" w:lineRule="atLeas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一</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凡有意参加谈判的</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，请于公告发布之日起至报名截止时间之前，在重庆市</w:t>
      </w:r>
      <w:r>
        <w:rPr>
          <w:rFonts w:hint="default" w:ascii="Times New Roman" w:hAnsi="Times New Roman" w:eastAsia="方正仿宋_GBK" w:cs="Times New Roman"/>
          <w:color w:val="auto"/>
          <w:sz w:val="32"/>
          <w:szCs w:val="32"/>
          <w:lang w:val="en-US" w:eastAsia="zh-CN"/>
        </w:rPr>
        <w:t>大渡口区政府门户网</w:t>
      </w:r>
      <w:r>
        <w:rPr>
          <w:rFonts w:hint="default" w:ascii="Times New Roman" w:hAnsi="Times New Roman" w:eastAsia="方正仿宋_GBK" w:cs="Times New Roman"/>
          <w:color w:val="auto"/>
          <w:sz w:val="32"/>
          <w:szCs w:val="32"/>
        </w:rPr>
        <w:t>上下载查看本项目需求文件以及变更公告等谈判前公布的所有项目资料，无论</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下载查看与否，均视为已知晓所有谈判实质性要求内容。</w:t>
      </w:r>
    </w:p>
    <w:p>
      <w:pPr>
        <w:spacing w:line="594" w:lineRule="atLeast"/>
        <w:ind w:firstLine="640" w:firstLineChars="200"/>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二</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lang w:val="en-US" w:eastAsia="zh-CN"/>
        </w:rPr>
        <w:t>必须对以上条款和服务承诺明确列出，承诺内容必须达到要求。</w:t>
      </w:r>
    </w:p>
    <w:p>
      <w:pPr>
        <w:spacing w:line="594" w:lineRule="atLeast"/>
        <w:ind w:firstLine="640" w:firstLineChars="200"/>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三</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其他未尽事宜由供需双方在采购合同中说细约定。</w:t>
      </w:r>
    </w:p>
    <w:p>
      <w:pPr>
        <w:spacing w:line="594" w:lineRule="atLeas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四</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无论谈判结果如何，</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参与本项目的所有费用均自行承担。</w:t>
      </w:r>
    </w:p>
    <w:p>
      <w:pPr>
        <w:spacing w:line="594" w:lineRule="atLeas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八、评选方法</w:t>
      </w:r>
    </w:p>
    <w:p>
      <w:pPr>
        <w:snapToGrid w:val="0"/>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综合评分法。</w:t>
      </w:r>
      <w:r>
        <w:rPr>
          <w:rFonts w:hint="default" w:ascii="Times New Roman" w:hAnsi="Times New Roman" w:eastAsia="方正仿宋_GBK" w:cs="Times New Roman"/>
          <w:color w:val="auto"/>
          <w:kern w:val="0"/>
          <w:sz w:val="32"/>
          <w:szCs w:val="32"/>
        </w:rPr>
        <w:t>满分100分，</w:t>
      </w:r>
      <w:r>
        <w:rPr>
          <w:rFonts w:hint="default" w:ascii="Times New Roman" w:hAnsi="Times New Roman" w:eastAsia="方正仿宋_GBK" w:cs="Times New Roman"/>
          <w:bCs/>
          <w:color w:val="auto"/>
          <w:sz w:val="32"/>
          <w:szCs w:val="32"/>
        </w:rPr>
        <w:t>按评审得分由高到低的排列顺序</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综合得分排名</w:t>
      </w:r>
      <w:r>
        <w:rPr>
          <w:rFonts w:hint="default" w:ascii="Times New Roman" w:hAnsi="Times New Roman" w:eastAsia="方正仿宋_GBK" w:cs="Times New Roman"/>
          <w:bCs/>
          <w:color w:val="auto"/>
          <w:sz w:val="32"/>
          <w:szCs w:val="32"/>
          <w:lang w:val="en-US" w:eastAsia="zh-CN"/>
        </w:rPr>
        <w:t>第1</w:t>
      </w:r>
      <w:r>
        <w:rPr>
          <w:rFonts w:hint="default" w:ascii="Times New Roman" w:hAnsi="Times New Roman" w:eastAsia="方正仿宋_GBK" w:cs="Times New Roman"/>
          <w:bCs/>
          <w:color w:val="auto"/>
          <w:sz w:val="32"/>
          <w:szCs w:val="32"/>
        </w:rPr>
        <w:t>的投标人为本项目中标人</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bCs/>
          <w:color w:val="auto"/>
          <w:sz w:val="32"/>
          <w:szCs w:val="32"/>
        </w:rPr>
        <w:t>若综合得分相同的，按投标报价由低到高顺序排列；若综合得分且投标报价相同的，按技术部分得分由高到低顺序排列；若综合得分、投标报价、技术部分均相同的，按商务部分得分由高到低顺序排列，若均相同的抽签确定分包选择顺序</w:t>
      </w:r>
      <w:r>
        <w:rPr>
          <w:rFonts w:hint="default" w:ascii="Times New Roman" w:hAnsi="Times New Roman" w:eastAsia="方正仿宋_GBK" w:cs="Times New Roman"/>
          <w:color w:val="auto"/>
          <w:sz w:val="32"/>
          <w:szCs w:val="32"/>
        </w:rPr>
        <w:t>；未入围的报名</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不参与评审。</w:t>
      </w:r>
    </w:p>
    <w:p>
      <w:pPr>
        <w:spacing w:line="594" w:lineRule="atLeast"/>
        <w:ind w:firstLine="640" w:firstLineChars="200"/>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lang w:val="en-US" w:eastAsia="zh-CN"/>
        </w:rPr>
        <w:t>九</w:t>
      </w:r>
      <w:r>
        <w:rPr>
          <w:rFonts w:hint="default" w:ascii="Times New Roman" w:hAnsi="Times New Roman" w:eastAsia="方正黑体_GBK" w:cs="Times New Roman"/>
          <w:bCs/>
          <w:color w:val="auto"/>
          <w:sz w:val="32"/>
          <w:szCs w:val="32"/>
        </w:rPr>
        <w:t>、</w:t>
      </w:r>
      <w:r>
        <w:rPr>
          <w:rFonts w:hint="eastAsia" w:eastAsia="方正黑体_GBK" w:cs="Times New Roman"/>
          <w:bCs/>
          <w:color w:val="auto"/>
          <w:sz w:val="32"/>
          <w:szCs w:val="32"/>
          <w:lang w:eastAsia="zh-CN"/>
        </w:rPr>
        <w:t>投标人</w:t>
      </w:r>
      <w:r>
        <w:rPr>
          <w:rFonts w:hint="default" w:ascii="Times New Roman" w:hAnsi="Times New Roman" w:eastAsia="方正黑体_GBK" w:cs="Times New Roman"/>
          <w:bCs/>
          <w:color w:val="auto"/>
          <w:sz w:val="32"/>
          <w:szCs w:val="32"/>
        </w:rPr>
        <w:t>提交响应文件</w:t>
      </w:r>
    </w:p>
    <w:p>
      <w:pPr>
        <w:tabs>
          <w:tab w:val="left" w:pos="0"/>
        </w:tabs>
        <w:spacing w:line="594" w:lineRule="atLeast"/>
        <w:ind w:firstLine="640" w:firstLineChars="200"/>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一</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投标人</w:t>
      </w:r>
      <w:r>
        <w:rPr>
          <w:rFonts w:hint="default" w:ascii="Times New Roman" w:hAnsi="Times New Roman" w:eastAsia="方正仿宋_GBK" w:cs="Times New Roman"/>
          <w:color w:val="auto"/>
          <w:sz w:val="32"/>
          <w:szCs w:val="32"/>
          <w:lang w:val="en-US" w:eastAsia="zh-CN"/>
        </w:rPr>
        <w:t>提交响应文件时间：202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日北京时间09：00至202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日北京时间10：00</w:t>
      </w:r>
      <w:r>
        <w:rPr>
          <w:rFonts w:hint="eastAsia" w:eastAsia="方正仿宋_GBK" w:cs="Times New Roman"/>
          <w:color w:val="auto"/>
          <w:sz w:val="32"/>
          <w:szCs w:val="32"/>
          <w:lang w:val="en-US" w:eastAsia="zh-CN"/>
        </w:rPr>
        <w:t>；</w:t>
      </w:r>
    </w:p>
    <w:p>
      <w:pPr>
        <w:tabs>
          <w:tab w:val="left" w:pos="0"/>
        </w:tabs>
        <w:spacing w:line="594" w:lineRule="atLeast"/>
        <w:ind w:firstLine="640" w:firstLineChars="200"/>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提交响应文件截止时间：202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lang w:val="en-US" w:eastAsia="zh-CN"/>
        </w:rPr>
        <w:t>月</w:t>
      </w:r>
      <w:r>
        <w:rPr>
          <w:rFonts w:hint="eastAsia"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日北京时间10：00。</w:t>
      </w:r>
    </w:p>
    <w:p>
      <w:pPr>
        <w:tabs>
          <w:tab w:val="left" w:pos="0"/>
        </w:tabs>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纸质响应文件</w:t>
      </w:r>
      <w:r>
        <w:rPr>
          <w:rFonts w:hint="default" w:ascii="Times New Roman" w:hAnsi="Times New Roman" w:eastAsia="方正仿宋_GBK" w:cs="Times New Roman"/>
          <w:b/>
          <w:color w:val="auto"/>
          <w:sz w:val="32"/>
          <w:szCs w:val="32"/>
        </w:rPr>
        <w:t>一式</w:t>
      </w:r>
      <w:r>
        <w:rPr>
          <w:rFonts w:hint="eastAsia" w:eastAsia="方正仿宋_GBK" w:cs="Times New Roman"/>
          <w:b/>
          <w:color w:val="auto"/>
          <w:sz w:val="32"/>
          <w:szCs w:val="32"/>
          <w:lang w:eastAsia="zh-CN"/>
        </w:rPr>
        <w:t>五</w:t>
      </w:r>
      <w:r>
        <w:rPr>
          <w:rFonts w:hint="default" w:ascii="Times New Roman" w:hAnsi="Times New Roman" w:eastAsia="方正仿宋_GBK" w:cs="Times New Roman"/>
          <w:b/>
          <w:color w:val="auto"/>
          <w:sz w:val="32"/>
          <w:szCs w:val="32"/>
        </w:rPr>
        <w:t>份，其中正本一份，副本</w:t>
      </w:r>
      <w:r>
        <w:rPr>
          <w:rFonts w:hint="eastAsia" w:eastAsia="方正仿宋_GBK" w:cs="Times New Roman"/>
          <w:b/>
          <w:color w:val="auto"/>
          <w:sz w:val="32"/>
          <w:szCs w:val="32"/>
          <w:lang w:eastAsia="zh-CN"/>
        </w:rPr>
        <w:t>四</w:t>
      </w:r>
      <w:r>
        <w:rPr>
          <w:rFonts w:hint="default" w:ascii="Times New Roman" w:hAnsi="Times New Roman" w:eastAsia="方正仿宋_GBK" w:cs="Times New Roman"/>
          <w:b/>
          <w:color w:val="auto"/>
          <w:sz w:val="32"/>
          <w:szCs w:val="32"/>
        </w:rPr>
        <w:t>份。</w:t>
      </w:r>
      <w:r>
        <w:rPr>
          <w:rFonts w:hint="default" w:ascii="Times New Roman" w:hAnsi="Times New Roman" w:eastAsia="方正仿宋_GBK" w:cs="Times New Roman"/>
          <w:color w:val="auto"/>
          <w:sz w:val="32"/>
          <w:szCs w:val="32"/>
        </w:rPr>
        <w:t>每套纸质响应文件须在封面清楚地标明</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正本</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副本</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，副本应为正本的完整复印件，副本与正本不一致时以正本为准。</w:t>
      </w:r>
    </w:p>
    <w:p>
      <w:pPr>
        <w:tabs>
          <w:tab w:val="left" w:pos="0"/>
        </w:tabs>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2.响应文件的正本、副本均应密封送达线下谈判地点，应在封套上注明项目名称、投标人名称。若正本、副本分别进行密封的，还应在封套上注明</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正本</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副本</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字样。封套的封口处应加盖投标人公章或由法定代表人授权代表签字。</w:t>
      </w:r>
    </w:p>
    <w:p>
      <w:pPr>
        <w:tabs>
          <w:tab w:val="left" w:pos="0"/>
        </w:tabs>
        <w:spacing w:line="594" w:lineRule="atLeas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如果未按上述规定进行密封和标记，采购人对投标文件误投、丢失或提前拆封不负责任。</w:t>
      </w:r>
    </w:p>
    <w:p>
      <w:pPr>
        <w:spacing w:line="594" w:lineRule="atLeas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（三）</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制作的响应文件纸质文档正本</w:t>
      </w:r>
      <w:r>
        <w:rPr>
          <w:rFonts w:hint="default" w:ascii="Times New Roman" w:hAnsi="Times New Roman" w:eastAsia="方正仿宋_GBK" w:cs="Times New Roman"/>
          <w:color w:val="auto"/>
          <w:sz w:val="32"/>
          <w:szCs w:val="32"/>
          <w:lang w:eastAsia="zh-CN"/>
        </w:rPr>
        <w:t>壹</w:t>
      </w:r>
      <w:r>
        <w:rPr>
          <w:rFonts w:hint="default" w:ascii="Times New Roman" w:hAnsi="Times New Roman" w:eastAsia="方正仿宋_GBK" w:cs="Times New Roman"/>
          <w:color w:val="auto"/>
          <w:sz w:val="32"/>
          <w:szCs w:val="32"/>
          <w:lang w:val="en-US" w:eastAsia="zh-CN"/>
        </w:rPr>
        <w:t>份</w:t>
      </w:r>
      <w:r>
        <w:rPr>
          <w:rFonts w:hint="default" w:ascii="Times New Roman" w:hAnsi="Times New Roman" w:eastAsia="方正仿宋_GBK" w:cs="Times New Roman"/>
          <w:color w:val="auto"/>
          <w:sz w:val="32"/>
          <w:szCs w:val="32"/>
        </w:rPr>
        <w:t>、副本</w:t>
      </w:r>
      <w:r>
        <w:rPr>
          <w:rFonts w:hint="default" w:ascii="Times New Roman" w:hAnsi="Times New Roman" w:eastAsia="方正仿宋_GBK" w:cs="Times New Roman"/>
          <w:color w:val="auto"/>
          <w:sz w:val="32"/>
          <w:szCs w:val="32"/>
          <w:lang w:eastAsia="zh-CN"/>
        </w:rPr>
        <w:t>贰</w:t>
      </w:r>
      <w:r>
        <w:rPr>
          <w:rFonts w:hint="default" w:ascii="Times New Roman" w:hAnsi="Times New Roman" w:eastAsia="方正仿宋_GBK" w:cs="Times New Roman"/>
          <w:color w:val="auto"/>
          <w:sz w:val="32"/>
          <w:szCs w:val="32"/>
          <w:lang w:val="en-US" w:eastAsia="zh-CN"/>
        </w:rPr>
        <w:t>份</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须按照要求制作，规定签字、盖章的地方必须按其规定签字、盖章，未按要求制作响应文件的进行废标处理。</w:t>
      </w:r>
    </w:p>
    <w:p>
      <w:pPr>
        <w:spacing w:line="594" w:lineRule="atLeast"/>
        <w:ind w:firstLine="640" w:firstLineChars="200"/>
        <w:rPr>
          <w:rFonts w:hint="default" w:ascii="Times New Roman" w:hAnsi="Times New Roman" w:eastAsia="方正黑体_GBK" w:cs="Times New Roman"/>
          <w:bCs/>
          <w:color w:val="auto"/>
          <w:sz w:val="32"/>
          <w:szCs w:val="32"/>
          <w:lang w:val="en-US" w:eastAsia="zh-CN"/>
        </w:rPr>
      </w:pPr>
      <w:r>
        <w:rPr>
          <w:rFonts w:hint="default" w:ascii="Times New Roman" w:hAnsi="Times New Roman" w:eastAsia="方正黑体_GBK" w:cs="Times New Roman"/>
          <w:bCs/>
          <w:color w:val="auto"/>
          <w:sz w:val="32"/>
          <w:szCs w:val="32"/>
          <w:lang w:val="en-US" w:eastAsia="zh-CN"/>
        </w:rPr>
        <w:t>十、知识产权</w:t>
      </w:r>
    </w:p>
    <w:p>
      <w:pPr>
        <w:spacing w:line="594" w:lineRule="atLeast"/>
        <w:ind w:firstLine="640" w:firstLineChars="200"/>
        <w:rPr>
          <w:rFonts w:hint="default" w:eastAsia="方正仿宋_GBK" w:cs="Times New Roman"/>
          <w:color w:val="auto"/>
          <w:sz w:val="32"/>
          <w:szCs w:val="32"/>
          <w:lang w:eastAsia="zh-CN"/>
        </w:rPr>
      </w:pPr>
      <w:r>
        <w:rPr>
          <w:rFonts w:hint="default" w:eastAsia="方正仿宋_GBK" w:cs="Times New Roman"/>
          <w:color w:val="auto"/>
          <w:sz w:val="32"/>
          <w:szCs w:val="32"/>
          <w:lang w:eastAsia="zh-CN"/>
        </w:rPr>
        <w:t>采购人在中华人民共和国境内使用成交</w:t>
      </w:r>
      <w:r>
        <w:rPr>
          <w:rFonts w:hint="eastAsia" w:eastAsia="方正仿宋_GBK" w:cs="Times New Roman"/>
          <w:color w:val="auto"/>
          <w:sz w:val="32"/>
          <w:szCs w:val="32"/>
          <w:lang w:eastAsia="zh-CN"/>
        </w:rPr>
        <w:t>投标人</w:t>
      </w:r>
      <w:r>
        <w:rPr>
          <w:rFonts w:hint="default" w:eastAsia="方正仿宋_GBK" w:cs="Times New Roman"/>
          <w:color w:val="auto"/>
          <w:sz w:val="32"/>
          <w:szCs w:val="32"/>
          <w:lang w:eastAsia="zh-CN"/>
        </w:rPr>
        <w:t>提供的服务时免受第三方提出的侵犯其专利权或其它知识产权的起诉。如果第三方提出侵权指控，成交</w:t>
      </w:r>
      <w:r>
        <w:rPr>
          <w:rFonts w:hint="eastAsia" w:eastAsia="方正仿宋_GBK" w:cs="Times New Roman"/>
          <w:color w:val="auto"/>
          <w:sz w:val="32"/>
          <w:szCs w:val="32"/>
          <w:lang w:eastAsia="zh-CN"/>
        </w:rPr>
        <w:t>投标人</w:t>
      </w:r>
      <w:r>
        <w:rPr>
          <w:rFonts w:hint="default" w:eastAsia="方正仿宋_GBK" w:cs="Times New Roman"/>
          <w:color w:val="auto"/>
          <w:sz w:val="32"/>
          <w:szCs w:val="32"/>
          <w:lang w:eastAsia="zh-CN"/>
        </w:rPr>
        <w:t>应承担由此而引起的一切法律责任和费用。</w:t>
      </w:r>
    </w:p>
    <w:p>
      <w:pPr>
        <w:spacing w:line="594" w:lineRule="atLeast"/>
        <w:ind w:firstLine="640" w:firstLineChars="200"/>
        <w:rPr>
          <w:rFonts w:hint="default" w:eastAsia="方正仿宋_GBK" w:cs="Times New Roman"/>
          <w:color w:val="auto"/>
          <w:sz w:val="32"/>
          <w:szCs w:val="32"/>
          <w:lang w:eastAsia="zh-CN"/>
        </w:rPr>
      </w:pPr>
      <w:r>
        <w:rPr>
          <w:rFonts w:hint="default" w:eastAsia="方正仿宋_GBK" w:cs="Times New Roman"/>
          <w:color w:val="auto"/>
          <w:sz w:val="32"/>
          <w:szCs w:val="32"/>
          <w:lang w:eastAsia="zh-CN"/>
        </w:rPr>
        <w:t>注：若涉及软件开发等服务类项目知识产权的，知识产权归采购人所有。</w:t>
      </w:r>
    </w:p>
    <w:p>
      <w:pPr>
        <w:spacing w:line="594" w:lineRule="atLeast"/>
        <w:ind w:firstLine="640" w:firstLineChars="200"/>
        <w:rPr>
          <w:rFonts w:hint="default" w:ascii="Times New Roman" w:hAnsi="Times New Roman" w:eastAsia="方正黑体_GBK" w:cs="Times New Roman"/>
          <w:bCs/>
          <w:color w:val="auto"/>
          <w:sz w:val="32"/>
          <w:szCs w:val="32"/>
          <w:lang w:val="en-US" w:eastAsia="zh-CN"/>
        </w:rPr>
      </w:pPr>
      <w:r>
        <w:rPr>
          <w:rFonts w:hint="eastAsia" w:ascii="Times New Roman" w:hAnsi="Times New Roman" w:eastAsia="方正黑体_GBK" w:cs="Times New Roman"/>
          <w:bCs/>
          <w:color w:val="auto"/>
          <w:sz w:val="32"/>
          <w:szCs w:val="32"/>
          <w:lang w:val="en-US" w:eastAsia="zh-CN"/>
        </w:rPr>
        <w:t>十一、</w:t>
      </w:r>
      <w:r>
        <w:rPr>
          <w:rFonts w:hint="default" w:ascii="Times New Roman" w:hAnsi="Times New Roman" w:eastAsia="方正黑体_GBK" w:cs="Times New Roman"/>
          <w:bCs/>
          <w:color w:val="auto"/>
          <w:sz w:val="32"/>
          <w:szCs w:val="32"/>
          <w:lang w:val="en-US" w:eastAsia="zh-CN"/>
        </w:rPr>
        <w:t>谈判</w:t>
      </w:r>
    </w:p>
    <w:p>
      <w:pPr>
        <w:spacing w:line="594" w:lineRule="atLeast"/>
        <w:ind w:firstLine="640" w:firstLineChars="200"/>
        <w:rPr>
          <w:rFonts w:hint="default" w:ascii="Times New Roman" w:hAnsi="Times New Roman" w:eastAsia="方正仿宋_GBK" w:cs="Times New Roman"/>
          <w:b/>
          <w:color w:val="auto"/>
          <w:sz w:val="32"/>
          <w:szCs w:val="32"/>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一</w:t>
      </w:r>
      <w:r>
        <w:rPr>
          <w:rFonts w:hint="eastAsia" w:eastAsia="方正仿宋_GBK" w:cs="Times New Roman"/>
          <w:color w:val="auto"/>
          <w:sz w:val="32"/>
          <w:szCs w:val="32"/>
          <w:lang w:eastAsia="zh-CN"/>
        </w:rPr>
        <w:t>）</w:t>
      </w:r>
      <w:r>
        <w:rPr>
          <w:rFonts w:hint="default" w:ascii="Times New Roman" w:hAnsi="Times New Roman" w:eastAsia="方正仿宋_GBK" w:cs="Times New Roman"/>
          <w:b/>
          <w:color w:val="auto"/>
          <w:sz w:val="32"/>
          <w:szCs w:val="32"/>
        </w:rPr>
        <w:t>谈判时间：202</w:t>
      </w:r>
      <w:r>
        <w:rPr>
          <w:rFonts w:hint="eastAsia" w:eastAsia="方正仿宋_GBK" w:cs="Times New Roman"/>
          <w:b/>
          <w:color w:val="auto"/>
          <w:sz w:val="32"/>
          <w:szCs w:val="32"/>
          <w:lang w:val="en-US" w:eastAsia="zh-CN"/>
        </w:rPr>
        <w:t>4</w:t>
      </w:r>
      <w:r>
        <w:rPr>
          <w:rFonts w:hint="default" w:ascii="Times New Roman" w:hAnsi="Times New Roman" w:eastAsia="方正仿宋_GBK" w:cs="Times New Roman"/>
          <w:b/>
          <w:color w:val="auto"/>
          <w:sz w:val="32"/>
          <w:szCs w:val="32"/>
        </w:rPr>
        <w:t>年</w:t>
      </w:r>
      <w:r>
        <w:rPr>
          <w:rFonts w:hint="eastAsia" w:eastAsia="方正仿宋_GBK" w:cs="Times New Roman"/>
          <w:b/>
          <w:color w:val="auto"/>
          <w:sz w:val="32"/>
          <w:szCs w:val="32"/>
          <w:lang w:val="en-US" w:eastAsia="zh-CN"/>
        </w:rPr>
        <w:t>10</w:t>
      </w:r>
      <w:r>
        <w:rPr>
          <w:rFonts w:hint="default" w:ascii="Times New Roman" w:hAnsi="Times New Roman" w:eastAsia="方正仿宋_GBK" w:cs="Times New Roman"/>
          <w:b/>
          <w:color w:val="auto"/>
          <w:sz w:val="32"/>
          <w:szCs w:val="32"/>
        </w:rPr>
        <w:t>月</w:t>
      </w:r>
      <w:r>
        <w:rPr>
          <w:rFonts w:hint="eastAsia" w:eastAsia="方正仿宋_GBK" w:cs="Times New Roman"/>
          <w:b/>
          <w:color w:val="auto"/>
          <w:sz w:val="32"/>
          <w:szCs w:val="32"/>
          <w:lang w:val="en-US" w:eastAsia="zh-CN"/>
        </w:rPr>
        <w:t>30</w:t>
      </w:r>
      <w:r>
        <w:rPr>
          <w:rFonts w:hint="default" w:ascii="Times New Roman" w:hAnsi="Times New Roman" w:eastAsia="方正仿宋_GBK" w:cs="Times New Roman"/>
          <w:b/>
          <w:color w:val="auto"/>
          <w:sz w:val="32"/>
          <w:szCs w:val="32"/>
        </w:rPr>
        <w:t>日北京时间</w:t>
      </w:r>
      <w:r>
        <w:rPr>
          <w:rFonts w:hint="default" w:ascii="Times New Roman" w:hAnsi="Times New Roman" w:eastAsia="方正仿宋_GBK" w:cs="Times New Roman"/>
          <w:b/>
          <w:color w:val="auto"/>
          <w:sz w:val="32"/>
          <w:szCs w:val="32"/>
          <w:lang w:val="en-US" w:eastAsia="zh-CN"/>
        </w:rPr>
        <w:t>10</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
          <w:color w:val="auto"/>
          <w:sz w:val="32"/>
          <w:szCs w:val="32"/>
          <w:lang w:val="en-US" w:eastAsia="zh-CN"/>
        </w:rPr>
        <w:t>00</w:t>
      </w:r>
      <w:r>
        <w:rPr>
          <w:rFonts w:hint="eastAsia" w:eastAsia="方正仿宋_GBK" w:cs="Times New Roman"/>
          <w:b/>
          <w:color w:val="auto"/>
          <w:sz w:val="32"/>
          <w:szCs w:val="32"/>
          <w:lang w:val="en-US" w:eastAsia="zh-CN"/>
        </w:rPr>
        <w:t>；</w:t>
      </w:r>
    </w:p>
    <w:p>
      <w:pPr>
        <w:snapToGrid w:val="0"/>
        <w:spacing w:line="594" w:lineRule="atLeast"/>
        <w:ind w:firstLine="640" w:firstLineChars="200"/>
        <w:rPr>
          <w:rFonts w:hint="eastAsia" w:ascii="Times New Roman" w:hAnsi="Times New Roman" w:eastAsia="方正仿宋_GBK" w:cs="Times New Roman"/>
          <w:b/>
          <w:color w:val="auto"/>
          <w:sz w:val="32"/>
          <w:szCs w:val="32"/>
          <w:lang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二</w:t>
      </w:r>
      <w:r>
        <w:rPr>
          <w:rFonts w:hint="eastAsia" w:eastAsia="方正仿宋_GBK" w:cs="Times New Roman"/>
          <w:color w:val="auto"/>
          <w:sz w:val="32"/>
          <w:szCs w:val="32"/>
          <w:lang w:eastAsia="zh-CN"/>
        </w:rPr>
        <w:t>）</w:t>
      </w:r>
      <w:r>
        <w:rPr>
          <w:rFonts w:hint="default" w:ascii="Times New Roman" w:hAnsi="Times New Roman" w:eastAsia="方正仿宋_GBK" w:cs="Times New Roman"/>
          <w:b/>
          <w:color w:val="auto"/>
          <w:sz w:val="32"/>
          <w:szCs w:val="32"/>
        </w:rPr>
        <w:t>谈判地点：重庆市大渡口区财政局368会议室</w:t>
      </w:r>
      <w:r>
        <w:rPr>
          <w:rFonts w:hint="eastAsia" w:eastAsia="方正仿宋_GBK" w:cs="Times New Roman"/>
          <w:b/>
          <w:color w:val="auto"/>
          <w:sz w:val="32"/>
          <w:szCs w:val="32"/>
          <w:lang w:eastAsia="zh-CN"/>
        </w:rPr>
        <w:t>；</w:t>
      </w:r>
    </w:p>
    <w:p>
      <w:pPr>
        <w:spacing w:line="594" w:lineRule="atLeast"/>
        <w:ind w:firstLine="640" w:firstLineChars="200"/>
        <w:rPr>
          <w:rFonts w:hint="default" w:ascii="Times New Roman" w:hAnsi="Times New Roman" w:eastAsia="方正仿宋_GBK" w:cs="Times New Roman"/>
          <w:color w:val="FF0000"/>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三</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经谈判确定最终采购需求且谈判结束后，</w:t>
      </w:r>
      <w:r>
        <w:rPr>
          <w:rFonts w:hint="eastAsia"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应当按照变动情况提交书面承诺及最后报</w:t>
      </w:r>
      <w:r>
        <w:rPr>
          <w:rFonts w:hint="default" w:ascii="Times New Roman" w:hAnsi="Times New Roman" w:eastAsia="方正仿宋_GBK" w:cs="Times New Roman"/>
          <w:bCs/>
          <w:color w:val="auto"/>
          <w:sz w:val="32"/>
          <w:szCs w:val="32"/>
        </w:rPr>
        <w:t>价，未提交的</w:t>
      </w:r>
      <w:r>
        <w:rPr>
          <w:rFonts w:hint="eastAsia" w:eastAsia="方正仿宋_GBK" w:cs="Times New Roman"/>
          <w:bCs/>
          <w:color w:val="auto"/>
          <w:sz w:val="32"/>
          <w:szCs w:val="32"/>
          <w:lang w:eastAsia="zh-CN"/>
        </w:rPr>
        <w:t>投标人</w:t>
      </w:r>
      <w:r>
        <w:rPr>
          <w:rFonts w:hint="default" w:ascii="Times New Roman" w:hAnsi="Times New Roman" w:eastAsia="方正仿宋_GBK" w:cs="Times New Roman"/>
          <w:bCs/>
          <w:color w:val="auto"/>
          <w:sz w:val="32"/>
          <w:szCs w:val="32"/>
        </w:rPr>
        <w:t>作</w:t>
      </w:r>
      <w:r>
        <w:rPr>
          <w:rFonts w:hint="default" w:ascii="Times New Roman" w:hAnsi="Times New Roman" w:eastAsia="方正仿宋_GBK" w:cs="Times New Roman"/>
          <w:color w:val="auto"/>
          <w:sz w:val="32"/>
          <w:szCs w:val="32"/>
        </w:rPr>
        <w:t>废标处理。</w:t>
      </w:r>
      <w:r>
        <w:rPr>
          <w:rFonts w:hint="default" w:ascii="Times New Roman" w:hAnsi="Times New Roman" w:eastAsia="方正仿宋_GBK" w:cs="Times New Roman"/>
          <w:color w:val="FF0000"/>
          <w:sz w:val="32"/>
          <w:szCs w:val="32"/>
        </w:rPr>
        <w:br w:type="page"/>
      </w:r>
    </w:p>
    <w:p>
      <w:pPr>
        <w:spacing w:line="594" w:lineRule="atLeast"/>
        <w:ind w:firstLine="200"/>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评审标准</w:t>
      </w:r>
    </w:p>
    <w:p>
      <w:pPr>
        <w:spacing w:line="594" w:lineRule="atLeas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pacing w:line="312" w:lineRule="auto"/>
        <w:ind w:firstLine="480" w:firstLineChars="200"/>
        <w:rPr>
          <w:rFonts w:hint="default" w:ascii="Times New Roman" w:hAnsi="Times New Roman" w:cs="Times New Roman"/>
          <w:color w:val="FF0000"/>
          <w:sz w:val="24"/>
          <w:szCs w:val="24"/>
        </w:rPr>
      </w:pPr>
    </w:p>
    <w:tbl>
      <w:tblPr>
        <w:tblStyle w:val="67"/>
        <w:tblW w:w="9394"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703"/>
        <w:gridCol w:w="674"/>
        <w:gridCol w:w="710"/>
        <w:gridCol w:w="4867"/>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3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黑体_GBK" w:hAnsi="方正黑体_GBK" w:eastAsia="方正黑体_GBK" w:cs="方正黑体_GBK"/>
                <w:b w:val="0"/>
                <w:bCs/>
                <w:color w:val="auto"/>
                <w:sz w:val="20"/>
                <w:szCs w:val="20"/>
                <w:highlight w:val="none"/>
                <w:lang w:val="zh-CN"/>
              </w:rPr>
            </w:pPr>
            <w:r>
              <w:rPr>
                <w:rFonts w:hint="eastAsia" w:ascii="方正黑体_GBK" w:hAnsi="方正黑体_GBK" w:eastAsia="方正黑体_GBK" w:cs="方正黑体_GBK"/>
                <w:b w:val="0"/>
                <w:bCs/>
                <w:color w:val="auto"/>
                <w:sz w:val="20"/>
                <w:szCs w:val="20"/>
                <w:highlight w:val="none"/>
                <w:lang w:val="zh-CN"/>
              </w:rPr>
              <w:t>序号</w:t>
            </w:r>
          </w:p>
        </w:tc>
        <w:tc>
          <w:tcPr>
            <w:tcW w:w="13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黑体_GBK" w:hAnsi="方正黑体_GBK" w:eastAsia="方正黑体_GBK" w:cs="方正黑体_GBK"/>
                <w:b w:val="0"/>
                <w:bCs/>
                <w:color w:val="auto"/>
                <w:sz w:val="20"/>
                <w:szCs w:val="20"/>
                <w:highlight w:val="none"/>
                <w:lang w:val="zh-CN"/>
              </w:rPr>
            </w:pPr>
            <w:r>
              <w:rPr>
                <w:rFonts w:hint="eastAsia" w:ascii="方正黑体_GBK" w:hAnsi="方正黑体_GBK" w:eastAsia="方正黑体_GBK" w:cs="方正黑体_GBK"/>
                <w:b w:val="0"/>
                <w:bCs/>
                <w:color w:val="auto"/>
                <w:sz w:val="20"/>
                <w:szCs w:val="20"/>
                <w:highlight w:val="none"/>
                <w:lang w:val="zh-CN"/>
              </w:rPr>
              <w:t>评分因素</w:t>
            </w:r>
          </w:p>
        </w:tc>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黑体_GBK" w:hAnsi="方正黑体_GBK" w:eastAsia="方正黑体_GBK" w:cs="方正黑体_GBK"/>
                <w:b w:val="0"/>
                <w:bCs/>
                <w:color w:val="auto"/>
                <w:sz w:val="20"/>
                <w:szCs w:val="20"/>
                <w:highlight w:val="none"/>
                <w:lang w:val="zh-CN"/>
              </w:rPr>
            </w:pPr>
            <w:r>
              <w:rPr>
                <w:rFonts w:hint="eastAsia" w:ascii="方正黑体_GBK" w:hAnsi="方正黑体_GBK" w:eastAsia="方正黑体_GBK" w:cs="方正黑体_GBK"/>
                <w:b w:val="0"/>
                <w:bCs/>
                <w:color w:val="auto"/>
                <w:sz w:val="20"/>
                <w:szCs w:val="20"/>
                <w:highlight w:val="none"/>
                <w:lang w:val="zh-CN"/>
              </w:rPr>
              <w:t>分值</w:t>
            </w: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黑体_GBK" w:hAnsi="方正黑体_GBK" w:eastAsia="方正黑体_GBK" w:cs="方正黑体_GBK"/>
                <w:b w:val="0"/>
                <w:bCs/>
                <w:color w:val="auto"/>
                <w:sz w:val="20"/>
                <w:szCs w:val="20"/>
                <w:highlight w:val="none"/>
                <w:lang w:val="zh-CN"/>
              </w:rPr>
            </w:pPr>
            <w:r>
              <w:rPr>
                <w:rFonts w:hint="eastAsia" w:ascii="方正黑体_GBK" w:hAnsi="方正黑体_GBK" w:eastAsia="方正黑体_GBK" w:cs="方正黑体_GBK"/>
                <w:b w:val="0"/>
                <w:bCs/>
                <w:color w:val="auto"/>
                <w:sz w:val="20"/>
                <w:szCs w:val="20"/>
                <w:highlight w:val="none"/>
                <w:lang w:val="zh-CN"/>
              </w:rPr>
              <w:t>评分标准</w:t>
            </w: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方正黑体_GBK" w:hAnsi="方正黑体_GBK" w:eastAsia="方正黑体_GBK" w:cs="方正黑体_GBK"/>
                <w:b w:val="0"/>
                <w:bCs/>
                <w:color w:val="auto"/>
                <w:sz w:val="20"/>
                <w:szCs w:val="20"/>
                <w:highlight w:val="none"/>
                <w:lang w:val="zh-CN"/>
              </w:rPr>
            </w:pPr>
            <w:r>
              <w:rPr>
                <w:rFonts w:hint="eastAsia" w:ascii="方正黑体_GBK" w:hAnsi="方正黑体_GBK" w:eastAsia="方正黑体_GBK" w:cs="方正黑体_GBK"/>
                <w:b w:val="0"/>
                <w:bCs/>
                <w:color w:val="auto"/>
                <w:sz w:val="20"/>
                <w:szCs w:val="20"/>
                <w:highlight w:val="no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r>
              <w:rPr>
                <w:rFonts w:hint="default" w:ascii="Times New Roman" w:hAnsi="Times New Roman" w:eastAsia="方正楷体_GBK" w:cs="Times New Roman"/>
                <w:bCs/>
                <w:color w:val="auto"/>
                <w:sz w:val="21"/>
                <w:szCs w:val="21"/>
                <w:highlight w:val="none"/>
                <w:lang w:val="zh-CN"/>
              </w:rPr>
              <w:t>1</w:t>
            </w:r>
          </w:p>
        </w:tc>
        <w:tc>
          <w:tcPr>
            <w:tcW w:w="7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lang w:val="zh-CN"/>
              </w:rPr>
            </w:pPr>
            <w:r>
              <w:rPr>
                <w:rFonts w:hint="eastAsia" w:ascii="方正黑体_GBK" w:hAnsi="方正黑体_GBK" w:eastAsia="方正黑体_GBK" w:cs="方正黑体_GBK"/>
                <w:bCs/>
                <w:color w:val="auto"/>
                <w:sz w:val="21"/>
                <w:szCs w:val="21"/>
                <w:highlight w:val="none"/>
                <w:lang w:val="zh-CN"/>
              </w:rPr>
              <w:t>投标报价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olor w:val="auto"/>
                <w:lang w:val="en-US" w:eastAsia="zh-CN"/>
              </w:rPr>
            </w:pPr>
            <w:r>
              <w:rPr>
                <w:rFonts w:hint="eastAsia" w:ascii="方正黑体_GBK" w:hAnsi="方正黑体_GBK" w:eastAsia="方正黑体_GBK" w:cs="方正黑体_GBK"/>
                <w:bCs/>
                <w:color w:val="auto"/>
                <w:sz w:val="21"/>
                <w:szCs w:val="21"/>
                <w:highlight w:val="none"/>
                <w:lang w:val="zh-CN"/>
              </w:rPr>
              <w:t>（</w:t>
            </w:r>
            <w:r>
              <w:rPr>
                <w:rFonts w:hint="default" w:ascii="Times New Roman" w:hAnsi="Times New Roman" w:eastAsia="方正黑体_GBK" w:cs="Times New Roman"/>
                <w:bCs/>
                <w:color w:val="auto"/>
                <w:sz w:val="21"/>
                <w:szCs w:val="21"/>
                <w:highlight w:val="none"/>
                <w:lang w:val="en-US" w:eastAsia="zh-CN"/>
              </w:rPr>
              <w:t>20</w:t>
            </w:r>
            <w:r>
              <w:rPr>
                <w:rFonts w:hint="eastAsia" w:ascii="方正黑体_GBK" w:hAnsi="方正黑体_GBK" w:eastAsia="方正黑体_GBK" w:cs="方正黑体_GBK"/>
                <w:bCs/>
                <w:color w:val="auto"/>
                <w:sz w:val="21"/>
                <w:szCs w:val="21"/>
                <w:highlight w:val="none"/>
                <w:lang w:val="en-US" w:eastAsia="zh-CN"/>
              </w:rPr>
              <w:t>分</w:t>
            </w:r>
            <w:r>
              <w:rPr>
                <w:rFonts w:hint="eastAsia" w:ascii="方正黑体_GBK" w:hAnsi="方正黑体_GBK" w:eastAsia="方正黑体_GBK" w:cs="方正黑体_GBK"/>
                <w:bCs/>
                <w:color w:val="auto"/>
                <w:sz w:val="21"/>
                <w:szCs w:val="21"/>
                <w:highlight w:val="none"/>
                <w:lang w:val="zh-CN"/>
              </w:rPr>
              <w:t>）</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lang w:val="zh-CN"/>
              </w:rPr>
            </w:pPr>
            <w:r>
              <w:rPr>
                <w:rFonts w:hint="default" w:ascii="Times New Roman" w:hAnsi="Times New Roman" w:eastAsia="方正楷体_GBK" w:cs="Times New Roman"/>
                <w:b/>
                <w:bCs/>
                <w:color w:val="auto"/>
                <w:kern w:val="0"/>
                <w:sz w:val="20"/>
                <w:szCs w:val="20"/>
                <w:lang w:val="en-US" w:eastAsia="zh-CN"/>
              </w:rPr>
              <w:t>评标基准价</w:t>
            </w:r>
          </w:p>
        </w:tc>
        <w:tc>
          <w:tcPr>
            <w:tcW w:w="7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lang w:val="en-US" w:eastAsia="zh-CN"/>
              </w:rPr>
            </w:pPr>
            <w:r>
              <w:rPr>
                <w:rFonts w:hint="default" w:ascii="Times New Roman" w:hAnsi="Times New Roman" w:eastAsia="方正楷体_GBK" w:cs="Times New Roman"/>
                <w:b/>
                <w:bCs w:val="0"/>
                <w:color w:val="auto"/>
                <w:sz w:val="21"/>
                <w:szCs w:val="21"/>
                <w:highlight w:val="none"/>
                <w:lang w:val="en-US" w:eastAsia="zh-CN"/>
              </w:rPr>
              <w:t>20分</w:t>
            </w: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kern w:val="0"/>
                <w:sz w:val="21"/>
                <w:szCs w:val="21"/>
              </w:rPr>
              <w:t>所有通过初步评审的投标人的投标总报价中去掉六分之一（不能整除的按小数点前整数取整，不足六家报价则不去掉）的最低价和相同家数的最高价后的算术平均值即为本项目投标总报价的评标基准价。评标基准价计算的最终结果取小数点后两位，第三位四舍五入。在评标基准价计算完成后（除计算错误外），在后续的评审中不得再对其做出调整。</w:t>
            </w: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outlineLvl w:val="9"/>
              <w:rPr>
                <w:rFonts w:hint="default" w:ascii="Times New Roman" w:hAnsi="Times New Roman" w:eastAsia="方正仿宋_GBK" w:cs="Times New Roman"/>
                <w:bCs/>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lang w:val="zh-CN"/>
              </w:rPr>
            </w:pP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lang w:val="en-US" w:eastAsia="zh-CN"/>
              </w:rPr>
            </w:pPr>
            <w:r>
              <w:rPr>
                <w:rFonts w:hint="default" w:ascii="Times New Roman" w:hAnsi="Times New Roman" w:eastAsia="方正楷体_GBK" w:cs="Times New Roman"/>
                <w:b/>
                <w:bCs/>
                <w:color w:val="auto"/>
                <w:sz w:val="20"/>
                <w:szCs w:val="20"/>
                <w:highlight w:val="none"/>
                <w:lang w:val="en-US" w:eastAsia="zh-CN"/>
              </w:rPr>
              <w:t>投标总价评分标准</w:t>
            </w:r>
          </w:p>
        </w:tc>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lang w:val="zh-CN"/>
              </w:rPr>
            </w:pPr>
          </w:p>
        </w:tc>
        <w:tc>
          <w:tcPr>
            <w:tcW w:w="4867" w:type="dxa"/>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ind w:firstLine="420" w:firstLineChars="200"/>
              <w:jc w:val="left"/>
              <w:textAlignment w:val="auto"/>
              <w:rPr>
                <w:rFonts w:hint="default" w:ascii="Times New Roman" w:hAnsi="Times New Roman" w:eastAsia="方正仿宋_GBK" w:cs="Times New Roman"/>
                <w:color w:val="auto"/>
                <w:kern w:val="0"/>
                <w:sz w:val="21"/>
                <w:szCs w:val="21"/>
                <w:lang w:val="en-US" w:eastAsia="zh-CN"/>
              </w:rPr>
            </w:pPr>
            <w:r>
              <w:rPr>
                <w:rFonts w:hint="default" w:ascii="Times New Roman" w:hAnsi="Times New Roman" w:eastAsia="方正仿宋_GBK" w:cs="Times New Roman"/>
                <w:color w:val="auto"/>
                <w:sz w:val="21"/>
                <w:szCs w:val="21"/>
              </w:rPr>
              <w:t>通过初步评审的有效投标文件的</w:t>
            </w:r>
            <w:r>
              <w:rPr>
                <w:rFonts w:hint="default" w:ascii="Times New Roman" w:hAnsi="Times New Roman" w:eastAsia="方正仿宋_GBK" w:cs="Times New Roman"/>
                <w:color w:val="auto"/>
                <w:sz w:val="21"/>
                <w:szCs w:val="21"/>
                <w:lang w:val="en-US" w:eastAsia="zh-CN"/>
              </w:rPr>
              <w:t>投标报价</w:t>
            </w:r>
            <w:r>
              <w:rPr>
                <w:rFonts w:hint="default" w:ascii="Times New Roman" w:hAnsi="Times New Roman" w:eastAsia="方正仿宋_GBK" w:cs="Times New Roman"/>
                <w:color w:val="auto"/>
                <w:sz w:val="21"/>
                <w:szCs w:val="21"/>
              </w:rPr>
              <w:t>与评标基准价相等的得满分</w:t>
            </w:r>
            <w:r>
              <w:rPr>
                <w:rFonts w:hint="default" w:ascii="Times New Roman" w:hAnsi="Times New Roman" w:eastAsia="方正仿宋_GBK" w:cs="Times New Roman"/>
                <w:color w:val="auto"/>
                <w:sz w:val="21"/>
                <w:szCs w:val="21"/>
                <w:lang w:val="en-US" w:eastAsia="zh-CN"/>
              </w:rPr>
              <w:t>20</w:t>
            </w:r>
            <w:r>
              <w:rPr>
                <w:rFonts w:hint="default" w:ascii="Times New Roman" w:hAnsi="Times New Roman" w:eastAsia="方正仿宋_GBK" w:cs="Times New Roman"/>
                <w:color w:val="auto"/>
                <w:sz w:val="21"/>
                <w:szCs w:val="21"/>
              </w:rPr>
              <w:t>分。在此基础上，投标人的</w:t>
            </w:r>
            <w:r>
              <w:rPr>
                <w:rFonts w:hint="default" w:ascii="Times New Roman" w:hAnsi="Times New Roman" w:eastAsia="方正仿宋_GBK" w:cs="Times New Roman"/>
                <w:color w:val="auto"/>
                <w:sz w:val="21"/>
                <w:szCs w:val="21"/>
                <w:lang w:val="en-US" w:eastAsia="zh-CN"/>
              </w:rPr>
              <w:t>投标报价</w:t>
            </w:r>
            <w:r>
              <w:rPr>
                <w:rFonts w:hint="default" w:ascii="Times New Roman" w:hAnsi="Times New Roman" w:eastAsia="方正仿宋_GBK" w:cs="Times New Roman"/>
                <w:color w:val="auto"/>
                <w:sz w:val="21"/>
                <w:szCs w:val="21"/>
              </w:rPr>
              <w:t>与评标基准价相比，每增1%扣0.</w:t>
            </w:r>
            <w:r>
              <w:rPr>
                <w:rFonts w:hint="default"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分，每减1%扣0.</w:t>
            </w:r>
            <w:r>
              <w:rPr>
                <w:rFonts w:hint="default"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rPr>
              <w:t>分，扣完为止。以上计算取小数点后两位，第三位四舍五入。</w:t>
            </w:r>
          </w:p>
        </w:tc>
        <w:tc>
          <w:tcPr>
            <w:tcW w:w="21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outlineLvl w:val="9"/>
              <w:rPr>
                <w:rFonts w:hint="default" w:ascii="Times New Roman" w:hAnsi="Times New Roman" w:eastAsia="方正仿宋_GBK" w:cs="Times New Roman"/>
                <w:bCs/>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r>
              <w:rPr>
                <w:rFonts w:hint="default" w:ascii="Times New Roman" w:hAnsi="Times New Roman" w:eastAsia="方正楷体_GBK" w:cs="Times New Roman"/>
                <w:bCs/>
                <w:color w:val="auto"/>
                <w:sz w:val="21"/>
                <w:szCs w:val="21"/>
                <w:highlight w:val="none"/>
                <w:lang w:val="zh-CN"/>
              </w:rPr>
              <w:t>2</w:t>
            </w:r>
          </w:p>
        </w:tc>
        <w:tc>
          <w:tcPr>
            <w:tcW w:w="70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lang w:val="zh-CN"/>
              </w:rPr>
            </w:pPr>
            <w:r>
              <w:rPr>
                <w:rFonts w:hint="eastAsia" w:ascii="方正黑体_GBK" w:hAnsi="方正黑体_GBK" w:eastAsia="方正黑体_GBK" w:cs="方正黑体_GBK"/>
                <w:bCs/>
                <w:color w:val="auto"/>
                <w:sz w:val="21"/>
                <w:szCs w:val="21"/>
                <w:highlight w:val="none"/>
                <w:lang w:val="zh-CN"/>
              </w:rPr>
              <w:t>技术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lang w:val="zh-CN"/>
              </w:rPr>
            </w:pPr>
            <w:r>
              <w:rPr>
                <w:rFonts w:hint="eastAsia" w:ascii="方正黑体_GBK" w:hAnsi="方正黑体_GBK" w:eastAsia="方正黑体_GBK" w:cs="方正黑体_GBK"/>
                <w:bCs/>
                <w:color w:val="auto"/>
                <w:sz w:val="21"/>
                <w:szCs w:val="21"/>
                <w:highlight w:val="none"/>
                <w:lang w:val="zh-CN"/>
              </w:rPr>
              <w:t>部分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color w:val="auto"/>
                <w:lang w:val="zh-CN"/>
              </w:rPr>
            </w:pPr>
            <w:r>
              <w:rPr>
                <w:rFonts w:hint="eastAsia" w:ascii="方正黑体_GBK" w:hAnsi="方正黑体_GBK" w:eastAsia="方正黑体_GBK" w:cs="方正黑体_GBK"/>
                <w:bCs/>
                <w:color w:val="auto"/>
                <w:sz w:val="21"/>
                <w:szCs w:val="21"/>
                <w:highlight w:val="none"/>
                <w:lang w:val="zh-CN"/>
              </w:rPr>
              <w:t>（</w:t>
            </w:r>
            <w:r>
              <w:rPr>
                <w:rFonts w:hint="eastAsia" w:ascii="Times New Roman" w:hAnsi="Times New Roman" w:eastAsia="方正黑体_GBK" w:cs="Times New Roman"/>
                <w:bCs/>
                <w:color w:val="auto"/>
                <w:sz w:val="21"/>
                <w:szCs w:val="21"/>
                <w:highlight w:val="none"/>
                <w:lang w:val="en-US" w:eastAsia="zh-CN"/>
              </w:rPr>
              <w:t>55</w:t>
            </w:r>
            <w:r>
              <w:rPr>
                <w:rFonts w:hint="eastAsia" w:ascii="方正黑体_GBK" w:hAnsi="方正黑体_GBK" w:eastAsia="方正黑体_GBK" w:cs="方正黑体_GBK"/>
                <w:bCs/>
                <w:color w:val="auto"/>
                <w:sz w:val="21"/>
                <w:szCs w:val="21"/>
                <w:highlight w:val="none"/>
                <w:lang w:val="en-US" w:eastAsia="zh-CN"/>
              </w:rPr>
              <w:t>分</w:t>
            </w:r>
            <w:r>
              <w:rPr>
                <w:rFonts w:hint="eastAsia" w:ascii="方正黑体_GBK" w:hAnsi="方正黑体_GBK" w:eastAsia="方正黑体_GBK" w:cs="方正黑体_GBK"/>
                <w:bCs/>
                <w:color w:val="auto"/>
                <w:sz w:val="21"/>
                <w:szCs w:val="21"/>
                <w:highlight w:val="none"/>
                <w:lang w:val="zh-CN"/>
              </w:rPr>
              <w:t>）</w:t>
            </w:r>
          </w:p>
        </w:tc>
        <w:tc>
          <w:tcPr>
            <w:tcW w:w="6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r>
              <w:rPr>
                <w:rFonts w:hint="default" w:ascii="Times New Roman" w:hAnsi="Times New Roman" w:eastAsia="方正楷体_GBK" w:cs="Times New Roman"/>
                <w:b/>
                <w:bCs/>
                <w:color w:val="auto"/>
                <w:sz w:val="20"/>
                <w:szCs w:val="20"/>
                <w:highlight w:val="none"/>
              </w:rPr>
              <w:t>服务</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r>
              <w:rPr>
                <w:rFonts w:hint="default" w:ascii="Times New Roman" w:hAnsi="Times New Roman" w:eastAsia="方正楷体_GBK" w:cs="Times New Roman"/>
                <w:b/>
                <w:bCs/>
                <w:color w:val="auto"/>
                <w:sz w:val="20"/>
                <w:szCs w:val="20"/>
                <w:highlight w:val="none"/>
              </w:rPr>
              <w:t>方案</w:t>
            </w:r>
          </w:p>
        </w:tc>
        <w:tc>
          <w:tcPr>
            <w:tcW w:w="7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lang w:val="en-US" w:eastAsia="zh-CN"/>
              </w:rPr>
            </w:pPr>
            <w:r>
              <w:rPr>
                <w:rFonts w:hint="default" w:ascii="Times New Roman" w:hAnsi="Times New Roman" w:eastAsia="方正楷体_GBK" w:cs="Times New Roman"/>
                <w:b/>
                <w:bCs w:val="0"/>
                <w:color w:val="auto"/>
                <w:sz w:val="21"/>
                <w:szCs w:val="21"/>
                <w:highlight w:val="none"/>
                <w:lang w:val="en-US" w:eastAsia="zh-CN"/>
              </w:rPr>
              <w:t>5</w:t>
            </w:r>
            <w:r>
              <w:rPr>
                <w:rFonts w:hint="eastAsia" w:eastAsia="方正楷体_GBK" w:cs="Times New Roman"/>
                <w:b/>
                <w:bCs w:val="0"/>
                <w:color w:val="auto"/>
                <w:sz w:val="21"/>
                <w:szCs w:val="21"/>
                <w:highlight w:val="none"/>
                <w:lang w:val="en-US" w:eastAsia="zh-CN"/>
              </w:rPr>
              <w:t>5</w:t>
            </w:r>
            <w:r>
              <w:rPr>
                <w:rFonts w:hint="default" w:ascii="Times New Roman" w:hAnsi="Times New Roman" w:eastAsia="方正楷体_GBK" w:cs="Times New Roman"/>
                <w:b/>
                <w:bCs w:val="0"/>
                <w:color w:val="auto"/>
                <w:sz w:val="21"/>
                <w:szCs w:val="21"/>
                <w:highlight w:val="none"/>
                <w:lang w:val="en-US" w:eastAsia="zh-CN"/>
              </w:rPr>
              <w:t>分</w:t>
            </w: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b/>
                <w:color w:val="auto"/>
                <w:sz w:val="21"/>
                <w:szCs w:val="21"/>
                <w:highlight w:val="none"/>
                <w:lang w:val="zh-CN"/>
              </w:rPr>
            </w:pPr>
            <w:r>
              <w:rPr>
                <w:rFonts w:hint="default" w:ascii="Times New Roman" w:hAnsi="Times New Roman" w:eastAsia="方正仿宋_GBK" w:cs="Times New Roman"/>
                <w:b/>
                <w:color w:val="auto"/>
                <w:sz w:val="21"/>
                <w:szCs w:val="21"/>
                <w:highlight w:val="none"/>
                <w:lang w:val="zh-CN"/>
              </w:rPr>
              <w:t>（1）服务方案内容完整性和编制水平（</w:t>
            </w:r>
            <w:r>
              <w:rPr>
                <w:rFonts w:hint="default" w:ascii="Times New Roman" w:hAnsi="Times New Roman" w:eastAsia="方正仿宋_GBK" w:cs="Times New Roman"/>
                <w:b/>
                <w:color w:val="auto"/>
                <w:sz w:val="21"/>
                <w:szCs w:val="21"/>
                <w:highlight w:val="none"/>
                <w:lang w:val="en-US" w:eastAsia="zh-CN"/>
              </w:rPr>
              <w:t>13</w:t>
            </w:r>
            <w:r>
              <w:rPr>
                <w:rFonts w:hint="default" w:ascii="Times New Roman" w:hAnsi="Times New Roman" w:eastAsia="方正仿宋_GBK" w:cs="Times New Roman"/>
                <w:b/>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Cs/>
                <w:color w:val="auto"/>
                <w:sz w:val="21"/>
                <w:szCs w:val="21"/>
                <w:highlight w:val="none"/>
                <w:lang w:val="zh-CN"/>
              </w:rPr>
              <w:t>对</w:t>
            </w:r>
            <w:r>
              <w:rPr>
                <w:rFonts w:hint="default" w:ascii="Times New Roman" w:hAnsi="Times New Roman" w:eastAsia="方正仿宋_GBK" w:cs="Times New Roman"/>
                <w:bCs/>
                <w:color w:val="auto"/>
                <w:sz w:val="21"/>
                <w:szCs w:val="21"/>
                <w:highlight w:val="none"/>
                <w:lang w:val="en-US" w:eastAsia="zh-CN"/>
              </w:rPr>
              <w:t>招标</w:t>
            </w:r>
            <w:r>
              <w:rPr>
                <w:rFonts w:hint="default" w:ascii="Times New Roman" w:hAnsi="Times New Roman" w:eastAsia="方正仿宋_GBK" w:cs="Times New Roman"/>
                <w:bCs/>
                <w:color w:val="auto"/>
                <w:sz w:val="21"/>
                <w:szCs w:val="21"/>
                <w:highlight w:val="none"/>
                <w:lang w:val="zh-CN"/>
              </w:rPr>
              <w:t>范围内各项工作均有很完善、科学、可行的工作方案，各投标人方案横向比较。</w:t>
            </w:r>
            <w:r>
              <w:rPr>
                <w:rFonts w:hint="default" w:ascii="Times New Roman" w:hAnsi="Times New Roman" w:eastAsia="方正仿宋_GBK" w:cs="Times New Roman"/>
                <w:color w:val="auto"/>
                <w:sz w:val="21"/>
                <w:szCs w:val="21"/>
                <w:highlight w:val="none"/>
                <w:lang w:val="en-US" w:eastAsia="zh-CN"/>
              </w:rPr>
              <w:t>优13</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val="en-US" w:eastAsia="zh-CN"/>
              </w:rPr>
              <w:t>良9分，</w:t>
            </w:r>
            <w:r>
              <w:rPr>
                <w:rFonts w:hint="default" w:ascii="Times New Roman" w:hAnsi="Times New Roman" w:eastAsia="方正仿宋_GBK" w:cs="Times New Roman"/>
                <w:color w:val="auto"/>
                <w:sz w:val="21"/>
                <w:szCs w:val="21"/>
                <w:highlight w:val="none"/>
              </w:rPr>
              <w:t>中</w:t>
            </w:r>
            <w:r>
              <w:rPr>
                <w:rFonts w:hint="default" w:ascii="Times New Roman" w:hAnsi="Times New Roman" w:eastAsia="方正仿宋_GBK" w:cs="Times New Roman"/>
                <w:color w:val="auto"/>
                <w:sz w:val="21"/>
                <w:szCs w:val="21"/>
                <w:highlight w:val="none"/>
                <w:lang w:val="en-US" w:eastAsia="zh-CN"/>
              </w:rPr>
              <w:t>5</w:t>
            </w:r>
            <w:r>
              <w:rPr>
                <w:rFonts w:hint="default" w:ascii="Times New Roman" w:hAnsi="Times New Roman" w:eastAsia="方正仿宋_GBK" w:cs="Times New Roman"/>
                <w:color w:val="auto"/>
                <w:sz w:val="21"/>
                <w:szCs w:val="21"/>
                <w:highlight w:val="none"/>
              </w:rPr>
              <w:t>分，差</w:t>
            </w: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缺项0分</w:t>
            </w:r>
            <w:r>
              <w:rPr>
                <w:rFonts w:hint="default" w:ascii="Times New Roman" w:hAnsi="Times New Roman" w:eastAsia="方正仿宋_GBK" w:cs="Times New Roman"/>
                <w:color w:val="auto"/>
                <w:sz w:val="21"/>
                <w:szCs w:val="21"/>
                <w:highlight w:val="none"/>
                <w:lang w:eastAsia="zh-CN"/>
              </w:rPr>
              <w:t>。</w:t>
            </w:r>
          </w:p>
        </w:tc>
        <w:tc>
          <w:tcPr>
            <w:tcW w:w="210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324" w:firstLineChars="162"/>
              <w:jc w:val="left"/>
              <w:textAlignment w:val="auto"/>
              <w:outlineLvl w:val="9"/>
              <w:rPr>
                <w:rFonts w:hint="default" w:ascii="Times New Roman" w:hAnsi="Times New Roman" w:eastAsia="方正仿宋_GBK" w:cs="Times New Roman"/>
                <w:bCs/>
                <w:color w:val="auto"/>
                <w:sz w:val="20"/>
                <w:szCs w:val="20"/>
                <w:highlight w:val="none"/>
                <w:lang w:val="zh-CN"/>
              </w:rPr>
            </w:pPr>
            <w:r>
              <w:rPr>
                <w:rFonts w:hint="default" w:ascii="Times New Roman" w:hAnsi="Times New Roman" w:eastAsia="方正仿宋_GBK" w:cs="Times New Roman"/>
                <w:bCs/>
                <w:color w:val="auto"/>
                <w:sz w:val="20"/>
                <w:szCs w:val="20"/>
                <w:highlight w:val="none"/>
                <w:lang w:val="zh-CN"/>
              </w:rPr>
              <w:t>投标人根据</w:t>
            </w:r>
            <w:r>
              <w:rPr>
                <w:rFonts w:hint="default" w:ascii="Times New Roman" w:hAnsi="Times New Roman" w:eastAsia="方正仿宋_GBK" w:cs="Times New Roman"/>
                <w:bCs/>
                <w:color w:val="auto"/>
                <w:sz w:val="20"/>
                <w:szCs w:val="20"/>
                <w:highlight w:val="none"/>
                <w:lang w:val="en-US" w:eastAsia="zh-CN"/>
              </w:rPr>
              <w:t>招标</w:t>
            </w:r>
            <w:r>
              <w:rPr>
                <w:rFonts w:hint="default" w:ascii="Times New Roman" w:hAnsi="Times New Roman" w:eastAsia="方正仿宋_GBK" w:cs="Times New Roman"/>
                <w:bCs/>
                <w:color w:val="auto"/>
                <w:sz w:val="20"/>
                <w:szCs w:val="20"/>
                <w:highlight w:val="none"/>
                <w:lang w:val="zh-CN"/>
              </w:rPr>
              <w:t>文件内容自行提供服务方案（格式自定）。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rPr>
            </w:pPr>
          </w:p>
        </w:tc>
        <w:tc>
          <w:tcPr>
            <w:tcW w:w="6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rPr>
            </w:pP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b/>
                <w:color w:val="auto"/>
                <w:sz w:val="21"/>
                <w:szCs w:val="21"/>
                <w:highlight w:val="none"/>
                <w:lang w:val="zh-CN"/>
              </w:rPr>
            </w:pPr>
            <w:r>
              <w:rPr>
                <w:rFonts w:hint="default" w:ascii="Times New Roman" w:hAnsi="Times New Roman" w:eastAsia="方正仿宋_GBK" w:cs="Times New Roman"/>
                <w:b/>
                <w:color w:val="auto"/>
                <w:sz w:val="21"/>
                <w:szCs w:val="21"/>
                <w:highlight w:val="none"/>
                <w:lang w:val="zh-CN"/>
              </w:rPr>
              <w:t>（2）质量控制措施（</w:t>
            </w:r>
            <w:r>
              <w:rPr>
                <w:rFonts w:hint="default" w:ascii="Times New Roman" w:hAnsi="Times New Roman" w:eastAsia="方正仿宋_GBK" w:cs="Times New Roman"/>
                <w:b/>
                <w:color w:val="auto"/>
                <w:sz w:val="21"/>
                <w:szCs w:val="21"/>
                <w:highlight w:val="none"/>
                <w:lang w:val="en-US" w:eastAsia="zh-CN"/>
              </w:rPr>
              <w:t>10</w:t>
            </w:r>
            <w:r>
              <w:rPr>
                <w:rFonts w:hint="default" w:ascii="Times New Roman" w:hAnsi="Times New Roman" w:eastAsia="方正仿宋_GBK" w:cs="Times New Roman"/>
                <w:b/>
                <w:color w:val="auto"/>
                <w:sz w:val="21"/>
                <w:szCs w:val="21"/>
                <w:highlight w:val="none"/>
                <w:lang w:val="zh-CN"/>
              </w:rPr>
              <w:t>分）</w:t>
            </w:r>
          </w:p>
          <w:p>
            <w:pPr>
              <w:keepNext w:val="0"/>
              <w:keepLines w:val="0"/>
              <w:pageBreakBefore w:val="0"/>
              <w:widowControl w:val="0"/>
              <w:tabs>
                <w:tab w:val="left" w:pos="420"/>
                <w:tab w:val="left" w:pos="425"/>
              </w:tabs>
              <w:kinsoku/>
              <w:wordWrap/>
              <w:overflowPunct/>
              <w:topLinePunct w:val="0"/>
              <w:autoSpaceDE/>
              <w:autoSpaceDN/>
              <w:bidi w:val="0"/>
              <w:adjustRightInd/>
              <w:snapToGrid/>
              <w:spacing w:line="300" w:lineRule="exact"/>
              <w:ind w:firstLine="420" w:firstLineChars="200"/>
              <w:jc w:val="left"/>
              <w:textAlignment w:val="auto"/>
              <w:outlineLvl w:val="9"/>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color w:val="auto"/>
                <w:sz w:val="21"/>
                <w:szCs w:val="21"/>
                <w:highlight w:val="none"/>
              </w:rPr>
              <w:t>提</w:t>
            </w:r>
            <w:r>
              <w:rPr>
                <w:rFonts w:hint="default" w:ascii="Times New Roman" w:hAnsi="Times New Roman" w:eastAsia="方正仿宋_GBK" w:cs="Times New Roman"/>
                <w:color w:val="auto"/>
                <w:sz w:val="21"/>
                <w:szCs w:val="21"/>
                <w:highlight w:val="none"/>
                <w:lang w:val="en-US" w:eastAsia="zh-CN"/>
              </w:rPr>
              <w:t>供</w:t>
            </w:r>
            <w:r>
              <w:rPr>
                <w:rFonts w:hint="default" w:ascii="Times New Roman" w:hAnsi="Times New Roman" w:eastAsia="方正仿宋_GBK" w:cs="Times New Roman"/>
                <w:color w:val="auto"/>
                <w:sz w:val="21"/>
                <w:szCs w:val="21"/>
                <w:highlight w:val="none"/>
              </w:rPr>
              <w:t>有效的</w:t>
            </w:r>
            <w:r>
              <w:rPr>
                <w:rFonts w:hint="default" w:ascii="Times New Roman" w:hAnsi="Times New Roman" w:eastAsia="方正仿宋_GBK" w:cs="Times New Roman"/>
                <w:color w:val="auto"/>
                <w:sz w:val="21"/>
                <w:szCs w:val="21"/>
                <w:highlight w:val="none"/>
                <w:lang w:val="en-US" w:eastAsia="zh-CN"/>
              </w:rPr>
              <w:t>质量保证</w:t>
            </w:r>
            <w:r>
              <w:rPr>
                <w:rFonts w:hint="default" w:ascii="Times New Roman" w:hAnsi="Times New Roman" w:eastAsia="方正仿宋_GBK" w:cs="Times New Roman"/>
                <w:color w:val="auto"/>
                <w:sz w:val="21"/>
                <w:szCs w:val="21"/>
                <w:highlight w:val="none"/>
              </w:rPr>
              <w:t>、</w:t>
            </w:r>
            <w:r>
              <w:rPr>
                <w:rFonts w:hint="default" w:ascii="Times New Roman" w:hAnsi="Times New Roman" w:eastAsia="方正仿宋_GBK" w:cs="Times New Roman"/>
                <w:color w:val="auto"/>
                <w:sz w:val="21"/>
                <w:szCs w:val="21"/>
                <w:highlight w:val="none"/>
                <w:lang w:val="en-US" w:eastAsia="zh-CN"/>
              </w:rPr>
              <w:t>质量控制</w:t>
            </w:r>
            <w:r>
              <w:rPr>
                <w:rFonts w:hint="default" w:ascii="Times New Roman" w:hAnsi="Times New Roman" w:eastAsia="方正仿宋_GBK" w:cs="Times New Roman"/>
                <w:color w:val="auto"/>
                <w:sz w:val="21"/>
                <w:szCs w:val="21"/>
                <w:highlight w:val="none"/>
              </w:rPr>
              <w:t>措施。各投标人方案横向比较。</w:t>
            </w:r>
            <w:r>
              <w:rPr>
                <w:rFonts w:hint="default" w:ascii="Times New Roman" w:hAnsi="Times New Roman" w:eastAsia="方正仿宋_GBK" w:cs="Times New Roman"/>
                <w:color w:val="auto"/>
                <w:sz w:val="21"/>
                <w:szCs w:val="21"/>
                <w:highlight w:val="none"/>
                <w:lang w:val="en-US" w:eastAsia="zh-CN"/>
              </w:rPr>
              <w:t>优10</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val="en-US" w:eastAsia="zh-CN"/>
              </w:rPr>
              <w:t>良7分，</w:t>
            </w:r>
            <w:r>
              <w:rPr>
                <w:rFonts w:hint="default" w:ascii="Times New Roman" w:hAnsi="Times New Roman" w:eastAsia="方正仿宋_GBK" w:cs="Times New Roman"/>
                <w:color w:val="auto"/>
                <w:sz w:val="21"/>
                <w:szCs w:val="21"/>
                <w:highlight w:val="none"/>
              </w:rPr>
              <w:t>中</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分，差</w:t>
            </w: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缺项0分。</w:t>
            </w:r>
          </w:p>
        </w:tc>
        <w:tc>
          <w:tcPr>
            <w:tcW w:w="21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outlineLvl w:val="9"/>
              <w:rPr>
                <w:rFonts w:hint="default" w:ascii="Times New Roman" w:hAnsi="Times New Roman" w:eastAsia="方正仿宋_GBK" w:cs="Times New Roman"/>
                <w:bCs/>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rPr>
            </w:pPr>
          </w:p>
        </w:tc>
        <w:tc>
          <w:tcPr>
            <w:tcW w:w="6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rPr>
            </w:pP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b/>
                <w:color w:val="auto"/>
                <w:sz w:val="21"/>
                <w:szCs w:val="21"/>
                <w:highlight w:val="none"/>
                <w:lang w:val="zh-CN"/>
              </w:rPr>
            </w:pPr>
            <w:r>
              <w:rPr>
                <w:rFonts w:hint="default" w:ascii="Times New Roman" w:hAnsi="Times New Roman" w:eastAsia="方正仿宋_GBK" w:cs="Times New Roman"/>
                <w:b/>
                <w:color w:val="auto"/>
                <w:sz w:val="21"/>
                <w:szCs w:val="21"/>
                <w:highlight w:val="none"/>
                <w:lang w:val="zh-CN"/>
              </w:rPr>
              <w:t>（3）</w:t>
            </w:r>
            <w:r>
              <w:rPr>
                <w:rFonts w:hint="default" w:ascii="Times New Roman" w:hAnsi="Times New Roman" w:eastAsia="方正仿宋_GBK" w:cs="Times New Roman"/>
                <w:b/>
                <w:color w:val="auto"/>
                <w:sz w:val="21"/>
                <w:szCs w:val="21"/>
                <w:highlight w:val="none"/>
                <w:lang w:val="en-US" w:eastAsia="zh-CN"/>
              </w:rPr>
              <w:t>审核内容及方法</w:t>
            </w:r>
            <w:r>
              <w:rPr>
                <w:rFonts w:hint="default" w:ascii="Times New Roman" w:hAnsi="Times New Roman" w:eastAsia="方正仿宋_GBK" w:cs="Times New Roman"/>
                <w:b/>
                <w:color w:val="auto"/>
                <w:sz w:val="21"/>
                <w:szCs w:val="21"/>
                <w:highlight w:val="none"/>
                <w:lang w:val="zh-CN"/>
              </w:rPr>
              <w:t>（</w:t>
            </w:r>
            <w:r>
              <w:rPr>
                <w:rFonts w:hint="default" w:ascii="Times New Roman" w:hAnsi="Times New Roman" w:eastAsia="方正仿宋_GBK" w:cs="Times New Roman"/>
                <w:b/>
                <w:color w:val="auto"/>
                <w:sz w:val="21"/>
                <w:szCs w:val="21"/>
                <w:highlight w:val="none"/>
                <w:lang w:val="en-US" w:eastAsia="zh-CN"/>
              </w:rPr>
              <w:t>11</w:t>
            </w:r>
            <w:r>
              <w:rPr>
                <w:rFonts w:hint="default" w:ascii="Times New Roman" w:hAnsi="Times New Roman" w:eastAsia="方正仿宋_GBK" w:cs="Times New Roman"/>
                <w:b/>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color w:val="auto"/>
                <w:sz w:val="21"/>
                <w:szCs w:val="21"/>
                <w:highlight w:val="none"/>
                <w:lang w:val="en-US" w:eastAsia="zh-CN"/>
              </w:rPr>
              <w:t>招标控制价审核的具体内容及方法</w:t>
            </w:r>
            <w:r>
              <w:rPr>
                <w:rFonts w:hint="default" w:ascii="Times New Roman" w:hAnsi="Times New Roman" w:eastAsia="方正仿宋_GBK" w:cs="Times New Roman"/>
                <w:color w:val="auto"/>
                <w:sz w:val="21"/>
                <w:szCs w:val="21"/>
                <w:highlight w:val="none"/>
              </w:rPr>
              <w:t>。各投标人方案横向比较。</w:t>
            </w:r>
            <w:r>
              <w:rPr>
                <w:rFonts w:hint="default" w:ascii="Times New Roman" w:hAnsi="Times New Roman" w:eastAsia="方正仿宋_GBK" w:cs="Times New Roman"/>
                <w:color w:val="auto"/>
                <w:sz w:val="21"/>
                <w:szCs w:val="21"/>
                <w:highlight w:val="none"/>
                <w:lang w:val="en-US" w:eastAsia="zh-CN"/>
              </w:rPr>
              <w:t>优11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val="en-US" w:eastAsia="zh-CN"/>
              </w:rPr>
              <w:t>良8分，</w:t>
            </w:r>
            <w:r>
              <w:rPr>
                <w:rFonts w:hint="default" w:ascii="Times New Roman" w:hAnsi="Times New Roman" w:eastAsia="方正仿宋_GBK" w:cs="Times New Roman"/>
                <w:color w:val="auto"/>
                <w:sz w:val="21"/>
                <w:szCs w:val="21"/>
                <w:highlight w:val="none"/>
              </w:rPr>
              <w:t>中</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分，差</w:t>
            </w: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缺项0分。</w:t>
            </w:r>
          </w:p>
        </w:tc>
        <w:tc>
          <w:tcPr>
            <w:tcW w:w="21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outlineLvl w:val="9"/>
              <w:rPr>
                <w:rFonts w:hint="default" w:ascii="Times New Roman" w:hAnsi="Times New Roman" w:eastAsia="方正仿宋_GBK" w:cs="Times New Roman"/>
                <w:bCs/>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rPr>
            </w:pPr>
          </w:p>
        </w:tc>
        <w:tc>
          <w:tcPr>
            <w:tcW w:w="6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rPr>
            </w:pP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b/>
                <w:color w:val="auto"/>
                <w:sz w:val="21"/>
                <w:szCs w:val="21"/>
                <w:highlight w:val="none"/>
                <w:lang w:val="zh-CN"/>
              </w:rPr>
            </w:pPr>
            <w:r>
              <w:rPr>
                <w:rFonts w:hint="default" w:ascii="Times New Roman" w:hAnsi="Times New Roman" w:eastAsia="方正仿宋_GBK" w:cs="Times New Roman"/>
                <w:b/>
                <w:color w:val="auto"/>
                <w:sz w:val="21"/>
                <w:szCs w:val="21"/>
                <w:highlight w:val="none"/>
                <w:lang w:val="zh-CN"/>
              </w:rPr>
              <w:t>（4）人员组织架构、分工安排（</w:t>
            </w:r>
            <w:r>
              <w:rPr>
                <w:rFonts w:hint="default" w:ascii="Times New Roman" w:hAnsi="Times New Roman" w:eastAsia="方正仿宋_GBK" w:cs="Times New Roman"/>
                <w:b/>
                <w:color w:val="auto"/>
                <w:sz w:val="21"/>
                <w:szCs w:val="21"/>
                <w:highlight w:val="none"/>
                <w:lang w:val="en-US" w:eastAsia="zh-CN"/>
              </w:rPr>
              <w:t>11</w:t>
            </w:r>
            <w:r>
              <w:rPr>
                <w:rFonts w:hint="default" w:ascii="Times New Roman" w:hAnsi="Times New Roman" w:eastAsia="方正仿宋_GBK" w:cs="Times New Roman"/>
                <w:b/>
                <w:color w:val="auto"/>
                <w:sz w:val="21"/>
                <w:szCs w:val="21"/>
                <w:highlight w:val="none"/>
                <w:lang w:val="zh-CN"/>
              </w:rPr>
              <w:t>分）</w:t>
            </w:r>
          </w:p>
          <w:p>
            <w:pPr>
              <w:keepNext w:val="0"/>
              <w:keepLines w:val="0"/>
              <w:pageBreakBefore w:val="0"/>
              <w:widowControl w:val="0"/>
              <w:tabs>
                <w:tab w:val="left" w:pos="420"/>
                <w:tab w:val="left" w:pos="425"/>
              </w:tabs>
              <w:kinsoku/>
              <w:wordWrap/>
              <w:overflowPunct/>
              <w:topLinePunct w:val="0"/>
              <w:autoSpaceDE/>
              <w:autoSpaceDN/>
              <w:bidi w:val="0"/>
              <w:adjustRightInd/>
              <w:snapToGrid/>
              <w:spacing w:line="300" w:lineRule="exact"/>
              <w:ind w:firstLine="420" w:firstLineChars="200"/>
              <w:jc w:val="left"/>
              <w:textAlignment w:val="auto"/>
              <w:outlineLvl w:val="9"/>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color w:val="auto"/>
                <w:sz w:val="21"/>
                <w:szCs w:val="21"/>
                <w:highlight w:val="none"/>
              </w:rPr>
              <w:t>项目管理机构人员配备情况：人员数量充足、专业结构合理、详细明确的职责分工，完全能够满足工程需要。各投标人方案横向比较。</w:t>
            </w:r>
            <w:r>
              <w:rPr>
                <w:rFonts w:hint="default" w:ascii="Times New Roman" w:hAnsi="Times New Roman" w:eastAsia="方正仿宋_GBK" w:cs="Times New Roman"/>
                <w:color w:val="auto"/>
                <w:sz w:val="21"/>
                <w:szCs w:val="21"/>
                <w:highlight w:val="none"/>
                <w:lang w:val="en-US" w:eastAsia="zh-CN"/>
              </w:rPr>
              <w:t>优11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val="en-US" w:eastAsia="zh-CN"/>
              </w:rPr>
              <w:t>良8分，</w:t>
            </w:r>
            <w:r>
              <w:rPr>
                <w:rFonts w:hint="default" w:ascii="Times New Roman" w:hAnsi="Times New Roman" w:eastAsia="方正仿宋_GBK" w:cs="Times New Roman"/>
                <w:color w:val="auto"/>
                <w:sz w:val="21"/>
                <w:szCs w:val="21"/>
                <w:highlight w:val="none"/>
              </w:rPr>
              <w:t>中</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分，差</w:t>
            </w: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缺项0分。</w:t>
            </w:r>
          </w:p>
        </w:tc>
        <w:tc>
          <w:tcPr>
            <w:tcW w:w="21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outlineLvl w:val="9"/>
              <w:rPr>
                <w:rFonts w:hint="default" w:ascii="Times New Roman" w:hAnsi="Times New Roman" w:eastAsia="方正仿宋_GBK" w:cs="Times New Roman"/>
                <w:bCs/>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rPr>
            </w:pPr>
          </w:p>
        </w:tc>
        <w:tc>
          <w:tcPr>
            <w:tcW w:w="6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p>
        </w:tc>
        <w:tc>
          <w:tcPr>
            <w:tcW w:w="7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sz w:val="21"/>
                <w:szCs w:val="21"/>
                <w:highlight w:val="none"/>
              </w:rPr>
            </w:pPr>
          </w:p>
        </w:tc>
        <w:tc>
          <w:tcPr>
            <w:tcW w:w="4867"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b/>
                <w:color w:val="auto"/>
                <w:sz w:val="21"/>
                <w:szCs w:val="21"/>
                <w:highlight w:val="none"/>
                <w:lang w:val="zh-CN"/>
              </w:rPr>
            </w:pPr>
            <w:r>
              <w:rPr>
                <w:rFonts w:hint="default" w:ascii="Times New Roman" w:hAnsi="Times New Roman" w:eastAsia="方正仿宋_GBK" w:cs="Times New Roman"/>
                <w:b/>
                <w:color w:val="auto"/>
                <w:sz w:val="21"/>
                <w:szCs w:val="21"/>
                <w:highlight w:val="none"/>
                <w:lang w:val="zh-CN"/>
              </w:rPr>
              <w:t>（5）争议、协调的处理措施（</w:t>
            </w:r>
            <w:r>
              <w:rPr>
                <w:rFonts w:hint="default" w:ascii="Times New Roman" w:hAnsi="Times New Roman" w:eastAsia="方正仿宋_GBK" w:cs="Times New Roman"/>
                <w:b/>
                <w:color w:val="auto"/>
                <w:sz w:val="21"/>
                <w:szCs w:val="21"/>
                <w:highlight w:val="none"/>
                <w:lang w:val="en-US" w:eastAsia="zh-CN"/>
              </w:rPr>
              <w:t>10</w:t>
            </w:r>
            <w:r>
              <w:rPr>
                <w:rFonts w:hint="default" w:ascii="Times New Roman" w:hAnsi="Times New Roman" w:eastAsia="方正仿宋_GBK" w:cs="Times New Roman"/>
                <w:b/>
                <w:color w:val="auto"/>
                <w:sz w:val="21"/>
                <w:szCs w:val="21"/>
                <w:highlight w:val="none"/>
                <w:lang w:val="zh-CN"/>
              </w:rPr>
              <w:t>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default" w:ascii="Times New Roman" w:hAnsi="Times New Roman" w:eastAsia="方正仿宋_GBK" w:cs="Times New Roman"/>
                <w:b/>
                <w:bCs/>
                <w:color w:val="auto"/>
                <w:sz w:val="21"/>
                <w:szCs w:val="21"/>
                <w:highlight w:val="none"/>
              </w:rPr>
            </w:pPr>
            <w:r>
              <w:rPr>
                <w:rFonts w:hint="default" w:ascii="Times New Roman" w:hAnsi="Times New Roman" w:eastAsia="方正仿宋_GBK" w:cs="Times New Roman"/>
                <w:color w:val="auto"/>
                <w:sz w:val="21"/>
                <w:szCs w:val="21"/>
                <w:highlight w:val="none"/>
              </w:rPr>
              <w:t>在</w:t>
            </w:r>
            <w:r>
              <w:rPr>
                <w:rFonts w:hint="default" w:ascii="Times New Roman" w:hAnsi="Times New Roman" w:eastAsia="方正仿宋_GBK" w:cs="Times New Roman"/>
                <w:color w:val="auto"/>
                <w:sz w:val="21"/>
                <w:szCs w:val="21"/>
                <w:highlight w:val="none"/>
                <w:lang w:val="en-US" w:eastAsia="zh-CN"/>
              </w:rPr>
              <w:t>审核</w:t>
            </w:r>
            <w:r>
              <w:rPr>
                <w:rFonts w:hint="default" w:ascii="Times New Roman" w:hAnsi="Times New Roman" w:eastAsia="方正仿宋_GBK" w:cs="Times New Roman"/>
                <w:color w:val="auto"/>
                <w:sz w:val="21"/>
                <w:szCs w:val="21"/>
                <w:highlight w:val="none"/>
              </w:rPr>
              <w:t>过程中，</w:t>
            </w:r>
            <w:r>
              <w:rPr>
                <w:rFonts w:hint="default" w:ascii="Times New Roman" w:hAnsi="Times New Roman" w:eastAsia="方正仿宋_GBK" w:cs="Times New Roman"/>
                <w:color w:val="auto"/>
                <w:sz w:val="21"/>
                <w:szCs w:val="21"/>
                <w:highlight w:val="none"/>
                <w:lang w:val="en-US" w:eastAsia="zh-CN"/>
              </w:rPr>
              <w:t>对产生的争议，协调处理的措施</w:t>
            </w:r>
            <w:r>
              <w:rPr>
                <w:rFonts w:hint="default" w:ascii="Times New Roman" w:hAnsi="Times New Roman" w:eastAsia="方正仿宋_GBK" w:cs="Times New Roman"/>
                <w:color w:val="auto"/>
                <w:sz w:val="21"/>
                <w:szCs w:val="21"/>
                <w:highlight w:val="none"/>
              </w:rPr>
              <w:t>。各投标人方案横向比较。</w:t>
            </w:r>
            <w:r>
              <w:rPr>
                <w:rFonts w:hint="default" w:ascii="Times New Roman" w:hAnsi="Times New Roman" w:eastAsia="方正仿宋_GBK" w:cs="Times New Roman"/>
                <w:color w:val="auto"/>
                <w:sz w:val="21"/>
                <w:szCs w:val="21"/>
                <w:highlight w:val="none"/>
                <w:lang w:val="en-US" w:eastAsia="zh-CN"/>
              </w:rPr>
              <w:t>优10</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val="en-US" w:eastAsia="zh-CN"/>
              </w:rPr>
              <w:t>良7分，</w:t>
            </w:r>
            <w:r>
              <w:rPr>
                <w:rFonts w:hint="default" w:ascii="Times New Roman" w:hAnsi="Times New Roman" w:eastAsia="方正仿宋_GBK" w:cs="Times New Roman"/>
                <w:color w:val="auto"/>
                <w:sz w:val="21"/>
                <w:szCs w:val="21"/>
                <w:highlight w:val="none"/>
              </w:rPr>
              <w:t>中</w:t>
            </w:r>
            <w:r>
              <w:rPr>
                <w:rFonts w:hint="default" w:ascii="Times New Roman" w:hAnsi="Times New Roman" w:eastAsia="方正仿宋_GBK" w:cs="Times New Roman"/>
                <w:color w:val="auto"/>
                <w:sz w:val="21"/>
                <w:szCs w:val="21"/>
                <w:highlight w:val="none"/>
                <w:lang w:val="en-US" w:eastAsia="zh-CN"/>
              </w:rPr>
              <w:t>4</w:t>
            </w:r>
            <w:r>
              <w:rPr>
                <w:rFonts w:hint="default" w:ascii="Times New Roman" w:hAnsi="Times New Roman" w:eastAsia="方正仿宋_GBK" w:cs="Times New Roman"/>
                <w:color w:val="auto"/>
                <w:sz w:val="21"/>
                <w:szCs w:val="21"/>
                <w:highlight w:val="none"/>
              </w:rPr>
              <w:t>分，差</w:t>
            </w:r>
            <w:r>
              <w:rPr>
                <w:rFonts w:hint="default"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分</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缺项0分。</w:t>
            </w:r>
          </w:p>
        </w:tc>
        <w:tc>
          <w:tcPr>
            <w:tcW w:w="210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center"/>
              <w:textAlignment w:val="auto"/>
              <w:outlineLvl w:val="9"/>
              <w:rPr>
                <w:rFonts w:hint="default" w:ascii="Times New Roman" w:hAnsi="Times New Roman" w:eastAsia="方正仿宋_GBK" w:cs="Times New Roman"/>
                <w:bCs/>
                <w:color w:val="auto"/>
                <w:sz w:val="20"/>
                <w:szCs w:val="20"/>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33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r>
              <w:rPr>
                <w:rFonts w:hint="default" w:ascii="Times New Roman" w:hAnsi="Times New Roman" w:eastAsia="方正楷体_GBK" w:cs="Times New Roman"/>
                <w:bCs/>
                <w:color w:val="auto"/>
                <w:sz w:val="21"/>
                <w:szCs w:val="21"/>
                <w:highlight w:val="none"/>
                <w:lang w:val="zh-CN"/>
              </w:rPr>
              <w:t>3</w:t>
            </w:r>
          </w:p>
        </w:tc>
        <w:tc>
          <w:tcPr>
            <w:tcW w:w="703" w:type="dxa"/>
            <w:vMerge w:val="restart"/>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lang w:val="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lang w:val="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lang w:val="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lang w:val="zh-CN"/>
              </w:rPr>
            </w:pPr>
            <w:r>
              <w:rPr>
                <w:rFonts w:hint="eastAsia" w:ascii="方正黑体_GBK" w:hAnsi="方正黑体_GBK" w:eastAsia="方正黑体_GBK" w:cs="方正黑体_GBK"/>
                <w:bCs/>
                <w:color w:val="auto"/>
                <w:sz w:val="21"/>
                <w:szCs w:val="21"/>
                <w:highlight w:val="none"/>
                <w:lang w:val="zh-CN"/>
              </w:rPr>
              <w:t>商务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方正黑体_GBK" w:hAnsi="方正黑体_GBK" w:eastAsia="方正黑体_GBK" w:cs="方正黑体_GBK"/>
                <w:bCs/>
                <w:color w:val="auto"/>
                <w:sz w:val="21"/>
                <w:szCs w:val="21"/>
                <w:highlight w:val="none"/>
                <w:lang w:val="zh-CN"/>
              </w:rPr>
            </w:pPr>
            <w:r>
              <w:rPr>
                <w:rFonts w:hint="eastAsia" w:ascii="方正黑体_GBK" w:hAnsi="方正黑体_GBK" w:eastAsia="方正黑体_GBK" w:cs="方正黑体_GBK"/>
                <w:bCs/>
                <w:color w:val="auto"/>
                <w:sz w:val="21"/>
                <w:szCs w:val="21"/>
                <w:highlight w:val="none"/>
                <w:lang w:val="zh-CN"/>
              </w:rPr>
              <w:t>部分</w:t>
            </w:r>
          </w:p>
          <w:p>
            <w:pPr>
              <w:pStyle w:val="2"/>
              <w:rPr>
                <w:rFonts w:hint="eastAsia"/>
                <w:lang w:val="zh-CN"/>
              </w:rPr>
            </w:pPr>
            <w:r>
              <w:rPr>
                <w:rFonts w:hint="eastAsia" w:ascii="方正黑体_GBK" w:hAnsi="方正黑体_GBK" w:eastAsia="方正黑体_GBK" w:cs="方正黑体_GBK"/>
                <w:bCs/>
                <w:color w:val="auto"/>
                <w:sz w:val="21"/>
                <w:szCs w:val="21"/>
                <w:highlight w:val="none"/>
                <w:lang w:val="zh-CN"/>
              </w:rPr>
              <w:t>（</w:t>
            </w:r>
            <w:r>
              <w:rPr>
                <w:rFonts w:hint="eastAsia" w:ascii="Times New Roman" w:hAnsi="Times New Roman" w:eastAsia="方正黑体_GBK" w:cs="Times New Roman"/>
                <w:bCs/>
                <w:color w:val="auto"/>
                <w:kern w:val="2"/>
                <w:sz w:val="21"/>
                <w:szCs w:val="21"/>
                <w:highlight w:val="none"/>
                <w:lang w:val="en-US" w:eastAsia="zh-CN" w:bidi="ar-SA"/>
              </w:rPr>
              <w:t>25</w:t>
            </w:r>
            <w:r>
              <w:rPr>
                <w:rFonts w:hint="eastAsia" w:ascii="方正黑体_GBK" w:hAnsi="方正黑体_GBK" w:eastAsia="方正黑体_GBK" w:cs="方正黑体_GBK"/>
                <w:bCs/>
                <w:color w:val="auto"/>
                <w:sz w:val="21"/>
                <w:szCs w:val="21"/>
                <w:highlight w:val="none"/>
                <w:lang w:val="en-US" w:eastAsia="zh-CN"/>
              </w:rPr>
              <w:t>分</w:t>
            </w:r>
            <w:r>
              <w:rPr>
                <w:rFonts w:hint="eastAsia" w:ascii="方正黑体_GBK" w:hAnsi="方正黑体_GBK" w:eastAsia="方正黑体_GBK" w:cs="方正黑体_GBK"/>
                <w:bCs/>
                <w:color w:val="auto"/>
                <w:sz w:val="21"/>
                <w:szCs w:val="21"/>
                <w:highlight w:val="none"/>
                <w:lang w:val="zh-CN"/>
              </w:rPr>
              <w:t>）</w:t>
            </w:r>
          </w:p>
        </w:tc>
        <w:tc>
          <w:tcPr>
            <w:tcW w:w="674" w:type="dxa"/>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kern w:val="2"/>
                <w:sz w:val="20"/>
                <w:szCs w:val="20"/>
                <w:highlight w:val="none"/>
                <w:lang w:val="en-US" w:eastAsia="zh-CN" w:bidi="ar-SA"/>
              </w:rPr>
            </w:pPr>
            <w:r>
              <w:rPr>
                <w:rFonts w:hint="default" w:ascii="Times New Roman" w:hAnsi="Times New Roman" w:eastAsia="方正楷体_GBK" w:cs="Times New Roman"/>
                <w:b/>
                <w:bCs/>
                <w:color w:val="auto"/>
                <w:sz w:val="20"/>
                <w:szCs w:val="20"/>
                <w:highlight w:val="none"/>
                <w:lang w:val="zh-CN"/>
              </w:rPr>
              <w:t>业绩</w:t>
            </w:r>
          </w:p>
        </w:tc>
        <w:tc>
          <w:tcPr>
            <w:tcW w:w="710"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kern w:val="2"/>
                <w:sz w:val="21"/>
                <w:szCs w:val="21"/>
                <w:highlight w:val="none"/>
                <w:lang w:val="en-US" w:eastAsia="zh-CN" w:bidi="ar-SA"/>
              </w:rPr>
            </w:pPr>
            <w:r>
              <w:rPr>
                <w:rFonts w:hint="eastAsia" w:eastAsia="方正楷体_GBK" w:cs="Times New Roman"/>
                <w:b/>
                <w:bCs w:val="0"/>
                <w:color w:val="auto"/>
                <w:sz w:val="21"/>
                <w:szCs w:val="21"/>
                <w:highlight w:val="none"/>
                <w:lang w:val="en-US" w:eastAsia="zh-CN"/>
              </w:rPr>
              <w:t>6</w:t>
            </w:r>
            <w:r>
              <w:rPr>
                <w:rFonts w:hint="default" w:ascii="Times New Roman" w:hAnsi="Times New Roman" w:eastAsia="方正楷体_GBK" w:cs="Times New Roman"/>
                <w:b/>
                <w:bCs w:val="0"/>
                <w:color w:val="auto"/>
                <w:sz w:val="21"/>
                <w:szCs w:val="21"/>
                <w:highlight w:val="none"/>
                <w:lang w:val="en-US" w:eastAsia="zh-CN"/>
              </w:rPr>
              <w:t>分</w:t>
            </w:r>
          </w:p>
        </w:tc>
        <w:tc>
          <w:tcPr>
            <w:tcW w:w="486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b/>
                <w:color w:val="auto"/>
                <w:sz w:val="21"/>
                <w:szCs w:val="21"/>
                <w:highlight w:val="none"/>
                <w:lang w:val="zh-CN" w:eastAsia="zh-CN"/>
              </w:rPr>
            </w:pPr>
            <w:r>
              <w:rPr>
                <w:rFonts w:hint="default" w:ascii="Times New Roman" w:hAnsi="Times New Roman" w:eastAsia="方正仿宋_GBK" w:cs="Times New Roman"/>
                <w:b/>
                <w:color w:val="auto"/>
                <w:sz w:val="21"/>
                <w:szCs w:val="21"/>
                <w:highlight w:val="none"/>
                <w:lang w:val="zh-CN"/>
              </w:rPr>
              <w:t>在满足项目</w:t>
            </w:r>
            <w:r>
              <w:rPr>
                <w:rFonts w:hint="default" w:ascii="Times New Roman" w:hAnsi="Times New Roman" w:eastAsia="方正仿宋_GBK" w:cs="Times New Roman"/>
                <w:b/>
                <w:color w:val="auto"/>
                <w:sz w:val="21"/>
                <w:szCs w:val="21"/>
                <w:highlight w:val="none"/>
                <w:lang w:val="en-US" w:eastAsia="zh-CN"/>
              </w:rPr>
              <w:t>资格条件的</w:t>
            </w:r>
            <w:r>
              <w:rPr>
                <w:rFonts w:hint="default" w:ascii="Times New Roman" w:hAnsi="Times New Roman" w:eastAsia="方正仿宋_GBK" w:cs="Times New Roman"/>
                <w:b/>
                <w:color w:val="auto"/>
                <w:sz w:val="21"/>
                <w:szCs w:val="21"/>
                <w:highlight w:val="none"/>
                <w:lang w:val="zh-CN"/>
              </w:rPr>
              <w:t>基础上</w:t>
            </w:r>
            <w:r>
              <w:rPr>
                <w:rFonts w:hint="default" w:ascii="Times New Roman" w:hAnsi="Times New Roman" w:eastAsia="方正仿宋_GBK" w:cs="Times New Roman"/>
                <w:b/>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方正仿宋_GBK" w:cs="Times New Roman"/>
                <w:bCs/>
                <w:color w:val="auto"/>
                <w:kern w:val="2"/>
                <w:sz w:val="21"/>
                <w:szCs w:val="21"/>
                <w:highlight w:val="none"/>
                <w:lang w:val="zh-CN" w:eastAsia="zh-CN" w:bidi="ar-SA"/>
              </w:rPr>
            </w:pPr>
            <w:r>
              <w:rPr>
                <w:rFonts w:hint="default" w:ascii="Times New Roman" w:hAnsi="Times New Roman" w:eastAsia="方正仿宋_GBK" w:cs="Times New Roman"/>
                <w:color w:val="auto"/>
                <w:kern w:val="0"/>
                <w:sz w:val="21"/>
                <w:szCs w:val="21"/>
              </w:rPr>
              <w:t>投标人在20</w:t>
            </w:r>
            <w:r>
              <w:rPr>
                <w:rFonts w:hint="default" w:ascii="Times New Roman" w:hAnsi="Times New Roman" w:eastAsia="方正仿宋_GBK" w:cs="Times New Roman"/>
                <w:color w:val="auto"/>
                <w:kern w:val="0"/>
                <w:sz w:val="21"/>
                <w:szCs w:val="21"/>
                <w:lang w:val="en-US" w:eastAsia="zh-CN"/>
              </w:rPr>
              <w:t>19</w:t>
            </w:r>
            <w:r>
              <w:rPr>
                <w:rFonts w:hint="default" w:ascii="Times New Roman" w:hAnsi="Times New Roman" w:eastAsia="方正仿宋_GBK" w:cs="Times New Roman"/>
                <w:color w:val="auto"/>
                <w:kern w:val="0"/>
                <w:sz w:val="21"/>
                <w:szCs w:val="21"/>
              </w:rPr>
              <w:t>年1</w:t>
            </w:r>
            <w:r>
              <w:rPr>
                <w:rFonts w:hint="default" w:ascii="Times New Roman" w:hAnsi="Times New Roman" w:eastAsia="方正仿宋_GBK" w:cs="Times New Roman"/>
                <w:color w:val="auto"/>
                <w:kern w:val="0"/>
                <w:sz w:val="21"/>
                <w:szCs w:val="21"/>
                <w:lang w:val="en-US" w:eastAsia="zh-CN"/>
              </w:rPr>
              <w:t>0</w:t>
            </w:r>
            <w:r>
              <w:rPr>
                <w:rFonts w:hint="default" w:ascii="Times New Roman" w:hAnsi="Times New Roman" w:eastAsia="方正仿宋_GBK" w:cs="Times New Roman"/>
                <w:color w:val="auto"/>
                <w:kern w:val="0"/>
                <w:sz w:val="21"/>
                <w:szCs w:val="21"/>
              </w:rPr>
              <w:t>月1日起至投标截止日止（以合同签订时间为准）</w:t>
            </w:r>
            <w:r>
              <w:rPr>
                <w:rFonts w:hint="default" w:ascii="Times New Roman" w:hAnsi="Times New Roman" w:eastAsia="方正仿宋_GBK" w:cs="Times New Roman"/>
                <w:color w:val="auto"/>
                <w:sz w:val="21"/>
                <w:szCs w:val="21"/>
              </w:rPr>
              <w:t>承担过</w:t>
            </w:r>
            <w:r>
              <w:rPr>
                <w:rFonts w:hint="default" w:ascii="Times New Roman" w:hAnsi="Times New Roman" w:eastAsia="方正仿宋_GBK" w:cs="Times New Roman"/>
                <w:color w:val="auto"/>
                <w:kern w:val="0"/>
                <w:sz w:val="21"/>
                <w:szCs w:val="21"/>
                <w:lang w:val="en-US" w:eastAsia="zh-CN"/>
              </w:rPr>
              <w:t>具有建安造价2亿元及以上</w:t>
            </w:r>
            <w:r>
              <w:rPr>
                <w:rFonts w:hint="default" w:ascii="Times New Roman" w:hAnsi="Times New Roman" w:eastAsia="方正仿宋_GBK" w:cs="Times New Roman"/>
                <w:color w:val="auto"/>
                <w:kern w:val="0"/>
                <w:sz w:val="21"/>
                <w:szCs w:val="21"/>
              </w:rPr>
              <w:t>类</w:t>
            </w:r>
            <w:r>
              <w:rPr>
                <w:rFonts w:hint="default" w:ascii="Times New Roman" w:hAnsi="Times New Roman" w:eastAsia="方正仿宋_GBK" w:cs="Times New Roman"/>
                <w:color w:val="auto"/>
                <w:kern w:val="0"/>
                <w:sz w:val="21"/>
                <w:szCs w:val="21"/>
                <w:u w:val="none"/>
              </w:rPr>
              <w:t>似</w:t>
            </w:r>
            <w:r>
              <w:rPr>
                <w:rFonts w:hint="default" w:ascii="Times New Roman" w:hAnsi="Times New Roman" w:eastAsia="方正仿宋_GBK" w:cs="Times New Roman"/>
                <w:color w:val="auto"/>
                <w:sz w:val="21"/>
                <w:szCs w:val="21"/>
                <w:u w:val="none"/>
                <w:lang w:val="en-US" w:eastAsia="zh-CN"/>
              </w:rPr>
              <w:t>城市更新、旧城改造、房建类型</w:t>
            </w:r>
            <w:r>
              <w:rPr>
                <w:rFonts w:hint="default" w:ascii="Times New Roman" w:hAnsi="Times New Roman" w:eastAsia="方正仿宋_GBK" w:cs="Times New Roman"/>
                <w:color w:val="auto"/>
                <w:kern w:val="0"/>
                <w:sz w:val="21"/>
                <w:szCs w:val="21"/>
                <w:u w:val="none"/>
                <w:lang w:val="en-US" w:eastAsia="zh-CN"/>
              </w:rPr>
              <w:t>的</w:t>
            </w:r>
            <w:r>
              <w:rPr>
                <w:rFonts w:hint="default" w:ascii="Times New Roman" w:hAnsi="Times New Roman" w:eastAsia="方正仿宋_GBK" w:cs="Times New Roman"/>
                <w:color w:val="auto"/>
                <w:kern w:val="0"/>
                <w:sz w:val="21"/>
                <w:szCs w:val="21"/>
                <w:u w:val="none"/>
              </w:rPr>
              <w:t>工程量清单及组价编制</w:t>
            </w:r>
            <w:r>
              <w:rPr>
                <w:rFonts w:hint="default" w:ascii="Times New Roman" w:hAnsi="Times New Roman" w:eastAsia="方正仿宋_GBK" w:cs="Times New Roman"/>
                <w:color w:val="auto"/>
                <w:kern w:val="0"/>
                <w:sz w:val="21"/>
                <w:szCs w:val="21"/>
                <w:u w:val="none"/>
                <w:lang w:val="en-US" w:eastAsia="zh-CN"/>
              </w:rPr>
              <w:t>或</w:t>
            </w:r>
            <w:r>
              <w:rPr>
                <w:rFonts w:hint="default" w:ascii="Times New Roman" w:hAnsi="Times New Roman" w:eastAsia="方正仿宋_GBK" w:cs="Times New Roman"/>
                <w:color w:val="auto"/>
                <w:kern w:val="0"/>
                <w:sz w:val="21"/>
                <w:szCs w:val="21"/>
                <w:u w:val="none"/>
              </w:rPr>
              <w:t>工程量清单及组价审核</w:t>
            </w:r>
            <w:r>
              <w:rPr>
                <w:rFonts w:hint="default" w:ascii="Times New Roman" w:hAnsi="Times New Roman" w:eastAsia="方正仿宋_GBK" w:cs="Times New Roman"/>
                <w:color w:val="auto"/>
                <w:kern w:val="0"/>
                <w:sz w:val="21"/>
                <w:szCs w:val="21"/>
                <w:u w:val="none"/>
                <w:lang w:val="en-US" w:eastAsia="zh-CN"/>
              </w:rPr>
              <w:t>业绩，每提供1个，得1.5分。最高不超过6分。</w:t>
            </w:r>
          </w:p>
        </w:tc>
        <w:tc>
          <w:tcPr>
            <w:tcW w:w="21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left"/>
              <w:textAlignment w:val="auto"/>
              <w:rPr>
                <w:rFonts w:hint="default" w:ascii="Times New Roman" w:hAnsi="Times New Roman" w:eastAsia="方正仿宋_GBK" w:cs="Times New Roman"/>
                <w:bCs/>
                <w:color w:val="auto"/>
                <w:kern w:val="2"/>
                <w:sz w:val="20"/>
                <w:szCs w:val="20"/>
                <w:highlight w:val="none"/>
                <w:lang w:val="zh-CN" w:eastAsia="zh-CN" w:bidi="ar-SA"/>
              </w:rPr>
            </w:pPr>
            <w:r>
              <w:rPr>
                <w:rFonts w:hint="default" w:ascii="Times New Roman" w:hAnsi="Times New Roman" w:eastAsia="方正仿宋_GBK" w:cs="Times New Roman"/>
                <w:color w:val="auto"/>
                <w:kern w:val="0"/>
                <w:sz w:val="20"/>
                <w:szCs w:val="20"/>
              </w:rPr>
              <w:t>投标人须在投标文件资格审查部分提供合同协议书</w:t>
            </w:r>
            <w:r>
              <w:rPr>
                <w:rFonts w:hint="default" w:ascii="Times New Roman" w:hAnsi="Times New Roman" w:eastAsia="方正仿宋_GBK" w:cs="Times New Roman"/>
                <w:bCs/>
                <w:color w:val="auto"/>
                <w:sz w:val="20"/>
                <w:szCs w:val="20"/>
                <w:highlight w:val="none"/>
                <w:lang w:val="en-US" w:eastAsia="zh-CN"/>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674" w:type="dxa"/>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rPr>
            </w:pPr>
            <w:r>
              <w:rPr>
                <w:rFonts w:hint="default" w:ascii="Times New Roman" w:hAnsi="Times New Roman" w:eastAsia="方正楷体_GBK" w:cs="Times New Roman"/>
                <w:b/>
                <w:bCs/>
                <w:color w:val="auto"/>
                <w:sz w:val="20"/>
                <w:szCs w:val="20"/>
                <w:highlight w:val="none"/>
              </w:rPr>
              <w:t>团队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kern w:val="2"/>
                <w:sz w:val="20"/>
                <w:szCs w:val="20"/>
                <w:highlight w:val="none"/>
                <w:lang w:val="zh-CN" w:eastAsia="zh-CN" w:bidi="ar-SA"/>
              </w:rPr>
            </w:pPr>
            <w:r>
              <w:rPr>
                <w:rFonts w:hint="default" w:ascii="Times New Roman" w:hAnsi="Times New Roman" w:eastAsia="方正楷体_GBK" w:cs="Times New Roman"/>
                <w:b/>
                <w:bCs/>
                <w:color w:val="auto"/>
                <w:sz w:val="20"/>
                <w:szCs w:val="20"/>
                <w:highlight w:val="none"/>
              </w:rPr>
              <w:t>实力</w:t>
            </w:r>
          </w:p>
        </w:tc>
        <w:tc>
          <w:tcPr>
            <w:tcW w:w="710"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kern w:val="2"/>
                <w:sz w:val="21"/>
                <w:szCs w:val="21"/>
                <w:highlight w:val="none"/>
                <w:lang w:val="en-US" w:eastAsia="zh-CN" w:bidi="ar-SA"/>
              </w:rPr>
            </w:pPr>
            <w:r>
              <w:rPr>
                <w:rFonts w:hint="eastAsia" w:eastAsia="方正楷体_GBK" w:cs="Times New Roman"/>
                <w:b/>
                <w:bCs w:val="0"/>
                <w:color w:val="auto"/>
                <w:sz w:val="21"/>
                <w:szCs w:val="21"/>
                <w:highlight w:val="none"/>
                <w:lang w:val="en-US" w:eastAsia="zh-CN"/>
              </w:rPr>
              <w:t>10</w:t>
            </w:r>
            <w:r>
              <w:rPr>
                <w:rFonts w:hint="default" w:ascii="Times New Roman" w:hAnsi="Times New Roman" w:eastAsia="方正楷体_GBK" w:cs="Times New Roman"/>
                <w:b/>
                <w:bCs w:val="0"/>
                <w:color w:val="auto"/>
                <w:sz w:val="21"/>
                <w:szCs w:val="21"/>
                <w:highlight w:val="none"/>
                <w:lang w:val="en-US" w:eastAsia="zh-CN"/>
              </w:rPr>
              <w:t>分</w:t>
            </w:r>
          </w:p>
        </w:tc>
        <w:tc>
          <w:tcPr>
            <w:tcW w:w="4867" w:type="dxa"/>
            <w:shd w:val="clear" w:color="auto" w:fill="auto"/>
            <w:vAlign w:val="center"/>
          </w:tcPr>
          <w:p>
            <w:pPr>
              <w:pStyle w:val="38"/>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b/>
                <w:color w:val="auto"/>
                <w:kern w:val="2"/>
                <w:sz w:val="21"/>
                <w:szCs w:val="21"/>
                <w:highlight w:val="none"/>
                <w:lang w:val="zh-CN" w:eastAsia="zh-CN" w:bidi="ar-SA"/>
              </w:rPr>
              <w:t>在满足项目</w:t>
            </w:r>
            <w:r>
              <w:rPr>
                <w:rFonts w:hint="default" w:ascii="Times New Roman" w:hAnsi="Times New Roman" w:eastAsia="方正仿宋_GBK" w:cs="Times New Roman"/>
                <w:b/>
                <w:color w:val="auto"/>
                <w:kern w:val="2"/>
                <w:sz w:val="21"/>
                <w:szCs w:val="21"/>
                <w:highlight w:val="none"/>
                <w:lang w:val="en-US" w:eastAsia="zh-CN" w:bidi="ar-SA"/>
              </w:rPr>
              <w:t>资格条件的</w:t>
            </w:r>
            <w:r>
              <w:rPr>
                <w:rFonts w:hint="default" w:ascii="Times New Roman" w:hAnsi="Times New Roman" w:eastAsia="方正仿宋_GBK" w:cs="Times New Roman"/>
                <w:b/>
                <w:color w:val="auto"/>
                <w:kern w:val="2"/>
                <w:sz w:val="21"/>
                <w:szCs w:val="21"/>
                <w:highlight w:val="none"/>
                <w:lang w:val="zh-CN" w:eastAsia="zh-CN" w:bidi="ar-SA"/>
              </w:rPr>
              <w:t>基础上：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项目负责人：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both"/>
              <w:textAlignment w:val="auto"/>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项目负责人获得过</w:t>
            </w:r>
            <w:r>
              <w:rPr>
                <w:rFonts w:hint="eastAsia"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重庆市建设工程造价专家</w:t>
            </w:r>
            <w:r>
              <w:rPr>
                <w:rFonts w:hint="eastAsia"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的得</w:t>
            </w:r>
            <w:r>
              <w:rPr>
                <w:rFonts w:hint="eastAsia"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lang w:val="en-US" w:eastAsia="zh-CN"/>
              </w:rPr>
              <w:t>分；</w:t>
            </w:r>
            <w:r>
              <w:rPr>
                <w:rFonts w:hint="eastAsia" w:eastAsia="方正仿宋_GBK" w:cs="Times New Roman"/>
                <w:color w:val="auto"/>
                <w:sz w:val="21"/>
                <w:szCs w:val="21"/>
                <w:lang w:val="en-US" w:eastAsia="zh-CN"/>
              </w:rPr>
              <w:t>同时具备土建专业（或安装专业）注册一级造价工程师和注册一级建造师得2分；</w:t>
            </w:r>
            <w:r>
              <w:rPr>
                <w:rFonts w:hint="default" w:ascii="Times New Roman" w:hAnsi="Times New Roman" w:eastAsia="方正仿宋_GBK" w:cs="Times New Roman"/>
                <w:color w:val="auto"/>
                <w:sz w:val="21"/>
                <w:szCs w:val="21"/>
                <w:lang w:val="en-US" w:eastAsia="zh-CN"/>
              </w:rPr>
              <w:t>最高不超过</w:t>
            </w:r>
            <w:r>
              <w:rPr>
                <w:rFonts w:hint="eastAsia"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both"/>
              <w:textAlignment w:val="auto"/>
              <w:outlineLvl w:val="9"/>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项目组成员：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both"/>
              <w:textAlignment w:val="auto"/>
              <w:outlineLvl w:val="9"/>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lang w:val="en-US" w:eastAsia="zh-CN"/>
              </w:rPr>
              <w:t>（1）土建专业负责人：</w:t>
            </w:r>
            <w:r>
              <w:rPr>
                <w:rFonts w:hint="default" w:ascii="Times New Roman" w:hAnsi="Times New Roman" w:eastAsia="方正仿宋_GBK" w:cs="Times New Roman"/>
                <w:color w:val="auto"/>
                <w:sz w:val="21"/>
                <w:szCs w:val="21"/>
              </w:rPr>
              <w:t>必须具备注册一级造价工程师执业资格（注册专业为土建或土木建筑）</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工程类高级及以上职称</w:t>
            </w:r>
            <w:r>
              <w:rPr>
                <w:rFonts w:hint="default" w:ascii="Times New Roman" w:hAnsi="Times New Roman" w:eastAsia="方正仿宋_GBK" w:cs="Times New Roman"/>
                <w:color w:val="auto"/>
                <w:sz w:val="21"/>
                <w:szCs w:val="21"/>
              </w:rPr>
              <w:t>，在投标人单位注册，且从事相关工作经验</w:t>
            </w:r>
            <w:r>
              <w:rPr>
                <w:rFonts w:hint="default" w:ascii="Times New Roman" w:hAnsi="Times New Roman" w:eastAsia="方正仿宋_GBK" w:cs="Times New Roman"/>
                <w:color w:val="auto"/>
                <w:sz w:val="21"/>
                <w:szCs w:val="21"/>
                <w:lang w:val="en-US" w:eastAsia="zh-CN"/>
              </w:rPr>
              <w:t>1</w:t>
            </w:r>
            <w:r>
              <w:rPr>
                <w:rFonts w:hint="eastAsia" w:eastAsia="方正仿宋_GBK" w:cs="Times New Roman"/>
                <w:color w:val="auto"/>
                <w:sz w:val="21"/>
                <w:szCs w:val="21"/>
                <w:lang w:val="en-US" w:eastAsia="zh-CN"/>
              </w:rPr>
              <w:t>0</w:t>
            </w:r>
            <w:r>
              <w:rPr>
                <w:rFonts w:hint="default" w:ascii="Times New Roman" w:hAnsi="Times New Roman" w:eastAsia="方正仿宋_GBK" w:cs="Times New Roman"/>
                <w:color w:val="auto"/>
                <w:sz w:val="21"/>
                <w:szCs w:val="21"/>
              </w:rPr>
              <w:t>年及以上的，得1分</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若土建专业负责人同时具备一级建造师执业资格，得</w:t>
            </w:r>
            <w:r>
              <w:rPr>
                <w:rFonts w:hint="eastAsia"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lang w:val="en-US" w:eastAsia="zh-CN"/>
              </w:rPr>
              <w:t>分。</w:t>
            </w:r>
            <w:r>
              <w:rPr>
                <w:rFonts w:hint="default" w:ascii="Times New Roman" w:hAnsi="Times New Roman" w:eastAsia="方正仿宋_GBK" w:cs="Times New Roman"/>
                <w:color w:val="auto"/>
                <w:sz w:val="21"/>
                <w:szCs w:val="21"/>
                <w:highlight w:val="none"/>
                <w:lang w:val="en-US" w:eastAsia="zh-CN"/>
              </w:rPr>
              <w:t>最高不超过3分</w:t>
            </w:r>
            <w:r>
              <w:rPr>
                <w:rFonts w:hint="eastAsia" w:eastAsia="方正仿宋_GBK" w:cs="Times New Roman"/>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both"/>
              <w:textAlignment w:val="auto"/>
              <w:outlineLvl w:val="9"/>
              <w:rPr>
                <w:rFonts w:hint="default" w:ascii="Times New Roman" w:hAnsi="Times New Roman" w:eastAsia="方正仿宋_GBK" w:cs="Times New Roman"/>
                <w:color w:val="auto"/>
                <w:kern w:val="2"/>
                <w:sz w:val="21"/>
                <w:szCs w:val="21"/>
                <w:lang w:val="zh-CN" w:eastAsia="zh-CN" w:bidi="ar-SA"/>
              </w:rPr>
            </w:pP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kern w:val="0"/>
                <w:sz w:val="21"/>
                <w:szCs w:val="21"/>
                <w:lang w:val="en-US" w:eastAsia="zh-CN"/>
              </w:rPr>
              <w:t>2</w:t>
            </w:r>
            <w:r>
              <w:rPr>
                <w:rFonts w:hint="default" w:ascii="Times New Roman" w:hAnsi="Times New Roman" w:eastAsia="方正仿宋_GBK" w:cs="Times New Roman"/>
                <w:color w:val="auto"/>
                <w:kern w:val="0"/>
                <w:sz w:val="21"/>
                <w:szCs w:val="21"/>
                <w:lang w:eastAsia="zh-CN"/>
              </w:rPr>
              <w:t>）</w:t>
            </w:r>
            <w:r>
              <w:rPr>
                <w:rFonts w:hint="default" w:ascii="Times New Roman" w:hAnsi="Times New Roman" w:eastAsia="方正仿宋_GBK" w:cs="Times New Roman"/>
                <w:color w:val="auto"/>
                <w:sz w:val="21"/>
                <w:szCs w:val="21"/>
                <w:lang w:val="en-US" w:eastAsia="zh-CN"/>
              </w:rPr>
              <w:t>安装专业负责人：</w:t>
            </w:r>
            <w:r>
              <w:rPr>
                <w:rFonts w:hint="default" w:ascii="Times New Roman" w:hAnsi="Times New Roman" w:eastAsia="方正仿宋_GBK" w:cs="Times New Roman"/>
                <w:color w:val="auto"/>
                <w:sz w:val="21"/>
                <w:szCs w:val="21"/>
              </w:rPr>
              <w:t>必须具备注册一级造价工程师执业资格（注册专业为</w:t>
            </w:r>
            <w:r>
              <w:rPr>
                <w:rFonts w:hint="default" w:ascii="Times New Roman" w:hAnsi="Times New Roman" w:eastAsia="方正仿宋_GBK" w:cs="Times New Roman"/>
                <w:color w:val="auto"/>
                <w:sz w:val="21"/>
                <w:szCs w:val="21"/>
                <w:lang w:val="en-US" w:eastAsia="zh-CN"/>
              </w:rPr>
              <w:t>安装</w:t>
            </w:r>
            <w:r>
              <w:rPr>
                <w:rFonts w:hint="default" w:ascii="Times New Roman" w:hAnsi="Times New Roman" w:eastAsia="方正仿宋_GBK" w:cs="Times New Roman"/>
                <w:color w:val="auto"/>
                <w:sz w:val="21"/>
                <w:szCs w:val="21"/>
              </w:rPr>
              <w:t>）</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工程类高级及以上职称</w:t>
            </w:r>
            <w:r>
              <w:rPr>
                <w:rFonts w:hint="default" w:ascii="Times New Roman" w:hAnsi="Times New Roman" w:eastAsia="方正仿宋_GBK" w:cs="Times New Roman"/>
                <w:color w:val="auto"/>
                <w:sz w:val="21"/>
                <w:szCs w:val="21"/>
              </w:rPr>
              <w:t>，在投标人单位注册，且从事相关工作经验</w:t>
            </w:r>
            <w:r>
              <w:rPr>
                <w:rFonts w:hint="eastAsia" w:eastAsia="方正仿宋_GBK" w:cs="Times New Roman"/>
                <w:color w:val="auto"/>
                <w:sz w:val="21"/>
                <w:szCs w:val="21"/>
                <w:lang w:val="en-US" w:eastAsia="zh-CN"/>
              </w:rPr>
              <w:t>7</w:t>
            </w:r>
            <w:r>
              <w:rPr>
                <w:rFonts w:hint="default" w:ascii="Times New Roman" w:hAnsi="Times New Roman" w:eastAsia="方正仿宋_GBK" w:cs="Times New Roman"/>
                <w:color w:val="auto"/>
                <w:sz w:val="21"/>
                <w:szCs w:val="21"/>
              </w:rPr>
              <w:t>年及以上的，得1分</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lang w:val="en-US" w:eastAsia="zh-CN"/>
              </w:rPr>
              <w:t>若安装专业负责人同时具备一级建造师执业资格，得</w:t>
            </w:r>
            <w:r>
              <w:rPr>
                <w:rFonts w:hint="eastAsia"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lang w:val="en-US" w:eastAsia="zh-CN"/>
              </w:rPr>
              <w:t>分。</w:t>
            </w:r>
            <w:r>
              <w:rPr>
                <w:rFonts w:hint="default" w:ascii="Times New Roman" w:hAnsi="Times New Roman" w:eastAsia="方正仿宋_GBK" w:cs="Times New Roman"/>
                <w:color w:val="auto"/>
                <w:sz w:val="21"/>
                <w:szCs w:val="21"/>
                <w:highlight w:val="none"/>
                <w:lang w:val="en-US" w:eastAsia="zh-CN"/>
              </w:rPr>
              <w:t>最高不超过3分。</w:t>
            </w:r>
          </w:p>
        </w:tc>
        <w:tc>
          <w:tcPr>
            <w:tcW w:w="21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both"/>
              <w:textAlignment w:val="auto"/>
              <w:outlineLvl w:val="9"/>
              <w:rPr>
                <w:rFonts w:hint="default" w:ascii="Times New Roman" w:hAnsi="Times New Roman" w:eastAsia="方正仿宋_GBK" w:cs="Times New Roman"/>
                <w:b w:val="0"/>
                <w:bCs w:val="0"/>
                <w:color w:val="auto"/>
                <w:sz w:val="20"/>
                <w:szCs w:val="20"/>
              </w:rPr>
            </w:pPr>
            <w:r>
              <w:rPr>
                <w:rFonts w:hint="default" w:ascii="Times New Roman" w:hAnsi="Times New Roman" w:eastAsia="方正仿宋_GBK" w:cs="Times New Roman"/>
                <w:b w:val="0"/>
                <w:bCs w:val="0"/>
                <w:color w:val="auto"/>
                <w:sz w:val="20"/>
                <w:szCs w:val="20"/>
              </w:rPr>
              <w:t>提供</w:t>
            </w:r>
            <w:r>
              <w:rPr>
                <w:rFonts w:hint="default" w:ascii="Times New Roman" w:hAnsi="Times New Roman" w:eastAsia="方正仿宋_GBK" w:cs="Times New Roman"/>
                <w:b w:val="0"/>
                <w:bCs w:val="0"/>
                <w:color w:val="auto"/>
                <w:sz w:val="20"/>
                <w:szCs w:val="20"/>
                <w:lang w:val="en-US" w:eastAsia="zh-CN"/>
              </w:rPr>
              <w:t>相关获奖证书或获奖证明材料；</w:t>
            </w:r>
            <w:r>
              <w:rPr>
                <w:rFonts w:hint="default" w:ascii="Times New Roman" w:hAnsi="Times New Roman" w:eastAsia="方正仿宋_GBK" w:cs="Times New Roman"/>
                <w:b w:val="0"/>
                <w:bCs w:val="0"/>
                <w:color w:val="auto"/>
                <w:sz w:val="20"/>
                <w:szCs w:val="20"/>
              </w:rPr>
              <w:t>有效的拟派人员身份证、注册证、投标人为其缴纳的养老保险证明材料</w:t>
            </w:r>
            <w:r>
              <w:rPr>
                <w:rFonts w:hint="default" w:ascii="Times New Roman" w:hAnsi="Times New Roman" w:eastAsia="方正仿宋_GBK" w:cs="Times New Roman"/>
                <w:b w:val="0"/>
                <w:bCs w:val="0"/>
                <w:color w:val="auto"/>
                <w:sz w:val="20"/>
                <w:szCs w:val="20"/>
                <w:lang w:val="en-US" w:eastAsia="zh-CN"/>
              </w:rPr>
              <w:t>并加盖投标人公章</w:t>
            </w:r>
            <w:r>
              <w:rPr>
                <w:rFonts w:hint="default" w:ascii="Times New Roman" w:hAnsi="Times New Roman" w:eastAsia="方正仿宋_GBK" w:cs="Times New Roman"/>
                <w:b w:val="0"/>
                <w:bCs w:val="0"/>
                <w:color w:val="auto"/>
                <w:sz w:val="20"/>
                <w:szCs w:val="20"/>
              </w:rPr>
              <w:t>；相关工作经验年限以注册造价工程师执业资格证书初始注册时间起算。</w:t>
            </w:r>
          </w:p>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both"/>
              <w:textAlignment w:val="auto"/>
              <w:outlineLvl w:val="9"/>
              <w:rPr>
                <w:rFonts w:hint="default" w:ascii="Times New Roman" w:hAnsi="Times New Roman" w:eastAsia="方正仿宋_GBK" w:cs="Times New Roman"/>
                <w:b w:val="0"/>
                <w:bCs w:val="0"/>
                <w:color w:val="auto"/>
                <w:sz w:val="20"/>
                <w:szCs w:val="20"/>
              </w:rPr>
            </w:pPr>
            <w:r>
              <w:rPr>
                <w:rFonts w:hint="default" w:ascii="Times New Roman" w:hAnsi="Times New Roman" w:eastAsia="方正仿宋_GBK" w:cs="Times New Roman"/>
                <w:b w:val="0"/>
                <w:bCs w:val="0"/>
                <w:color w:val="auto"/>
                <w:sz w:val="20"/>
                <w:szCs w:val="20"/>
                <w:lang w:val="zh-CN" w:eastAsia="zh-CN"/>
              </w:rPr>
              <w:t>2023年10月至2024年10月为其缴纳社保的证明</w:t>
            </w:r>
            <w:r>
              <w:rPr>
                <w:rFonts w:hint="default" w:ascii="Times New Roman" w:hAnsi="Times New Roman" w:eastAsia="方正仿宋_GBK" w:cs="Times New Roman"/>
                <w:b w:val="0"/>
                <w:bCs w:val="0"/>
                <w:color w:val="auto"/>
                <w:sz w:val="20"/>
                <w:szCs w:val="20"/>
              </w:rPr>
              <w:t>；提供的养老保险参保证明须体现上述人员的姓名、身份证号（或社保号）、单位名称、本单位参保时间（或起始参保时间），并带有社保部门公章或社保部门的有效电子印章。</w:t>
            </w:r>
          </w:p>
          <w:p>
            <w:pPr>
              <w:pStyle w:val="2"/>
              <w:keepNext w:val="0"/>
              <w:keepLines w:val="0"/>
              <w:pageBreakBefore w:val="0"/>
              <w:widowControl w:val="0"/>
              <w:kinsoku/>
              <w:wordWrap/>
              <w:overflowPunct/>
              <w:topLinePunct w:val="0"/>
              <w:autoSpaceDE/>
              <w:autoSpaceDN/>
              <w:bidi w:val="0"/>
              <w:adjustRightInd/>
              <w:snapToGrid/>
              <w:spacing w:line="300" w:lineRule="exact"/>
              <w:ind w:firstLine="400" w:firstLineChars="200"/>
              <w:jc w:val="both"/>
              <w:textAlignment w:val="auto"/>
              <w:outlineLvl w:val="9"/>
              <w:rPr>
                <w:rFonts w:hint="default"/>
                <w:color w:val="auto"/>
                <w:sz w:val="20"/>
                <w:szCs w:val="20"/>
                <w:lang w:val="zh-CN" w:eastAsia="zh-CN"/>
              </w:rPr>
            </w:pPr>
            <w:r>
              <w:rPr>
                <w:rFonts w:hint="default" w:ascii="Times New Roman" w:hAnsi="Times New Roman" w:eastAsia="方正仿宋_GBK" w:cs="Times New Roman"/>
                <w:b w:val="0"/>
                <w:bCs w:val="0"/>
                <w:color w:val="auto"/>
                <w:sz w:val="20"/>
                <w:szCs w:val="20"/>
                <w:lang w:val="zh-CN" w:eastAsia="zh-CN"/>
              </w:rPr>
              <w:t>提供正高级职称证书复印件、提供已出版发行的有关计价定额书籍封面及编制或评审人员署名页复印件、</w:t>
            </w:r>
            <w:r>
              <w:rPr>
                <w:rFonts w:hint="eastAsia" w:ascii="Times New Roman" w:eastAsia="方正仿宋_GBK" w:cs="Times New Roman"/>
                <w:b w:val="0"/>
                <w:bCs w:val="0"/>
                <w:color w:val="auto"/>
                <w:sz w:val="20"/>
                <w:szCs w:val="20"/>
                <w:lang w:val="zh-CN" w:eastAsia="zh-CN"/>
              </w:rPr>
              <w:t>投标人</w:t>
            </w:r>
            <w:r>
              <w:rPr>
                <w:rFonts w:hint="default" w:ascii="Times New Roman" w:hAnsi="Times New Roman" w:eastAsia="方正仿宋_GBK" w:cs="Times New Roman"/>
                <w:b w:val="0"/>
                <w:bCs w:val="0"/>
                <w:color w:val="auto"/>
                <w:sz w:val="20"/>
                <w:szCs w:val="20"/>
                <w:lang w:val="zh-CN" w:eastAsia="zh-CN"/>
              </w:rPr>
              <w:t>2023年10月至2024年10月为其缴纳社保的证明。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jc w:val="center"/>
        </w:trPr>
        <w:tc>
          <w:tcPr>
            <w:tcW w:w="33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703" w:type="dxa"/>
            <w:vMerge w:val="continue"/>
            <w:tcBorders>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Cs/>
                <w:color w:val="auto"/>
                <w:sz w:val="21"/>
                <w:szCs w:val="21"/>
                <w:highlight w:val="none"/>
                <w:lang w:val="zh-CN"/>
              </w:rPr>
            </w:pPr>
          </w:p>
        </w:tc>
        <w:tc>
          <w:tcPr>
            <w:tcW w:w="674" w:type="dxa"/>
            <w:tcBorders>
              <w:lef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sz w:val="20"/>
                <w:szCs w:val="20"/>
                <w:highlight w:val="none"/>
                <w:lang w:val="en-US" w:eastAsia="zh-CN"/>
              </w:rPr>
            </w:pPr>
            <w:r>
              <w:rPr>
                <w:rFonts w:hint="default" w:ascii="Times New Roman" w:hAnsi="Times New Roman" w:eastAsia="方正楷体_GBK" w:cs="Times New Roman"/>
                <w:b/>
                <w:bCs/>
                <w:color w:val="auto"/>
                <w:sz w:val="20"/>
                <w:szCs w:val="20"/>
                <w:highlight w:val="none"/>
                <w:lang w:val="en-US" w:eastAsia="zh-CN"/>
              </w:rPr>
              <w:t>企业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楷体_GBK" w:cs="Times New Roman"/>
                <w:b/>
                <w:bCs/>
                <w:color w:val="auto"/>
                <w:kern w:val="2"/>
                <w:sz w:val="20"/>
                <w:szCs w:val="20"/>
                <w:highlight w:val="none"/>
                <w:lang w:val="zh-CN" w:eastAsia="zh-CN" w:bidi="ar-SA"/>
              </w:rPr>
            </w:pPr>
            <w:r>
              <w:rPr>
                <w:rFonts w:hint="default" w:ascii="Times New Roman" w:hAnsi="Times New Roman" w:eastAsia="方正楷体_GBK" w:cs="Times New Roman"/>
                <w:b/>
                <w:bCs/>
                <w:color w:val="auto"/>
                <w:sz w:val="20"/>
                <w:szCs w:val="20"/>
                <w:highlight w:val="none"/>
                <w:lang w:val="en-US" w:eastAsia="zh-CN"/>
              </w:rPr>
              <w:t>资信</w:t>
            </w:r>
          </w:p>
        </w:tc>
        <w:tc>
          <w:tcPr>
            <w:tcW w:w="7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楷体_GBK" w:cs="Times New Roman"/>
                <w:b/>
                <w:bCs w:val="0"/>
                <w:color w:val="auto"/>
                <w:kern w:val="2"/>
                <w:sz w:val="21"/>
                <w:szCs w:val="21"/>
                <w:highlight w:val="none"/>
                <w:lang w:val="en-US" w:eastAsia="zh-CN" w:bidi="ar-SA"/>
              </w:rPr>
            </w:pPr>
            <w:r>
              <w:rPr>
                <w:rFonts w:hint="eastAsia" w:eastAsia="方正楷体_GBK" w:cs="Times New Roman"/>
                <w:b/>
                <w:bCs w:val="0"/>
                <w:color w:val="auto"/>
                <w:sz w:val="21"/>
                <w:szCs w:val="21"/>
                <w:highlight w:val="none"/>
                <w:lang w:val="en-US" w:eastAsia="zh-CN"/>
              </w:rPr>
              <w:t>9</w:t>
            </w:r>
            <w:r>
              <w:rPr>
                <w:rFonts w:hint="default" w:ascii="Times New Roman" w:hAnsi="Times New Roman" w:eastAsia="方正楷体_GBK" w:cs="Times New Roman"/>
                <w:b/>
                <w:bCs w:val="0"/>
                <w:color w:val="auto"/>
                <w:sz w:val="21"/>
                <w:szCs w:val="21"/>
                <w:highlight w:val="none"/>
                <w:lang w:val="en-US" w:eastAsia="zh-CN"/>
              </w:rPr>
              <w:t>分</w:t>
            </w:r>
          </w:p>
        </w:tc>
        <w:tc>
          <w:tcPr>
            <w:tcW w:w="4867"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both"/>
              <w:textAlignment w:val="auto"/>
              <w:outlineLvl w:val="9"/>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1.</w:t>
            </w:r>
            <w:r>
              <w:rPr>
                <w:rFonts w:hint="default" w:ascii="Times New Roman" w:hAnsi="Times New Roman" w:eastAsia="方正仿宋_GBK" w:cs="Times New Roman"/>
                <w:color w:val="auto"/>
                <w:sz w:val="21"/>
                <w:szCs w:val="21"/>
                <w:lang w:val="en-US" w:eastAsia="zh-CN"/>
              </w:rPr>
              <w:t>投标人同时具备</w:t>
            </w:r>
            <w:r>
              <w:rPr>
                <w:rFonts w:hint="default" w:ascii="Times New Roman" w:hAnsi="Times New Roman" w:eastAsia="方正仿宋_GBK" w:cs="Times New Roman"/>
                <w:color w:val="auto"/>
                <w:sz w:val="21"/>
                <w:szCs w:val="21"/>
                <w:lang w:eastAsia="zh-CN"/>
              </w:rPr>
              <w:t>质量管理体系（ISO 9001）、环境管理体系（ISO 14001）和职业健康安全管理体系（ISO 45001）</w:t>
            </w:r>
            <w:r>
              <w:rPr>
                <w:rFonts w:hint="default" w:ascii="Times New Roman" w:hAnsi="Times New Roman" w:eastAsia="方正仿宋_GBK" w:cs="Times New Roman"/>
                <w:color w:val="auto"/>
                <w:sz w:val="21"/>
                <w:szCs w:val="21"/>
                <w:lang w:val="en-US" w:eastAsia="zh-CN"/>
              </w:rPr>
              <w:t>认证，且在有效期内的得</w:t>
            </w: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lang w:val="en-US" w:eastAsia="zh-CN"/>
              </w:rPr>
              <w:t>分</w:t>
            </w:r>
            <w:r>
              <w:rPr>
                <w:rFonts w:hint="eastAsia" w:ascii="Times New Roman" w:hAnsi="Times New Roman" w:eastAsia="方正仿宋_GBK" w:cs="Times New Roman"/>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20" w:firstLineChars="200"/>
              <w:jc w:val="both"/>
              <w:textAlignment w:val="auto"/>
              <w:outlineLvl w:val="9"/>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lang w:val="en-US" w:eastAsia="zh-CN"/>
              </w:rPr>
              <w:t>投标人在中国造价协会</w:t>
            </w:r>
            <w:r>
              <w:rPr>
                <w:rFonts w:hint="eastAsia"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信用评价等级</w:t>
            </w:r>
            <w:r>
              <w:rPr>
                <w:rFonts w:hint="eastAsia"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评价结果为</w:t>
            </w:r>
            <w:r>
              <w:rPr>
                <w:rFonts w:hint="eastAsia"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AAA</w:t>
            </w:r>
            <w:r>
              <w:rPr>
                <w:rFonts w:hint="eastAsia" w:eastAsia="方正仿宋_GBK" w:cs="Times New Roman"/>
                <w:color w:val="auto"/>
                <w:sz w:val="21"/>
                <w:szCs w:val="21"/>
                <w:lang w:val="en-US" w:eastAsia="zh-CN"/>
              </w:rPr>
              <w:t>”</w:t>
            </w:r>
            <w:r>
              <w:rPr>
                <w:rFonts w:hint="default" w:ascii="Times New Roman" w:hAnsi="Times New Roman" w:eastAsia="方正仿宋_GBK" w:cs="Times New Roman"/>
                <w:color w:val="auto"/>
                <w:sz w:val="21"/>
                <w:szCs w:val="21"/>
                <w:lang w:val="en-US" w:eastAsia="zh-CN"/>
              </w:rPr>
              <w:t>的得1分</w:t>
            </w:r>
            <w:r>
              <w:rPr>
                <w:rFonts w:hint="eastAsia" w:ascii="Times New Roman" w:hAnsi="Times New Roman" w:eastAsia="方正仿宋_GBK" w:cs="Times New Roman"/>
                <w:color w:val="auto"/>
                <w:sz w:val="21"/>
                <w:szCs w:val="21"/>
                <w:lang w:val="en-US" w:eastAsia="zh-CN"/>
              </w:rPr>
              <w:t>；</w:t>
            </w:r>
          </w:p>
          <w:p>
            <w:pPr>
              <w:pStyle w:val="38"/>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imes New Roman" w:hAnsi="Times New Roman" w:eastAsia="方正仿宋_GBK" w:cs="Times New Roman"/>
                <w:color w:val="auto"/>
                <w:kern w:val="2"/>
                <w:sz w:val="21"/>
                <w:szCs w:val="21"/>
                <w:u w:val="none"/>
                <w:lang w:val="en-US" w:eastAsia="zh-CN" w:bidi="ar-SA"/>
              </w:rPr>
            </w:pPr>
            <w:r>
              <w:rPr>
                <w:rFonts w:hint="eastAsia" w:ascii="Times New Roman" w:hAnsi="Times New Roman" w:eastAsia="方正仿宋_GBK" w:cs="Times New Roman"/>
                <w:color w:val="auto"/>
                <w:sz w:val="21"/>
                <w:szCs w:val="21"/>
                <w:lang w:val="en-US" w:eastAsia="zh-CN"/>
              </w:rPr>
              <w:t>3.20</w:t>
            </w:r>
            <w:r>
              <w:rPr>
                <w:rFonts w:hint="eastAsia" w:eastAsia="方正仿宋_GBK" w:cs="Times New Roman"/>
                <w:color w:val="auto"/>
                <w:sz w:val="21"/>
                <w:szCs w:val="21"/>
                <w:lang w:val="en-US" w:eastAsia="zh-CN"/>
              </w:rPr>
              <w:t>19</w:t>
            </w:r>
            <w:r>
              <w:rPr>
                <w:rFonts w:hint="eastAsia" w:ascii="Times New Roman" w:hAnsi="Times New Roman" w:eastAsia="方正仿宋_GBK" w:cs="Times New Roman"/>
                <w:color w:val="auto"/>
                <w:sz w:val="21"/>
                <w:szCs w:val="21"/>
                <w:lang w:val="en-US" w:eastAsia="zh-CN"/>
              </w:rPr>
              <w:t>年1</w:t>
            </w:r>
            <w:r>
              <w:rPr>
                <w:rFonts w:hint="eastAsia" w:eastAsia="方正仿宋_GBK" w:cs="Times New Roman"/>
                <w:color w:val="auto"/>
                <w:sz w:val="21"/>
                <w:szCs w:val="21"/>
                <w:lang w:val="en-US" w:eastAsia="zh-CN"/>
              </w:rPr>
              <w:t>0</w:t>
            </w:r>
            <w:r>
              <w:rPr>
                <w:rFonts w:hint="eastAsia" w:ascii="Times New Roman" w:hAnsi="Times New Roman" w:eastAsia="方正仿宋_GBK" w:cs="Times New Roman"/>
                <w:color w:val="auto"/>
                <w:sz w:val="21"/>
                <w:szCs w:val="21"/>
                <w:lang w:val="en-US" w:eastAsia="zh-CN"/>
              </w:rPr>
              <w:t>月1日以来（以获奖证书上的颁发时间为准），</w:t>
            </w:r>
            <w:r>
              <w:rPr>
                <w:rFonts w:hint="eastAsia" w:eastAsia="方正仿宋_GBK"/>
                <w:color w:val="auto"/>
                <w:sz w:val="21"/>
                <w:szCs w:val="21"/>
              </w:rPr>
              <w:t>参与的项目曾</w:t>
            </w:r>
            <w:r>
              <w:rPr>
                <w:rFonts w:hint="eastAsia" w:ascii="Times New Roman" w:hAnsi="Times New Roman" w:eastAsia="方正仿宋_GBK" w:cs="Times New Roman"/>
                <w:color w:val="auto"/>
                <w:sz w:val="21"/>
                <w:szCs w:val="21"/>
                <w:lang w:val="en-US" w:eastAsia="zh-CN"/>
              </w:rPr>
              <w:t>获得省级工程造价管理协会优秀工程造价成果奖得1分，</w:t>
            </w:r>
            <w:r>
              <w:rPr>
                <w:rFonts w:hint="eastAsia" w:ascii="Times New Roman" w:hAnsi="Times New Roman" w:eastAsia="方正仿宋_GBK" w:cs="Times New Roman"/>
                <w:color w:val="auto"/>
                <w:kern w:val="2"/>
                <w:sz w:val="21"/>
                <w:szCs w:val="21"/>
                <w:u w:val="none"/>
                <w:lang w:val="en-US" w:eastAsia="zh-CN" w:bidi="ar-SA"/>
              </w:rPr>
              <w:t>最多得</w:t>
            </w:r>
            <w:r>
              <w:rPr>
                <w:rFonts w:hint="eastAsia" w:eastAsia="方正仿宋_GBK" w:cs="Times New Roman"/>
                <w:color w:val="auto"/>
                <w:kern w:val="2"/>
                <w:sz w:val="21"/>
                <w:szCs w:val="21"/>
                <w:u w:val="none"/>
                <w:lang w:val="en-US" w:eastAsia="zh-CN" w:bidi="ar-SA"/>
              </w:rPr>
              <w:t>3</w:t>
            </w:r>
            <w:r>
              <w:rPr>
                <w:rFonts w:hint="eastAsia" w:ascii="Times New Roman" w:hAnsi="Times New Roman" w:eastAsia="方正仿宋_GBK" w:cs="Times New Roman"/>
                <w:color w:val="auto"/>
                <w:kern w:val="2"/>
                <w:sz w:val="21"/>
                <w:szCs w:val="21"/>
                <w:u w:val="none"/>
                <w:lang w:val="en-US" w:eastAsia="zh-CN" w:bidi="ar-SA"/>
              </w:rPr>
              <w:t>分；</w:t>
            </w:r>
          </w:p>
          <w:p>
            <w:pPr>
              <w:pStyle w:val="2"/>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default"/>
                <w:color w:val="auto"/>
                <w:sz w:val="48"/>
                <w:szCs w:val="28"/>
                <w:lang w:val="zh-CN" w:eastAsia="zh-CN"/>
              </w:rPr>
            </w:pPr>
            <w:r>
              <w:rPr>
                <w:rFonts w:hint="eastAsia" w:ascii="Times New Roman" w:hAnsi="Times New Roman" w:eastAsia="方正仿宋_GBK" w:cs="Times New Roman"/>
                <w:color w:val="auto"/>
                <w:kern w:val="2"/>
                <w:sz w:val="21"/>
                <w:szCs w:val="21"/>
                <w:u w:val="none"/>
                <w:lang w:val="en-US" w:eastAsia="zh-CN" w:bidi="ar-SA"/>
              </w:rPr>
              <w:t>4.投标人在职注册一级造价工程师人数</w:t>
            </w:r>
            <w:r>
              <w:rPr>
                <w:rFonts w:hint="eastAsia" w:ascii="Times New Roman" w:eastAsia="方正仿宋_GBK" w:cs="Times New Roman"/>
                <w:color w:val="auto"/>
                <w:kern w:val="2"/>
                <w:sz w:val="21"/>
                <w:szCs w:val="21"/>
                <w:u w:val="none"/>
                <w:lang w:val="en-US" w:eastAsia="zh-CN" w:bidi="ar-SA"/>
              </w:rPr>
              <w:t>20</w:t>
            </w:r>
            <w:r>
              <w:rPr>
                <w:rFonts w:hint="eastAsia" w:ascii="Times New Roman" w:hAnsi="Times New Roman" w:eastAsia="方正仿宋_GBK" w:cs="Times New Roman"/>
                <w:color w:val="auto"/>
                <w:kern w:val="2"/>
                <w:sz w:val="21"/>
                <w:szCs w:val="21"/>
                <w:u w:val="none"/>
                <w:lang w:val="en-US" w:eastAsia="zh-CN" w:bidi="ar-SA"/>
              </w:rPr>
              <w:t>人及以上的得</w:t>
            </w:r>
            <w:r>
              <w:rPr>
                <w:rFonts w:hint="eastAsia" w:ascii="Times New Roman" w:eastAsia="方正仿宋_GBK" w:cs="Times New Roman"/>
                <w:color w:val="auto"/>
                <w:kern w:val="2"/>
                <w:sz w:val="21"/>
                <w:szCs w:val="21"/>
                <w:u w:val="none"/>
                <w:lang w:val="en-US" w:eastAsia="zh-CN" w:bidi="ar-SA"/>
              </w:rPr>
              <w:t>3</w:t>
            </w:r>
            <w:r>
              <w:rPr>
                <w:rFonts w:hint="eastAsia" w:ascii="Times New Roman" w:hAnsi="Times New Roman" w:eastAsia="方正仿宋_GBK" w:cs="Times New Roman"/>
                <w:color w:val="auto"/>
                <w:kern w:val="2"/>
                <w:sz w:val="21"/>
                <w:szCs w:val="21"/>
                <w:u w:val="none"/>
                <w:lang w:val="en-US" w:eastAsia="zh-CN" w:bidi="ar-SA"/>
              </w:rPr>
              <w:t>分；</w:t>
            </w:r>
            <w:r>
              <w:rPr>
                <w:rFonts w:hint="eastAsia" w:ascii="Times New Roman" w:eastAsia="方正仿宋_GBK" w:cs="Times New Roman"/>
                <w:color w:val="auto"/>
                <w:kern w:val="2"/>
                <w:sz w:val="21"/>
                <w:szCs w:val="21"/>
                <w:u w:val="none"/>
                <w:lang w:val="en-US" w:eastAsia="zh-CN" w:bidi="ar-SA"/>
              </w:rPr>
              <w:t>15</w:t>
            </w:r>
            <w:r>
              <w:rPr>
                <w:rFonts w:hint="eastAsia" w:ascii="Times New Roman" w:hAnsi="Times New Roman" w:eastAsia="方正仿宋_GBK" w:cs="Times New Roman"/>
                <w:color w:val="auto"/>
                <w:kern w:val="2"/>
                <w:sz w:val="21"/>
                <w:szCs w:val="21"/>
                <w:u w:val="none"/>
                <w:lang w:val="en-US" w:eastAsia="zh-CN" w:bidi="ar-SA"/>
              </w:rPr>
              <w:t>人（含）至</w:t>
            </w:r>
            <w:r>
              <w:rPr>
                <w:rFonts w:hint="eastAsia" w:ascii="Times New Roman" w:eastAsia="方正仿宋_GBK" w:cs="Times New Roman"/>
                <w:color w:val="auto"/>
                <w:kern w:val="2"/>
                <w:sz w:val="21"/>
                <w:szCs w:val="21"/>
                <w:u w:val="none"/>
                <w:lang w:val="en-US" w:eastAsia="zh-CN" w:bidi="ar-SA"/>
              </w:rPr>
              <w:t>19</w:t>
            </w:r>
            <w:r>
              <w:rPr>
                <w:rFonts w:hint="eastAsia" w:ascii="Times New Roman" w:hAnsi="Times New Roman" w:eastAsia="方正仿宋_GBK" w:cs="Times New Roman"/>
                <w:color w:val="auto"/>
                <w:kern w:val="2"/>
                <w:sz w:val="21"/>
                <w:szCs w:val="21"/>
                <w:u w:val="none"/>
                <w:lang w:val="en-US" w:eastAsia="zh-CN" w:bidi="ar-SA"/>
              </w:rPr>
              <w:t>人（含）的得</w:t>
            </w:r>
            <w:r>
              <w:rPr>
                <w:rFonts w:hint="eastAsia" w:ascii="Times New Roman" w:eastAsia="方正仿宋_GBK" w:cs="Times New Roman"/>
                <w:color w:val="auto"/>
                <w:kern w:val="2"/>
                <w:sz w:val="21"/>
                <w:szCs w:val="21"/>
                <w:u w:val="none"/>
                <w:lang w:val="en-US" w:eastAsia="zh-CN" w:bidi="ar-SA"/>
              </w:rPr>
              <w:t>2</w:t>
            </w:r>
            <w:r>
              <w:rPr>
                <w:rFonts w:hint="eastAsia" w:ascii="Times New Roman" w:hAnsi="Times New Roman" w:eastAsia="方正仿宋_GBK" w:cs="Times New Roman"/>
                <w:color w:val="auto"/>
                <w:kern w:val="2"/>
                <w:sz w:val="21"/>
                <w:szCs w:val="21"/>
                <w:u w:val="none"/>
                <w:lang w:val="en-US" w:eastAsia="zh-CN" w:bidi="ar-SA"/>
              </w:rPr>
              <w:t>分；其他的得</w:t>
            </w:r>
            <w:r>
              <w:rPr>
                <w:rFonts w:hint="eastAsia" w:ascii="Times New Roman" w:eastAsia="方正仿宋_GBK" w:cs="Times New Roman"/>
                <w:color w:val="auto"/>
                <w:kern w:val="2"/>
                <w:sz w:val="21"/>
                <w:szCs w:val="21"/>
                <w:u w:val="none"/>
                <w:lang w:val="en-US" w:eastAsia="zh-CN" w:bidi="ar-SA"/>
              </w:rPr>
              <w:t>1</w:t>
            </w:r>
            <w:r>
              <w:rPr>
                <w:rFonts w:hint="eastAsia" w:ascii="Times New Roman" w:hAnsi="Times New Roman" w:eastAsia="方正仿宋_GBK" w:cs="Times New Roman"/>
                <w:color w:val="auto"/>
                <w:kern w:val="2"/>
                <w:sz w:val="21"/>
                <w:szCs w:val="21"/>
                <w:u w:val="none"/>
                <w:lang w:val="en-US" w:eastAsia="zh-CN" w:bidi="ar-SA"/>
              </w:rPr>
              <w:t>分</w:t>
            </w:r>
            <w:r>
              <w:rPr>
                <w:rFonts w:hint="eastAsia" w:ascii="Times New Roman" w:eastAsia="方正仿宋_GBK" w:cs="Times New Roman"/>
                <w:color w:val="auto"/>
                <w:kern w:val="2"/>
                <w:sz w:val="21"/>
                <w:szCs w:val="21"/>
                <w:u w:val="none"/>
                <w:lang w:val="en-US" w:eastAsia="zh-CN" w:bidi="ar-SA"/>
              </w:rPr>
              <w:t>。</w:t>
            </w:r>
            <w:r>
              <w:rPr>
                <w:rFonts w:hint="eastAsia" w:ascii="Times New Roman" w:hAnsi="Times New Roman" w:eastAsia="方正仿宋_GBK" w:cs="Times New Roman"/>
                <w:color w:val="auto"/>
                <w:kern w:val="2"/>
                <w:sz w:val="21"/>
                <w:szCs w:val="21"/>
                <w:u w:val="none"/>
                <w:lang w:val="en-US" w:eastAsia="zh-CN" w:bidi="ar-SA"/>
              </w:rPr>
              <w:t>最多得</w:t>
            </w:r>
            <w:r>
              <w:rPr>
                <w:rFonts w:hint="eastAsia" w:ascii="Times New Roman" w:eastAsia="方正仿宋_GBK" w:cs="Times New Roman"/>
                <w:color w:val="auto"/>
                <w:kern w:val="2"/>
                <w:sz w:val="21"/>
                <w:szCs w:val="21"/>
                <w:u w:val="none"/>
                <w:lang w:val="en-US" w:eastAsia="zh-CN" w:bidi="ar-SA"/>
              </w:rPr>
              <w:t>3</w:t>
            </w:r>
            <w:r>
              <w:rPr>
                <w:rFonts w:hint="eastAsia" w:ascii="Times New Roman" w:hAnsi="Times New Roman" w:eastAsia="方正仿宋_GBK" w:cs="Times New Roman"/>
                <w:color w:val="auto"/>
                <w:kern w:val="2"/>
                <w:sz w:val="21"/>
                <w:szCs w:val="21"/>
                <w:u w:val="none"/>
                <w:lang w:val="en-US" w:eastAsia="zh-CN" w:bidi="ar-SA"/>
              </w:rPr>
              <w:t>分。</w:t>
            </w:r>
          </w:p>
        </w:tc>
        <w:tc>
          <w:tcPr>
            <w:tcW w:w="21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400" w:firstLineChars="200"/>
              <w:jc w:val="left"/>
              <w:textAlignment w:val="auto"/>
              <w:outlineLvl w:val="9"/>
              <w:rPr>
                <w:rFonts w:hint="default" w:ascii="Times New Roman" w:hAnsi="Times New Roman" w:eastAsia="方正仿宋_GBK" w:cs="Times New Roman"/>
                <w:bCs/>
                <w:color w:val="auto"/>
                <w:kern w:val="2"/>
                <w:sz w:val="20"/>
                <w:szCs w:val="20"/>
                <w:highlight w:val="none"/>
                <w:lang w:val="zh-CN" w:eastAsia="zh-CN" w:bidi="ar-SA"/>
              </w:rPr>
            </w:pPr>
            <w:r>
              <w:rPr>
                <w:rFonts w:hint="default" w:ascii="Times New Roman" w:hAnsi="Times New Roman" w:eastAsia="方正仿宋_GBK" w:cs="Times New Roman"/>
                <w:bCs/>
                <w:color w:val="auto"/>
                <w:sz w:val="20"/>
                <w:szCs w:val="20"/>
                <w:highlight w:val="none"/>
                <w:lang w:val="en-US" w:eastAsia="zh-CN"/>
              </w:rPr>
              <w:t>提供相关证书或证明文件复印件并加盖投标人公章。</w:t>
            </w:r>
          </w:p>
        </w:tc>
      </w:tr>
    </w:tbl>
    <w:p>
      <w:pPr>
        <w:rPr>
          <w:rFonts w:hint="default" w:ascii="Times New Roman" w:hAnsi="Times New Roman" w:cs="Times New Roman"/>
          <w:color w:val="FF0000"/>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default" w:ascii="Times New Roman" w:hAnsi="Times New Roman" w:cs="Times New Roman"/>
          <w:color w:val="FF0000"/>
          <w:sz w:val="24"/>
          <w:szCs w:val="24"/>
        </w:rPr>
        <w:br w:type="page"/>
      </w:r>
    </w:p>
    <w:p>
      <w:pPr>
        <w:spacing w:line="312" w:lineRule="auto"/>
        <w:jc w:val="center"/>
        <w:rPr>
          <w:rFonts w:ascii="仿宋" w:hAnsi="仿宋" w:eastAsia="仿宋" w:cs="宋体"/>
          <w:b w:val="0"/>
        </w:rPr>
      </w:pPr>
      <w:r>
        <w:rPr>
          <w:rFonts w:hint="eastAsia" w:ascii="Times New Roman" w:hAnsi="Times New Roman" w:eastAsia="方正小标宋_GBK" w:cs="Times New Roman"/>
          <w:b w:val="0"/>
          <w:bCs/>
          <w:color w:val="auto"/>
          <w:sz w:val="44"/>
          <w:szCs w:val="44"/>
          <w:lang w:eastAsia="zh-CN"/>
        </w:rPr>
        <w:t>响应文件格式要求</w:t>
      </w:r>
    </w:p>
    <w:p>
      <w:pPr>
        <w:spacing w:line="360" w:lineRule="auto"/>
        <w:rPr>
          <w:rFonts w:ascii="仿宋" w:hAnsi="仿宋" w:eastAsia="仿宋"/>
          <w:b/>
          <w:bCs/>
          <w:sz w:val="24"/>
          <w:szCs w:val="24"/>
        </w:rPr>
      </w:pPr>
      <w:r>
        <w:rPr>
          <w:rFonts w:hint="eastAsia" w:ascii="仿宋" w:hAnsi="仿宋" w:eastAsia="仿宋"/>
          <w:b/>
          <w:bCs/>
          <w:sz w:val="24"/>
          <w:szCs w:val="24"/>
        </w:rPr>
        <w:t>一、经济部分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（一）报价函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（二）明细报价表</w:t>
      </w:r>
    </w:p>
    <w:p>
      <w:pPr>
        <w:spacing w:line="360" w:lineRule="auto"/>
        <w:rPr>
          <w:rFonts w:ascii="仿宋" w:hAnsi="仿宋" w:eastAsia="仿宋"/>
          <w:b/>
          <w:bCs/>
          <w:sz w:val="24"/>
          <w:szCs w:val="24"/>
        </w:rPr>
      </w:pPr>
      <w:r>
        <w:rPr>
          <w:rFonts w:hint="eastAsia" w:ascii="仿宋" w:hAnsi="仿宋" w:eastAsia="仿宋"/>
          <w:b/>
          <w:bCs/>
          <w:sz w:val="24"/>
          <w:szCs w:val="24"/>
        </w:rPr>
        <w:t>二、技术部分</w:t>
      </w:r>
    </w:p>
    <w:p>
      <w:pPr>
        <w:spacing w:line="360" w:lineRule="auto"/>
        <w:ind w:firstLine="480" w:firstLineChars="200"/>
        <w:rPr>
          <w:rFonts w:ascii="仿宋" w:hAnsi="仿宋" w:eastAsia="仿宋"/>
          <w:sz w:val="24"/>
          <w:szCs w:val="24"/>
        </w:rPr>
      </w:pPr>
      <w:r>
        <w:rPr>
          <w:rFonts w:hint="eastAsia" w:ascii="仿宋" w:hAnsi="仿宋" w:eastAsia="仿宋" w:cs="宋体"/>
          <w:sz w:val="24"/>
          <w:szCs w:val="24"/>
        </w:rPr>
        <w:t>（一）技术应答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（二）技术响应偏离表</w:t>
      </w:r>
    </w:p>
    <w:p>
      <w:pPr>
        <w:spacing w:line="360" w:lineRule="auto"/>
        <w:rPr>
          <w:rFonts w:ascii="仿宋" w:hAnsi="仿宋" w:eastAsia="仿宋"/>
          <w:b/>
          <w:bCs/>
          <w:sz w:val="24"/>
          <w:szCs w:val="24"/>
        </w:rPr>
      </w:pPr>
      <w:r>
        <w:rPr>
          <w:rFonts w:hint="eastAsia" w:ascii="仿宋" w:hAnsi="仿宋" w:eastAsia="仿宋"/>
          <w:b/>
          <w:bCs/>
          <w:sz w:val="24"/>
          <w:szCs w:val="24"/>
        </w:rPr>
        <w:t>三、商务部分</w:t>
      </w:r>
    </w:p>
    <w:p>
      <w:pPr>
        <w:spacing w:line="360" w:lineRule="auto"/>
        <w:ind w:firstLine="480" w:firstLineChars="200"/>
        <w:rPr>
          <w:rFonts w:ascii="仿宋" w:hAnsi="仿宋" w:eastAsia="仿宋"/>
          <w:sz w:val="24"/>
          <w:szCs w:val="24"/>
        </w:rPr>
      </w:pPr>
      <w:r>
        <w:rPr>
          <w:rFonts w:hint="eastAsia" w:ascii="仿宋" w:hAnsi="仿宋" w:eastAsia="仿宋" w:cs="宋体"/>
          <w:sz w:val="24"/>
          <w:szCs w:val="24"/>
        </w:rPr>
        <w:t>（一）服务要求响应情况：交货时间、交货地点、质量保证期、售后服务条款等。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（一）商务响应偏离表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（二）其它优惠承诺</w:t>
      </w:r>
    </w:p>
    <w:p>
      <w:pPr>
        <w:spacing w:line="360" w:lineRule="auto"/>
        <w:rPr>
          <w:rFonts w:ascii="仿宋" w:hAnsi="仿宋" w:eastAsia="仿宋"/>
          <w:b/>
          <w:bCs/>
          <w:sz w:val="24"/>
          <w:szCs w:val="24"/>
        </w:rPr>
      </w:pPr>
      <w:r>
        <w:rPr>
          <w:rFonts w:hint="eastAsia" w:ascii="仿宋" w:hAnsi="仿宋" w:eastAsia="仿宋"/>
          <w:b/>
          <w:bCs/>
          <w:sz w:val="24"/>
          <w:szCs w:val="24"/>
        </w:rPr>
        <w:t>四、资格条件及其他</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（一）营业执照（副本）或事业单位法人证书（副本）复印件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（二）组织机构代码证复印件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（三）法定代表人身份证明书（格式）</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（四）法定代表人授权委托书（格式）</w:t>
      </w:r>
    </w:p>
    <w:p>
      <w:pPr>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（五）提供</w:t>
      </w:r>
      <w:r>
        <w:rPr>
          <w:rFonts w:hint="eastAsia" w:ascii="仿宋" w:hAnsi="仿宋" w:eastAsia="仿宋"/>
          <w:sz w:val="24"/>
          <w:szCs w:val="24"/>
          <w:lang w:val="en-US" w:eastAsia="zh-CN"/>
        </w:rPr>
        <w:t>2021年至</w:t>
      </w: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年度财务状况报告（表）复印件或提供银行出具的资信证明复印件。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（六）书面声明（格式）</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（七）税务登记证（副本）复印件</w:t>
      </w:r>
    </w:p>
    <w:p>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（八）</w:t>
      </w:r>
      <w:r>
        <w:rPr>
          <w:rFonts w:hint="eastAsia" w:ascii="仿宋" w:hAnsi="仿宋" w:eastAsia="仿宋" w:cs="宋体"/>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hint="eastAsia" w:ascii="仿宋" w:hAnsi="仿宋" w:eastAsia="仿宋" w:cs="宋体"/>
          <w:sz w:val="24"/>
          <w:szCs w:val="24"/>
          <w:lang w:eastAsia="zh-CN"/>
        </w:rPr>
        <w:t>投标人</w:t>
      </w:r>
      <w:r>
        <w:rPr>
          <w:rFonts w:hint="eastAsia" w:ascii="仿宋" w:hAnsi="仿宋" w:eastAsia="仿宋" w:cs="宋体"/>
          <w:sz w:val="24"/>
          <w:szCs w:val="24"/>
        </w:rPr>
        <w:t>，应提供相应文件证明其依法免税或不需要缴纳社会保障资金。</w:t>
      </w:r>
    </w:p>
    <w:p>
      <w:pPr>
        <w:snapToGrid w:val="0"/>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说明：</w:t>
      </w:r>
      <w:r>
        <w:rPr>
          <w:rFonts w:hint="eastAsia" w:ascii="仿宋" w:hAnsi="仿宋" w:eastAsia="仿宋" w:cs="宋体"/>
          <w:sz w:val="24"/>
          <w:szCs w:val="24"/>
          <w:lang w:eastAsia="zh-CN"/>
        </w:rPr>
        <w:t>投标人</w:t>
      </w:r>
      <w:r>
        <w:rPr>
          <w:rFonts w:hint="eastAsia" w:ascii="仿宋" w:hAnsi="仿宋" w:eastAsia="仿宋" w:cs="宋体"/>
          <w:sz w:val="24"/>
          <w:szCs w:val="24"/>
        </w:rPr>
        <w:t>按</w:t>
      </w:r>
      <w:r>
        <w:rPr>
          <w:rFonts w:hint="eastAsia" w:ascii="仿宋" w:hAnsi="仿宋" w:eastAsia="仿宋" w:cs="宋体"/>
          <w:sz w:val="24"/>
          <w:szCs w:val="24"/>
          <w:lang w:eastAsia="zh-CN"/>
        </w:rPr>
        <w:t>“</w:t>
      </w:r>
      <w:r>
        <w:rPr>
          <w:rFonts w:hint="eastAsia" w:ascii="仿宋" w:hAnsi="仿宋" w:eastAsia="仿宋" w:cs="宋体"/>
          <w:sz w:val="24"/>
          <w:szCs w:val="24"/>
        </w:rPr>
        <w:t>五证合一</w:t>
      </w:r>
      <w:r>
        <w:rPr>
          <w:rFonts w:hint="eastAsia" w:ascii="仿宋" w:hAnsi="仿宋" w:eastAsia="仿宋" w:cs="宋体"/>
          <w:sz w:val="24"/>
          <w:szCs w:val="24"/>
          <w:lang w:eastAsia="zh-CN"/>
        </w:rPr>
        <w:t>”</w:t>
      </w:r>
      <w:r>
        <w:rPr>
          <w:rFonts w:hint="eastAsia" w:ascii="仿宋" w:hAnsi="仿宋" w:eastAsia="仿宋" w:cs="宋体"/>
          <w:sz w:val="24"/>
          <w:szCs w:val="24"/>
        </w:rPr>
        <w:t>登记制度办理营业执照的，组织机构代码证、税务登记证（副本）和社会保险登记证以</w:t>
      </w:r>
      <w:r>
        <w:rPr>
          <w:rFonts w:hint="eastAsia" w:ascii="仿宋" w:hAnsi="仿宋" w:eastAsia="仿宋" w:cs="宋体"/>
          <w:sz w:val="24"/>
          <w:szCs w:val="24"/>
          <w:lang w:eastAsia="zh-CN"/>
        </w:rPr>
        <w:t>投标人</w:t>
      </w:r>
      <w:r>
        <w:rPr>
          <w:rFonts w:hint="eastAsia" w:ascii="仿宋" w:hAnsi="仿宋" w:eastAsia="仿宋" w:cs="宋体"/>
          <w:sz w:val="24"/>
          <w:szCs w:val="24"/>
        </w:rPr>
        <w:t>所提供的法人营业执照（副本）复印件为准。</w:t>
      </w:r>
    </w:p>
    <w:p>
      <w:pPr>
        <w:spacing w:line="360" w:lineRule="auto"/>
        <w:rPr>
          <w:rFonts w:ascii="仿宋" w:hAnsi="仿宋" w:eastAsia="仿宋"/>
          <w:b/>
          <w:bCs/>
          <w:sz w:val="24"/>
          <w:szCs w:val="24"/>
        </w:rPr>
      </w:pPr>
      <w:r>
        <w:rPr>
          <w:rFonts w:hint="eastAsia" w:ascii="仿宋" w:hAnsi="仿宋" w:eastAsia="仿宋"/>
          <w:b/>
          <w:bCs/>
          <w:sz w:val="24"/>
          <w:szCs w:val="24"/>
        </w:rPr>
        <w:t>五、其他应提供的资料</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一</w:t>
      </w:r>
      <w:r>
        <w:rPr>
          <w:rFonts w:hint="eastAsia" w:ascii="仿宋" w:hAnsi="仿宋" w:eastAsia="仿宋"/>
          <w:sz w:val="24"/>
          <w:szCs w:val="24"/>
          <w:lang w:eastAsia="zh-CN"/>
        </w:rPr>
        <w:t>）中小企业声明函、监狱企业证明文件、残疾人福利性单位声明函</w:t>
      </w:r>
    </w:p>
    <w:p>
      <w:pPr>
        <w:spacing w:line="360" w:lineRule="auto"/>
        <w:ind w:firstLine="480" w:firstLineChars="200"/>
        <w:rPr>
          <w:rFonts w:ascii="仿宋" w:hAnsi="仿宋" w:eastAsia="仿宋"/>
          <w:sz w:val="24"/>
          <w:szCs w:val="24"/>
          <w:bdr w:val="single" w:color="auto" w:sz="4" w:space="0"/>
        </w:rPr>
        <w:sectPr>
          <w:headerReference r:id="rId4" w:type="default"/>
          <w:footerReference r:id="rId5" w:type="default"/>
          <w:pgSz w:w="11907" w:h="16840"/>
          <w:pgMar w:top="1134" w:right="1191" w:bottom="1134" w:left="1304" w:header="851" w:footer="992" w:gutter="0"/>
          <w:pgNumType w:fmt="numberInDash"/>
          <w:cols w:space="720" w:num="1"/>
        </w:sectPr>
      </w:pPr>
      <w:r>
        <w:rPr>
          <w:rFonts w:hint="eastAsia" w:ascii="仿宋" w:hAnsi="仿宋" w:eastAsia="仿宋"/>
          <w:sz w:val="24"/>
          <w:szCs w:val="24"/>
        </w:rPr>
        <w:t>（</w:t>
      </w:r>
      <w:r>
        <w:rPr>
          <w:rFonts w:hint="eastAsia" w:ascii="仿宋" w:hAnsi="仿宋" w:eastAsia="仿宋"/>
          <w:sz w:val="24"/>
          <w:szCs w:val="24"/>
          <w:lang w:val="en-US" w:eastAsia="zh-CN"/>
        </w:rPr>
        <w:t>二</w:t>
      </w:r>
      <w:r>
        <w:rPr>
          <w:rFonts w:hint="eastAsia" w:ascii="仿宋" w:hAnsi="仿宋" w:eastAsia="仿宋"/>
          <w:sz w:val="24"/>
          <w:szCs w:val="24"/>
        </w:rPr>
        <w:t>）其他与项目有关的资料（自附）</w:t>
      </w:r>
    </w:p>
    <w:p>
      <w:pPr>
        <w:pStyle w:val="7"/>
        <w:spacing w:before="0" w:after="0" w:line="360" w:lineRule="auto"/>
        <w:rPr>
          <w:rFonts w:ascii="仿宋" w:hAnsi="仿宋" w:eastAsia="仿宋"/>
          <w:sz w:val="24"/>
          <w:szCs w:val="24"/>
        </w:rPr>
      </w:pPr>
      <w:bookmarkStart w:id="35" w:name="_Toc486608277"/>
      <w:bookmarkStart w:id="36" w:name="_Toc487204797"/>
      <w:bookmarkStart w:id="37" w:name="_Toc486585240"/>
      <w:bookmarkStart w:id="38" w:name="_Toc14854"/>
      <w:bookmarkStart w:id="39" w:name="_Toc8988"/>
      <w:r>
        <w:rPr>
          <w:rFonts w:hint="eastAsia" w:ascii="仿宋" w:hAnsi="仿宋" w:eastAsia="仿宋"/>
          <w:sz w:val="24"/>
          <w:szCs w:val="24"/>
        </w:rPr>
        <w:t>一、经济部分</w:t>
      </w:r>
      <w:bookmarkEnd w:id="35"/>
      <w:bookmarkEnd w:id="36"/>
      <w:bookmarkEnd w:id="37"/>
      <w:bookmarkEnd w:id="38"/>
      <w:bookmarkEnd w:id="39"/>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（一）报价函</w:t>
      </w:r>
    </w:p>
    <w:p>
      <w:pPr>
        <w:tabs>
          <w:tab w:val="left" w:pos="6300"/>
        </w:tabs>
        <w:snapToGrid w:val="0"/>
        <w:spacing w:line="360" w:lineRule="auto"/>
        <w:ind w:firstLine="480" w:firstLineChars="200"/>
        <w:jc w:val="center"/>
        <w:rPr>
          <w:rFonts w:ascii="仿宋" w:hAnsi="仿宋" w:eastAsia="仿宋"/>
          <w:sz w:val="24"/>
          <w:szCs w:val="24"/>
        </w:rPr>
      </w:pPr>
      <w:r>
        <w:rPr>
          <w:rFonts w:hint="eastAsia" w:ascii="仿宋" w:hAnsi="仿宋" w:eastAsia="仿宋"/>
          <w:sz w:val="24"/>
          <w:szCs w:val="24"/>
        </w:rPr>
        <w:t>报价函</w:t>
      </w:r>
    </w:p>
    <w:p>
      <w:pPr>
        <w:tabs>
          <w:tab w:val="left" w:pos="6300"/>
        </w:tabs>
        <w:snapToGrid w:val="0"/>
        <w:spacing w:line="360" w:lineRule="auto"/>
        <w:rPr>
          <w:rFonts w:ascii="仿宋" w:hAnsi="仿宋" w:eastAsia="仿宋"/>
          <w:sz w:val="24"/>
          <w:szCs w:val="24"/>
        </w:rPr>
      </w:pPr>
      <w:r>
        <w:rPr>
          <w:rFonts w:hint="eastAsia" w:ascii="仿宋" w:hAnsi="仿宋" w:eastAsia="仿宋"/>
          <w:sz w:val="24"/>
          <w:szCs w:val="24"/>
          <w:u w:val="single"/>
        </w:rPr>
        <w:t>（采购</w:t>
      </w:r>
      <w:r>
        <w:rPr>
          <w:rFonts w:hint="eastAsia" w:ascii="仿宋" w:hAnsi="仿宋" w:eastAsia="仿宋"/>
          <w:sz w:val="24"/>
          <w:szCs w:val="24"/>
          <w:u w:val="single"/>
          <w:lang w:val="en-US" w:eastAsia="zh-CN"/>
        </w:rPr>
        <w:t>人</w:t>
      </w:r>
      <w:r>
        <w:rPr>
          <w:rFonts w:hint="eastAsia" w:ascii="仿宋" w:hAnsi="仿宋" w:eastAsia="仿宋"/>
          <w:sz w:val="24"/>
          <w:szCs w:val="24"/>
          <w:u w:val="single"/>
        </w:rPr>
        <w:t>名称）</w:t>
      </w:r>
      <w:r>
        <w:rPr>
          <w:rFonts w:hint="eastAsia" w:ascii="仿宋" w:hAnsi="仿宋" w:eastAsia="仿宋"/>
          <w:sz w:val="24"/>
          <w:szCs w:val="24"/>
        </w:rPr>
        <w:t>：</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我方收到</w:t>
      </w:r>
      <w:r>
        <w:rPr>
          <w:rFonts w:hint="eastAsia" w:ascii="仿宋" w:hAnsi="仿宋" w:eastAsia="仿宋"/>
          <w:sz w:val="24"/>
          <w:szCs w:val="24"/>
          <w:u w:val="single"/>
        </w:rPr>
        <w:t>____________________________</w:t>
      </w:r>
      <w:r>
        <w:rPr>
          <w:rFonts w:hint="eastAsia" w:ascii="仿宋" w:hAnsi="仿宋" w:eastAsia="仿宋"/>
          <w:sz w:val="24"/>
          <w:szCs w:val="24"/>
        </w:rPr>
        <w:t>（项目名称）的</w:t>
      </w:r>
      <w:r>
        <w:rPr>
          <w:rFonts w:hint="eastAsia" w:ascii="仿宋" w:hAnsi="仿宋" w:eastAsia="仿宋"/>
          <w:sz w:val="24"/>
          <w:szCs w:val="24"/>
          <w:lang w:val="en-US" w:eastAsia="zh-CN"/>
        </w:rPr>
        <w:t>采购文件</w:t>
      </w:r>
      <w:r>
        <w:rPr>
          <w:rFonts w:hint="eastAsia" w:ascii="仿宋" w:hAnsi="仿宋" w:eastAsia="仿宋"/>
          <w:sz w:val="24"/>
          <w:szCs w:val="24"/>
        </w:rPr>
        <w:t>，经详细研究，决定参加该项目的</w:t>
      </w:r>
      <w:r>
        <w:rPr>
          <w:rFonts w:hint="eastAsia" w:ascii="仿宋" w:hAnsi="仿宋" w:eastAsia="仿宋"/>
          <w:sz w:val="24"/>
          <w:szCs w:val="24"/>
          <w:lang w:val="en-US" w:eastAsia="zh-CN"/>
        </w:rPr>
        <w:t>谈判</w:t>
      </w:r>
      <w:r>
        <w:rPr>
          <w:rFonts w:hint="eastAsia" w:ascii="仿宋" w:hAnsi="仿宋" w:eastAsia="仿宋"/>
          <w:sz w:val="24"/>
          <w:szCs w:val="24"/>
        </w:rPr>
        <w:t>。</w:t>
      </w:r>
    </w:p>
    <w:p>
      <w:pPr>
        <w:tabs>
          <w:tab w:val="left" w:pos="6300"/>
        </w:tabs>
        <w:snapToGrid w:val="0"/>
        <w:spacing w:line="360" w:lineRule="auto"/>
        <w:ind w:left="716" w:leftChars="170" w:hanging="240" w:hangingChars="100"/>
        <w:rPr>
          <w:rFonts w:ascii="仿宋" w:hAnsi="仿宋" w:eastAsia="仿宋"/>
          <w:sz w:val="24"/>
          <w:szCs w:val="24"/>
        </w:rPr>
      </w:pPr>
      <w:r>
        <w:rPr>
          <w:rFonts w:hint="eastAsia" w:ascii="仿宋" w:hAnsi="仿宋" w:eastAsia="仿宋"/>
          <w:sz w:val="24"/>
          <w:szCs w:val="24"/>
        </w:rPr>
        <w:t>1.愿意按照</w:t>
      </w:r>
      <w:r>
        <w:rPr>
          <w:rFonts w:hint="eastAsia" w:ascii="仿宋" w:hAnsi="仿宋" w:eastAsia="仿宋"/>
          <w:sz w:val="24"/>
          <w:szCs w:val="24"/>
          <w:lang w:val="en-US" w:eastAsia="zh-CN"/>
        </w:rPr>
        <w:t>采购文件</w:t>
      </w:r>
      <w:r>
        <w:rPr>
          <w:rFonts w:hint="eastAsia" w:ascii="仿宋" w:hAnsi="仿宋" w:eastAsia="仿宋"/>
          <w:sz w:val="24"/>
          <w:szCs w:val="24"/>
        </w:rPr>
        <w:t>中的一切要求，提供本项目的技术服务，报价为人民币大写：</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_________</w:t>
      </w:r>
      <w:r>
        <w:rPr>
          <w:rFonts w:hint="eastAsia" w:ascii="仿宋" w:hAnsi="仿宋" w:eastAsia="仿宋"/>
          <w:sz w:val="24"/>
          <w:szCs w:val="24"/>
        </w:rPr>
        <w:t>元整；人民币小写：</w:t>
      </w:r>
      <w:r>
        <w:rPr>
          <w:rFonts w:hint="eastAsia" w:ascii="仿宋" w:hAnsi="仿宋" w:eastAsia="仿宋"/>
          <w:sz w:val="24"/>
          <w:szCs w:val="24"/>
          <w:u w:val="single"/>
        </w:rPr>
        <w:t>_________</w:t>
      </w:r>
      <w:r>
        <w:rPr>
          <w:rFonts w:hint="eastAsia" w:ascii="仿宋" w:hAnsi="仿宋" w:eastAsia="仿宋"/>
          <w:sz w:val="24"/>
          <w:szCs w:val="24"/>
        </w:rPr>
        <w:t>元。</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2.我方现提交的响应文件为：响应文件电子文档壹。</w:t>
      </w:r>
    </w:p>
    <w:p>
      <w:pPr>
        <w:tabs>
          <w:tab w:val="left" w:pos="6300"/>
        </w:tabs>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rPr>
        <w:t>3.我方承诺：本次</w:t>
      </w:r>
      <w:r>
        <w:rPr>
          <w:rFonts w:hint="eastAsia" w:ascii="仿宋" w:hAnsi="仿宋" w:eastAsia="仿宋"/>
          <w:sz w:val="24"/>
          <w:szCs w:val="24"/>
          <w:lang w:val="en-US" w:eastAsia="zh-CN"/>
        </w:rPr>
        <w:t>谈判</w:t>
      </w:r>
      <w:r>
        <w:rPr>
          <w:rFonts w:hint="eastAsia" w:ascii="仿宋" w:hAnsi="仿宋" w:eastAsia="仿宋"/>
          <w:sz w:val="24"/>
          <w:szCs w:val="24"/>
        </w:rPr>
        <w:t>的有效期为90天。</w:t>
      </w:r>
    </w:p>
    <w:p>
      <w:pPr>
        <w:tabs>
          <w:tab w:val="left" w:pos="6300"/>
        </w:tabs>
        <w:snapToGrid w:val="0"/>
        <w:spacing w:line="360" w:lineRule="auto"/>
        <w:ind w:firstLine="480" w:firstLineChars="200"/>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4.服务期：自采购人通知接收评审资料之日起</w:t>
      </w:r>
      <w:r>
        <w:rPr>
          <w:rFonts w:hint="eastAsia" w:ascii="仿宋" w:hAnsi="仿宋" w:eastAsia="仿宋" w:cs="Times New Roman"/>
          <w:b w:val="0"/>
          <w:bCs w:val="0"/>
          <w:kern w:val="2"/>
          <w:sz w:val="24"/>
          <w:szCs w:val="24"/>
          <w:u w:val="single"/>
          <w:lang w:val="en-US" w:eastAsia="zh-CN" w:bidi="ar-SA"/>
        </w:rPr>
        <w:t xml:space="preserve">     </w:t>
      </w:r>
      <w:r>
        <w:rPr>
          <w:rFonts w:hint="eastAsia" w:ascii="仿宋" w:hAnsi="仿宋" w:eastAsia="仿宋" w:cs="Times New Roman"/>
          <w:b w:val="0"/>
          <w:bCs w:val="0"/>
          <w:kern w:val="2"/>
          <w:sz w:val="24"/>
          <w:szCs w:val="24"/>
          <w:lang w:val="en-US" w:eastAsia="zh-CN" w:bidi="ar-SA"/>
        </w:rPr>
        <w:t>个日历天内完成，因建设单位原因提供资。</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cs="Times New Roman"/>
          <w:b w:val="0"/>
          <w:bCs w:val="0"/>
          <w:kern w:val="2"/>
          <w:sz w:val="24"/>
          <w:szCs w:val="24"/>
          <w:lang w:val="en-US" w:eastAsia="zh-CN" w:bidi="ar-SA"/>
        </w:rPr>
        <w:t>5</w:t>
      </w:r>
      <w:r>
        <w:rPr>
          <w:rFonts w:hint="eastAsia" w:ascii="仿宋" w:hAnsi="仿宋" w:eastAsia="仿宋"/>
          <w:sz w:val="24"/>
          <w:szCs w:val="24"/>
        </w:rPr>
        <w:t>.我方完全理解和接受贵方</w:t>
      </w:r>
      <w:r>
        <w:rPr>
          <w:rFonts w:hint="eastAsia" w:ascii="仿宋" w:hAnsi="仿宋" w:eastAsia="仿宋"/>
          <w:sz w:val="24"/>
          <w:szCs w:val="24"/>
          <w:lang w:eastAsia="zh-CN"/>
        </w:rPr>
        <w:t>采购文件</w:t>
      </w:r>
      <w:r>
        <w:rPr>
          <w:rFonts w:hint="eastAsia" w:ascii="仿宋" w:hAnsi="仿宋" w:eastAsia="仿宋"/>
          <w:sz w:val="24"/>
          <w:szCs w:val="24"/>
        </w:rPr>
        <w:t>的一切规定和要求及</w:t>
      </w:r>
      <w:r>
        <w:rPr>
          <w:rFonts w:hint="eastAsia" w:ascii="仿宋" w:hAnsi="仿宋" w:eastAsia="仿宋"/>
          <w:sz w:val="24"/>
          <w:szCs w:val="24"/>
          <w:lang w:val="en-US" w:eastAsia="zh-CN"/>
        </w:rPr>
        <w:t>谈判</w:t>
      </w:r>
      <w:r>
        <w:rPr>
          <w:rFonts w:hint="eastAsia" w:ascii="仿宋" w:hAnsi="仿宋" w:eastAsia="仿宋"/>
          <w:sz w:val="24"/>
          <w:szCs w:val="24"/>
        </w:rPr>
        <w:t>评审办法。</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.在整个</w:t>
      </w:r>
      <w:r>
        <w:rPr>
          <w:rFonts w:hint="eastAsia" w:ascii="仿宋" w:hAnsi="仿宋" w:eastAsia="仿宋"/>
          <w:sz w:val="24"/>
          <w:szCs w:val="24"/>
          <w:lang w:val="en-US" w:eastAsia="zh-CN"/>
        </w:rPr>
        <w:t>谈判</w:t>
      </w:r>
      <w:r>
        <w:rPr>
          <w:rFonts w:hint="eastAsia" w:ascii="仿宋" w:hAnsi="仿宋" w:eastAsia="仿宋"/>
          <w:sz w:val="24"/>
          <w:szCs w:val="24"/>
        </w:rPr>
        <w:t>过程中，我方若有违规行为，接受按照《中华人民共和国政府采购法》和《</w:t>
      </w:r>
      <w:r>
        <w:rPr>
          <w:rFonts w:hint="eastAsia" w:ascii="仿宋" w:hAnsi="仿宋" w:eastAsia="仿宋"/>
          <w:sz w:val="24"/>
          <w:szCs w:val="24"/>
          <w:lang w:val="en-US" w:eastAsia="zh-CN"/>
        </w:rPr>
        <w:t>采购文件</w:t>
      </w:r>
      <w:r>
        <w:rPr>
          <w:rFonts w:hint="eastAsia" w:ascii="仿宋" w:hAnsi="仿宋" w:eastAsia="仿宋"/>
          <w:sz w:val="24"/>
          <w:szCs w:val="24"/>
        </w:rPr>
        <w:t>》之规定给予惩罚。</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7</w:t>
      </w:r>
      <w:r>
        <w:rPr>
          <w:rFonts w:hint="eastAsia" w:ascii="仿宋" w:hAnsi="仿宋" w:eastAsia="仿宋"/>
          <w:sz w:val="24"/>
          <w:szCs w:val="24"/>
        </w:rPr>
        <w:t>.我方若成为成交</w:t>
      </w:r>
      <w:r>
        <w:rPr>
          <w:rFonts w:hint="eastAsia" w:ascii="仿宋" w:hAnsi="仿宋" w:eastAsia="仿宋"/>
          <w:sz w:val="24"/>
          <w:szCs w:val="24"/>
          <w:lang w:eastAsia="zh-CN"/>
        </w:rPr>
        <w:t>投标人</w:t>
      </w:r>
      <w:r>
        <w:rPr>
          <w:rFonts w:hint="eastAsia" w:ascii="仿宋" w:hAnsi="仿宋" w:eastAsia="仿宋"/>
          <w:sz w:val="24"/>
          <w:szCs w:val="24"/>
        </w:rPr>
        <w:t>，将按照最终</w:t>
      </w:r>
      <w:r>
        <w:rPr>
          <w:rFonts w:hint="eastAsia" w:ascii="仿宋" w:hAnsi="仿宋" w:eastAsia="仿宋"/>
          <w:sz w:val="24"/>
          <w:szCs w:val="24"/>
          <w:lang w:val="en-US" w:eastAsia="zh-CN"/>
        </w:rPr>
        <w:t>谈判</w:t>
      </w:r>
      <w:r>
        <w:rPr>
          <w:rFonts w:hint="eastAsia" w:ascii="仿宋" w:hAnsi="仿宋" w:eastAsia="仿宋"/>
          <w:sz w:val="24"/>
          <w:szCs w:val="24"/>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.我方未为采购项目提供整体设计、规范编制或者项目管理、监理、检测等服务。</w:t>
      </w:r>
    </w:p>
    <w:p>
      <w:pPr>
        <w:pStyle w:val="42"/>
        <w:tabs>
          <w:tab w:val="right" w:leader="dot" w:pos="8303"/>
        </w:tabs>
        <w:ind w:firstLine="480" w:firstLineChars="200"/>
        <w:jc w:val="both"/>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9.我方理解，最低报价不是成交的唯一条件。</w:t>
      </w:r>
    </w:p>
    <w:p>
      <w:pPr>
        <w:tabs>
          <w:tab w:val="left" w:pos="6300"/>
        </w:tabs>
        <w:snapToGrid w:val="0"/>
        <w:spacing w:line="360" w:lineRule="auto"/>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lang w:eastAsia="zh-CN"/>
        </w:rPr>
        <w:t>投标人</w:t>
      </w:r>
      <w:r>
        <w:rPr>
          <w:rFonts w:hint="eastAsia" w:ascii="仿宋" w:hAnsi="仿宋" w:eastAsia="仿宋"/>
          <w:sz w:val="24"/>
          <w:szCs w:val="24"/>
        </w:rPr>
        <w:t>（公章）：</w:t>
      </w: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地址：</w:t>
      </w: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电话：传真：</w:t>
      </w: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网址：邮编：</w:t>
      </w: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联系人：</w:t>
      </w:r>
    </w:p>
    <w:p>
      <w:pPr>
        <w:snapToGrid w:val="0"/>
        <w:spacing w:line="360" w:lineRule="auto"/>
        <w:ind w:firstLine="480" w:firstLineChars="200"/>
        <w:jc w:val="right"/>
        <w:rPr>
          <w:rFonts w:ascii="仿宋" w:hAnsi="仿宋" w:eastAsia="仿宋"/>
          <w:sz w:val="24"/>
          <w:szCs w:val="24"/>
        </w:rPr>
      </w:pPr>
      <w:r>
        <w:rPr>
          <w:rFonts w:hint="eastAsia" w:ascii="仿宋" w:hAnsi="仿宋" w:eastAsia="仿宋"/>
          <w:sz w:val="24"/>
          <w:szCs w:val="24"/>
        </w:rPr>
        <w:t xml:space="preserve">                               年   月   日</w:t>
      </w:r>
    </w:p>
    <w:p>
      <w:pPr>
        <w:widowControl/>
        <w:spacing w:line="380" w:lineRule="exact"/>
        <w:jc w:val="left"/>
        <w:rPr>
          <w:rFonts w:ascii="仿宋" w:hAnsi="仿宋" w:eastAsia="仿宋"/>
          <w:sz w:val="24"/>
          <w:szCs w:val="24"/>
        </w:rPr>
        <w:sectPr>
          <w:pgSz w:w="11907" w:h="16840"/>
          <w:pgMar w:top="1134" w:right="1191" w:bottom="1134" w:left="1304" w:header="851" w:footer="992" w:gutter="0"/>
          <w:pgNumType w:fmt="numberInDash"/>
          <w:cols w:space="720" w:num="1"/>
        </w:sectPr>
      </w:pPr>
    </w:p>
    <w:p>
      <w:pPr>
        <w:tabs>
          <w:tab w:val="left" w:pos="2895"/>
        </w:tabs>
        <w:spacing w:line="380" w:lineRule="exact"/>
        <w:ind w:firstLine="480" w:firstLineChars="200"/>
        <w:rPr>
          <w:rFonts w:ascii="仿宋" w:hAnsi="仿宋" w:eastAsia="仿宋"/>
          <w:sz w:val="24"/>
          <w:szCs w:val="24"/>
        </w:rPr>
      </w:pPr>
      <w:r>
        <w:rPr>
          <w:rFonts w:hint="eastAsia" w:ascii="仿宋" w:hAnsi="仿宋" w:eastAsia="仿宋"/>
          <w:sz w:val="24"/>
          <w:szCs w:val="24"/>
        </w:rPr>
        <w:t>（二）报价表</w:t>
      </w:r>
    </w:p>
    <w:p>
      <w:pPr>
        <w:spacing w:line="360" w:lineRule="auto"/>
        <w:jc w:val="center"/>
        <w:rPr>
          <w:rFonts w:ascii="仿宋" w:hAnsi="仿宋" w:eastAsia="仿宋"/>
          <w:b/>
          <w:sz w:val="24"/>
          <w:szCs w:val="24"/>
        </w:rPr>
      </w:pPr>
      <w:r>
        <w:rPr>
          <w:rFonts w:hint="eastAsia" w:ascii="仿宋" w:hAnsi="仿宋" w:eastAsia="仿宋"/>
          <w:b/>
          <w:sz w:val="24"/>
          <w:szCs w:val="24"/>
        </w:rPr>
        <w:t>报价表</w:t>
      </w:r>
    </w:p>
    <w:p>
      <w:pPr>
        <w:spacing w:line="360" w:lineRule="auto"/>
        <w:rPr>
          <w:rFonts w:ascii="仿宋" w:hAnsi="仿宋" w:eastAsia="仿宋"/>
          <w:sz w:val="24"/>
          <w:szCs w:val="24"/>
        </w:rPr>
      </w:pPr>
      <w:r>
        <w:rPr>
          <w:rFonts w:hint="eastAsia" w:ascii="仿宋" w:hAnsi="仿宋" w:eastAsia="仿宋"/>
          <w:sz w:val="24"/>
          <w:szCs w:val="24"/>
        </w:rPr>
        <w:t>项目编号：</w:t>
      </w:r>
    </w:p>
    <w:p>
      <w:pPr>
        <w:spacing w:line="360" w:lineRule="auto"/>
        <w:rPr>
          <w:rFonts w:hint="eastAsia" w:ascii="仿宋" w:hAnsi="仿宋" w:eastAsia="仿宋"/>
          <w:sz w:val="24"/>
          <w:szCs w:val="24"/>
        </w:rPr>
      </w:pPr>
      <w:r>
        <w:rPr>
          <w:rFonts w:hint="eastAsia" w:ascii="仿宋" w:hAnsi="仿宋" w:eastAsia="仿宋"/>
          <w:sz w:val="24"/>
          <w:szCs w:val="24"/>
        </w:rPr>
        <w:t>项目名称：</w:t>
      </w:r>
    </w:p>
    <w:tbl>
      <w:tblPr>
        <w:tblStyle w:val="67"/>
        <w:tblW w:w="10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1022" w:type="dxa"/>
            <w:vAlign w:val="center"/>
          </w:tcPr>
          <w:p>
            <w:pPr>
              <w:pStyle w:val="260"/>
              <w:ind w:firstLine="0" w:firstLineChars="0"/>
              <w:jc w:val="center"/>
              <w:rPr>
                <w:rFonts w:hint="eastAsia" w:ascii="仿宋" w:hAnsi="仿宋" w:eastAsia="仿宋" w:cs="宋体"/>
                <w:b/>
                <w:bCs/>
                <w:szCs w:val="24"/>
              </w:rPr>
            </w:pPr>
            <w:r>
              <w:rPr>
                <w:rFonts w:hint="eastAsia" w:ascii="仿宋" w:hAnsi="仿宋" w:eastAsia="仿宋" w:cs="宋体"/>
                <w:b/>
                <w:bCs/>
                <w:szCs w:val="24"/>
              </w:rPr>
              <w:t>序号</w:t>
            </w:r>
          </w:p>
        </w:tc>
        <w:tc>
          <w:tcPr>
            <w:tcW w:w="1695" w:type="dxa"/>
            <w:vAlign w:val="center"/>
          </w:tcPr>
          <w:p>
            <w:pPr>
              <w:pStyle w:val="260"/>
              <w:ind w:firstLine="0" w:firstLineChars="0"/>
              <w:jc w:val="center"/>
              <w:rPr>
                <w:rFonts w:hint="eastAsia" w:ascii="仿宋" w:hAnsi="仿宋" w:eastAsia="仿宋" w:cs="宋体"/>
                <w:b/>
                <w:bCs/>
                <w:szCs w:val="24"/>
              </w:rPr>
            </w:pPr>
            <w:r>
              <w:rPr>
                <w:rFonts w:hint="eastAsia" w:ascii="仿宋" w:hAnsi="仿宋" w:eastAsia="仿宋" w:cs="宋体"/>
                <w:b/>
                <w:bCs/>
                <w:szCs w:val="24"/>
              </w:rPr>
              <w:t>名称</w:t>
            </w:r>
          </w:p>
        </w:tc>
        <w:tc>
          <w:tcPr>
            <w:tcW w:w="3404" w:type="dxa"/>
            <w:vAlign w:val="center"/>
          </w:tcPr>
          <w:p>
            <w:pPr>
              <w:pStyle w:val="260"/>
              <w:ind w:firstLine="0" w:firstLineChars="0"/>
              <w:jc w:val="center"/>
              <w:rPr>
                <w:rFonts w:hint="eastAsia" w:ascii="仿宋" w:hAnsi="仿宋" w:eastAsia="仿宋" w:cs="宋体"/>
                <w:b/>
                <w:bCs/>
                <w:szCs w:val="24"/>
              </w:rPr>
            </w:pPr>
            <w:r>
              <w:rPr>
                <w:rFonts w:hint="eastAsia" w:ascii="仿宋" w:hAnsi="仿宋" w:eastAsia="仿宋" w:cs="宋体"/>
                <w:b/>
                <w:bCs/>
                <w:szCs w:val="24"/>
              </w:rPr>
              <w:t>品牌型号等相关信息</w:t>
            </w:r>
          </w:p>
        </w:tc>
        <w:tc>
          <w:tcPr>
            <w:tcW w:w="1344" w:type="dxa"/>
            <w:vAlign w:val="center"/>
          </w:tcPr>
          <w:p>
            <w:pPr>
              <w:pStyle w:val="260"/>
              <w:ind w:firstLine="0" w:firstLineChars="0"/>
              <w:jc w:val="center"/>
              <w:rPr>
                <w:rFonts w:hint="eastAsia" w:ascii="仿宋" w:hAnsi="仿宋" w:eastAsia="仿宋" w:cs="宋体"/>
                <w:b/>
                <w:bCs/>
                <w:szCs w:val="24"/>
              </w:rPr>
            </w:pPr>
            <w:r>
              <w:rPr>
                <w:rFonts w:hint="eastAsia" w:ascii="仿宋" w:hAnsi="仿宋" w:eastAsia="仿宋" w:cs="宋体"/>
                <w:b/>
                <w:bCs/>
                <w:szCs w:val="24"/>
              </w:rPr>
              <w:t>数量</w:t>
            </w:r>
          </w:p>
        </w:tc>
        <w:tc>
          <w:tcPr>
            <w:tcW w:w="1344" w:type="dxa"/>
            <w:vAlign w:val="center"/>
          </w:tcPr>
          <w:p>
            <w:pPr>
              <w:pStyle w:val="260"/>
              <w:ind w:firstLine="0" w:firstLineChars="0"/>
              <w:jc w:val="center"/>
              <w:rPr>
                <w:rFonts w:hint="eastAsia" w:ascii="仿宋" w:hAnsi="仿宋" w:eastAsia="仿宋" w:cs="宋体"/>
                <w:b/>
                <w:bCs/>
                <w:szCs w:val="24"/>
              </w:rPr>
            </w:pPr>
            <w:r>
              <w:rPr>
                <w:rFonts w:hint="eastAsia" w:ascii="仿宋" w:hAnsi="仿宋" w:eastAsia="仿宋" w:cs="宋体"/>
                <w:b/>
                <w:bCs/>
                <w:szCs w:val="24"/>
              </w:rPr>
              <w:t>单价</w:t>
            </w:r>
          </w:p>
        </w:tc>
        <w:tc>
          <w:tcPr>
            <w:tcW w:w="1344" w:type="dxa"/>
            <w:vAlign w:val="center"/>
          </w:tcPr>
          <w:p>
            <w:pPr>
              <w:pStyle w:val="260"/>
              <w:ind w:firstLine="0" w:firstLineChars="0"/>
              <w:jc w:val="center"/>
              <w:rPr>
                <w:rFonts w:hint="eastAsia" w:ascii="仿宋" w:hAnsi="仿宋" w:eastAsia="仿宋" w:cs="宋体"/>
                <w:b/>
                <w:bCs/>
                <w:szCs w:val="24"/>
              </w:rPr>
            </w:pPr>
            <w:r>
              <w:rPr>
                <w:rFonts w:hint="eastAsia" w:ascii="仿宋" w:hAnsi="仿宋" w:eastAsia="仿宋" w:cs="宋体"/>
                <w:b/>
                <w:bCs/>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1</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2</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3</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4</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5</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6</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7</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8</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r>
              <w:rPr>
                <w:rFonts w:hint="eastAsia" w:ascii="宋体" w:hAnsi="宋体" w:eastAsia="宋体" w:cs="宋体"/>
              </w:rPr>
              <w:t>/</w:t>
            </w: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9</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r>
              <w:rPr>
                <w:rFonts w:hint="eastAsia" w:ascii="宋体" w:hAnsi="宋体" w:eastAsia="宋体" w:cs="宋体"/>
              </w:rPr>
              <w:t>/</w:t>
            </w: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10</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r>
              <w:rPr>
                <w:rFonts w:hint="eastAsia" w:ascii="宋体" w:hAnsi="宋体" w:eastAsia="宋体" w:cs="宋体"/>
              </w:rPr>
              <w:t>/</w:t>
            </w: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11</w:t>
            </w:r>
          </w:p>
        </w:tc>
        <w:tc>
          <w:tcPr>
            <w:tcW w:w="1695" w:type="dxa"/>
            <w:vAlign w:val="center"/>
          </w:tcPr>
          <w:p>
            <w:pPr>
              <w:pStyle w:val="260"/>
              <w:ind w:firstLine="0" w:firstLineChars="0"/>
              <w:rPr>
                <w:rFonts w:hint="eastAsia" w:ascii="宋体" w:hAnsi="宋体" w:eastAsia="宋体" w:cs="宋体"/>
              </w:rPr>
            </w:pPr>
          </w:p>
        </w:tc>
        <w:tc>
          <w:tcPr>
            <w:tcW w:w="3404" w:type="dxa"/>
            <w:vAlign w:val="top"/>
          </w:tcPr>
          <w:p>
            <w:pPr>
              <w:pStyle w:val="260"/>
              <w:ind w:firstLine="0" w:firstLineChars="0"/>
              <w:rPr>
                <w:rFonts w:hint="eastAsia" w:ascii="宋体" w:hAnsi="宋体" w:eastAsia="宋体" w:cs="宋体"/>
              </w:rPr>
            </w:pPr>
          </w:p>
        </w:tc>
        <w:tc>
          <w:tcPr>
            <w:tcW w:w="1344" w:type="dxa"/>
            <w:vAlign w:val="center"/>
          </w:tcPr>
          <w:p>
            <w:pPr>
              <w:pStyle w:val="260"/>
              <w:ind w:firstLine="0" w:firstLineChars="0"/>
              <w:rPr>
                <w:rFonts w:hint="eastAsia" w:ascii="宋体" w:hAnsi="宋体" w:eastAsia="宋体" w:cs="宋体"/>
              </w:rPr>
            </w:pPr>
            <w:r>
              <w:rPr>
                <w:rFonts w:hint="eastAsia" w:ascii="宋体" w:hAnsi="宋体" w:eastAsia="宋体" w:cs="宋体"/>
              </w:rPr>
              <w:t>/</w:t>
            </w:r>
          </w:p>
        </w:tc>
        <w:tc>
          <w:tcPr>
            <w:tcW w:w="1344" w:type="dxa"/>
            <w:vAlign w:val="top"/>
          </w:tcPr>
          <w:p>
            <w:pPr>
              <w:pStyle w:val="260"/>
              <w:ind w:firstLine="0" w:firstLineChars="0"/>
              <w:rPr>
                <w:rFonts w:hint="eastAsia" w:ascii="宋体" w:hAnsi="宋体" w:eastAsia="宋体" w:cs="宋体"/>
              </w:rPr>
            </w:pPr>
          </w:p>
        </w:tc>
        <w:tc>
          <w:tcPr>
            <w:tcW w:w="1344" w:type="dxa"/>
            <w:vAlign w:val="top"/>
          </w:tcPr>
          <w:p>
            <w:pPr>
              <w:pStyle w:val="260"/>
              <w:ind w:firstLine="0" w:firstLineChars="0"/>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exact"/>
          <w:jc w:val="center"/>
        </w:trPr>
        <w:tc>
          <w:tcPr>
            <w:tcW w:w="1022" w:type="dxa"/>
            <w:vAlign w:val="center"/>
          </w:tcPr>
          <w:p>
            <w:pPr>
              <w:pStyle w:val="260"/>
              <w:ind w:firstLine="0" w:firstLineChars="0"/>
              <w:rPr>
                <w:rFonts w:hint="eastAsia" w:ascii="宋体" w:hAnsi="宋体" w:eastAsia="宋体" w:cs="宋体"/>
              </w:rPr>
            </w:pPr>
            <w:r>
              <w:rPr>
                <w:rFonts w:hint="eastAsia" w:ascii="宋体" w:hAnsi="宋体" w:eastAsia="宋体" w:cs="宋体"/>
              </w:rPr>
              <w:t>12</w:t>
            </w:r>
          </w:p>
        </w:tc>
        <w:tc>
          <w:tcPr>
            <w:tcW w:w="1695" w:type="dxa"/>
            <w:vAlign w:val="center"/>
          </w:tcPr>
          <w:p>
            <w:pPr>
              <w:pStyle w:val="260"/>
              <w:ind w:firstLine="0" w:firstLineChars="0"/>
              <w:rPr>
                <w:rFonts w:hint="eastAsia" w:ascii="宋体" w:hAnsi="宋体" w:eastAsia="宋体" w:cs="宋体"/>
              </w:rPr>
            </w:pPr>
            <w:r>
              <w:rPr>
                <w:rFonts w:hint="eastAsia" w:ascii="宋体" w:hAnsi="宋体" w:eastAsia="宋体" w:cs="宋体"/>
              </w:rPr>
              <w:t>总计</w:t>
            </w:r>
          </w:p>
        </w:tc>
        <w:tc>
          <w:tcPr>
            <w:tcW w:w="7436" w:type="dxa"/>
            <w:gridSpan w:val="4"/>
            <w:vAlign w:val="top"/>
          </w:tcPr>
          <w:p>
            <w:pPr>
              <w:widowControl/>
              <w:jc w:val="left"/>
              <w:rPr>
                <w:rFonts w:hint="eastAsia" w:ascii="宋体" w:hAnsi="宋体" w:cs="宋体"/>
              </w:rPr>
            </w:pPr>
          </w:p>
          <w:p>
            <w:pPr>
              <w:pStyle w:val="260"/>
              <w:ind w:firstLine="0" w:firstLineChars="0"/>
              <w:rPr>
                <w:rFonts w:hint="eastAsia" w:ascii="宋体" w:hAnsi="宋体" w:eastAsia="宋体" w:cs="宋体"/>
                <w:b/>
                <w:bCs/>
              </w:rPr>
            </w:pPr>
          </w:p>
        </w:tc>
      </w:tr>
    </w:tbl>
    <w:p>
      <w:pPr>
        <w:pStyle w:val="2"/>
      </w:pPr>
    </w:p>
    <w:p>
      <w:pPr>
        <w:snapToGrid w:val="0"/>
        <w:spacing w:line="360" w:lineRule="auto"/>
        <w:ind w:firstLine="480" w:firstLineChars="200"/>
        <w:jc w:val="left"/>
        <w:rPr>
          <w:rFonts w:ascii="仿宋" w:hAnsi="仿宋" w:eastAsia="仿宋"/>
          <w:sz w:val="24"/>
          <w:szCs w:val="24"/>
        </w:rPr>
      </w:pPr>
    </w:p>
    <w:p>
      <w:pPr>
        <w:snapToGrid w:val="0"/>
        <w:spacing w:line="360" w:lineRule="auto"/>
        <w:ind w:firstLine="480" w:firstLineChars="200"/>
        <w:jc w:val="left"/>
        <w:rPr>
          <w:rFonts w:ascii="仿宋" w:hAnsi="仿宋" w:eastAsia="仿宋"/>
          <w:sz w:val="24"/>
          <w:szCs w:val="24"/>
        </w:rPr>
      </w:pPr>
    </w:p>
    <w:p>
      <w:pPr>
        <w:snapToGrid w:val="0"/>
        <w:spacing w:line="360" w:lineRule="auto"/>
        <w:ind w:firstLine="480" w:firstLineChars="200"/>
        <w:jc w:val="left"/>
        <w:rPr>
          <w:rFonts w:ascii="仿宋" w:hAnsi="仿宋" w:eastAsia="仿宋" w:cs="宋体"/>
          <w:sz w:val="24"/>
        </w:rPr>
      </w:pPr>
      <w:r>
        <w:rPr>
          <w:rFonts w:hint="eastAsia" w:ascii="仿宋" w:hAnsi="仿宋" w:eastAsia="仿宋"/>
          <w:sz w:val="24"/>
          <w:szCs w:val="24"/>
        </w:rPr>
        <w:t>注：</w:t>
      </w:r>
      <w:r>
        <w:rPr>
          <w:rFonts w:hint="eastAsia" w:ascii="仿宋" w:hAnsi="仿宋" w:eastAsia="仿宋" w:cs="宋体"/>
          <w:b/>
          <w:bCs/>
          <w:sz w:val="24"/>
        </w:rPr>
        <w:t xml:space="preserve"> </w:t>
      </w:r>
      <w:r>
        <w:rPr>
          <w:rFonts w:ascii="仿宋" w:hAnsi="仿宋" w:eastAsia="仿宋" w:cs="宋体"/>
          <w:sz w:val="24"/>
        </w:rPr>
        <w:t>1</w:t>
      </w:r>
      <w:r>
        <w:rPr>
          <w:rFonts w:hint="eastAsia" w:ascii="仿宋" w:hAnsi="仿宋" w:eastAsia="仿宋" w:cs="宋体"/>
          <w:sz w:val="24"/>
        </w:rPr>
        <w:t>、该表</w:t>
      </w:r>
      <w:r>
        <w:rPr>
          <w:rFonts w:hint="eastAsia" w:ascii="仿宋" w:hAnsi="仿宋" w:eastAsia="仿宋" w:cs="宋体"/>
          <w:sz w:val="24"/>
          <w:highlight w:val="none"/>
        </w:rPr>
        <w:t>可</w:t>
      </w:r>
      <w:bookmarkStart w:id="40" w:name="OLE_LINK1"/>
      <w:bookmarkStart w:id="41" w:name="OLE_LINK2"/>
      <w:r>
        <w:rPr>
          <w:rFonts w:hint="eastAsia" w:ascii="仿宋" w:hAnsi="仿宋" w:eastAsia="仿宋" w:cs="宋体"/>
          <w:sz w:val="24"/>
          <w:highlight w:val="none"/>
        </w:rPr>
        <w:t>根据项目实际情况调整，并逐</w:t>
      </w:r>
      <w:r>
        <w:rPr>
          <w:rFonts w:hint="eastAsia" w:ascii="仿宋" w:hAnsi="仿宋" w:eastAsia="仿宋" w:cs="宋体"/>
          <w:sz w:val="24"/>
        </w:rPr>
        <w:t>页盖章</w:t>
      </w:r>
      <w:bookmarkEnd w:id="40"/>
      <w:bookmarkEnd w:id="41"/>
      <w:r>
        <w:rPr>
          <w:rFonts w:hint="eastAsia" w:ascii="仿宋" w:hAnsi="仿宋" w:eastAsia="仿宋" w:cs="宋体"/>
          <w:sz w:val="24"/>
        </w:rPr>
        <w:t>；</w:t>
      </w:r>
    </w:p>
    <w:p>
      <w:pPr>
        <w:snapToGrid w:val="0"/>
        <w:spacing w:line="360" w:lineRule="auto"/>
        <w:ind w:firstLine="480" w:firstLineChars="200"/>
        <w:rPr>
          <w:rFonts w:ascii="仿宋" w:hAnsi="仿宋" w:eastAsia="仿宋"/>
          <w:sz w:val="24"/>
          <w:szCs w:val="24"/>
        </w:rPr>
      </w:pPr>
      <w:r>
        <w:rPr>
          <w:rFonts w:hint="eastAsia" w:ascii="仿宋" w:hAnsi="仿宋" w:eastAsia="仿宋" w:cs="宋体"/>
          <w:sz w:val="24"/>
          <w:szCs w:val="24"/>
        </w:rPr>
        <w:t xml:space="preserve">  </w:t>
      </w:r>
    </w:p>
    <w:p>
      <w:pPr>
        <w:snapToGrid w:val="0"/>
        <w:spacing w:line="380" w:lineRule="exact"/>
        <w:rPr>
          <w:rFonts w:ascii="仿宋" w:hAnsi="仿宋" w:eastAsia="仿宋"/>
          <w:sz w:val="24"/>
          <w:szCs w:val="24"/>
        </w:rPr>
      </w:pPr>
    </w:p>
    <w:p>
      <w:pPr>
        <w:pStyle w:val="42"/>
        <w:tabs>
          <w:tab w:val="right" w:leader="dot" w:pos="8303"/>
        </w:tabs>
        <w:spacing w:line="380" w:lineRule="exact"/>
        <w:rPr>
          <w:rFonts w:ascii="仿宋" w:hAnsi="仿宋" w:eastAsia="仿宋"/>
          <w:sz w:val="24"/>
          <w:szCs w:val="24"/>
        </w:rPr>
      </w:pPr>
    </w:p>
    <w:p>
      <w:pPr>
        <w:spacing w:line="380" w:lineRule="exac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eastAsia="zh-CN"/>
        </w:rPr>
        <w:t>投标人</w:t>
      </w:r>
      <w:r>
        <w:rPr>
          <w:rFonts w:hint="eastAsia" w:ascii="仿宋" w:hAnsi="仿宋" w:eastAsia="仿宋"/>
          <w:sz w:val="24"/>
          <w:szCs w:val="24"/>
        </w:rPr>
        <w:t>名称（公章）：</w:t>
      </w:r>
    </w:p>
    <w:p>
      <w:pPr>
        <w:spacing w:line="380" w:lineRule="exact"/>
        <w:ind w:right="480" w:firstLine="6480" w:firstLineChars="2700"/>
        <w:rPr>
          <w:rFonts w:ascii="仿宋" w:hAnsi="仿宋" w:eastAsia="仿宋"/>
          <w:sz w:val="24"/>
          <w:szCs w:val="24"/>
        </w:rPr>
      </w:pPr>
      <w:r>
        <w:rPr>
          <w:rFonts w:hint="eastAsia" w:ascii="仿宋" w:hAnsi="仿宋" w:eastAsia="仿宋"/>
          <w:sz w:val="24"/>
          <w:szCs w:val="24"/>
        </w:rPr>
        <w:t>年    月    日</w:t>
      </w:r>
    </w:p>
    <w:p>
      <w:pPr>
        <w:widowControl/>
        <w:spacing w:line="380" w:lineRule="exact"/>
        <w:jc w:val="left"/>
        <w:rPr>
          <w:rFonts w:ascii="仿宋" w:hAnsi="仿宋" w:eastAsia="仿宋"/>
          <w:sz w:val="24"/>
          <w:szCs w:val="24"/>
          <w:bdr w:val="single" w:color="auto" w:sz="4" w:space="0"/>
        </w:rPr>
        <w:sectPr>
          <w:pgSz w:w="11907" w:h="16840"/>
          <w:pgMar w:top="1134" w:right="1191" w:bottom="1134" w:left="1304" w:header="851" w:footer="992" w:gutter="0"/>
          <w:pgNumType w:fmt="numberInDash"/>
          <w:cols w:space="720" w:num="1"/>
        </w:sectPr>
      </w:pPr>
    </w:p>
    <w:p>
      <w:pPr>
        <w:pStyle w:val="7"/>
        <w:spacing w:before="0" w:after="0" w:line="360" w:lineRule="auto"/>
        <w:rPr>
          <w:rFonts w:ascii="仿宋" w:hAnsi="仿宋" w:eastAsia="仿宋"/>
          <w:sz w:val="24"/>
          <w:szCs w:val="24"/>
        </w:rPr>
      </w:pPr>
      <w:bookmarkStart w:id="42" w:name="_Toc486585241"/>
      <w:bookmarkStart w:id="43" w:name="_Toc3192"/>
      <w:bookmarkStart w:id="44" w:name="_Toc486608278"/>
      <w:bookmarkStart w:id="45" w:name="_Toc11644"/>
      <w:bookmarkStart w:id="46" w:name="_Toc487204798"/>
      <w:r>
        <w:rPr>
          <w:rFonts w:hint="eastAsia" w:ascii="仿宋" w:hAnsi="仿宋" w:eastAsia="仿宋"/>
          <w:sz w:val="24"/>
          <w:szCs w:val="24"/>
        </w:rPr>
        <w:t>二、</w:t>
      </w:r>
      <w:r>
        <w:rPr>
          <w:rFonts w:hint="eastAsia" w:ascii="仿宋" w:hAnsi="仿宋" w:eastAsia="仿宋"/>
          <w:sz w:val="24"/>
          <w:szCs w:val="24"/>
          <w:lang w:val="en-US" w:eastAsia="zh-CN"/>
        </w:rPr>
        <w:t>服务</w:t>
      </w:r>
      <w:r>
        <w:rPr>
          <w:rFonts w:hint="eastAsia" w:ascii="仿宋" w:hAnsi="仿宋" w:eastAsia="仿宋"/>
          <w:sz w:val="24"/>
          <w:szCs w:val="24"/>
        </w:rPr>
        <w:t>部分</w:t>
      </w:r>
      <w:bookmarkEnd w:id="42"/>
      <w:bookmarkEnd w:id="43"/>
      <w:bookmarkEnd w:id="44"/>
      <w:bookmarkEnd w:id="45"/>
      <w:bookmarkEnd w:id="46"/>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（一）</w:t>
      </w:r>
      <w:r>
        <w:rPr>
          <w:rFonts w:hint="eastAsia" w:ascii="仿宋" w:hAnsi="仿宋" w:eastAsia="仿宋" w:cs="宋体"/>
          <w:sz w:val="24"/>
          <w:szCs w:val="24"/>
          <w:lang w:val="en-US" w:eastAsia="zh-CN"/>
        </w:rPr>
        <w:t>服务</w:t>
      </w:r>
      <w:r>
        <w:rPr>
          <w:rFonts w:hint="eastAsia" w:ascii="仿宋" w:hAnsi="仿宋" w:eastAsia="仿宋" w:cs="宋体"/>
          <w:sz w:val="24"/>
          <w:szCs w:val="24"/>
        </w:rPr>
        <w:t>应答（格式自拟）</w:t>
      </w: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jc w:val="center"/>
        <w:rPr>
          <w:rFonts w:ascii="仿宋" w:hAnsi="仿宋" w:eastAsia="仿宋"/>
          <w:sz w:val="24"/>
          <w:szCs w:val="24"/>
        </w:rPr>
      </w:pPr>
    </w:p>
    <w:p>
      <w:pPr>
        <w:snapToGrid w:val="0"/>
        <w:spacing w:line="360" w:lineRule="auto"/>
        <w:rPr>
          <w:rFonts w:ascii="仿宋" w:hAnsi="仿宋" w:eastAsia="仿宋"/>
          <w:sz w:val="24"/>
          <w:szCs w:val="24"/>
        </w:rPr>
      </w:pPr>
      <w:r>
        <w:rPr>
          <w:rFonts w:hint="eastAsia" w:ascii="仿宋" w:hAnsi="仿宋" w:eastAsia="仿宋"/>
          <w:sz w:val="24"/>
          <w:szCs w:val="24"/>
        </w:rPr>
        <w:t>（二）</w:t>
      </w:r>
      <w:r>
        <w:rPr>
          <w:rFonts w:hint="eastAsia" w:ascii="仿宋" w:hAnsi="仿宋" w:eastAsia="仿宋"/>
          <w:sz w:val="24"/>
          <w:szCs w:val="24"/>
          <w:lang w:val="en-US" w:eastAsia="zh-CN"/>
        </w:rPr>
        <w:t>服务</w:t>
      </w:r>
      <w:r>
        <w:rPr>
          <w:rFonts w:hint="eastAsia" w:ascii="仿宋" w:hAnsi="仿宋" w:eastAsia="仿宋"/>
          <w:sz w:val="24"/>
          <w:szCs w:val="24"/>
        </w:rPr>
        <w:t>响应偏离表</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项目名称：</w:t>
      </w:r>
    </w:p>
    <w:tbl>
      <w:tblPr>
        <w:tblStyle w:val="67"/>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vAlign w:val="center"/>
          </w:tcPr>
          <w:p>
            <w:pPr>
              <w:pStyle w:val="260"/>
              <w:ind w:firstLine="0" w:firstLineChars="0"/>
              <w:jc w:val="center"/>
              <w:rPr>
                <w:rFonts w:ascii="仿宋" w:hAnsi="仿宋" w:eastAsia="仿宋" w:cs="宋体"/>
                <w:b/>
                <w:bCs/>
                <w:szCs w:val="24"/>
              </w:rPr>
            </w:pPr>
            <w:r>
              <w:rPr>
                <w:rFonts w:hint="eastAsia" w:ascii="仿宋" w:hAnsi="仿宋" w:eastAsia="仿宋" w:cs="宋体"/>
                <w:b/>
                <w:bCs/>
                <w:szCs w:val="24"/>
              </w:rPr>
              <w:t>序号</w:t>
            </w:r>
          </w:p>
        </w:tc>
        <w:tc>
          <w:tcPr>
            <w:tcW w:w="2658" w:type="dxa"/>
            <w:vAlign w:val="center"/>
          </w:tcPr>
          <w:p>
            <w:pPr>
              <w:pStyle w:val="260"/>
              <w:ind w:firstLine="0" w:firstLineChars="0"/>
              <w:jc w:val="center"/>
              <w:rPr>
                <w:rFonts w:ascii="仿宋" w:hAnsi="仿宋" w:eastAsia="仿宋" w:cs="宋体"/>
                <w:b/>
                <w:bCs/>
                <w:szCs w:val="24"/>
              </w:rPr>
            </w:pPr>
            <w:r>
              <w:rPr>
                <w:rFonts w:hint="eastAsia" w:ascii="仿宋" w:hAnsi="仿宋" w:eastAsia="仿宋" w:cs="宋体"/>
                <w:b/>
                <w:bCs/>
                <w:szCs w:val="24"/>
              </w:rPr>
              <w:t>采购需求</w:t>
            </w:r>
          </w:p>
        </w:tc>
        <w:tc>
          <w:tcPr>
            <w:tcW w:w="2759" w:type="dxa"/>
            <w:vAlign w:val="center"/>
          </w:tcPr>
          <w:p>
            <w:pPr>
              <w:pStyle w:val="260"/>
              <w:ind w:firstLine="0" w:firstLineChars="0"/>
              <w:jc w:val="center"/>
              <w:rPr>
                <w:rFonts w:ascii="仿宋" w:hAnsi="仿宋" w:eastAsia="仿宋" w:cs="宋体"/>
                <w:b/>
                <w:bCs/>
                <w:szCs w:val="24"/>
              </w:rPr>
            </w:pPr>
            <w:r>
              <w:rPr>
                <w:rFonts w:hint="eastAsia" w:ascii="仿宋" w:hAnsi="仿宋" w:eastAsia="仿宋" w:cs="宋体"/>
                <w:b/>
                <w:bCs/>
                <w:szCs w:val="24"/>
              </w:rPr>
              <w:t>响应情况</w:t>
            </w:r>
          </w:p>
        </w:tc>
        <w:tc>
          <w:tcPr>
            <w:tcW w:w="2067" w:type="dxa"/>
            <w:vAlign w:val="center"/>
          </w:tcPr>
          <w:p>
            <w:pPr>
              <w:pStyle w:val="260"/>
              <w:ind w:firstLine="0" w:firstLineChars="0"/>
              <w:jc w:val="center"/>
              <w:rPr>
                <w:rFonts w:ascii="仿宋" w:hAnsi="仿宋" w:eastAsia="仿宋" w:cs="宋体"/>
                <w:b/>
                <w:bCs/>
                <w:szCs w:val="24"/>
              </w:rPr>
            </w:pPr>
            <w:r>
              <w:rPr>
                <w:rFonts w:hint="eastAsia" w:ascii="仿宋" w:hAnsi="仿宋" w:eastAsia="仿宋" w:cs="宋体"/>
                <w:b/>
                <w:bCs/>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658"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759" w:type="dxa"/>
            <w:vAlign w:val="center"/>
          </w:tcPr>
          <w:p>
            <w:pPr>
              <w:tabs>
                <w:tab w:val="left" w:pos="6300"/>
              </w:tabs>
              <w:snapToGrid w:val="0"/>
              <w:spacing w:line="500" w:lineRule="exact"/>
              <w:jc w:val="center"/>
              <w:outlineLvl w:val="0"/>
              <w:rPr>
                <w:rFonts w:ascii="仿宋" w:hAnsi="仿宋" w:eastAsia="仿宋" w:cs="宋体"/>
                <w:sz w:val="21"/>
                <w:szCs w:val="21"/>
              </w:rPr>
            </w:pPr>
          </w:p>
        </w:tc>
        <w:tc>
          <w:tcPr>
            <w:tcW w:w="2067" w:type="dxa"/>
            <w:vAlign w:val="center"/>
          </w:tcPr>
          <w:p>
            <w:pPr>
              <w:tabs>
                <w:tab w:val="left" w:pos="6300"/>
              </w:tabs>
              <w:snapToGrid w:val="0"/>
              <w:spacing w:line="500" w:lineRule="exact"/>
              <w:jc w:val="center"/>
              <w:outlineLvl w:val="0"/>
              <w:rPr>
                <w:rFonts w:ascii="仿宋" w:hAnsi="仿宋" w:eastAsia="仿宋" w:cs="宋体"/>
                <w:sz w:val="21"/>
                <w:szCs w:val="21"/>
              </w:rPr>
            </w:pPr>
          </w:p>
        </w:tc>
      </w:tr>
    </w:tbl>
    <w:p>
      <w:pPr>
        <w:spacing w:line="500" w:lineRule="exact"/>
        <w:ind w:firstLine="600" w:firstLineChars="250"/>
        <w:rPr>
          <w:rFonts w:ascii="仿宋" w:hAnsi="仿宋" w:eastAsia="仿宋" w:cs="宋体"/>
          <w:sz w:val="24"/>
        </w:rPr>
      </w:pPr>
      <w:r>
        <w:rPr>
          <w:rFonts w:hint="eastAsia" w:ascii="仿宋" w:hAnsi="仿宋" w:eastAsia="仿宋" w:cs="宋体"/>
          <w:sz w:val="24"/>
          <w:lang w:eastAsia="zh-CN"/>
        </w:rPr>
        <w:t>投标人</w:t>
      </w:r>
      <w:r>
        <w:rPr>
          <w:rFonts w:hint="eastAsia" w:ascii="仿宋" w:hAnsi="仿宋" w:eastAsia="仿宋" w:cs="宋体"/>
          <w:sz w:val="24"/>
        </w:rPr>
        <w:t>：                                      法定代表人授权代表：</w:t>
      </w:r>
    </w:p>
    <w:p>
      <w:pPr>
        <w:spacing w:line="500" w:lineRule="exact"/>
        <w:rPr>
          <w:rFonts w:ascii="仿宋" w:hAnsi="仿宋" w:eastAsia="仿宋" w:cs="宋体"/>
          <w:sz w:val="24"/>
        </w:rPr>
      </w:pPr>
    </w:p>
    <w:p>
      <w:pPr>
        <w:spacing w:line="500" w:lineRule="exact"/>
        <w:ind w:firstLine="720" w:firstLineChars="300"/>
        <w:rPr>
          <w:rFonts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eastAsia="zh-CN"/>
        </w:rPr>
        <w:t>投标人</w:t>
      </w:r>
      <w:r>
        <w:rPr>
          <w:rFonts w:hint="eastAsia" w:ascii="仿宋" w:hAnsi="仿宋" w:eastAsia="仿宋" w:cs="宋体"/>
          <w:sz w:val="24"/>
        </w:rPr>
        <w:t>公章）                               （签字或盖章）</w:t>
      </w:r>
    </w:p>
    <w:p>
      <w:pPr>
        <w:tabs>
          <w:tab w:val="left" w:pos="6300"/>
        </w:tabs>
        <w:snapToGrid w:val="0"/>
        <w:spacing w:line="500" w:lineRule="exact"/>
        <w:ind w:firstLine="570"/>
        <w:rPr>
          <w:rFonts w:ascii="仿宋" w:hAnsi="仿宋" w:eastAsia="仿宋" w:cs="宋体"/>
          <w:sz w:val="24"/>
        </w:rPr>
      </w:pPr>
      <w:r>
        <w:rPr>
          <w:rFonts w:hint="eastAsia" w:ascii="仿宋" w:hAnsi="仿宋" w:eastAsia="仿宋" w:cs="宋体"/>
          <w:sz w:val="24"/>
        </w:rPr>
        <w:t xml:space="preserve">                                            年     月     日</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注：</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szCs w:val="24"/>
        </w:rPr>
        <w:t>1</w:t>
      </w:r>
      <w:r>
        <w:rPr>
          <w:rFonts w:hint="eastAsia" w:ascii="仿宋" w:hAnsi="仿宋" w:eastAsia="仿宋" w:cs="宋体"/>
          <w:sz w:val="24"/>
        </w:rPr>
        <w:t>.本表即为对本项目</w:t>
      </w:r>
      <w:r>
        <w:rPr>
          <w:rFonts w:hint="eastAsia" w:ascii="仿宋" w:hAnsi="仿宋" w:eastAsia="仿宋" w:cs="宋体"/>
          <w:sz w:val="24"/>
          <w:lang w:eastAsia="zh-CN"/>
        </w:rPr>
        <w:t>“</w:t>
      </w:r>
      <w:r>
        <w:rPr>
          <w:rFonts w:hint="eastAsia" w:ascii="仿宋" w:hAnsi="仿宋" w:eastAsia="仿宋" w:cs="宋体"/>
          <w:sz w:val="24"/>
          <w:lang w:val="en-US" w:eastAsia="zh-CN"/>
        </w:rPr>
        <w:t>采购</w:t>
      </w:r>
      <w:r>
        <w:rPr>
          <w:rFonts w:hint="eastAsia" w:ascii="仿宋" w:hAnsi="仿宋" w:eastAsia="仿宋" w:cs="宋体"/>
          <w:sz w:val="24"/>
          <w:lang w:eastAsia="zh-CN"/>
        </w:rPr>
        <w:t>服务需求”</w:t>
      </w:r>
      <w:r>
        <w:rPr>
          <w:rFonts w:hint="eastAsia" w:ascii="仿宋" w:hAnsi="仿宋" w:eastAsia="仿宋" w:cs="宋体"/>
          <w:sz w:val="24"/>
        </w:rPr>
        <w:t>中所列技术要求进行比较和响应；</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2.该表必须按照</w:t>
      </w:r>
      <w:r>
        <w:rPr>
          <w:rFonts w:hint="eastAsia" w:ascii="仿宋" w:hAnsi="仿宋" w:eastAsia="仿宋" w:cs="宋体"/>
          <w:sz w:val="24"/>
          <w:lang w:val="en-US" w:eastAsia="zh-CN"/>
        </w:rPr>
        <w:t>采购</w:t>
      </w:r>
      <w:r>
        <w:rPr>
          <w:rFonts w:hint="eastAsia" w:ascii="仿宋" w:hAnsi="仿宋" w:eastAsia="仿宋" w:cs="宋体"/>
          <w:sz w:val="24"/>
        </w:rPr>
        <w:t>文件要求逐条如实填写，根据响应情况在</w:t>
      </w:r>
      <w:r>
        <w:rPr>
          <w:rFonts w:hint="eastAsia" w:ascii="仿宋" w:hAnsi="仿宋" w:eastAsia="仿宋" w:cs="宋体"/>
          <w:sz w:val="24"/>
          <w:lang w:eastAsia="zh-CN"/>
        </w:rPr>
        <w:t>“</w:t>
      </w:r>
      <w:r>
        <w:rPr>
          <w:rFonts w:hint="eastAsia" w:ascii="仿宋" w:hAnsi="仿宋" w:eastAsia="仿宋" w:cs="宋体"/>
          <w:sz w:val="24"/>
        </w:rPr>
        <w:t>差异说明</w:t>
      </w:r>
      <w:r>
        <w:rPr>
          <w:rFonts w:hint="eastAsia" w:ascii="仿宋" w:hAnsi="仿宋" w:eastAsia="仿宋" w:cs="宋体"/>
          <w:sz w:val="24"/>
          <w:lang w:eastAsia="zh-CN"/>
        </w:rPr>
        <w:t>”</w:t>
      </w:r>
      <w:r>
        <w:rPr>
          <w:rFonts w:hint="eastAsia" w:ascii="仿宋" w:hAnsi="仿宋" w:eastAsia="仿宋" w:cs="宋体"/>
          <w:sz w:val="24"/>
        </w:rPr>
        <w:t>项填写正偏离或负偏离及原因，完全符合的填写</w:t>
      </w:r>
      <w:r>
        <w:rPr>
          <w:rFonts w:hint="eastAsia" w:ascii="仿宋" w:hAnsi="仿宋" w:eastAsia="仿宋" w:cs="宋体"/>
          <w:sz w:val="24"/>
          <w:lang w:eastAsia="zh-CN"/>
        </w:rPr>
        <w:t>“</w:t>
      </w:r>
      <w:r>
        <w:rPr>
          <w:rFonts w:hint="eastAsia" w:ascii="仿宋" w:hAnsi="仿宋" w:eastAsia="仿宋" w:cs="宋体"/>
          <w:sz w:val="24"/>
        </w:rPr>
        <w:t>无差异</w:t>
      </w:r>
      <w:r>
        <w:rPr>
          <w:rFonts w:hint="eastAsia" w:ascii="仿宋" w:hAnsi="仿宋" w:eastAsia="仿宋" w:cs="宋体"/>
          <w:sz w:val="24"/>
          <w:lang w:eastAsia="zh-CN"/>
        </w:rPr>
        <w:t>”</w:t>
      </w:r>
      <w:r>
        <w:rPr>
          <w:rFonts w:hint="eastAsia" w:ascii="仿宋" w:hAnsi="仿宋" w:eastAsia="仿宋" w:cs="宋体"/>
          <w:sz w:val="24"/>
        </w:rPr>
        <w:t>；</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3.该表可扩展，并逐页签字或盖章；</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4.可附相关技术支撑材料。（格式自定）</w:t>
      </w:r>
    </w:p>
    <w:p>
      <w:pPr>
        <w:pStyle w:val="7"/>
        <w:spacing w:before="0" w:after="0" w:line="360" w:lineRule="auto"/>
        <w:rPr>
          <w:rFonts w:ascii="仿宋" w:hAnsi="仿宋" w:eastAsia="仿宋"/>
          <w:sz w:val="24"/>
          <w:szCs w:val="24"/>
        </w:rPr>
      </w:pPr>
      <w:r>
        <w:rPr>
          <w:rFonts w:hint="eastAsia" w:ascii="仿宋" w:hAnsi="仿宋" w:eastAsia="仿宋"/>
          <w:sz w:val="24"/>
          <w:szCs w:val="24"/>
        </w:rPr>
        <w:br w:type="page"/>
      </w:r>
      <w:bookmarkStart w:id="47" w:name="_Toc486608279"/>
      <w:bookmarkStart w:id="48" w:name="_Toc29956"/>
      <w:bookmarkStart w:id="49" w:name="_Toc17029"/>
      <w:bookmarkStart w:id="50" w:name="_Toc486585242"/>
      <w:bookmarkStart w:id="51" w:name="_Toc487204799"/>
      <w:r>
        <w:rPr>
          <w:rFonts w:hint="eastAsia" w:ascii="仿宋" w:hAnsi="仿宋" w:eastAsia="仿宋"/>
          <w:sz w:val="24"/>
          <w:szCs w:val="24"/>
        </w:rPr>
        <w:t>三、商务部分</w:t>
      </w:r>
      <w:bookmarkEnd w:id="47"/>
      <w:bookmarkEnd w:id="48"/>
      <w:bookmarkEnd w:id="49"/>
      <w:bookmarkEnd w:id="50"/>
      <w:bookmarkEnd w:id="51"/>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（一）按照商务要求进行响应。</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（二）商务响应偏离表</w:t>
      </w:r>
    </w:p>
    <w:p>
      <w:pPr>
        <w:snapToGrid w:val="0"/>
        <w:spacing w:line="360" w:lineRule="auto"/>
        <w:jc w:val="center"/>
        <w:rPr>
          <w:rFonts w:ascii="仿宋" w:hAnsi="仿宋" w:eastAsia="仿宋"/>
          <w:b/>
          <w:sz w:val="24"/>
          <w:szCs w:val="24"/>
        </w:rPr>
      </w:pPr>
      <w:r>
        <w:rPr>
          <w:rFonts w:hint="eastAsia" w:ascii="仿宋" w:hAnsi="仿宋" w:eastAsia="仿宋"/>
          <w:b/>
          <w:sz w:val="24"/>
          <w:szCs w:val="24"/>
        </w:rPr>
        <w:t>商务响应偏离表</w:t>
      </w:r>
    </w:p>
    <w:p>
      <w:pPr>
        <w:snapToGrid w:val="0"/>
        <w:spacing w:line="360" w:lineRule="auto"/>
        <w:rPr>
          <w:rFonts w:ascii="仿宋" w:hAnsi="仿宋" w:eastAsia="仿宋"/>
          <w:sz w:val="24"/>
          <w:szCs w:val="24"/>
        </w:rPr>
      </w:pPr>
      <w:r>
        <w:rPr>
          <w:rFonts w:hint="eastAsia" w:ascii="仿宋" w:hAnsi="仿宋" w:eastAsia="仿宋"/>
          <w:sz w:val="24"/>
          <w:szCs w:val="24"/>
        </w:rPr>
        <w:t>对于</w:t>
      </w:r>
      <w:r>
        <w:rPr>
          <w:rFonts w:hint="eastAsia" w:ascii="仿宋" w:hAnsi="仿宋" w:eastAsia="仿宋"/>
          <w:sz w:val="24"/>
          <w:szCs w:val="24"/>
          <w:lang w:val="en-US" w:eastAsia="zh-CN"/>
        </w:rPr>
        <w:t>采购文件</w:t>
      </w:r>
      <w:r>
        <w:rPr>
          <w:rFonts w:hint="eastAsia" w:ascii="仿宋" w:hAnsi="仿宋" w:eastAsia="仿宋"/>
          <w:sz w:val="24"/>
          <w:szCs w:val="24"/>
        </w:rPr>
        <w:t>的商务要求，如有任何偏离请如实填写下表：</w:t>
      </w:r>
    </w:p>
    <w:tbl>
      <w:tblPr>
        <w:tblStyle w:val="67"/>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10" w:type="dxa"/>
            <w:vAlign w:val="center"/>
          </w:tcPr>
          <w:p>
            <w:pPr>
              <w:jc w:val="center"/>
              <w:rPr>
                <w:rFonts w:ascii="仿宋" w:hAnsi="仿宋" w:eastAsia="仿宋"/>
                <w:b/>
                <w:bCs/>
                <w:sz w:val="24"/>
                <w:szCs w:val="24"/>
              </w:rPr>
            </w:pPr>
            <w:r>
              <w:rPr>
                <w:rFonts w:hint="eastAsia" w:ascii="仿宋" w:hAnsi="仿宋" w:eastAsia="仿宋"/>
                <w:b/>
                <w:bCs/>
                <w:sz w:val="24"/>
                <w:szCs w:val="24"/>
              </w:rPr>
              <w:t>序号</w:t>
            </w:r>
          </w:p>
        </w:tc>
        <w:tc>
          <w:tcPr>
            <w:tcW w:w="3179" w:type="dxa"/>
            <w:vAlign w:val="center"/>
          </w:tcPr>
          <w:p>
            <w:pPr>
              <w:jc w:val="center"/>
              <w:rPr>
                <w:rFonts w:ascii="仿宋" w:hAnsi="仿宋" w:eastAsia="仿宋"/>
                <w:b/>
                <w:bCs/>
                <w:sz w:val="24"/>
                <w:szCs w:val="24"/>
              </w:rPr>
            </w:pPr>
            <w:r>
              <w:rPr>
                <w:rFonts w:hint="eastAsia" w:ascii="仿宋" w:hAnsi="仿宋" w:eastAsia="仿宋"/>
                <w:b/>
                <w:bCs/>
                <w:sz w:val="24"/>
                <w:szCs w:val="24"/>
                <w:lang w:val="en-US" w:eastAsia="zh-CN"/>
              </w:rPr>
              <w:t>采购</w:t>
            </w:r>
            <w:r>
              <w:rPr>
                <w:rFonts w:hint="eastAsia" w:ascii="仿宋" w:hAnsi="仿宋" w:eastAsia="仿宋"/>
                <w:b/>
                <w:bCs/>
                <w:sz w:val="24"/>
                <w:szCs w:val="24"/>
              </w:rPr>
              <w:t>项目需求</w:t>
            </w:r>
          </w:p>
        </w:tc>
        <w:tc>
          <w:tcPr>
            <w:tcW w:w="2434" w:type="dxa"/>
            <w:vAlign w:val="center"/>
          </w:tcPr>
          <w:p>
            <w:pPr>
              <w:jc w:val="center"/>
              <w:rPr>
                <w:rFonts w:ascii="仿宋" w:hAnsi="仿宋" w:eastAsia="仿宋"/>
                <w:b/>
                <w:bCs/>
                <w:sz w:val="24"/>
                <w:szCs w:val="24"/>
              </w:rPr>
            </w:pPr>
            <w:r>
              <w:rPr>
                <w:rFonts w:hint="eastAsia" w:ascii="仿宋" w:hAnsi="仿宋" w:eastAsia="仿宋"/>
                <w:b/>
                <w:bCs/>
                <w:sz w:val="24"/>
                <w:szCs w:val="24"/>
              </w:rPr>
              <w:t>响应情况</w:t>
            </w:r>
          </w:p>
        </w:tc>
        <w:tc>
          <w:tcPr>
            <w:tcW w:w="2355" w:type="dxa"/>
            <w:vAlign w:val="center"/>
          </w:tcPr>
          <w:p>
            <w:pPr>
              <w:jc w:val="center"/>
              <w:rPr>
                <w:rFonts w:ascii="仿宋" w:hAnsi="仿宋" w:eastAsia="仿宋"/>
                <w:b/>
                <w:bCs/>
                <w:sz w:val="24"/>
                <w:szCs w:val="24"/>
              </w:rPr>
            </w:pPr>
            <w:r>
              <w:rPr>
                <w:rFonts w:hint="eastAsia" w:ascii="仿宋" w:hAnsi="仿宋" w:eastAsia="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3179"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434" w:type="dxa"/>
            <w:vAlign w:val="center"/>
          </w:tcPr>
          <w:p>
            <w:pPr>
              <w:tabs>
                <w:tab w:val="left" w:pos="6300"/>
              </w:tabs>
              <w:snapToGrid w:val="0"/>
              <w:spacing w:line="360" w:lineRule="auto"/>
              <w:jc w:val="center"/>
              <w:outlineLvl w:val="0"/>
              <w:rPr>
                <w:rFonts w:ascii="仿宋" w:hAnsi="仿宋" w:eastAsia="仿宋" w:cs="宋体"/>
                <w:sz w:val="21"/>
                <w:szCs w:val="24"/>
              </w:rPr>
            </w:pPr>
          </w:p>
        </w:tc>
        <w:tc>
          <w:tcPr>
            <w:tcW w:w="2355" w:type="dxa"/>
            <w:vAlign w:val="center"/>
          </w:tcPr>
          <w:p>
            <w:pPr>
              <w:tabs>
                <w:tab w:val="left" w:pos="6300"/>
              </w:tabs>
              <w:snapToGrid w:val="0"/>
              <w:spacing w:line="360" w:lineRule="auto"/>
              <w:jc w:val="center"/>
              <w:outlineLvl w:val="0"/>
              <w:rPr>
                <w:rFonts w:ascii="仿宋" w:hAnsi="仿宋" w:eastAsia="仿宋" w:cs="宋体"/>
                <w:sz w:val="21"/>
                <w:szCs w:val="24"/>
              </w:rPr>
            </w:pPr>
          </w:p>
        </w:tc>
      </w:tr>
    </w:tbl>
    <w:p>
      <w:pPr>
        <w:pStyle w:val="260"/>
        <w:ind w:firstLine="0" w:firstLineChars="0"/>
        <w:rPr>
          <w:rFonts w:ascii="仿宋" w:hAnsi="仿宋" w:eastAsia="仿宋" w:cs="宋体"/>
          <w:b/>
          <w:bCs/>
          <w:sz w:val="21"/>
          <w:szCs w:val="21"/>
        </w:rPr>
      </w:pPr>
    </w:p>
    <w:p>
      <w:pPr>
        <w:spacing w:line="500" w:lineRule="exact"/>
        <w:ind w:firstLine="600" w:firstLineChars="250"/>
        <w:rPr>
          <w:rFonts w:ascii="仿宋" w:hAnsi="仿宋" w:eastAsia="仿宋" w:cs="宋体"/>
          <w:sz w:val="24"/>
        </w:rPr>
      </w:pPr>
      <w:r>
        <w:rPr>
          <w:rFonts w:hint="eastAsia" w:ascii="仿宋" w:hAnsi="仿宋" w:eastAsia="仿宋" w:cs="宋体"/>
          <w:sz w:val="24"/>
          <w:lang w:eastAsia="zh-CN"/>
        </w:rPr>
        <w:t>投标人</w:t>
      </w:r>
      <w:r>
        <w:rPr>
          <w:rFonts w:hint="eastAsia" w:ascii="仿宋" w:hAnsi="仿宋" w:eastAsia="仿宋" w:cs="宋体"/>
          <w:sz w:val="24"/>
        </w:rPr>
        <w:t>：                                      法定代表人授权代表：</w:t>
      </w:r>
    </w:p>
    <w:p>
      <w:pPr>
        <w:spacing w:line="500" w:lineRule="exact"/>
        <w:ind w:firstLine="360" w:firstLineChars="150"/>
        <w:rPr>
          <w:rFonts w:ascii="仿宋" w:hAnsi="仿宋" w:eastAsia="仿宋" w:cs="宋体"/>
          <w:sz w:val="24"/>
        </w:rPr>
      </w:pPr>
      <w:r>
        <w:rPr>
          <w:rFonts w:hint="eastAsia" w:ascii="仿宋" w:hAnsi="仿宋" w:eastAsia="仿宋" w:cs="宋体"/>
          <w:sz w:val="24"/>
        </w:rPr>
        <w:t>（</w:t>
      </w:r>
      <w:r>
        <w:rPr>
          <w:rFonts w:hint="eastAsia" w:ascii="仿宋" w:hAnsi="仿宋" w:eastAsia="仿宋" w:cs="宋体"/>
          <w:sz w:val="24"/>
          <w:lang w:eastAsia="zh-CN"/>
        </w:rPr>
        <w:t>投标人</w:t>
      </w:r>
      <w:r>
        <w:rPr>
          <w:rFonts w:hint="eastAsia" w:ascii="仿宋" w:hAnsi="仿宋" w:eastAsia="仿宋" w:cs="宋体"/>
          <w:sz w:val="24"/>
        </w:rPr>
        <w:t>公章）                                 （签字或盖章）</w:t>
      </w:r>
    </w:p>
    <w:p>
      <w:pPr>
        <w:tabs>
          <w:tab w:val="left" w:pos="6300"/>
        </w:tabs>
        <w:snapToGrid w:val="0"/>
        <w:spacing w:line="500" w:lineRule="exact"/>
        <w:ind w:firstLine="570"/>
        <w:rPr>
          <w:rFonts w:ascii="仿宋" w:hAnsi="仿宋" w:eastAsia="仿宋" w:cs="宋体"/>
          <w:sz w:val="24"/>
        </w:rPr>
      </w:pPr>
      <w:r>
        <w:rPr>
          <w:rFonts w:hint="eastAsia" w:ascii="仿宋" w:hAnsi="仿宋" w:eastAsia="仿宋" w:cs="宋体"/>
          <w:sz w:val="24"/>
        </w:rPr>
        <w:t xml:space="preserve">                                            年     月     日</w:t>
      </w:r>
    </w:p>
    <w:p>
      <w:pPr>
        <w:tabs>
          <w:tab w:val="left" w:pos="6300"/>
        </w:tabs>
        <w:snapToGrid w:val="0"/>
        <w:spacing w:line="500" w:lineRule="exact"/>
        <w:ind w:firstLine="480" w:firstLineChars="200"/>
        <w:rPr>
          <w:rFonts w:ascii="仿宋" w:hAnsi="仿宋" w:eastAsia="仿宋" w:cs="宋体"/>
          <w:sz w:val="24"/>
        </w:rPr>
      </w:pPr>
      <w:r>
        <w:rPr>
          <w:rFonts w:hint="eastAsia" w:ascii="仿宋" w:hAnsi="仿宋" w:eastAsia="仿宋" w:cs="宋体"/>
          <w:sz w:val="24"/>
        </w:rPr>
        <w:t>注：</w:t>
      </w:r>
    </w:p>
    <w:p>
      <w:pPr>
        <w:tabs>
          <w:tab w:val="left" w:pos="6300"/>
        </w:tabs>
        <w:snapToGrid w:val="0"/>
        <w:spacing w:line="360" w:lineRule="auto"/>
        <w:ind w:firstLine="480" w:firstLineChars="200"/>
        <w:rPr>
          <w:rFonts w:ascii="仿宋" w:hAnsi="仿宋" w:eastAsia="仿宋" w:cs="宋体"/>
          <w:sz w:val="24"/>
        </w:rPr>
      </w:pPr>
      <w:r>
        <w:rPr>
          <w:rFonts w:hint="eastAsia" w:ascii="仿宋" w:hAnsi="仿宋" w:eastAsia="仿宋" w:cs="宋体"/>
          <w:sz w:val="24"/>
          <w:szCs w:val="24"/>
        </w:rPr>
        <w:t>1</w:t>
      </w:r>
      <w:r>
        <w:rPr>
          <w:rFonts w:hint="eastAsia" w:ascii="仿宋" w:hAnsi="仿宋" w:eastAsia="仿宋" w:cs="宋体"/>
          <w:sz w:val="24"/>
        </w:rPr>
        <w:t>.本表即为对本项目</w:t>
      </w:r>
      <w:r>
        <w:rPr>
          <w:rFonts w:hint="eastAsia" w:ascii="仿宋" w:hAnsi="仿宋" w:eastAsia="仿宋" w:cs="宋体"/>
          <w:sz w:val="24"/>
          <w:lang w:eastAsia="zh-CN"/>
        </w:rPr>
        <w:t>“</w:t>
      </w:r>
      <w:r>
        <w:rPr>
          <w:rFonts w:hint="eastAsia" w:ascii="仿宋" w:hAnsi="仿宋" w:eastAsia="仿宋" w:cs="宋体"/>
          <w:sz w:val="24"/>
        </w:rPr>
        <w:t>商务</w:t>
      </w:r>
      <w:r>
        <w:rPr>
          <w:rFonts w:hint="eastAsia" w:ascii="仿宋" w:hAnsi="仿宋" w:eastAsia="仿宋" w:cs="宋体"/>
          <w:sz w:val="24"/>
          <w:lang w:val="en-US" w:eastAsia="zh-CN"/>
        </w:rPr>
        <w:t>要</w:t>
      </w:r>
      <w:r>
        <w:rPr>
          <w:rFonts w:hint="eastAsia" w:ascii="仿宋" w:hAnsi="仿宋" w:eastAsia="仿宋" w:cs="宋体"/>
          <w:sz w:val="24"/>
        </w:rPr>
        <w:t>求</w:t>
      </w:r>
      <w:r>
        <w:rPr>
          <w:rFonts w:hint="eastAsia" w:ascii="仿宋" w:hAnsi="仿宋" w:eastAsia="仿宋" w:cs="宋体"/>
          <w:sz w:val="24"/>
          <w:lang w:eastAsia="zh-CN"/>
        </w:rPr>
        <w:t>”</w:t>
      </w:r>
      <w:r>
        <w:rPr>
          <w:rFonts w:hint="eastAsia" w:ascii="仿宋" w:hAnsi="仿宋" w:eastAsia="仿宋" w:cs="宋体"/>
          <w:sz w:val="24"/>
        </w:rPr>
        <w:t>中所列服务要求进行比较和响应；</w:t>
      </w:r>
    </w:p>
    <w:p>
      <w:pPr>
        <w:tabs>
          <w:tab w:val="left" w:pos="6300"/>
        </w:tabs>
        <w:snapToGrid w:val="0"/>
        <w:spacing w:line="360" w:lineRule="auto"/>
        <w:ind w:firstLine="480" w:firstLineChars="200"/>
        <w:rPr>
          <w:rFonts w:ascii="仿宋" w:hAnsi="仿宋" w:eastAsia="仿宋" w:cs="宋体"/>
          <w:sz w:val="24"/>
        </w:rPr>
      </w:pPr>
      <w:r>
        <w:rPr>
          <w:rFonts w:hint="eastAsia" w:ascii="仿宋" w:hAnsi="仿宋" w:eastAsia="仿宋" w:cs="宋体"/>
          <w:sz w:val="24"/>
        </w:rPr>
        <w:t>2.该表必须按照</w:t>
      </w:r>
      <w:r>
        <w:rPr>
          <w:rFonts w:hint="eastAsia" w:ascii="仿宋" w:hAnsi="仿宋" w:eastAsia="仿宋" w:cs="宋体"/>
          <w:sz w:val="24"/>
          <w:lang w:val="en-US" w:eastAsia="zh-CN"/>
        </w:rPr>
        <w:t>采购</w:t>
      </w:r>
      <w:r>
        <w:rPr>
          <w:rFonts w:hint="eastAsia" w:ascii="仿宋" w:hAnsi="仿宋" w:eastAsia="仿宋" w:cs="宋体"/>
          <w:sz w:val="24"/>
        </w:rPr>
        <w:t>要求逐条如实填写，根据响应情况在</w:t>
      </w:r>
      <w:r>
        <w:rPr>
          <w:rFonts w:hint="eastAsia" w:ascii="仿宋" w:hAnsi="仿宋" w:eastAsia="仿宋" w:cs="宋体"/>
          <w:sz w:val="24"/>
          <w:lang w:eastAsia="zh-CN"/>
        </w:rPr>
        <w:t>“</w:t>
      </w:r>
      <w:r>
        <w:rPr>
          <w:rFonts w:hint="eastAsia" w:ascii="仿宋" w:hAnsi="仿宋" w:eastAsia="仿宋" w:cs="宋体"/>
          <w:sz w:val="24"/>
        </w:rPr>
        <w:t>差异说明</w:t>
      </w:r>
      <w:r>
        <w:rPr>
          <w:rFonts w:hint="eastAsia" w:ascii="仿宋" w:hAnsi="仿宋" w:eastAsia="仿宋" w:cs="宋体"/>
          <w:sz w:val="24"/>
          <w:lang w:eastAsia="zh-CN"/>
        </w:rPr>
        <w:t>”</w:t>
      </w:r>
      <w:r>
        <w:rPr>
          <w:rFonts w:hint="eastAsia" w:ascii="仿宋" w:hAnsi="仿宋" w:eastAsia="仿宋" w:cs="宋体"/>
          <w:sz w:val="24"/>
        </w:rPr>
        <w:t>项填写正偏离或负偏离及原因，完全符合的填写</w:t>
      </w:r>
      <w:r>
        <w:rPr>
          <w:rFonts w:hint="eastAsia" w:ascii="仿宋" w:hAnsi="仿宋" w:eastAsia="仿宋" w:cs="宋体"/>
          <w:sz w:val="24"/>
          <w:lang w:eastAsia="zh-CN"/>
        </w:rPr>
        <w:t>“</w:t>
      </w:r>
      <w:r>
        <w:rPr>
          <w:rFonts w:hint="eastAsia" w:ascii="仿宋" w:hAnsi="仿宋" w:eastAsia="仿宋" w:cs="宋体"/>
          <w:sz w:val="24"/>
        </w:rPr>
        <w:t>无差异</w:t>
      </w:r>
      <w:r>
        <w:rPr>
          <w:rFonts w:hint="eastAsia" w:ascii="仿宋" w:hAnsi="仿宋" w:eastAsia="仿宋" w:cs="宋体"/>
          <w:sz w:val="24"/>
          <w:lang w:eastAsia="zh-CN"/>
        </w:rPr>
        <w:t>”</w:t>
      </w:r>
      <w:r>
        <w:rPr>
          <w:rFonts w:hint="eastAsia" w:ascii="仿宋" w:hAnsi="仿宋" w:eastAsia="仿宋" w:cs="宋体"/>
          <w:sz w:val="24"/>
        </w:rPr>
        <w:t>；</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cs="宋体"/>
          <w:sz w:val="24"/>
        </w:rPr>
        <w:t>3.该表可扩展，并逐页签字或盖章；</w:t>
      </w:r>
      <w:r>
        <w:rPr>
          <w:rFonts w:hint="eastAsia" w:ascii="仿宋" w:hAnsi="仿宋" w:eastAsia="仿宋"/>
          <w:sz w:val="24"/>
          <w:szCs w:val="24"/>
        </w:rPr>
        <w:br w:type="page"/>
      </w:r>
      <w:r>
        <w:rPr>
          <w:rFonts w:hint="eastAsia" w:ascii="仿宋" w:hAnsi="仿宋" w:eastAsia="仿宋"/>
          <w:sz w:val="24"/>
          <w:szCs w:val="24"/>
        </w:rPr>
        <w:t>（三）其它优惠承诺（格式自定）</w:t>
      </w:r>
    </w:p>
    <w:p>
      <w:pPr>
        <w:pStyle w:val="7"/>
        <w:spacing w:before="0" w:after="0" w:line="360" w:lineRule="auto"/>
        <w:rPr>
          <w:rFonts w:ascii="仿宋" w:hAnsi="仿宋" w:eastAsia="仿宋"/>
          <w:sz w:val="24"/>
          <w:szCs w:val="24"/>
        </w:rPr>
      </w:pPr>
      <w:r>
        <w:rPr>
          <w:rFonts w:hint="eastAsia" w:ascii="仿宋" w:hAnsi="仿宋" w:eastAsia="仿宋"/>
          <w:b w:val="0"/>
          <w:sz w:val="24"/>
          <w:szCs w:val="24"/>
        </w:rPr>
        <w:br w:type="page"/>
      </w:r>
      <w:bookmarkStart w:id="52" w:name="_Toc486585243"/>
      <w:bookmarkStart w:id="53" w:name="_Toc486608280"/>
      <w:bookmarkStart w:id="54" w:name="_Toc18723"/>
      <w:bookmarkStart w:id="55" w:name="_Toc23557"/>
      <w:bookmarkStart w:id="56" w:name="_Toc487204800"/>
      <w:bookmarkStart w:id="57" w:name="_Toc8290"/>
      <w:r>
        <w:rPr>
          <w:rFonts w:hint="eastAsia" w:ascii="仿宋" w:hAnsi="仿宋" w:eastAsia="仿宋"/>
          <w:sz w:val="24"/>
          <w:szCs w:val="24"/>
        </w:rPr>
        <w:t>四、资格条件及其他</w:t>
      </w:r>
      <w:bookmarkEnd w:id="52"/>
      <w:bookmarkEnd w:id="53"/>
      <w:bookmarkEnd w:id="54"/>
      <w:bookmarkEnd w:id="55"/>
      <w:bookmarkEnd w:id="56"/>
      <w:bookmarkEnd w:id="57"/>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（一）营业执照（副本）或事业单位法人证书（副本）复印件</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（二）组织机构代码证复印件</w:t>
      </w:r>
    </w:p>
    <w:p>
      <w:pPr>
        <w:tabs>
          <w:tab w:val="left" w:pos="6300"/>
        </w:tabs>
        <w:snapToGrid w:val="0"/>
        <w:spacing w:line="380" w:lineRule="exact"/>
        <w:ind w:firstLine="570"/>
        <w:rPr>
          <w:rFonts w:ascii="仿宋" w:hAnsi="仿宋" w:eastAsia="仿宋"/>
          <w:sz w:val="24"/>
          <w:szCs w:val="24"/>
        </w:rPr>
      </w:pP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（三）法定代表人身份证明书（格式）</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项目名称：</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（采购</w:t>
      </w:r>
      <w:r>
        <w:rPr>
          <w:rFonts w:hint="eastAsia" w:ascii="仿宋" w:hAnsi="仿宋" w:eastAsia="仿宋"/>
          <w:sz w:val="24"/>
          <w:szCs w:val="24"/>
          <w:u w:val="single"/>
          <w:lang w:val="en-US" w:eastAsia="zh-CN"/>
        </w:rPr>
        <w:t>人</w:t>
      </w:r>
      <w:r>
        <w:rPr>
          <w:rFonts w:hint="eastAsia" w:ascii="仿宋" w:hAnsi="仿宋" w:eastAsia="仿宋"/>
          <w:sz w:val="24"/>
          <w:szCs w:val="24"/>
          <w:u w:val="single"/>
        </w:rPr>
        <w:t>名称）</w:t>
      </w:r>
      <w:r>
        <w:rPr>
          <w:rFonts w:hint="eastAsia" w:ascii="仿宋" w:hAnsi="仿宋" w:eastAsia="仿宋"/>
          <w:sz w:val="24"/>
          <w:szCs w:val="24"/>
        </w:rPr>
        <w:t>：</w:t>
      </w: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u w:val="single"/>
        </w:rPr>
        <w:t>（法定代表人姓名）</w:t>
      </w:r>
      <w:r>
        <w:rPr>
          <w:rFonts w:hint="eastAsia" w:ascii="仿宋" w:hAnsi="仿宋" w:eastAsia="仿宋"/>
          <w:sz w:val="24"/>
          <w:szCs w:val="24"/>
        </w:rPr>
        <w:t>在</w:t>
      </w:r>
      <w:r>
        <w:rPr>
          <w:rFonts w:hint="eastAsia" w:ascii="仿宋" w:hAnsi="仿宋" w:eastAsia="仿宋"/>
          <w:sz w:val="24"/>
          <w:szCs w:val="24"/>
          <w:u w:val="single"/>
        </w:rPr>
        <w:t>（</w:t>
      </w:r>
      <w:r>
        <w:rPr>
          <w:rFonts w:hint="eastAsia" w:ascii="仿宋" w:hAnsi="仿宋" w:eastAsia="仿宋"/>
          <w:sz w:val="24"/>
          <w:szCs w:val="24"/>
          <w:u w:val="single"/>
          <w:lang w:eastAsia="zh-CN"/>
        </w:rPr>
        <w:t>投标人</w:t>
      </w:r>
      <w:r>
        <w:rPr>
          <w:rFonts w:hint="eastAsia" w:ascii="仿宋" w:hAnsi="仿宋" w:eastAsia="仿宋"/>
          <w:sz w:val="24"/>
          <w:szCs w:val="24"/>
          <w:u w:val="single"/>
        </w:rPr>
        <w:t>名称）</w:t>
      </w:r>
      <w:r>
        <w:rPr>
          <w:rFonts w:hint="eastAsia" w:ascii="仿宋" w:hAnsi="仿宋" w:eastAsia="仿宋"/>
          <w:sz w:val="24"/>
          <w:szCs w:val="24"/>
        </w:rPr>
        <w:t>任</w:t>
      </w:r>
      <w:r>
        <w:rPr>
          <w:rFonts w:hint="eastAsia" w:ascii="仿宋" w:hAnsi="仿宋" w:eastAsia="仿宋"/>
          <w:sz w:val="24"/>
          <w:szCs w:val="24"/>
          <w:u w:val="single"/>
        </w:rPr>
        <w:t>（职务名称）</w:t>
      </w:r>
      <w:r>
        <w:rPr>
          <w:rFonts w:hint="eastAsia" w:ascii="仿宋" w:hAnsi="仿宋" w:eastAsia="仿宋"/>
          <w:sz w:val="24"/>
          <w:szCs w:val="24"/>
        </w:rPr>
        <w:t>职务，是</w:t>
      </w:r>
      <w:r>
        <w:rPr>
          <w:rFonts w:hint="eastAsia" w:ascii="仿宋" w:hAnsi="仿宋" w:eastAsia="仿宋"/>
          <w:sz w:val="24"/>
          <w:szCs w:val="24"/>
          <w:u w:val="single"/>
        </w:rPr>
        <w:t>（</w:t>
      </w:r>
      <w:r>
        <w:rPr>
          <w:rFonts w:hint="eastAsia" w:ascii="仿宋" w:hAnsi="仿宋" w:eastAsia="仿宋"/>
          <w:sz w:val="24"/>
          <w:szCs w:val="24"/>
          <w:u w:val="single"/>
          <w:lang w:eastAsia="zh-CN"/>
        </w:rPr>
        <w:t>投标人</w:t>
      </w:r>
      <w:r>
        <w:rPr>
          <w:rFonts w:hint="eastAsia" w:ascii="仿宋" w:hAnsi="仿宋" w:eastAsia="仿宋"/>
          <w:sz w:val="24"/>
          <w:szCs w:val="24"/>
          <w:u w:val="single"/>
        </w:rPr>
        <w:t>名称）</w:t>
      </w:r>
      <w:r>
        <w:rPr>
          <w:rFonts w:hint="eastAsia" w:ascii="仿宋" w:hAnsi="仿宋" w:eastAsia="仿宋"/>
          <w:sz w:val="24"/>
          <w:szCs w:val="24"/>
        </w:rPr>
        <w:t>的法定代表人。</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特此证明。</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sz w:val="24"/>
          <w:szCs w:val="24"/>
          <w:lang w:eastAsia="zh-CN"/>
        </w:rPr>
        <w:t>投标人</w:t>
      </w:r>
      <w:r>
        <w:rPr>
          <w:rFonts w:hint="eastAsia" w:ascii="仿宋" w:hAnsi="仿宋" w:eastAsia="仿宋"/>
          <w:sz w:val="24"/>
          <w:szCs w:val="24"/>
        </w:rPr>
        <w:t>公章）</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 xml:space="preserve">                                             年   月   日</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（附：法定代表人身份证正反面复印件）</w:t>
      </w: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80" w:lineRule="exact"/>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br w:type="column"/>
      </w:r>
      <w:r>
        <w:rPr>
          <w:rFonts w:hint="eastAsia" w:ascii="仿宋" w:hAnsi="仿宋" w:eastAsia="仿宋"/>
          <w:sz w:val="24"/>
          <w:szCs w:val="24"/>
        </w:rPr>
        <w:t>（四）法定代表人授权委托书（格式）</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项目名称：</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rPr>
        <w:t>（采购</w:t>
      </w:r>
      <w:r>
        <w:rPr>
          <w:rFonts w:hint="eastAsia" w:ascii="仿宋" w:hAnsi="仿宋" w:eastAsia="仿宋"/>
          <w:sz w:val="24"/>
          <w:szCs w:val="24"/>
          <w:u w:val="single"/>
          <w:lang w:val="en-US" w:eastAsia="zh-CN"/>
        </w:rPr>
        <w:t>人</w:t>
      </w:r>
      <w:r>
        <w:rPr>
          <w:rFonts w:hint="eastAsia" w:ascii="仿宋" w:hAnsi="仿宋" w:eastAsia="仿宋"/>
          <w:sz w:val="24"/>
          <w:szCs w:val="24"/>
          <w:u w:val="single"/>
        </w:rPr>
        <w:t>名称）</w:t>
      </w:r>
      <w:r>
        <w:rPr>
          <w:rFonts w:hint="eastAsia" w:ascii="仿宋" w:hAnsi="仿宋" w:eastAsia="仿宋"/>
          <w:sz w:val="24"/>
          <w:szCs w:val="24"/>
        </w:rPr>
        <w:t>：</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u w:val="single"/>
        </w:rPr>
        <w:t>（</w:t>
      </w:r>
      <w:r>
        <w:rPr>
          <w:rFonts w:hint="eastAsia" w:ascii="仿宋" w:hAnsi="仿宋" w:eastAsia="仿宋"/>
          <w:sz w:val="24"/>
          <w:szCs w:val="24"/>
          <w:u w:val="single"/>
          <w:lang w:eastAsia="zh-CN"/>
        </w:rPr>
        <w:t>投标人</w:t>
      </w:r>
      <w:r>
        <w:rPr>
          <w:rFonts w:hint="eastAsia" w:ascii="仿宋" w:hAnsi="仿宋" w:eastAsia="仿宋"/>
          <w:sz w:val="24"/>
          <w:szCs w:val="24"/>
          <w:u w:val="single"/>
        </w:rPr>
        <w:t>法定代表人名称）</w:t>
      </w:r>
      <w:r>
        <w:rPr>
          <w:rFonts w:hint="eastAsia" w:ascii="仿宋" w:hAnsi="仿宋" w:eastAsia="仿宋"/>
          <w:sz w:val="24"/>
          <w:szCs w:val="24"/>
        </w:rPr>
        <w:t>是</w:t>
      </w:r>
      <w:r>
        <w:rPr>
          <w:rFonts w:hint="eastAsia" w:ascii="仿宋" w:hAnsi="仿宋" w:eastAsia="仿宋"/>
          <w:sz w:val="24"/>
          <w:szCs w:val="24"/>
          <w:u w:val="single"/>
        </w:rPr>
        <w:t>（</w:t>
      </w:r>
      <w:r>
        <w:rPr>
          <w:rFonts w:hint="eastAsia" w:ascii="仿宋" w:hAnsi="仿宋" w:eastAsia="仿宋"/>
          <w:sz w:val="24"/>
          <w:szCs w:val="24"/>
          <w:u w:val="single"/>
          <w:lang w:eastAsia="zh-CN"/>
        </w:rPr>
        <w:t>投标人</w:t>
      </w:r>
      <w:r>
        <w:rPr>
          <w:rFonts w:hint="eastAsia" w:ascii="仿宋" w:hAnsi="仿宋" w:eastAsia="仿宋"/>
          <w:sz w:val="24"/>
          <w:szCs w:val="24"/>
          <w:u w:val="single"/>
        </w:rPr>
        <w:t>名称）</w:t>
      </w:r>
      <w:r>
        <w:rPr>
          <w:rFonts w:hint="eastAsia" w:ascii="仿宋" w:hAnsi="仿宋" w:eastAsia="仿宋"/>
          <w:sz w:val="24"/>
          <w:szCs w:val="24"/>
        </w:rPr>
        <w:t>的法定代表人，特授权</w:t>
      </w:r>
      <w:r>
        <w:rPr>
          <w:rFonts w:hint="eastAsia" w:ascii="仿宋" w:hAnsi="仿宋" w:eastAsia="仿宋"/>
          <w:sz w:val="24"/>
          <w:szCs w:val="24"/>
          <w:u w:val="single"/>
        </w:rPr>
        <w:t>（被授权人姓名及身份证代码）</w:t>
      </w:r>
      <w:r>
        <w:rPr>
          <w:rFonts w:hint="eastAsia" w:ascii="仿宋" w:hAnsi="仿宋" w:eastAsia="仿宋"/>
          <w:sz w:val="24"/>
          <w:szCs w:val="24"/>
        </w:rPr>
        <w:t>代表我单位全权办理上述项目的</w:t>
      </w:r>
      <w:r>
        <w:rPr>
          <w:rFonts w:hint="eastAsia" w:ascii="仿宋" w:hAnsi="仿宋" w:eastAsia="仿宋"/>
          <w:sz w:val="24"/>
          <w:szCs w:val="24"/>
          <w:lang w:val="en-US" w:eastAsia="zh-CN"/>
        </w:rPr>
        <w:t>谈判</w:t>
      </w:r>
      <w:r>
        <w:rPr>
          <w:rFonts w:hint="eastAsia" w:ascii="仿宋" w:hAnsi="仿宋" w:eastAsia="仿宋"/>
          <w:sz w:val="24"/>
          <w:szCs w:val="24"/>
        </w:rPr>
        <w:t>、签约等具体工作，并签署全部有关文件、协议及合同。</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我单位对被授权人的签字负全部责任。</w:t>
      </w:r>
    </w:p>
    <w:p>
      <w:pPr>
        <w:tabs>
          <w:tab w:val="left" w:pos="6300"/>
        </w:tabs>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 xml:space="preserve">被授权人：                                   </w:t>
      </w:r>
      <w:r>
        <w:rPr>
          <w:rFonts w:hint="eastAsia" w:ascii="仿宋" w:hAnsi="仿宋" w:eastAsia="仿宋"/>
          <w:sz w:val="24"/>
          <w:szCs w:val="24"/>
          <w:lang w:eastAsia="zh-CN"/>
        </w:rPr>
        <w:t>投标人</w:t>
      </w:r>
      <w:r>
        <w:rPr>
          <w:rFonts w:hint="eastAsia" w:ascii="仿宋" w:hAnsi="仿宋" w:eastAsia="仿宋"/>
          <w:sz w:val="24"/>
          <w:szCs w:val="24"/>
        </w:rPr>
        <w:t>法定代表人：</w:t>
      </w: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（签字或盖章）                              （签字或盖章）</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r>
        <w:rPr>
          <w:rFonts w:hint="eastAsia" w:ascii="仿宋" w:hAnsi="仿宋" w:eastAsia="仿宋"/>
          <w:sz w:val="24"/>
          <w:szCs w:val="24"/>
        </w:rPr>
        <w:t>（附：被授权人身份证正反面复印件）</w:t>
      </w: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firstLine="570"/>
        <w:rPr>
          <w:rFonts w:ascii="仿宋" w:hAnsi="仿宋" w:eastAsia="仿宋"/>
          <w:sz w:val="24"/>
          <w:szCs w:val="24"/>
        </w:rPr>
      </w:pPr>
    </w:p>
    <w:p>
      <w:pPr>
        <w:tabs>
          <w:tab w:val="left" w:pos="6300"/>
        </w:tabs>
        <w:snapToGrid w:val="0"/>
        <w:spacing w:line="360" w:lineRule="auto"/>
        <w:ind w:right="480" w:firstLine="570"/>
        <w:jc w:val="right"/>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投标人</w:t>
      </w:r>
      <w:r>
        <w:rPr>
          <w:rFonts w:hint="eastAsia" w:ascii="仿宋" w:hAnsi="仿宋" w:eastAsia="仿宋"/>
          <w:sz w:val="24"/>
          <w:szCs w:val="24"/>
        </w:rPr>
        <w:t>公章）</w:t>
      </w:r>
    </w:p>
    <w:p>
      <w:pPr>
        <w:tabs>
          <w:tab w:val="left" w:pos="6300"/>
        </w:tabs>
        <w:snapToGrid w:val="0"/>
        <w:spacing w:line="360" w:lineRule="auto"/>
        <w:ind w:right="480" w:firstLine="570"/>
        <w:jc w:val="right"/>
        <w:rPr>
          <w:rFonts w:ascii="仿宋" w:hAnsi="仿宋" w:eastAsia="仿宋"/>
          <w:sz w:val="24"/>
          <w:szCs w:val="24"/>
        </w:rPr>
      </w:pPr>
      <w:r>
        <w:rPr>
          <w:rFonts w:hint="eastAsia" w:ascii="仿宋" w:hAnsi="仿宋" w:eastAsia="仿宋"/>
          <w:sz w:val="24"/>
          <w:szCs w:val="24"/>
        </w:rPr>
        <w:t>年   月   日</w:t>
      </w: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pStyle w:val="2"/>
        <w:rPr>
          <w:rFonts w:ascii="仿宋" w:hAnsi="仿宋" w:eastAsia="仿宋"/>
          <w:sz w:val="24"/>
          <w:szCs w:val="24"/>
        </w:rPr>
      </w:pPr>
    </w:p>
    <w:p>
      <w:pPr>
        <w:tabs>
          <w:tab w:val="left" w:pos="6300"/>
        </w:tabs>
        <w:snapToGrid w:val="0"/>
        <w:spacing w:line="360" w:lineRule="auto"/>
        <w:ind w:firstLine="570"/>
        <w:rPr>
          <w:rFonts w:hint="eastAsia" w:ascii="仿宋" w:hAnsi="仿宋" w:eastAsia="仿宋"/>
          <w:sz w:val="24"/>
          <w:szCs w:val="24"/>
        </w:rPr>
      </w:pPr>
    </w:p>
    <w:p>
      <w:pPr>
        <w:tabs>
          <w:tab w:val="left" w:pos="6300"/>
        </w:tabs>
        <w:snapToGrid w:val="0"/>
        <w:spacing w:line="360" w:lineRule="auto"/>
        <w:ind w:firstLine="570"/>
        <w:rPr>
          <w:rFonts w:hint="eastAsia" w:ascii="仿宋" w:hAnsi="仿宋" w:eastAsia="仿宋"/>
          <w:sz w:val="24"/>
          <w:szCs w:val="24"/>
        </w:rPr>
      </w:pPr>
    </w:p>
    <w:p>
      <w:pPr>
        <w:tabs>
          <w:tab w:val="left" w:pos="6300"/>
        </w:tabs>
        <w:snapToGrid w:val="0"/>
        <w:spacing w:line="360" w:lineRule="auto"/>
        <w:ind w:firstLine="570"/>
        <w:rPr>
          <w:rFonts w:hint="eastAsia" w:ascii="仿宋" w:hAnsi="仿宋" w:eastAsia="仿宋"/>
          <w:sz w:val="24"/>
        </w:rPr>
      </w:pPr>
      <w:r>
        <w:rPr>
          <w:rFonts w:hint="eastAsia" w:ascii="仿宋" w:hAnsi="仿宋" w:eastAsia="仿宋"/>
          <w:sz w:val="24"/>
          <w:szCs w:val="24"/>
        </w:rPr>
        <w:t>（五）提供</w:t>
      </w:r>
      <w:r>
        <w:rPr>
          <w:rFonts w:hint="eastAsia" w:ascii="仿宋" w:hAnsi="仿宋" w:eastAsia="仿宋"/>
          <w:sz w:val="24"/>
          <w:szCs w:val="24"/>
          <w:lang w:val="en-US" w:eastAsia="zh-CN"/>
        </w:rPr>
        <w:t>2021年至</w:t>
      </w:r>
      <w:r>
        <w:rPr>
          <w:rFonts w:hint="eastAsia" w:ascii="仿宋" w:hAnsi="仿宋" w:eastAsia="仿宋"/>
          <w:sz w:val="24"/>
          <w:szCs w:val="24"/>
        </w:rPr>
        <w:t>202</w:t>
      </w:r>
      <w:r>
        <w:rPr>
          <w:rFonts w:hint="eastAsia" w:ascii="仿宋" w:hAnsi="仿宋" w:eastAsia="仿宋"/>
          <w:sz w:val="24"/>
          <w:szCs w:val="24"/>
          <w:lang w:val="en-US" w:eastAsia="zh-CN"/>
        </w:rPr>
        <w:t>3</w:t>
      </w:r>
      <w:r>
        <w:rPr>
          <w:rFonts w:hint="eastAsia" w:ascii="仿宋" w:hAnsi="仿宋" w:eastAsia="仿宋"/>
          <w:sz w:val="24"/>
          <w:szCs w:val="24"/>
        </w:rPr>
        <w:t>年度财务状况报告（表）复印件或提供银行出具的资信证明复印件。</w:t>
      </w:r>
      <w:r>
        <w:rPr>
          <w:rFonts w:hint="eastAsia" w:ascii="仿宋" w:hAnsi="仿宋" w:eastAsia="仿宋"/>
          <w:sz w:val="24"/>
        </w:rPr>
        <w:t>本年度新成立或成立不满一年的组织和自然人无法提供财务状况报告（表）的，可提供银行出具的资信证明复印件）或</w:t>
      </w:r>
      <w:r>
        <w:rPr>
          <w:rFonts w:hint="eastAsia" w:ascii="仿宋" w:hAnsi="仿宋" w:eastAsia="仿宋"/>
          <w:sz w:val="24"/>
          <w:lang w:eastAsia="zh-CN"/>
        </w:rPr>
        <w:t>投标人</w:t>
      </w:r>
      <w:r>
        <w:rPr>
          <w:rFonts w:hint="eastAsia" w:ascii="仿宋" w:hAnsi="仿宋" w:eastAsia="仿宋"/>
          <w:sz w:val="24"/>
        </w:rPr>
        <w:t>提供书面声明代替（见格式文件。）</w:t>
      </w:r>
    </w:p>
    <w:p>
      <w:pPr>
        <w:tabs>
          <w:tab w:val="left" w:pos="6300"/>
        </w:tabs>
        <w:snapToGrid w:val="0"/>
        <w:spacing w:line="360" w:lineRule="auto"/>
        <w:ind w:firstLine="570"/>
        <w:rPr>
          <w:rFonts w:ascii="仿宋" w:hAnsi="仿宋" w:eastAsia="仿宋"/>
          <w:sz w:val="24"/>
          <w:szCs w:val="24"/>
        </w:rPr>
      </w:pPr>
    </w:p>
    <w:p>
      <w:pPr>
        <w:pStyle w:val="260"/>
        <w:ind w:firstLine="360"/>
        <w:jc w:val="both"/>
        <w:rPr>
          <w:rFonts w:ascii="仿宋" w:hAnsi="仿宋" w:eastAsia="仿宋"/>
        </w:rPr>
      </w:pPr>
      <w:r>
        <w:rPr>
          <w:rFonts w:hint="eastAsia" w:ascii="仿宋" w:hAnsi="仿宋" w:eastAsia="仿宋"/>
          <w:szCs w:val="24"/>
        </w:rPr>
        <w:br w:type="page"/>
      </w:r>
      <w:r>
        <w:rPr>
          <w:rFonts w:hint="eastAsia" w:ascii="仿宋" w:hAnsi="仿宋" w:eastAsia="仿宋"/>
        </w:rPr>
        <w:t>（六）书面声明</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项目名称：</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致：（采购</w:t>
      </w:r>
      <w:r>
        <w:rPr>
          <w:rFonts w:hint="eastAsia" w:ascii="仿宋" w:hAnsi="仿宋" w:eastAsia="仿宋"/>
          <w:sz w:val="24"/>
          <w:lang w:val="en-US" w:eastAsia="zh-CN"/>
        </w:rPr>
        <w:t>人</w:t>
      </w:r>
      <w:r>
        <w:rPr>
          <w:rFonts w:hint="eastAsia" w:ascii="仿宋" w:hAnsi="仿宋" w:eastAsia="仿宋"/>
          <w:sz w:val="24"/>
        </w:rPr>
        <w:t>名称）：</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w:t>
      </w:r>
      <w:r>
        <w:rPr>
          <w:rFonts w:hint="eastAsia" w:ascii="仿宋" w:hAnsi="仿宋" w:eastAsia="仿宋"/>
          <w:sz w:val="24"/>
          <w:lang w:eastAsia="zh-CN"/>
        </w:rPr>
        <w:t>投标人</w:t>
      </w:r>
      <w:r>
        <w:rPr>
          <w:rFonts w:hint="eastAsia" w:ascii="仿宋" w:hAnsi="仿宋" w:eastAsia="仿宋"/>
          <w:sz w:val="24"/>
        </w:rPr>
        <w:t xml:space="preserve">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w:t>
      </w:r>
      <w:r>
        <w:rPr>
          <w:rFonts w:hint="eastAsia" w:ascii="仿宋" w:hAnsi="仿宋" w:eastAsia="仿宋"/>
          <w:sz w:val="24"/>
          <w:lang w:eastAsia="zh-CN"/>
        </w:rPr>
        <w:t>“</w:t>
      </w:r>
      <w:r>
        <w:rPr>
          <w:rFonts w:hint="eastAsia" w:ascii="仿宋" w:hAnsi="仿宋" w:eastAsia="仿宋"/>
          <w:sz w:val="24"/>
        </w:rPr>
        <w:t>失信被执行人</w:t>
      </w:r>
      <w:r>
        <w:rPr>
          <w:rFonts w:hint="eastAsia" w:ascii="仿宋" w:hAnsi="仿宋" w:eastAsia="仿宋"/>
          <w:sz w:val="24"/>
          <w:lang w:eastAsia="zh-CN"/>
        </w:rPr>
        <w:t>”</w:t>
      </w:r>
      <w:r>
        <w:rPr>
          <w:rFonts w:hint="eastAsia" w:ascii="仿宋" w:hAnsi="仿宋" w:eastAsia="仿宋"/>
          <w:sz w:val="24"/>
        </w:rPr>
        <w:t xml:space="preserve">、 </w:t>
      </w:r>
      <w:r>
        <w:rPr>
          <w:rFonts w:hint="eastAsia" w:ascii="仿宋" w:hAnsi="仿宋" w:eastAsia="仿宋"/>
          <w:sz w:val="24"/>
          <w:lang w:eastAsia="zh-CN"/>
        </w:rPr>
        <w:t>“</w:t>
      </w:r>
      <w:r>
        <w:rPr>
          <w:rFonts w:hint="eastAsia" w:ascii="仿宋" w:hAnsi="仿宋" w:eastAsia="仿宋"/>
          <w:sz w:val="24"/>
        </w:rPr>
        <w:t>重大税收违法案件当事人名单</w:t>
      </w:r>
      <w:r>
        <w:rPr>
          <w:rFonts w:hint="eastAsia" w:ascii="仿宋" w:hAnsi="仿宋" w:eastAsia="仿宋"/>
          <w:sz w:val="24"/>
          <w:lang w:eastAsia="zh-CN"/>
        </w:rPr>
        <w:t>”</w:t>
      </w:r>
      <w:r>
        <w:rPr>
          <w:rFonts w:hint="eastAsia" w:ascii="仿宋" w:hAnsi="仿宋" w:eastAsia="仿宋"/>
          <w:sz w:val="24"/>
        </w:rPr>
        <w:t>、中，也未列入中国政府采购网（www.ccgp.gov.cn）</w:t>
      </w:r>
      <w:r>
        <w:rPr>
          <w:rFonts w:hint="eastAsia" w:ascii="仿宋" w:hAnsi="仿宋" w:eastAsia="仿宋"/>
          <w:sz w:val="24"/>
          <w:lang w:eastAsia="zh-CN"/>
        </w:rPr>
        <w:t>“</w:t>
      </w:r>
      <w:r>
        <w:rPr>
          <w:rFonts w:hint="eastAsia" w:ascii="仿宋" w:hAnsi="仿宋" w:eastAsia="仿宋"/>
          <w:sz w:val="24"/>
        </w:rPr>
        <w:t>政府采购严重违法失信行为记录名单</w:t>
      </w:r>
      <w:r>
        <w:rPr>
          <w:rFonts w:hint="eastAsia" w:ascii="仿宋" w:hAnsi="仿宋" w:eastAsia="仿宋"/>
          <w:sz w:val="24"/>
          <w:lang w:eastAsia="zh-CN"/>
        </w:rPr>
        <w:t>”</w:t>
      </w:r>
      <w:r>
        <w:rPr>
          <w:rFonts w:hint="eastAsia" w:ascii="仿宋" w:hAnsi="仿宋" w:eastAsia="仿宋"/>
          <w:sz w:val="24"/>
        </w:rPr>
        <w:t>中，并随时接受采购人的检查验证，我方对以上声明负全部法律责任。</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特此声明。</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lang w:eastAsia="zh-CN"/>
        </w:rPr>
        <w:t>投标人</w:t>
      </w:r>
      <w:r>
        <w:rPr>
          <w:rFonts w:hint="eastAsia" w:ascii="仿宋" w:hAnsi="仿宋" w:eastAsia="仿宋"/>
          <w:sz w:val="24"/>
        </w:rPr>
        <w:t>须将信用中国网站及中国政府采购网查询结果附后（查询时间为本项目采购公告发布之日起至提交响应文件截止时间前）。</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1. 信用中国网站（www.creditchina.gov.cn）查询结果（提供查询结果网页打印件或截图，并加盖</w:t>
      </w:r>
      <w:r>
        <w:rPr>
          <w:rFonts w:hint="eastAsia" w:ascii="仿宋" w:hAnsi="仿宋" w:eastAsia="仿宋"/>
          <w:sz w:val="24"/>
          <w:lang w:eastAsia="zh-CN"/>
        </w:rPr>
        <w:t>投标人</w:t>
      </w:r>
      <w:r>
        <w:rPr>
          <w:rFonts w:hint="eastAsia" w:ascii="仿宋" w:hAnsi="仿宋" w:eastAsia="仿宋"/>
          <w:sz w:val="24"/>
        </w:rPr>
        <w:t>公章）</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1.1</w:t>
      </w:r>
      <w:r>
        <w:rPr>
          <w:rFonts w:hint="eastAsia" w:ascii="仿宋" w:hAnsi="仿宋" w:eastAsia="仿宋"/>
          <w:sz w:val="24"/>
          <w:lang w:eastAsia="zh-CN"/>
        </w:rPr>
        <w:t>“</w:t>
      </w:r>
      <w:r>
        <w:rPr>
          <w:rFonts w:hint="eastAsia" w:ascii="仿宋" w:hAnsi="仿宋" w:eastAsia="仿宋"/>
          <w:sz w:val="24"/>
        </w:rPr>
        <w:t>失信被执行人</w:t>
      </w:r>
      <w:r>
        <w:rPr>
          <w:rFonts w:hint="eastAsia" w:ascii="仿宋" w:hAnsi="仿宋" w:eastAsia="仿宋"/>
          <w:sz w:val="24"/>
          <w:lang w:eastAsia="zh-CN"/>
        </w:rPr>
        <w:t>”</w:t>
      </w:r>
      <w:r>
        <w:rPr>
          <w:rFonts w:hint="eastAsia" w:ascii="仿宋" w:hAnsi="仿宋" w:eastAsia="仿宋"/>
          <w:sz w:val="24"/>
        </w:rPr>
        <w:t>查询结果；</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1.2</w:t>
      </w:r>
      <w:r>
        <w:rPr>
          <w:rFonts w:hint="eastAsia" w:ascii="仿宋" w:hAnsi="仿宋" w:eastAsia="仿宋"/>
          <w:sz w:val="24"/>
          <w:lang w:eastAsia="zh-CN"/>
        </w:rPr>
        <w:t>“</w:t>
      </w:r>
      <w:r>
        <w:rPr>
          <w:rFonts w:hint="eastAsia" w:ascii="仿宋" w:hAnsi="仿宋" w:eastAsia="仿宋"/>
          <w:sz w:val="24"/>
        </w:rPr>
        <w:t>重大税收违法案件当事人名单</w:t>
      </w:r>
      <w:r>
        <w:rPr>
          <w:rFonts w:hint="eastAsia" w:ascii="仿宋" w:hAnsi="仿宋" w:eastAsia="仿宋"/>
          <w:sz w:val="24"/>
          <w:lang w:eastAsia="zh-CN"/>
        </w:rPr>
        <w:t>”</w:t>
      </w:r>
      <w:r>
        <w:rPr>
          <w:rFonts w:hint="eastAsia" w:ascii="仿宋" w:hAnsi="仿宋" w:eastAsia="仿宋"/>
          <w:sz w:val="24"/>
        </w:rPr>
        <w:t>查询结果；</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2. 中国政府采购网（www.ccgp.gov.cn）（提供查询结果网页打印件或截图，并加盖</w:t>
      </w:r>
      <w:r>
        <w:rPr>
          <w:rFonts w:hint="eastAsia" w:ascii="仿宋" w:hAnsi="仿宋" w:eastAsia="仿宋"/>
          <w:sz w:val="24"/>
          <w:lang w:eastAsia="zh-CN"/>
        </w:rPr>
        <w:t>投标人</w:t>
      </w:r>
      <w:r>
        <w:rPr>
          <w:rFonts w:hint="eastAsia" w:ascii="仿宋" w:hAnsi="仿宋" w:eastAsia="仿宋"/>
          <w:sz w:val="24"/>
        </w:rPr>
        <w:t>公章）</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lang w:eastAsia="zh-CN"/>
        </w:rPr>
        <w:t>“</w:t>
      </w:r>
      <w:r>
        <w:rPr>
          <w:rFonts w:hint="eastAsia" w:ascii="仿宋" w:hAnsi="仿宋" w:eastAsia="仿宋"/>
          <w:sz w:val="24"/>
        </w:rPr>
        <w:t>政府采购严重违法失信行为记录名单</w:t>
      </w:r>
      <w:r>
        <w:rPr>
          <w:rFonts w:hint="eastAsia" w:ascii="仿宋" w:hAnsi="仿宋" w:eastAsia="仿宋"/>
          <w:sz w:val="24"/>
          <w:lang w:eastAsia="zh-CN"/>
        </w:rPr>
        <w:t>”</w:t>
      </w:r>
      <w:r>
        <w:rPr>
          <w:rFonts w:hint="eastAsia" w:ascii="仿宋" w:hAnsi="仿宋" w:eastAsia="仿宋"/>
          <w:sz w:val="24"/>
        </w:rPr>
        <w:t>查询结果。</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right="424" w:firstLine="570"/>
        <w:jc w:val="right"/>
        <w:rPr>
          <w:rFonts w:ascii="仿宋" w:hAnsi="仿宋" w:eastAsia="仿宋"/>
          <w:sz w:val="24"/>
        </w:rPr>
      </w:pPr>
      <w:r>
        <w:rPr>
          <w:rFonts w:hint="eastAsia" w:ascii="仿宋" w:hAnsi="仿宋" w:eastAsia="仿宋"/>
          <w:sz w:val="24"/>
        </w:rPr>
        <w:t>（</w:t>
      </w:r>
      <w:r>
        <w:rPr>
          <w:rFonts w:hint="eastAsia" w:ascii="仿宋" w:hAnsi="仿宋" w:eastAsia="仿宋"/>
          <w:sz w:val="24"/>
          <w:lang w:eastAsia="zh-CN"/>
        </w:rPr>
        <w:t>投标人</w:t>
      </w:r>
      <w:r>
        <w:rPr>
          <w:rFonts w:hint="eastAsia" w:ascii="仿宋" w:hAnsi="仿宋" w:eastAsia="仿宋"/>
          <w:sz w:val="24"/>
        </w:rPr>
        <w:t>公章）</w:t>
      </w: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pPr>
        <w:tabs>
          <w:tab w:val="left" w:pos="6300"/>
        </w:tabs>
        <w:snapToGrid w:val="0"/>
        <w:spacing w:line="380" w:lineRule="exact"/>
        <w:jc w:val="left"/>
        <w:rPr>
          <w:rFonts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（七）税务登记证（副本）复印件</w:t>
      </w:r>
    </w:p>
    <w:p>
      <w:pPr>
        <w:tabs>
          <w:tab w:val="left" w:pos="6300"/>
        </w:tabs>
        <w:snapToGrid w:val="0"/>
        <w:spacing w:line="380" w:lineRule="exact"/>
        <w:ind w:firstLine="480" w:firstLineChars="200"/>
        <w:rPr>
          <w:rFonts w:ascii="仿宋" w:hAnsi="仿宋" w:eastAsia="仿宋"/>
          <w:sz w:val="24"/>
          <w:szCs w:val="24"/>
        </w:rPr>
      </w:pPr>
    </w:p>
    <w:p>
      <w:pPr>
        <w:spacing w:line="380" w:lineRule="exact"/>
        <w:rPr>
          <w:rFonts w:ascii="仿宋" w:hAnsi="仿宋" w:eastAsia="仿宋"/>
          <w:sz w:val="24"/>
          <w:szCs w:val="24"/>
        </w:rPr>
      </w:pPr>
      <w:r>
        <w:rPr>
          <w:rFonts w:hint="eastAsia" w:ascii="仿宋" w:hAnsi="仿宋" w:eastAsia="仿宋"/>
          <w:sz w:val="24"/>
          <w:szCs w:val="24"/>
        </w:rPr>
        <w:t>（八）</w:t>
      </w:r>
      <w:r>
        <w:rPr>
          <w:rFonts w:hint="eastAsia" w:ascii="仿宋" w:hAnsi="仿宋" w:eastAsia="仿宋"/>
          <w:sz w:val="24"/>
          <w:szCs w:val="24"/>
          <w:lang w:eastAsia="zh-CN"/>
        </w:rPr>
        <w:t>投标人</w:t>
      </w:r>
      <w:r>
        <w:rPr>
          <w:rFonts w:hint="eastAsia" w:ascii="仿宋" w:hAnsi="仿宋" w:eastAsia="仿宋" w:cs="宋体"/>
          <w:sz w:val="24"/>
          <w:szCs w:val="24"/>
        </w:rPr>
        <w:t>缴纳社会保障金的证明材料复印件</w:t>
      </w:r>
    </w:p>
    <w:p>
      <w:pPr>
        <w:tabs>
          <w:tab w:val="left" w:pos="6300"/>
        </w:tabs>
        <w:snapToGrid w:val="0"/>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缴纳社会保障金的证明材料指：社会保险登记证或缴纳社会保险的凭据（专用收据或社会保险缴纳清单）。依法免税或不需要缴纳社会保障资金的</w:t>
      </w:r>
      <w:r>
        <w:rPr>
          <w:rFonts w:hint="eastAsia" w:ascii="仿宋" w:hAnsi="仿宋" w:eastAsia="仿宋" w:cs="宋体"/>
          <w:sz w:val="24"/>
          <w:lang w:eastAsia="zh-CN"/>
        </w:rPr>
        <w:t>投标人</w:t>
      </w:r>
      <w:r>
        <w:rPr>
          <w:rFonts w:hint="eastAsia" w:ascii="仿宋" w:hAnsi="仿宋" w:eastAsia="仿宋" w:cs="宋体"/>
          <w:sz w:val="24"/>
          <w:szCs w:val="24"/>
        </w:rPr>
        <w:t>，应提供相应文件证明其依法免税或不需要缴纳社会保障资金。</w:t>
      </w:r>
    </w:p>
    <w:p>
      <w:pPr>
        <w:tabs>
          <w:tab w:val="left" w:pos="6300"/>
        </w:tabs>
        <w:snapToGrid w:val="0"/>
        <w:spacing w:line="500" w:lineRule="exact"/>
        <w:ind w:firstLine="480" w:firstLineChars="200"/>
        <w:rPr>
          <w:rFonts w:ascii="仿宋" w:hAnsi="仿宋" w:eastAsia="仿宋" w:cs="宋体"/>
          <w:sz w:val="24"/>
          <w:szCs w:val="24"/>
        </w:rPr>
      </w:pPr>
    </w:p>
    <w:p>
      <w:pPr>
        <w:tabs>
          <w:tab w:val="left" w:pos="6300"/>
        </w:tabs>
        <w:snapToGrid w:val="0"/>
        <w:spacing w:line="500" w:lineRule="exact"/>
        <w:ind w:firstLine="480" w:firstLineChars="200"/>
        <w:rPr>
          <w:rFonts w:ascii="仿宋" w:hAnsi="仿宋" w:eastAsia="仿宋" w:cs="宋体"/>
          <w:sz w:val="24"/>
          <w:szCs w:val="24"/>
        </w:rPr>
      </w:pPr>
    </w:p>
    <w:p>
      <w:pPr>
        <w:tabs>
          <w:tab w:val="left" w:pos="6300"/>
        </w:tabs>
        <w:snapToGrid w:val="0"/>
        <w:spacing w:line="360" w:lineRule="auto"/>
        <w:ind w:firstLine="482" w:firstLineChars="200"/>
        <w:rPr>
          <w:rFonts w:ascii="仿宋" w:hAnsi="仿宋" w:eastAsia="仿宋" w:cs="宋体"/>
          <w:b/>
          <w:sz w:val="24"/>
          <w:szCs w:val="24"/>
        </w:rPr>
      </w:pPr>
      <w:r>
        <w:rPr>
          <w:rFonts w:hint="eastAsia" w:ascii="仿宋" w:hAnsi="仿宋" w:eastAsia="仿宋" w:cs="宋体"/>
          <w:b/>
          <w:sz w:val="24"/>
          <w:szCs w:val="24"/>
        </w:rPr>
        <w:t>说明：</w:t>
      </w:r>
      <w:r>
        <w:rPr>
          <w:rFonts w:hint="eastAsia" w:ascii="仿宋" w:hAnsi="仿宋" w:eastAsia="仿宋" w:cs="宋体"/>
          <w:b/>
          <w:sz w:val="24"/>
          <w:szCs w:val="24"/>
          <w:lang w:eastAsia="zh-CN"/>
        </w:rPr>
        <w:t>投标人</w:t>
      </w:r>
      <w:r>
        <w:rPr>
          <w:rFonts w:hint="eastAsia" w:ascii="仿宋" w:hAnsi="仿宋" w:eastAsia="仿宋" w:cs="宋体"/>
          <w:b/>
          <w:sz w:val="24"/>
          <w:szCs w:val="24"/>
        </w:rPr>
        <w:t>按</w:t>
      </w:r>
      <w:r>
        <w:rPr>
          <w:rFonts w:hint="eastAsia" w:ascii="仿宋" w:hAnsi="仿宋" w:eastAsia="仿宋" w:cs="宋体"/>
          <w:b/>
          <w:sz w:val="24"/>
          <w:szCs w:val="24"/>
          <w:lang w:eastAsia="zh-CN"/>
        </w:rPr>
        <w:t>“</w:t>
      </w:r>
      <w:r>
        <w:rPr>
          <w:rFonts w:hint="eastAsia" w:ascii="仿宋" w:hAnsi="仿宋" w:eastAsia="仿宋" w:cs="宋体"/>
          <w:b/>
          <w:sz w:val="24"/>
          <w:szCs w:val="24"/>
        </w:rPr>
        <w:t>五证合一</w:t>
      </w:r>
      <w:r>
        <w:rPr>
          <w:rFonts w:hint="eastAsia" w:ascii="仿宋" w:hAnsi="仿宋" w:eastAsia="仿宋" w:cs="宋体"/>
          <w:b/>
          <w:sz w:val="24"/>
          <w:szCs w:val="24"/>
          <w:lang w:eastAsia="zh-CN"/>
        </w:rPr>
        <w:t>”</w:t>
      </w:r>
      <w:r>
        <w:rPr>
          <w:rFonts w:hint="eastAsia" w:ascii="仿宋" w:hAnsi="仿宋" w:eastAsia="仿宋" w:cs="宋体"/>
          <w:b/>
          <w:sz w:val="24"/>
          <w:szCs w:val="24"/>
        </w:rPr>
        <w:t>登记制度办理营业执照的，组织机构代码证、税务登记证（副本）和社会保险登记证以</w:t>
      </w:r>
      <w:r>
        <w:rPr>
          <w:rFonts w:hint="eastAsia" w:ascii="仿宋" w:hAnsi="仿宋" w:eastAsia="仿宋" w:cs="宋体"/>
          <w:b/>
          <w:sz w:val="24"/>
          <w:szCs w:val="24"/>
          <w:lang w:eastAsia="zh-CN"/>
        </w:rPr>
        <w:t>投标人</w:t>
      </w:r>
      <w:r>
        <w:rPr>
          <w:rFonts w:hint="eastAsia" w:ascii="仿宋" w:hAnsi="仿宋" w:eastAsia="仿宋" w:cs="宋体"/>
          <w:b/>
          <w:sz w:val="24"/>
          <w:szCs w:val="24"/>
        </w:rPr>
        <w:t>所提供的法人营业执照（副本）复印件为准。</w:t>
      </w:r>
    </w:p>
    <w:p>
      <w:pPr>
        <w:pStyle w:val="7"/>
        <w:numPr>
          <w:ilvl w:val="0"/>
          <w:numId w:val="20"/>
        </w:numPr>
        <w:rPr>
          <w:rFonts w:hint="eastAsia" w:ascii="仿宋" w:hAnsi="仿宋" w:eastAsia="仿宋"/>
          <w:sz w:val="24"/>
          <w:szCs w:val="24"/>
        </w:rPr>
      </w:pPr>
      <w:r>
        <w:rPr>
          <w:rFonts w:ascii="仿宋" w:hAnsi="仿宋" w:eastAsia="仿宋" w:cs="宋体"/>
          <w:sz w:val="24"/>
          <w:szCs w:val="24"/>
        </w:rPr>
        <w:br w:type="page"/>
      </w:r>
      <w:bookmarkStart w:id="58" w:name="_Toc29032"/>
      <w:bookmarkStart w:id="59" w:name="_Toc486585244"/>
      <w:bookmarkStart w:id="60" w:name="_Toc28814"/>
      <w:bookmarkStart w:id="61" w:name="_Toc11824"/>
      <w:bookmarkStart w:id="62" w:name="_Toc487204801"/>
      <w:bookmarkStart w:id="63" w:name="_Toc486608281"/>
      <w:r>
        <w:rPr>
          <w:rFonts w:hint="eastAsia" w:ascii="仿宋" w:hAnsi="仿宋" w:eastAsia="仿宋"/>
          <w:sz w:val="24"/>
          <w:szCs w:val="24"/>
        </w:rPr>
        <w:t>其他应提供的资料</w:t>
      </w:r>
      <w:bookmarkEnd w:id="58"/>
      <w:bookmarkEnd w:id="59"/>
      <w:bookmarkEnd w:id="60"/>
      <w:bookmarkEnd w:id="61"/>
      <w:bookmarkEnd w:id="62"/>
      <w:bookmarkEnd w:id="6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jc w:val="center"/>
        <w:rPr>
          <w:rFonts w:hint="eastAsia" w:ascii="仿宋" w:hAnsi="仿宋" w:eastAsia="仿宋" w:cs="仿宋"/>
          <w:lang w:eastAsia="zh-CN"/>
        </w:rPr>
      </w:pPr>
      <w:r>
        <w:rPr>
          <w:rFonts w:hint="eastAsia" w:ascii="仿宋" w:hAnsi="仿宋" w:eastAsia="仿宋" w:cs="仿宋"/>
        </w:rPr>
        <w:t>中小企业声明函</w:t>
      </w:r>
      <w:r>
        <w:rPr>
          <w:rFonts w:hint="eastAsia" w:ascii="仿宋" w:hAnsi="仿宋" w:eastAsia="仿宋" w:cs="仿宋"/>
          <w:lang w:eastAsia="zh-CN"/>
        </w:rPr>
        <w:t>（</w:t>
      </w:r>
      <w:r>
        <w:rPr>
          <w:rFonts w:hint="eastAsia" w:ascii="仿宋" w:hAnsi="仿宋" w:eastAsia="仿宋" w:cs="仿宋"/>
          <w:lang w:val="en-US" w:eastAsia="zh-CN"/>
        </w:rPr>
        <w:t>服务</w:t>
      </w:r>
      <w:r>
        <w:rPr>
          <w:rFonts w:hint="eastAsia" w:ascii="仿宋" w:hAnsi="仿宋" w:eastAsia="仿宋" w:cs="仿宋"/>
          <w:lang w:eastAsia="zh-CN"/>
        </w:rPr>
        <w:t>）</w:t>
      </w:r>
    </w:p>
    <w:p>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本公司（联合体）郑重声明，根据《政府采购促进中小企业发展管理办法》（</w:t>
      </w:r>
      <w:r>
        <w:rPr>
          <w:rFonts w:hint="eastAsia" w:ascii="仿宋" w:hAnsi="仿宋" w:eastAsia="仿宋" w:cs="仿宋"/>
          <w:sz w:val="24"/>
          <w:szCs w:val="24"/>
        </w:rPr>
        <w:t>财库〔2020〕46号</w:t>
      </w:r>
      <w:r>
        <w:rPr>
          <w:rFonts w:hint="eastAsia" w:ascii="仿宋" w:hAnsi="仿宋" w:eastAsia="仿宋" w:cs="仿宋"/>
          <w:sz w:val="24"/>
          <w:szCs w:val="28"/>
        </w:rPr>
        <w:t>）的规定，本公司（联合体）参加</w:t>
      </w:r>
      <w:r>
        <w:rPr>
          <w:rFonts w:hint="eastAsia" w:ascii="仿宋" w:hAnsi="仿宋" w:eastAsia="仿宋" w:cs="仿宋"/>
          <w:i/>
          <w:sz w:val="24"/>
          <w:szCs w:val="28"/>
          <w:u w:val="single"/>
        </w:rPr>
        <w:t>（单位名称）</w:t>
      </w:r>
      <w:r>
        <w:rPr>
          <w:rFonts w:hint="eastAsia" w:ascii="仿宋" w:hAnsi="仿宋" w:eastAsia="仿宋" w:cs="仿宋"/>
          <w:sz w:val="24"/>
          <w:szCs w:val="28"/>
        </w:rPr>
        <w:t>的</w:t>
      </w:r>
      <w:r>
        <w:rPr>
          <w:rFonts w:hint="eastAsia" w:ascii="仿宋" w:hAnsi="仿宋" w:eastAsia="仿宋" w:cs="仿宋"/>
          <w:i/>
          <w:sz w:val="24"/>
          <w:szCs w:val="28"/>
          <w:u w:val="single"/>
        </w:rPr>
        <w:t>（项目名称）</w:t>
      </w:r>
      <w:r>
        <w:rPr>
          <w:rFonts w:hint="eastAsia" w:ascii="仿宋" w:hAnsi="仿宋" w:eastAsia="仿宋" w:cs="仿宋"/>
          <w:sz w:val="24"/>
          <w:szCs w:val="28"/>
        </w:rPr>
        <w:t>采购活动，</w:t>
      </w:r>
      <w:r>
        <w:rPr>
          <w:rFonts w:hint="eastAsia" w:ascii="仿宋" w:hAnsi="仿宋" w:eastAsia="仿宋" w:cs="仿宋"/>
          <w:sz w:val="24"/>
          <w:szCs w:val="28"/>
          <w:lang w:val="en-US" w:eastAsia="zh-CN"/>
        </w:rPr>
        <w:t>服务</w:t>
      </w:r>
      <w:r>
        <w:rPr>
          <w:rFonts w:hint="eastAsia" w:ascii="仿宋" w:hAnsi="仿宋" w:eastAsia="仿宋" w:cs="仿宋"/>
          <w:sz w:val="24"/>
          <w:szCs w:val="28"/>
        </w:rPr>
        <w:t>全部由符合政策要求的中小企业</w:t>
      </w:r>
      <w:r>
        <w:rPr>
          <w:rFonts w:hint="eastAsia" w:ascii="仿宋" w:hAnsi="仿宋" w:eastAsia="仿宋" w:cs="仿宋"/>
          <w:sz w:val="24"/>
          <w:szCs w:val="28"/>
          <w:lang w:val="en-US" w:eastAsia="zh-CN"/>
        </w:rPr>
        <w:t>承接</w:t>
      </w:r>
      <w:r>
        <w:rPr>
          <w:rFonts w:hint="eastAsia" w:ascii="仿宋" w:hAnsi="仿宋" w:eastAsia="仿宋" w:cs="仿宋"/>
          <w:sz w:val="24"/>
          <w:szCs w:val="28"/>
        </w:rPr>
        <w:t>。相关企业（含联合体中的中小企业、签订分包意向协议的中小企业）的具体情况如下：</w:t>
      </w:r>
    </w:p>
    <w:p>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1.</w:t>
      </w:r>
      <w:r>
        <w:rPr>
          <w:rFonts w:hint="eastAsia" w:ascii="仿宋" w:hAnsi="仿宋" w:eastAsia="仿宋" w:cs="仿宋"/>
          <w:i/>
          <w:sz w:val="24"/>
          <w:szCs w:val="28"/>
          <w:u w:val="single"/>
        </w:rPr>
        <w:t>（标的名称）</w:t>
      </w:r>
      <w:r>
        <w:rPr>
          <w:rFonts w:hint="eastAsia" w:ascii="仿宋" w:hAnsi="仿宋" w:eastAsia="仿宋" w:cs="仿宋"/>
          <w:sz w:val="24"/>
          <w:szCs w:val="28"/>
        </w:rPr>
        <w:t>，属于</w:t>
      </w:r>
      <w:r>
        <w:rPr>
          <w:rFonts w:hint="eastAsia" w:ascii="仿宋" w:hAnsi="仿宋" w:eastAsia="仿宋" w:cs="仿宋"/>
          <w:i/>
          <w:sz w:val="24"/>
          <w:szCs w:val="28"/>
          <w:u w:val="single"/>
        </w:rPr>
        <w:t>（采购文件中明确的所属行业）行业</w:t>
      </w:r>
      <w:r>
        <w:rPr>
          <w:rFonts w:hint="eastAsia" w:ascii="仿宋" w:hAnsi="仿宋" w:eastAsia="仿宋" w:cs="仿宋"/>
          <w:sz w:val="24"/>
          <w:szCs w:val="28"/>
        </w:rPr>
        <w:t>；制造商为</w:t>
      </w:r>
      <w:r>
        <w:rPr>
          <w:rFonts w:hint="eastAsia" w:ascii="仿宋" w:hAnsi="仿宋" w:eastAsia="仿宋" w:cs="仿宋"/>
          <w:i/>
          <w:sz w:val="24"/>
          <w:szCs w:val="28"/>
          <w:u w:val="single"/>
        </w:rPr>
        <w:t>（企业名称）</w:t>
      </w:r>
      <w:r>
        <w:rPr>
          <w:rFonts w:hint="eastAsia" w:ascii="仿宋" w:hAnsi="仿宋" w:eastAsia="仿宋" w:cs="仿宋"/>
          <w:sz w:val="24"/>
          <w:szCs w:val="28"/>
        </w:rPr>
        <w:t>，从业人员</w:t>
      </w:r>
      <w:r>
        <w:rPr>
          <w:rFonts w:hint="eastAsia" w:ascii="仿宋" w:hAnsi="仿宋" w:eastAsia="仿宋" w:cs="仿宋"/>
          <w:sz w:val="24"/>
          <w:szCs w:val="28"/>
          <w:u w:val="single"/>
        </w:rPr>
        <w:t xml:space="preserve">      </w:t>
      </w:r>
      <w:r>
        <w:rPr>
          <w:rFonts w:hint="eastAsia" w:ascii="仿宋" w:hAnsi="仿宋" w:eastAsia="仿宋" w:cs="仿宋"/>
          <w:sz w:val="24"/>
          <w:szCs w:val="28"/>
        </w:rPr>
        <w:t>人，营业收入为</w:t>
      </w:r>
      <w:r>
        <w:rPr>
          <w:rFonts w:hint="eastAsia" w:ascii="仿宋" w:hAnsi="仿宋" w:eastAsia="仿宋" w:cs="仿宋"/>
          <w:sz w:val="24"/>
          <w:szCs w:val="28"/>
          <w:u w:val="single"/>
        </w:rPr>
        <w:t xml:space="preserve">    </w:t>
      </w:r>
      <w:r>
        <w:rPr>
          <w:rFonts w:hint="eastAsia" w:ascii="仿宋" w:hAnsi="仿宋" w:eastAsia="仿宋" w:cs="仿宋"/>
          <w:sz w:val="24"/>
          <w:szCs w:val="28"/>
        </w:rPr>
        <w:t>万元，资产总额为</w:t>
      </w:r>
      <w:r>
        <w:rPr>
          <w:rFonts w:hint="eastAsia" w:ascii="仿宋" w:hAnsi="仿宋" w:eastAsia="仿宋" w:cs="仿宋"/>
          <w:sz w:val="24"/>
          <w:szCs w:val="28"/>
          <w:u w:val="single"/>
        </w:rPr>
        <w:t xml:space="preserve">    </w:t>
      </w:r>
      <w:r>
        <w:rPr>
          <w:rFonts w:hint="eastAsia" w:ascii="仿宋" w:hAnsi="仿宋" w:eastAsia="仿宋" w:cs="仿宋"/>
          <w:sz w:val="24"/>
          <w:szCs w:val="28"/>
        </w:rPr>
        <w:t>万元，属于</w:t>
      </w:r>
      <w:r>
        <w:rPr>
          <w:rFonts w:hint="eastAsia" w:ascii="仿宋" w:hAnsi="仿宋" w:eastAsia="仿宋" w:cs="仿宋"/>
          <w:i/>
          <w:sz w:val="24"/>
          <w:szCs w:val="28"/>
          <w:u w:val="single"/>
        </w:rPr>
        <w:t>（中型企业、小型企业、微型企业）</w:t>
      </w:r>
      <w:r>
        <w:rPr>
          <w:rFonts w:hint="eastAsia" w:ascii="仿宋" w:hAnsi="仿宋" w:eastAsia="仿宋" w:cs="仿宋"/>
          <w:sz w:val="24"/>
          <w:szCs w:val="28"/>
        </w:rPr>
        <w:t>；</w:t>
      </w:r>
    </w:p>
    <w:p>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2.</w:t>
      </w:r>
      <w:r>
        <w:rPr>
          <w:rFonts w:hint="eastAsia" w:ascii="仿宋" w:hAnsi="仿宋" w:eastAsia="仿宋" w:cs="仿宋"/>
          <w:i/>
          <w:sz w:val="24"/>
          <w:szCs w:val="28"/>
          <w:u w:val="single"/>
        </w:rPr>
        <w:t>（标的名称）</w:t>
      </w:r>
      <w:r>
        <w:rPr>
          <w:rFonts w:hint="eastAsia" w:ascii="仿宋" w:hAnsi="仿宋" w:eastAsia="仿宋" w:cs="仿宋"/>
          <w:sz w:val="24"/>
          <w:szCs w:val="28"/>
        </w:rPr>
        <w:t>，属于</w:t>
      </w:r>
      <w:r>
        <w:rPr>
          <w:rFonts w:hint="eastAsia" w:ascii="仿宋" w:hAnsi="仿宋" w:eastAsia="仿宋" w:cs="仿宋"/>
          <w:i/>
          <w:sz w:val="24"/>
          <w:szCs w:val="28"/>
          <w:u w:val="single"/>
        </w:rPr>
        <w:t>（采购文件中明确的所属行业）行业</w:t>
      </w:r>
      <w:r>
        <w:rPr>
          <w:rFonts w:hint="eastAsia" w:ascii="仿宋" w:hAnsi="仿宋" w:eastAsia="仿宋" w:cs="仿宋"/>
          <w:sz w:val="24"/>
          <w:szCs w:val="28"/>
        </w:rPr>
        <w:t>；制造商为</w:t>
      </w:r>
      <w:r>
        <w:rPr>
          <w:rFonts w:hint="eastAsia" w:ascii="仿宋" w:hAnsi="仿宋" w:eastAsia="仿宋" w:cs="仿宋"/>
          <w:i/>
          <w:sz w:val="24"/>
          <w:szCs w:val="28"/>
          <w:u w:val="single"/>
        </w:rPr>
        <w:t>（企业名称）</w:t>
      </w:r>
      <w:r>
        <w:rPr>
          <w:rFonts w:hint="eastAsia" w:ascii="仿宋" w:hAnsi="仿宋" w:eastAsia="仿宋" w:cs="仿宋"/>
          <w:sz w:val="24"/>
          <w:szCs w:val="28"/>
        </w:rPr>
        <w:t>，从业人员</w:t>
      </w:r>
      <w:r>
        <w:rPr>
          <w:rFonts w:hint="eastAsia" w:ascii="仿宋" w:hAnsi="仿宋" w:eastAsia="仿宋" w:cs="仿宋"/>
          <w:sz w:val="24"/>
          <w:szCs w:val="28"/>
          <w:u w:val="single"/>
        </w:rPr>
        <w:t xml:space="preserve">      </w:t>
      </w:r>
      <w:r>
        <w:rPr>
          <w:rFonts w:hint="eastAsia" w:ascii="仿宋" w:hAnsi="仿宋" w:eastAsia="仿宋" w:cs="仿宋"/>
          <w:sz w:val="24"/>
          <w:szCs w:val="28"/>
        </w:rPr>
        <w:t>人，营业收入为</w:t>
      </w:r>
      <w:r>
        <w:rPr>
          <w:rFonts w:hint="eastAsia" w:ascii="仿宋" w:hAnsi="仿宋" w:eastAsia="仿宋" w:cs="仿宋"/>
          <w:sz w:val="24"/>
          <w:szCs w:val="28"/>
          <w:u w:val="single"/>
        </w:rPr>
        <w:t xml:space="preserve">    </w:t>
      </w:r>
      <w:r>
        <w:rPr>
          <w:rFonts w:hint="eastAsia" w:ascii="仿宋" w:hAnsi="仿宋" w:eastAsia="仿宋" w:cs="仿宋"/>
          <w:sz w:val="24"/>
          <w:szCs w:val="28"/>
        </w:rPr>
        <w:t>万元，资产总额为</w:t>
      </w:r>
      <w:r>
        <w:rPr>
          <w:rFonts w:hint="eastAsia" w:ascii="仿宋" w:hAnsi="仿宋" w:eastAsia="仿宋" w:cs="仿宋"/>
          <w:sz w:val="24"/>
          <w:szCs w:val="28"/>
          <w:u w:val="single"/>
        </w:rPr>
        <w:t xml:space="preserve">    </w:t>
      </w:r>
      <w:r>
        <w:rPr>
          <w:rFonts w:hint="eastAsia" w:ascii="仿宋" w:hAnsi="仿宋" w:eastAsia="仿宋" w:cs="仿宋"/>
          <w:sz w:val="24"/>
          <w:szCs w:val="28"/>
        </w:rPr>
        <w:t>万元，属于</w:t>
      </w:r>
      <w:r>
        <w:rPr>
          <w:rFonts w:hint="eastAsia" w:ascii="仿宋" w:hAnsi="仿宋" w:eastAsia="仿宋" w:cs="仿宋"/>
          <w:i/>
          <w:sz w:val="24"/>
          <w:szCs w:val="28"/>
          <w:u w:val="single"/>
        </w:rPr>
        <w:t>（中型企业、小型企业、微型企业）</w:t>
      </w:r>
      <w:r>
        <w:rPr>
          <w:rFonts w:hint="eastAsia" w:ascii="仿宋" w:hAnsi="仿宋" w:eastAsia="仿宋" w:cs="仿宋"/>
          <w:sz w:val="24"/>
          <w:szCs w:val="28"/>
        </w:rPr>
        <w:t>；</w:t>
      </w:r>
    </w:p>
    <w:p>
      <w:pPr>
        <w:tabs>
          <w:tab w:val="left" w:pos="6300"/>
        </w:tabs>
        <w:snapToGrid w:val="0"/>
        <w:spacing w:line="500" w:lineRule="exact"/>
        <w:ind w:right="782" w:firstLine="480" w:firstLineChars="200"/>
        <w:rPr>
          <w:rFonts w:hint="eastAsia" w:ascii="仿宋" w:hAnsi="仿宋" w:eastAsia="仿宋" w:cs="仿宋"/>
          <w:sz w:val="24"/>
        </w:rPr>
      </w:pPr>
      <w:r>
        <w:rPr>
          <w:rFonts w:hint="eastAsia" w:ascii="仿宋" w:hAnsi="仿宋" w:eastAsia="仿宋" w:cs="仿宋"/>
          <w:sz w:val="24"/>
        </w:rPr>
        <w:t>……</w:t>
      </w:r>
    </w:p>
    <w:p>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 xml:space="preserve">                                                    </w:t>
      </w:r>
    </w:p>
    <w:p>
      <w:pPr>
        <w:tabs>
          <w:tab w:val="left" w:pos="6300"/>
        </w:tabs>
        <w:snapToGrid w:val="0"/>
        <w:spacing w:line="500" w:lineRule="exact"/>
        <w:ind w:firstLine="6120" w:firstLineChars="2550"/>
        <w:rPr>
          <w:rFonts w:hint="eastAsia" w:ascii="仿宋" w:hAnsi="仿宋" w:eastAsia="仿宋" w:cs="仿宋"/>
          <w:sz w:val="24"/>
          <w:szCs w:val="28"/>
        </w:rPr>
      </w:pPr>
      <w:r>
        <w:rPr>
          <w:rFonts w:hint="eastAsia" w:ascii="仿宋" w:hAnsi="仿宋" w:eastAsia="仿宋" w:cs="仿宋"/>
          <w:sz w:val="24"/>
          <w:szCs w:val="28"/>
        </w:rPr>
        <w:t xml:space="preserve">企业名称（盖章）： </w:t>
      </w:r>
    </w:p>
    <w:p>
      <w:pPr>
        <w:tabs>
          <w:tab w:val="left" w:pos="6300"/>
        </w:tabs>
        <w:snapToGrid w:val="0"/>
        <w:spacing w:line="500" w:lineRule="exact"/>
        <w:ind w:firstLine="6120" w:firstLineChars="2550"/>
        <w:rPr>
          <w:rFonts w:hint="eastAsia" w:ascii="仿宋" w:hAnsi="仿宋" w:eastAsia="仿宋" w:cs="仿宋"/>
          <w:sz w:val="24"/>
          <w:szCs w:val="28"/>
        </w:rPr>
      </w:pPr>
      <w:r>
        <w:rPr>
          <w:rFonts w:hint="eastAsia" w:ascii="仿宋" w:hAnsi="仿宋" w:eastAsia="仿宋" w:cs="仿宋"/>
          <w:sz w:val="24"/>
          <w:szCs w:val="28"/>
        </w:rPr>
        <w:t>日期：</w:t>
      </w:r>
    </w:p>
    <w:p>
      <w:pPr>
        <w:tabs>
          <w:tab w:val="left" w:pos="6300"/>
        </w:tabs>
        <w:snapToGrid w:val="0"/>
        <w:spacing w:line="420" w:lineRule="exact"/>
        <w:jc w:val="left"/>
        <w:rPr>
          <w:rFonts w:hint="eastAsia" w:ascii="仿宋" w:hAnsi="仿宋" w:eastAsia="仿宋" w:cs="仿宋"/>
          <w:kern w:val="0"/>
          <w:sz w:val="21"/>
          <w:szCs w:val="21"/>
        </w:rPr>
      </w:pPr>
    </w:p>
    <w:p>
      <w:pPr>
        <w:tabs>
          <w:tab w:val="left" w:pos="6300"/>
        </w:tabs>
        <w:snapToGrid w:val="0"/>
        <w:spacing w:line="420" w:lineRule="exact"/>
        <w:jc w:val="left"/>
        <w:rPr>
          <w:rFonts w:hint="eastAsia" w:ascii="仿宋" w:hAnsi="仿宋" w:eastAsia="仿宋" w:cs="仿宋"/>
          <w:kern w:val="0"/>
          <w:sz w:val="21"/>
          <w:szCs w:val="21"/>
        </w:rPr>
      </w:pPr>
    </w:p>
    <w:p>
      <w:pPr>
        <w:tabs>
          <w:tab w:val="left" w:pos="6300"/>
        </w:tabs>
        <w:snapToGrid w:val="0"/>
        <w:spacing w:line="42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填写时应注意以下事项：</w:t>
      </w:r>
    </w:p>
    <w:p>
      <w:pPr>
        <w:tabs>
          <w:tab w:val="left" w:pos="6300"/>
        </w:tabs>
        <w:snapToGrid w:val="0"/>
        <w:spacing w:line="420" w:lineRule="exact"/>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1.从业人员、营业收入、资产总额填报上一年度数据，无上一年度数据的新成立企业可不填报。</w:t>
      </w:r>
    </w:p>
    <w:p>
      <w:pPr>
        <w:tabs>
          <w:tab w:val="left" w:pos="6300"/>
        </w:tabs>
        <w:snapToGrid w:val="0"/>
        <w:spacing w:line="420" w:lineRule="exact"/>
        <w:ind w:firstLine="422" w:firstLineChars="200"/>
        <w:jc w:val="left"/>
        <w:rPr>
          <w:rFonts w:hint="eastAsia" w:ascii="仿宋" w:hAnsi="仿宋" w:eastAsia="仿宋" w:cs="仿宋"/>
          <w:b/>
          <w:kern w:val="0"/>
          <w:sz w:val="21"/>
          <w:szCs w:val="21"/>
          <w:u w:val="single"/>
        </w:rPr>
      </w:pPr>
      <w:r>
        <w:rPr>
          <w:rFonts w:hint="eastAsia" w:ascii="仿宋" w:hAnsi="仿宋" w:eastAsia="仿宋" w:cs="仿宋"/>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2" w:firstLineChars="200"/>
        <w:jc w:val="left"/>
        <w:rPr>
          <w:rFonts w:hint="eastAsia" w:ascii="仿宋" w:hAnsi="仿宋" w:eastAsia="仿宋" w:cs="仿宋"/>
          <w:b/>
          <w:kern w:val="0"/>
          <w:sz w:val="21"/>
          <w:szCs w:val="21"/>
          <w:u w:val="single"/>
        </w:rPr>
      </w:pPr>
      <w:r>
        <w:rPr>
          <w:rFonts w:hint="eastAsia" w:ascii="仿宋" w:hAnsi="仿宋" w:eastAsia="仿宋" w:cs="仿宋"/>
          <w:b/>
          <w:kern w:val="0"/>
          <w:sz w:val="21"/>
          <w:szCs w:val="21"/>
          <w:u w:val="single"/>
        </w:rPr>
        <w:t>3.投标人填写《中小企业声明函》中所属行业时，应与采购文件第一篇</w:t>
      </w:r>
      <w:r>
        <w:rPr>
          <w:rFonts w:hint="eastAsia" w:ascii="仿宋" w:hAnsi="仿宋" w:eastAsia="仿宋" w:cs="仿宋"/>
          <w:b/>
          <w:kern w:val="0"/>
          <w:sz w:val="21"/>
          <w:szCs w:val="21"/>
          <w:u w:val="single"/>
          <w:lang w:eastAsia="zh-CN"/>
        </w:rPr>
        <w:t>“</w:t>
      </w:r>
      <w:r>
        <w:rPr>
          <w:rFonts w:hint="eastAsia" w:ascii="仿宋" w:hAnsi="仿宋" w:eastAsia="仿宋" w:cs="仿宋"/>
          <w:b/>
          <w:kern w:val="0"/>
          <w:sz w:val="21"/>
          <w:szCs w:val="21"/>
          <w:u w:val="single"/>
        </w:rPr>
        <w:t>采购标的对应的中小企业划分标准所属行业</w:t>
      </w:r>
      <w:r>
        <w:rPr>
          <w:rFonts w:hint="eastAsia" w:ascii="仿宋" w:hAnsi="仿宋" w:eastAsia="仿宋" w:cs="仿宋"/>
          <w:b/>
          <w:kern w:val="0"/>
          <w:sz w:val="21"/>
          <w:szCs w:val="21"/>
          <w:u w:val="single"/>
          <w:lang w:eastAsia="zh-CN"/>
        </w:rPr>
        <w:t>”</w:t>
      </w:r>
      <w:r>
        <w:rPr>
          <w:rFonts w:hint="eastAsia" w:ascii="仿宋" w:hAnsi="仿宋" w:eastAsia="仿宋" w:cs="仿宋"/>
          <w:b/>
          <w:kern w:val="0"/>
          <w:sz w:val="21"/>
          <w:szCs w:val="21"/>
          <w:u w:val="single"/>
        </w:rPr>
        <w:t>中填写的所属行业一致。</w:t>
      </w:r>
    </w:p>
    <w:p>
      <w:pPr>
        <w:tabs>
          <w:tab w:val="left" w:pos="6300"/>
        </w:tabs>
        <w:snapToGrid w:val="0"/>
        <w:spacing w:line="500" w:lineRule="exact"/>
        <w:rPr>
          <w:rFonts w:hint="eastAsia" w:ascii="仿宋" w:hAnsi="仿宋" w:eastAsia="仿宋" w:cs="仿宋"/>
          <w:sz w:val="21"/>
          <w:szCs w:val="21"/>
        </w:rPr>
      </w:pPr>
      <w:r>
        <w:rPr>
          <w:rFonts w:hint="eastAsia" w:ascii="仿宋" w:hAnsi="仿宋" w:eastAsia="仿宋" w:cs="仿宋"/>
          <w:sz w:val="24"/>
          <w:szCs w:val="28"/>
        </w:rPr>
        <w:br w:type="page"/>
      </w:r>
      <w:r>
        <w:rPr>
          <w:rFonts w:hint="eastAsia" w:ascii="仿宋" w:hAnsi="仿宋" w:eastAsia="仿宋" w:cs="仿宋"/>
          <w:sz w:val="21"/>
          <w:szCs w:val="21"/>
        </w:rPr>
        <w:t>注：各行业划型标准：</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仿宋" w:hAnsi="仿宋" w:eastAsia="仿宋" w:cs="仿宋"/>
          <w:sz w:val="32"/>
          <w:szCs w:val="44"/>
        </w:rPr>
      </w:pPr>
      <w:r>
        <w:rPr>
          <w:rFonts w:hint="eastAsia" w:ascii="仿宋" w:hAnsi="仿宋" w:eastAsia="仿宋" w:cs="仿宋"/>
        </w:rPr>
        <w:br w:type="page"/>
      </w:r>
      <w:r>
        <w:rPr>
          <w:rFonts w:hint="eastAsia" w:ascii="仿宋" w:hAnsi="仿宋" w:eastAsia="仿宋" w:cs="仿宋"/>
          <w:sz w:val="32"/>
          <w:szCs w:val="44"/>
        </w:rPr>
        <w:t>监狱企业证明文件</w:t>
      </w:r>
    </w:p>
    <w:p>
      <w:pPr>
        <w:tabs>
          <w:tab w:val="left" w:pos="6300"/>
        </w:tabs>
        <w:snapToGrid w:val="0"/>
        <w:spacing w:line="400" w:lineRule="exact"/>
        <w:ind w:firstLine="561"/>
        <w:jc w:val="left"/>
        <w:rPr>
          <w:rFonts w:hint="eastAsia" w:ascii="仿宋" w:hAnsi="仿宋" w:eastAsia="仿宋" w:cs="仿宋"/>
          <w:sz w:val="24"/>
          <w:szCs w:val="24"/>
        </w:rPr>
      </w:pPr>
      <w:r>
        <w:rPr>
          <w:rFonts w:hint="eastAsia" w:ascii="仿宋" w:hAnsi="仿宋" w:eastAsia="仿宋" w:cs="仿宋"/>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仿宋" w:hAnsi="仿宋" w:eastAsia="仿宋" w:cs="仿宋"/>
          <w:sz w:val="28"/>
          <w:szCs w:val="40"/>
        </w:rPr>
      </w:pPr>
      <w:r>
        <w:rPr>
          <w:rFonts w:hint="eastAsia" w:ascii="仿宋" w:hAnsi="仿宋" w:eastAsia="仿宋" w:cs="仿宋"/>
          <w:szCs w:val="28"/>
        </w:rPr>
        <w:br w:type="page"/>
      </w:r>
      <w:r>
        <w:rPr>
          <w:rFonts w:hint="eastAsia" w:ascii="仿宋" w:hAnsi="仿宋" w:eastAsia="仿宋" w:cs="仿宋"/>
          <w:sz w:val="28"/>
          <w:szCs w:val="40"/>
        </w:rPr>
        <w:t>残疾人福利性单位声明函</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tabs>
          <w:tab w:val="left" w:pos="6300"/>
        </w:tabs>
        <w:snapToGrid w:val="0"/>
        <w:spacing w:line="500" w:lineRule="exact"/>
        <w:ind w:firstLine="480" w:firstLineChars="200"/>
        <w:rPr>
          <w:rFonts w:hint="eastAsia" w:ascii="仿宋" w:hAnsi="仿宋" w:eastAsia="仿宋" w:cs="仿宋"/>
          <w:sz w:val="24"/>
        </w:rPr>
      </w:pPr>
    </w:p>
    <w:p>
      <w:pPr>
        <w:tabs>
          <w:tab w:val="left" w:pos="6300"/>
        </w:tabs>
        <w:snapToGrid w:val="0"/>
        <w:spacing w:line="500" w:lineRule="exact"/>
        <w:ind w:firstLine="480" w:firstLineChars="200"/>
        <w:rPr>
          <w:rFonts w:hint="eastAsia" w:ascii="仿宋" w:hAnsi="仿宋" w:eastAsia="仿宋" w:cs="仿宋"/>
          <w:sz w:val="24"/>
        </w:rPr>
      </w:pP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 xml:space="preserve">                                                 投标人名称（盖章）：</w:t>
      </w:r>
    </w:p>
    <w:p>
      <w:pPr>
        <w:tabs>
          <w:tab w:val="left" w:pos="6300"/>
        </w:tabs>
        <w:snapToGrid w:val="0"/>
        <w:spacing w:line="500" w:lineRule="exact"/>
        <w:ind w:firstLine="570"/>
        <w:jc w:val="left"/>
        <w:rPr>
          <w:rFonts w:hint="eastAsia" w:ascii="仿宋" w:hAnsi="仿宋" w:eastAsia="仿宋" w:cs="仿宋"/>
          <w:sz w:val="24"/>
        </w:rPr>
      </w:pPr>
      <w:r>
        <w:rPr>
          <w:rFonts w:hint="eastAsia" w:ascii="仿宋" w:hAnsi="仿宋" w:eastAsia="仿宋" w:cs="仿宋"/>
          <w:sz w:val="24"/>
        </w:rPr>
        <w:t xml:space="preserve">                                                日   期：</w:t>
      </w: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sz w:val="24"/>
        </w:rPr>
      </w:pPr>
    </w:p>
    <w:p>
      <w:pPr>
        <w:tabs>
          <w:tab w:val="left" w:pos="6300"/>
        </w:tabs>
        <w:snapToGrid w:val="0"/>
        <w:spacing w:line="500" w:lineRule="exact"/>
        <w:ind w:firstLine="570"/>
        <w:jc w:val="left"/>
        <w:rPr>
          <w:rFonts w:hint="eastAsia" w:ascii="仿宋" w:hAnsi="仿宋" w:eastAsia="仿宋" w:cs="仿宋"/>
        </w:rPr>
      </w:pPr>
      <w:r>
        <w:rPr>
          <w:rFonts w:hint="eastAsia" w:ascii="仿宋" w:hAnsi="仿宋" w:eastAsia="仿宋" w:cs="仿宋"/>
          <w:kern w:val="0"/>
          <w:sz w:val="24"/>
        </w:rPr>
        <w:t>若中标人为残疾人福利性单位的，将在结果公告时公告其《残疾人福利性单位声明函》。</w:t>
      </w:r>
    </w:p>
    <w:p>
      <w:pPr>
        <w:snapToGrid w:val="0"/>
        <w:spacing w:line="400" w:lineRule="exact"/>
        <w:rPr>
          <w:rFonts w:hint="eastAsia" w:ascii="方正仿宋_GBK" w:hAnsi="宋体" w:eastAsia="方正仿宋_GBK"/>
          <w:sz w:val="24"/>
          <w:szCs w:val="24"/>
        </w:rPr>
      </w:pPr>
    </w:p>
    <w:p>
      <w:pPr>
        <w:pStyle w:val="18"/>
        <w:rPr>
          <w:rFonts w:hint="eastAsia" w:ascii="方正仿宋_GBK" w:hAnsi="宋体" w:eastAsia="方正仿宋_GBK"/>
          <w:sz w:val="24"/>
          <w:szCs w:val="24"/>
        </w:rPr>
      </w:pPr>
    </w:p>
    <w:p>
      <w:pPr>
        <w:pStyle w:val="18"/>
        <w:rPr>
          <w:rFonts w:hint="eastAsia" w:ascii="方正仿宋_GBK" w:hAnsi="宋体" w:eastAsia="方正仿宋_GBK"/>
          <w:sz w:val="24"/>
          <w:szCs w:val="24"/>
        </w:rPr>
      </w:pPr>
    </w:p>
    <w:p>
      <w:pPr>
        <w:pStyle w:val="18"/>
        <w:rPr>
          <w:rFonts w:hint="eastAsia" w:ascii="方正仿宋_GBK" w:hAnsi="宋体" w:eastAsia="方正仿宋_GBK"/>
          <w:sz w:val="24"/>
          <w:szCs w:val="24"/>
        </w:rPr>
      </w:pPr>
    </w:p>
    <w:p>
      <w:pPr>
        <w:pStyle w:val="18"/>
        <w:rPr>
          <w:rFonts w:hint="eastAsia" w:ascii="方正仿宋_GBK" w:hAnsi="宋体" w:eastAsia="方正仿宋_GBK"/>
          <w:sz w:val="24"/>
          <w:szCs w:val="24"/>
        </w:rPr>
      </w:pPr>
    </w:p>
    <w:p>
      <w:pPr>
        <w:pStyle w:val="18"/>
        <w:rPr>
          <w:rFonts w:hint="eastAsia" w:ascii="方正仿宋_GBK" w:hAnsi="宋体" w:eastAsia="方正仿宋_GBK"/>
          <w:sz w:val="24"/>
          <w:szCs w:val="24"/>
        </w:rPr>
      </w:pP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）其他与项目有关的资料</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w:t>
      </w:r>
      <w:r>
        <w:rPr>
          <w:rFonts w:hint="eastAsia" w:ascii="方正仿宋_GBK" w:hAnsi="宋体" w:eastAsia="方正仿宋_GBK"/>
          <w:sz w:val="24"/>
          <w:szCs w:val="24"/>
          <w:lang w:eastAsia="zh-CN"/>
        </w:rPr>
        <w:t>投标人</w:t>
      </w:r>
      <w:r>
        <w:rPr>
          <w:rFonts w:hint="eastAsia" w:ascii="方正仿宋_GBK" w:hAnsi="宋体" w:eastAsia="方正仿宋_GBK"/>
          <w:sz w:val="24"/>
          <w:szCs w:val="24"/>
        </w:rPr>
        <w:t>总体情况介绍、其他与本项目有关的资料等。</w:t>
      </w:r>
    </w:p>
    <w:p>
      <w:pPr>
        <w:spacing w:line="360" w:lineRule="auto"/>
        <w:ind w:firstLine="480" w:firstLineChars="200"/>
        <w:rPr>
          <w:rFonts w:ascii="方正仿宋_GBK" w:hAnsi="宋体" w:eastAsia="方正仿宋_GBK"/>
          <w:sz w:val="24"/>
          <w:szCs w:val="24"/>
        </w:rPr>
      </w:pPr>
    </w:p>
    <w:p>
      <w:pPr>
        <w:widowControl/>
        <w:jc w:val="left"/>
        <w:rPr>
          <w:rFonts w:hint="eastAsia" w:ascii="仿宋" w:hAnsi="仿宋" w:eastAsia="仿宋"/>
          <w:sz w:val="24"/>
          <w:szCs w:val="24"/>
        </w:rPr>
      </w:pPr>
    </w:p>
    <w:p>
      <w:pPr>
        <w:widowControl/>
        <w:jc w:val="left"/>
        <w:rPr>
          <w:rFonts w:hint="eastAsia" w:ascii="仿宋" w:hAnsi="仿宋" w:eastAsia="仿宋"/>
          <w:sz w:val="24"/>
          <w:szCs w:val="24"/>
        </w:rPr>
      </w:pPr>
    </w:p>
    <w:p>
      <w:pPr>
        <w:widowControl/>
        <w:jc w:val="left"/>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p>
    <w:p>
      <w:pPr>
        <w:widowControl/>
        <w:jc w:val="center"/>
        <w:rPr>
          <w:rFonts w:hint="eastAsia" w:ascii="仿宋" w:hAnsi="仿宋" w:eastAsia="仿宋"/>
          <w:sz w:val="24"/>
          <w:szCs w:val="24"/>
        </w:rPr>
      </w:pPr>
      <w:r>
        <w:rPr>
          <w:rFonts w:hint="eastAsia" w:ascii="仿宋" w:hAnsi="仿宋" w:eastAsia="仿宋"/>
          <w:sz w:val="24"/>
          <w:szCs w:val="24"/>
        </w:rPr>
        <w:t>（结束）</w:t>
      </w:r>
    </w:p>
    <w:p>
      <w:pPr>
        <w:tabs>
          <w:tab w:val="left" w:pos="6300"/>
        </w:tabs>
        <w:snapToGrid w:val="0"/>
        <w:spacing w:line="312" w:lineRule="auto"/>
        <w:ind w:right="480" w:firstLine="570"/>
        <w:jc w:val="center"/>
        <w:rPr>
          <w:rFonts w:hint="default" w:ascii="Times New Roman" w:hAnsi="Times New Roman" w:cs="Times New Roman"/>
          <w:color w:val="auto"/>
        </w:rPr>
      </w:pP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path/>
          <v:fill on="f" focussize="0,0"/>
          <v:stroke on="f" weight="0.5pt" joinstyle="miter"/>
          <v:imagedata o:title=""/>
          <o:lock v:ext="edit"/>
          <v:textbox inset="0mm,0mm,0mm,0mm" style="mso-fit-shape-to-text:t;">
            <w:txbxContent>
              <w:p>
                <w:pPr>
                  <w:pStyle w:val="39"/>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- 1 -</w:t>
                </w:r>
                <w:r>
                  <w:rPr>
                    <w:rFonts w:hint="eastAsia"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sz w:val="21"/>
        <w:szCs w:val="21"/>
      </w:rPr>
    </w:pPr>
    <w:r>
      <w:rPr>
        <w:sz w:val="21"/>
      </w:rPr>
      <w:pict>
        <v:shape id="文本框 5"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rPr>
                    <w:rFonts w:hint="eastAsia"/>
                  </w:rPr>
                  <w:t>- 20 -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pict>
        <v:shape id="_x0000_s3075" o:spid="_x0000_s3075"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KkUuzQAAAA&#10;AwEAAA8AAAAAAAAAAQAgAAAAIgAAAGRycy9kb3ducmV2LnhtbFBLAQIUABQAAAAIAIdO4kCuxc8a&#10;7AEAALUDAAAOAAAAAAAAAAEAIAAAAB8BAABkcnMvZTJvRG9jLnhtbFBLBQYAAAAABgAGAFkBAAB9&#10;BQAAAAA=&#10;">
          <v:path/>
          <v:fill on="f" focussize="0,0"/>
          <v:stroke on="f" joinstyle="miter"/>
          <v:imagedata o:title=""/>
          <o:lock v:ext="edit"/>
          <v:textbox inset="0mm,0mm,0mm,0mm" style="mso-fit-shape-to-text:t;">
            <w:txbxContent>
              <w:p>
                <w:pPr>
                  <w:pStyle w:val="39"/>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6F04C"/>
    <w:multiLevelType w:val="singleLevel"/>
    <w:tmpl w:val="A216F04C"/>
    <w:lvl w:ilvl="0" w:tentative="0">
      <w:start w:val="5"/>
      <w:numFmt w:val="chineseCounting"/>
      <w:suff w:val="nothing"/>
      <w:lvlText w:val="%1、"/>
      <w:lvlJc w:val="left"/>
      <w:rPr>
        <w:rFonts w:hint="eastAsia"/>
      </w:rPr>
    </w:lvl>
  </w:abstractNum>
  <w:abstractNum w:abstractNumId="1">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136"/>
      <w:lvlText w:val=""/>
      <w:lvlJc w:val="left"/>
      <w:pPr>
        <w:tabs>
          <w:tab w:val="left" w:pos="360"/>
        </w:tabs>
        <w:ind w:left="360" w:hanging="360"/>
      </w:pPr>
      <w:rPr>
        <w:rFonts w:hint="default" w:ascii="Wingdings" w:hAnsi="Wingdings"/>
      </w:rPr>
    </w:lvl>
  </w:abstractNum>
  <w:abstractNum w:abstractNumId="3">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6"/>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F"/>
    <w:multiLevelType w:val="multilevel"/>
    <w:tmpl w:val="0000000F"/>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8">
    <w:nsid w:val="00000011"/>
    <w:multiLevelType w:val="singleLevel"/>
    <w:tmpl w:val="00000011"/>
    <w:lvl w:ilvl="0" w:tentative="0">
      <w:start w:val="1"/>
      <w:numFmt w:val="decimal"/>
      <w:pStyle w:val="19"/>
      <w:lvlText w:val="%1."/>
      <w:lvlJc w:val="left"/>
      <w:pPr>
        <w:tabs>
          <w:tab w:val="left" w:pos="425"/>
        </w:tabs>
        <w:ind w:left="425" w:hanging="425"/>
      </w:pPr>
      <w:rPr>
        <w:rFonts w:hint="default"/>
      </w:rPr>
    </w:lvl>
  </w:abstractNum>
  <w:abstractNum w:abstractNumId="9">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1">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2">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764E4D"/>
    <w:multiLevelType w:val="multilevel"/>
    <w:tmpl w:val="00764E4D"/>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035FAAF3"/>
    <w:multiLevelType w:val="singleLevel"/>
    <w:tmpl w:val="035FAAF3"/>
    <w:lvl w:ilvl="0" w:tentative="0">
      <w:start w:val="3"/>
      <w:numFmt w:val="chineseCounting"/>
      <w:suff w:val="nothing"/>
      <w:lvlText w:val="（%1）"/>
      <w:lvlJc w:val="left"/>
      <w:rPr>
        <w:rFonts w:hint="eastAsia"/>
      </w:rPr>
    </w:lvl>
  </w:abstractNum>
  <w:abstractNum w:abstractNumId="15">
    <w:nsid w:val="074E7987"/>
    <w:multiLevelType w:val="multilevel"/>
    <w:tmpl w:val="074E7987"/>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28633DC"/>
    <w:multiLevelType w:val="multilevel"/>
    <w:tmpl w:val="228633DC"/>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11E2F01"/>
    <w:multiLevelType w:val="multilevel"/>
    <w:tmpl w:val="511E2F01"/>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3CC4DDB"/>
    <w:multiLevelType w:val="multilevel"/>
    <w:tmpl w:val="63CC4DDB"/>
    <w:lvl w:ilvl="0" w:tentative="0">
      <w:start w:val="1"/>
      <w:numFmt w:val="decimal"/>
      <w:suff w:val="nothing"/>
      <w:lvlText w:val="%1."/>
      <w:lvlJc w:val="left"/>
      <w:pPr>
        <w:ind w:left="21" w:firstLine="0"/>
      </w:pPr>
      <w:rPr>
        <w:rFonts w:hint="default"/>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1"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9">
    <w:nsid w:val="78302184"/>
    <w:multiLevelType w:val="multilevel"/>
    <w:tmpl w:val="7830218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8"/>
  </w:num>
  <w:num w:numId="2">
    <w:abstractNumId w:val="4"/>
  </w:num>
  <w:num w:numId="3">
    <w:abstractNumId w:val="10"/>
  </w:num>
  <w:num w:numId="4">
    <w:abstractNumId w:val="6"/>
  </w:num>
  <w:num w:numId="5">
    <w:abstractNumId w:val="2"/>
  </w:num>
  <w:num w:numId="6">
    <w:abstractNumId w:val="9"/>
  </w:num>
  <w:num w:numId="7">
    <w:abstractNumId w:val="11"/>
  </w:num>
  <w:num w:numId="8">
    <w:abstractNumId w:val="3"/>
  </w:num>
  <w:num w:numId="9">
    <w:abstractNumId w:val="7"/>
  </w:num>
  <w:num w:numId="10">
    <w:abstractNumId w:val="12"/>
  </w:num>
  <w:num w:numId="11">
    <w:abstractNumId w:val="1"/>
  </w:num>
  <w:num w:numId="12">
    <w:abstractNumId w:val="5"/>
  </w:num>
  <w:num w:numId="13">
    <w:abstractNumId w:val="17"/>
  </w:num>
  <w:num w:numId="14">
    <w:abstractNumId w:val="15"/>
  </w:num>
  <w:num w:numId="15">
    <w:abstractNumId w:val="14"/>
  </w:num>
  <w:num w:numId="16">
    <w:abstractNumId w:val="16"/>
  </w:num>
  <w:num w:numId="17">
    <w:abstractNumId w:val="19"/>
  </w:num>
  <w:num w:numId="18">
    <w:abstractNumId w:val="1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44C9"/>
    <w:rsid w:val="0002088C"/>
    <w:rsid w:val="00027362"/>
    <w:rsid w:val="00033DAB"/>
    <w:rsid w:val="000370BC"/>
    <w:rsid w:val="00042D13"/>
    <w:rsid w:val="000547C2"/>
    <w:rsid w:val="00056A6E"/>
    <w:rsid w:val="00072CEF"/>
    <w:rsid w:val="0008422C"/>
    <w:rsid w:val="00085849"/>
    <w:rsid w:val="000944F2"/>
    <w:rsid w:val="000E232C"/>
    <w:rsid w:val="000E3326"/>
    <w:rsid w:val="0011647C"/>
    <w:rsid w:val="00116BB6"/>
    <w:rsid w:val="00117275"/>
    <w:rsid w:val="001173E3"/>
    <w:rsid w:val="001306AD"/>
    <w:rsid w:val="001435CF"/>
    <w:rsid w:val="001445A2"/>
    <w:rsid w:val="0015070D"/>
    <w:rsid w:val="00151034"/>
    <w:rsid w:val="0015525F"/>
    <w:rsid w:val="00165915"/>
    <w:rsid w:val="00166EEA"/>
    <w:rsid w:val="00172A27"/>
    <w:rsid w:val="001765E3"/>
    <w:rsid w:val="00186835"/>
    <w:rsid w:val="00192985"/>
    <w:rsid w:val="001A3E64"/>
    <w:rsid w:val="001D3076"/>
    <w:rsid w:val="001F6D79"/>
    <w:rsid w:val="001F74AE"/>
    <w:rsid w:val="002122FC"/>
    <w:rsid w:val="0021327B"/>
    <w:rsid w:val="0021595A"/>
    <w:rsid w:val="00223B9B"/>
    <w:rsid w:val="0022691C"/>
    <w:rsid w:val="0025287C"/>
    <w:rsid w:val="002676F5"/>
    <w:rsid w:val="00297EC4"/>
    <w:rsid w:val="002B0676"/>
    <w:rsid w:val="002C5C8A"/>
    <w:rsid w:val="002C7EDF"/>
    <w:rsid w:val="002F2847"/>
    <w:rsid w:val="002F5C86"/>
    <w:rsid w:val="0031318B"/>
    <w:rsid w:val="00313FC6"/>
    <w:rsid w:val="00314FE1"/>
    <w:rsid w:val="0031623A"/>
    <w:rsid w:val="00316DF3"/>
    <w:rsid w:val="00330491"/>
    <w:rsid w:val="003332D6"/>
    <w:rsid w:val="0033562A"/>
    <w:rsid w:val="003453EB"/>
    <w:rsid w:val="003609C0"/>
    <w:rsid w:val="00363A72"/>
    <w:rsid w:val="003876E3"/>
    <w:rsid w:val="003878EB"/>
    <w:rsid w:val="003A0967"/>
    <w:rsid w:val="003B48D3"/>
    <w:rsid w:val="003C1557"/>
    <w:rsid w:val="003C4105"/>
    <w:rsid w:val="003E69B4"/>
    <w:rsid w:val="003E7CAB"/>
    <w:rsid w:val="003F7078"/>
    <w:rsid w:val="00421287"/>
    <w:rsid w:val="0043243B"/>
    <w:rsid w:val="004569BA"/>
    <w:rsid w:val="00460545"/>
    <w:rsid w:val="00463661"/>
    <w:rsid w:val="00483789"/>
    <w:rsid w:val="00493794"/>
    <w:rsid w:val="00495D1A"/>
    <w:rsid w:val="0049754E"/>
    <w:rsid w:val="004A1198"/>
    <w:rsid w:val="004A2061"/>
    <w:rsid w:val="004B23DC"/>
    <w:rsid w:val="004B2801"/>
    <w:rsid w:val="004B4D5B"/>
    <w:rsid w:val="004C55B8"/>
    <w:rsid w:val="004D7BC1"/>
    <w:rsid w:val="004F21C8"/>
    <w:rsid w:val="00507899"/>
    <w:rsid w:val="005106F8"/>
    <w:rsid w:val="00521F48"/>
    <w:rsid w:val="00531162"/>
    <w:rsid w:val="00534C4A"/>
    <w:rsid w:val="00536013"/>
    <w:rsid w:val="00537A61"/>
    <w:rsid w:val="00544AC9"/>
    <w:rsid w:val="0055266E"/>
    <w:rsid w:val="0055762B"/>
    <w:rsid w:val="00562F84"/>
    <w:rsid w:val="00580744"/>
    <w:rsid w:val="005868A6"/>
    <w:rsid w:val="00590601"/>
    <w:rsid w:val="005C530A"/>
    <w:rsid w:val="005C7A84"/>
    <w:rsid w:val="005F22A3"/>
    <w:rsid w:val="005F4E8C"/>
    <w:rsid w:val="00625F79"/>
    <w:rsid w:val="00637213"/>
    <w:rsid w:val="00643888"/>
    <w:rsid w:val="006452FB"/>
    <w:rsid w:val="0065313C"/>
    <w:rsid w:val="00653442"/>
    <w:rsid w:val="00657640"/>
    <w:rsid w:val="00661651"/>
    <w:rsid w:val="00664DC0"/>
    <w:rsid w:val="00667DF3"/>
    <w:rsid w:val="00675CDE"/>
    <w:rsid w:val="006802F3"/>
    <w:rsid w:val="006A2801"/>
    <w:rsid w:val="006A3401"/>
    <w:rsid w:val="006C1EC9"/>
    <w:rsid w:val="006C353F"/>
    <w:rsid w:val="006C7CD3"/>
    <w:rsid w:val="006F00EE"/>
    <w:rsid w:val="00723BC4"/>
    <w:rsid w:val="007309D6"/>
    <w:rsid w:val="00731090"/>
    <w:rsid w:val="007442A0"/>
    <w:rsid w:val="00755658"/>
    <w:rsid w:val="00773049"/>
    <w:rsid w:val="00791D34"/>
    <w:rsid w:val="007A3A16"/>
    <w:rsid w:val="007C5E80"/>
    <w:rsid w:val="007D3B38"/>
    <w:rsid w:val="007D57AF"/>
    <w:rsid w:val="007E13BD"/>
    <w:rsid w:val="007E1D36"/>
    <w:rsid w:val="007F2A53"/>
    <w:rsid w:val="007F31EC"/>
    <w:rsid w:val="007F7BC2"/>
    <w:rsid w:val="00800C37"/>
    <w:rsid w:val="00814E6F"/>
    <w:rsid w:val="00854CC0"/>
    <w:rsid w:val="00854ED3"/>
    <w:rsid w:val="00872901"/>
    <w:rsid w:val="008825DA"/>
    <w:rsid w:val="008953BF"/>
    <w:rsid w:val="008A205B"/>
    <w:rsid w:val="008F1F63"/>
    <w:rsid w:val="008F3680"/>
    <w:rsid w:val="009261F0"/>
    <w:rsid w:val="009302D1"/>
    <w:rsid w:val="00932EC3"/>
    <w:rsid w:val="00936181"/>
    <w:rsid w:val="00936197"/>
    <w:rsid w:val="00940646"/>
    <w:rsid w:val="009415FC"/>
    <w:rsid w:val="00942971"/>
    <w:rsid w:val="009570EF"/>
    <w:rsid w:val="00962AED"/>
    <w:rsid w:val="009710AF"/>
    <w:rsid w:val="009734AC"/>
    <w:rsid w:val="0097589B"/>
    <w:rsid w:val="0099728C"/>
    <w:rsid w:val="009A317C"/>
    <w:rsid w:val="009A770F"/>
    <w:rsid w:val="009B4011"/>
    <w:rsid w:val="009C183F"/>
    <w:rsid w:val="009C25EB"/>
    <w:rsid w:val="009C273F"/>
    <w:rsid w:val="009C65D3"/>
    <w:rsid w:val="009E62CD"/>
    <w:rsid w:val="009F5836"/>
    <w:rsid w:val="00A06259"/>
    <w:rsid w:val="00A3078D"/>
    <w:rsid w:val="00A3789D"/>
    <w:rsid w:val="00A56F1E"/>
    <w:rsid w:val="00A614CD"/>
    <w:rsid w:val="00A757A0"/>
    <w:rsid w:val="00A9133B"/>
    <w:rsid w:val="00A96F76"/>
    <w:rsid w:val="00AB31B8"/>
    <w:rsid w:val="00AC755D"/>
    <w:rsid w:val="00AF3E34"/>
    <w:rsid w:val="00B000A7"/>
    <w:rsid w:val="00B01F29"/>
    <w:rsid w:val="00B2107B"/>
    <w:rsid w:val="00B3337A"/>
    <w:rsid w:val="00B34334"/>
    <w:rsid w:val="00B43355"/>
    <w:rsid w:val="00B54BCD"/>
    <w:rsid w:val="00B60CC0"/>
    <w:rsid w:val="00B60F1F"/>
    <w:rsid w:val="00B730A8"/>
    <w:rsid w:val="00BA1F2C"/>
    <w:rsid w:val="00BA675B"/>
    <w:rsid w:val="00BB3E0F"/>
    <w:rsid w:val="00BB3F7A"/>
    <w:rsid w:val="00BC33AF"/>
    <w:rsid w:val="00BC4AF6"/>
    <w:rsid w:val="00BC4CA6"/>
    <w:rsid w:val="00BD5A39"/>
    <w:rsid w:val="00BF23A8"/>
    <w:rsid w:val="00BF771D"/>
    <w:rsid w:val="00C14479"/>
    <w:rsid w:val="00C33431"/>
    <w:rsid w:val="00C34570"/>
    <w:rsid w:val="00C40F38"/>
    <w:rsid w:val="00C41250"/>
    <w:rsid w:val="00C61E82"/>
    <w:rsid w:val="00C909A2"/>
    <w:rsid w:val="00CB1FB6"/>
    <w:rsid w:val="00CB2018"/>
    <w:rsid w:val="00CB395B"/>
    <w:rsid w:val="00CC15A7"/>
    <w:rsid w:val="00CC4F85"/>
    <w:rsid w:val="00CD2071"/>
    <w:rsid w:val="00CD410E"/>
    <w:rsid w:val="00CD444E"/>
    <w:rsid w:val="00CF431F"/>
    <w:rsid w:val="00CF7505"/>
    <w:rsid w:val="00D21D58"/>
    <w:rsid w:val="00D226A5"/>
    <w:rsid w:val="00D2377C"/>
    <w:rsid w:val="00D40159"/>
    <w:rsid w:val="00D858CC"/>
    <w:rsid w:val="00DA4850"/>
    <w:rsid w:val="00DB7F38"/>
    <w:rsid w:val="00DF02E6"/>
    <w:rsid w:val="00E2740B"/>
    <w:rsid w:val="00E40564"/>
    <w:rsid w:val="00E45B7C"/>
    <w:rsid w:val="00E46A0A"/>
    <w:rsid w:val="00E524C4"/>
    <w:rsid w:val="00E54E2D"/>
    <w:rsid w:val="00E670E8"/>
    <w:rsid w:val="00E863F1"/>
    <w:rsid w:val="00EB5049"/>
    <w:rsid w:val="00EC3F92"/>
    <w:rsid w:val="00EF60F7"/>
    <w:rsid w:val="00F10101"/>
    <w:rsid w:val="00F35076"/>
    <w:rsid w:val="00F358D3"/>
    <w:rsid w:val="00F64CAA"/>
    <w:rsid w:val="00F710AC"/>
    <w:rsid w:val="00F746A5"/>
    <w:rsid w:val="00F87608"/>
    <w:rsid w:val="00F91500"/>
    <w:rsid w:val="00FC7767"/>
    <w:rsid w:val="00FD14FB"/>
    <w:rsid w:val="01100CCB"/>
    <w:rsid w:val="013951B2"/>
    <w:rsid w:val="016310BC"/>
    <w:rsid w:val="016D3F75"/>
    <w:rsid w:val="018969AD"/>
    <w:rsid w:val="01AE38A6"/>
    <w:rsid w:val="01D21059"/>
    <w:rsid w:val="01D73AE5"/>
    <w:rsid w:val="01FD0FB1"/>
    <w:rsid w:val="01FE4CB3"/>
    <w:rsid w:val="021E097D"/>
    <w:rsid w:val="0251214D"/>
    <w:rsid w:val="027207DC"/>
    <w:rsid w:val="02970AFB"/>
    <w:rsid w:val="037E4C75"/>
    <w:rsid w:val="037E7CB9"/>
    <w:rsid w:val="0444584B"/>
    <w:rsid w:val="05940243"/>
    <w:rsid w:val="05B0207F"/>
    <w:rsid w:val="06540C8D"/>
    <w:rsid w:val="06AB3DE8"/>
    <w:rsid w:val="06B62E36"/>
    <w:rsid w:val="07610150"/>
    <w:rsid w:val="07DE054B"/>
    <w:rsid w:val="080C6E48"/>
    <w:rsid w:val="086F055E"/>
    <w:rsid w:val="08A41DA7"/>
    <w:rsid w:val="08ED3546"/>
    <w:rsid w:val="094A4FEB"/>
    <w:rsid w:val="096C20DD"/>
    <w:rsid w:val="09FD6C8B"/>
    <w:rsid w:val="0A3231D4"/>
    <w:rsid w:val="0B4519E8"/>
    <w:rsid w:val="0BAA1613"/>
    <w:rsid w:val="0BC16E1D"/>
    <w:rsid w:val="0C4658D4"/>
    <w:rsid w:val="0D5D3EB2"/>
    <w:rsid w:val="0D9E262E"/>
    <w:rsid w:val="0DC84DD7"/>
    <w:rsid w:val="0E363CE1"/>
    <w:rsid w:val="0E3E4819"/>
    <w:rsid w:val="0EA03929"/>
    <w:rsid w:val="0EDE1F2F"/>
    <w:rsid w:val="0EFE3F6B"/>
    <w:rsid w:val="0F0675D5"/>
    <w:rsid w:val="101E0686"/>
    <w:rsid w:val="102F78E6"/>
    <w:rsid w:val="112D3FA6"/>
    <w:rsid w:val="116F3E6A"/>
    <w:rsid w:val="11836386"/>
    <w:rsid w:val="12152472"/>
    <w:rsid w:val="124427AF"/>
    <w:rsid w:val="131E4A2A"/>
    <w:rsid w:val="13B5281A"/>
    <w:rsid w:val="142523D7"/>
    <w:rsid w:val="14406CFF"/>
    <w:rsid w:val="149B0B07"/>
    <w:rsid w:val="14FD3040"/>
    <w:rsid w:val="1570707F"/>
    <w:rsid w:val="157F749E"/>
    <w:rsid w:val="16267AFC"/>
    <w:rsid w:val="16B12C8B"/>
    <w:rsid w:val="17AD27FA"/>
    <w:rsid w:val="17BB1375"/>
    <w:rsid w:val="1978782B"/>
    <w:rsid w:val="19795CB4"/>
    <w:rsid w:val="19D160FF"/>
    <w:rsid w:val="19E83EB6"/>
    <w:rsid w:val="1A5955AD"/>
    <w:rsid w:val="1A5F5D9A"/>
    <w:rsid w:val="1A8B72DB"/>
    <w:rsid w:val="1AAA5B1A"/>
    <w:rsid w:val="1AE0790E"/>
    <w:rsid w:val="1B2F6B16"/>
    <w:rsid w:val="1BB64AA7"/>
    <w:rsid w:val="1BD53D11"/>
    <w:rsid w:val="1C0E01AF"/>
    <w:rsid w:val="1C185C54"/>
    <w:rsid w:val="1D2D49BC"/>
    <w:rsid w:val="1D453886"/>
    <w:rsid w:val="1D8E1D2D"/>
    <w:rsid w:val="1EA0330E"/>
    <w:rsid w:val="1F1154AA"/>
    <w:rsid w:val="1FE05259"/>
    <w:rsid w:val="201669F0"/>
    <w:rsid w:val="20A11167"/>
    <w:rsid w:val="21BB448D"/>
    <w:rsid w:val="22263E6B"/>
    <w:rsid w:val="229C1639"/>
    <w:rsid w:val="23040855"/>
    <w:rsid w:val="23AA2A97"/>
    <w:rsid w:val="23D50B61"/>
    <w:rsid w:val="24D1487C"/>
    <w:rsid w:val="257A0953"/>
    <w:rsid w:val="25A043DD"/>
    <w:rsid w:val="261F09DA"/>
    <w:rsid w:val="262D3F52"/>
    <w:rsid w:val="27122884"/>
    <w:rsid w:val="271C7306"/>
    <w:rsid w:val="272F494C"/>
    <w:rsid w:val="274E0B83"/>
    <w:rsid w:val="280E4301"/>
    <w:rsid w:val="28294D0B"/>
    <w:rsid w:val="28A70401"/>
    <w:rsid w:val="28B56949"/>
    <w:rsid w:val="2907358A"/>
    <w:rsid w:val="291F6272"/>
    <w:rsid w:val="29852ACB"/>
    <w:rsid w:val="29DD7D26"/>
    <w:rsid w:val="2A71678A"/>
    <w:rsid w:val="2A9A00C1"/>
    <w:rsid w:val="2AF5024D"/>
    <w:rsid w:val="2BAF1AEB"/>
    <w:rsid w:val="2BE17E1B"/>
    <w:rsid w:val="2C45578B"/>
    <w:rsid w:val="2CB020CA"/>
    <w:rsid w:val="2CC054DB"/>
    <w:rsid w:val="2CC66679"/>
    <w:rsid w:val="2D6C5C0B"/>
    <w:rsid w:val="2E4E7B00"/>
    <w:rsid w:val="2F6D6ABE"/>
    <w:rsid w:val="2FC64A03"/>
    <w:rsid w:val="2FF276D5"/>
    <w:rsid w:val="30B9513F"/>
    <w:rsid w:val="316C39B8"/>
    <w:rsid w:val="316D1454"/>
    <w:rsid w:val="31D874D8"/>
    <w:rsid w:val="32426E0E"/>
    <w:rsid w:val="336A3B2B"/>
    <w:rsid w:val="33881B22"/>
    <w:rsid w:val="348A413D"/>
    <w:rsid w:val="34CC3626"/>
    <w:rsid w:val="34CE21B2"/>
    <w:rsid w:val="34F1730C"/>
    <w:rsid w:val="365E15E5"/>
    <w:rsid w:val="382F37D6"/>
    <w:rsid w:val="38306F62"/>
    <w:rsid w:val="383411C7"/>
    <w:rsid w:val="388222A4"/>
    <w:rsid w:val="39435202"/>
    <w:rsid w:val="39574F6A"/>
    <w:rsid w:val="3958520B"/>
    <w:rsid w:val="399C0DA2"/>
    <w:rsid w:val="39D961DF"/>
    <w:rsid w:val="3B600610"/>
    <w:rsid w:val="3BCC78F9"/>
    <w:rsid w:val="3D1D3508"/>
    <w:rsid w:val="3D714670"/>
    <w:rsid w:val="3D781643"/>
    <w:rsid w:val="3E394C6F"/>
    <w:rsid w:val="3E9E2773"/>
    <w:rsid w:val="3EAE3CD7"/>
    <w:rsid w:val="3EDB7D99"/>
    <w:rsid w:val="3F6E75E5"/>
    <w:rsid w:val="3FCD46EF"/>
    <w:rsid w:val="3FE47490"/>
    <w:rsid w:val="40E85C70"/>
    <w:rsid w:val="411B1F4A"/>
    <w:rsid w:val="412633B5"/>
    <w:rsid w:val="414233A4"/>
    <w:rsid w:val="41480160"/>
    <w:rsid w:val="414F5E22"/>
    <w:rsid w:val="41DC266C"/>
    <w:rsid w:val="41F23820"/>
    <w:rsid w:val="421030C4"/>
    <w:rsid w:val="42B03012"/>
    <w:rsid w:val="431C0E79"/>
    <w:rsid w:val="43260821"/>
    <w:rsid w:val="43550DC9"/>
    <w:rsid w:val="43931BFB"/>
    <w:rsid w:val="442E2AF0"/>
    <w:rsid w:val="44AA3B3A"/>
    <w:rsid w:val="44D6354E"/>
    <w:rsid w:val="45FB04BF"/>
    <w:rsid w:val="45FB4474"/>
    <w:rsid w:val="46100A7C"/>
    <w:rsid w:val="46226C37"/>
    <w:rsid w:val="4738131E"/>
    <w:rsid w:val="47B228CD"/>
    <w:rsid w:val="485C3E93"/>
    <w:rsid w:val="487C5DFA"/>
    <w:rsid w:val="48F036EF"/>
    <w:rsid w:val="49A12921"/>
    <w:rsid w:val="4A030867"/>
    <w:rsid w:val="4A1C78A8"/>
    <w:rsid w:val="4A5257AC"/>
    <w:rsid w:val="4A87362B"/>
    <w:rsid w:val="4B2D3583"/>
    <w:rsid w:val="4B3C1EBE"/>
    <w:rsid w:val="4B770076"/>
    <w:rsid w:val="4B805EC8"/>
    <w:rsid w:val="4BC9209C"/>
    <w:rsid w:val="4C1407D8"/>
    <w:rsid w:val="4C37731C"/>
    <w:rsid w:val="4C3E2C77"/>
    <w:rsid w:val="4C4C7F57"/>
    <w:rsid w:val="4D00725C"/>
    <w:rsid w:val="4DE97A91"/>
    <w:rsid w:val="4E99569F"/>
    <w:rsid w:val="4EA663E1"/>
    <w:rsid w:val="4EFF662F"/>
    <w:rsid w:val="4F4D261C"/>
    <w:rsid w:val="4F4F3146"/>
    <w:rsid w:val="51050067"/>
    <w:rsid w:val="513F3025"/>
    <w:rsid w:val="515815CB"/>
    <w:rsid w:val="515B7987"/>
    <w:rsid w:val="5371346E"/>
    <w:rsid w:val="53B875E8"/>
    <w:rsid w:val="54846C40"/>
    <w:rsid w:val="55294091"/>
    <w:rsid w:val="56053A4B"/>
    <w:rsid w:val="56075756"/>
    <w:rsid w:val="573078C2"/>
    <w:rsid w:val="58072490"/>
    <w:rsid w:val="5A691604"/>
    <w:rsid w:val="5A9515D1"/>
    <w:rsid w:val="5B8C0E98"/>
    <w:rsid w:val="5CB903C6"/>
    <w:rsid w:val="5D435053"/>
    <w:rsid w:val="5D7D25FF"/>
    <w:rsid w:val="5D92191A"/>
    <w:rsid w:val="5E4B1447"/>
    <w:rsid w:val="5E5B49EA"/>
    <w:rsid w:val="5E7B1F3B"/>
    <w:rsid w:val="5EE37DEE"/>
    <w:rsid w:val="5F207070"/>
    <w:rsid w:val="5F5D58B9"/>
    <w:rsid w:val="5F9B6A94"/>
    <w:rsid w:val="602C3ED8"/>
    <w:rsid w:val="60E360FE"/>
    <w:rsid w:val="611764F8"/>
    <w:rsid w:val="62941EAD"/>
    <w:rsid w:val="62D937C2"/>
    <w:rsid w:val="630F0CBF"/>
    <w:rsid w:val="63330D05"/>
    <w:rsid w:val="63422879"/>
    <w:rsid w:val="637569D5"/>
    <w:rsid w:val="639635F7"/>
    <w:rsid w:val="64695388"/>
    <w:rsid w:val="64C54EBB"/>
    <w:rsid w:val="64DC16BC"/>
    <w:rsid w:val="65304114"/>
    <w:rsid w:val="65572206"/>
    <w:rsid w:val="65F91B55"/>
    <w:rsid w:val="66360FD5"/>
    <w:rsid w:val="664D19AF"/>
    <w:rsid w:val="665407B4"/>
    <w:rsid w:val="66695183"/>
    <w:rsid w:val="66BF5E53"/>
    <w:rsid w:val="66CB1616"/>
    <w:rsid w:val="670070A4"/>
    <w:rsid w:val="67762247"/>
    <w:rsid w:val="67871CEE"/>
    <w:rsid w:val="67B15328"/>
    <w:rsid w:val="67E90B32"/>
    <w:rsid w:val="68040B84"/>
    <w:rsid w:val="68515E40"/>
    <w:rsid w:val="68C32588"/>
    <w:rsid w:val="695E1870"/>
    <w:rsid w:val="69F359E5"/>
    <w:rsid w:val="6A5E6917"/>
    <w:rsid w:val="6A954FAB"/>
    <w:rsid w:val="6AA76A8C"/>
    <w:rsid w:val="6AAA3A1D"/>
    <w:rsid w:val="6AD920F3"/>
    <w:rsid w:val="6AF834DA"/>
    <w:rsid w:val="6B083B8D"/>
    <w:rsid w:val="6B231A85"/>
    <w:rsid w:val="6B5B4ED7"/>
    <w:rsid w:val="6B7F6A60"/>
    <w:rsid w:val="6C5E1139"/>
    <w:rsid w:val="6CA62388"/>
    <w:rsid w:val="6CC67A8B"/>
    <w:rsid w:val="6CFF2925"/>
    <w:rsid w:val="6E692AA5"/>
    <w:rsid w:val="6EBF2DBA"/>
    <w:rsid w:val="6EF117F1"/>
    <w:rsid w:val="6F2D6FA4"/>
    <w:rsid w:val="6F4450C7"/>
    <w:rsid w:val="6FEF279B"/>
    <w:rsid w:val="706A2C3F"/>
    <w:rsid w:val="707C570D"/>
    <w:rsid w:val="70D10DCF"/>
    <w:rsid w:val="710D74EA"/>
    <w:rsid w:val="71287CA7"/>
    <w:rsid w:val="71595B5A"/>
    <w:rsid w:val="7183443D"/>
    <w:rsid w:val="72242290"/>
    <w:rsid w:val="72B91878"/>
    <w:rsid w:val="72E564E0"/>
    <w:rsid w:val="732E5D58"/>
    <w:rsid w:val="73C32DB2"/>
    <w:rsid w:val="741C5DC8"/>
    <w:rsid w:val="74572626"/>
    <w:rsid w:val="751E519F"/>
    <w:rsid w:val="75272BFC"/>
    <w:rsid w:val="75BE582C"/>
    <w:rsid w:val="75D434EA"/>
    <w:rsid w:val="769E240F"/>
    <w:rsid w:val="76DB3120"/>
    <w:rsid w:val="781130D5"/>
    <w:rsid w:val="78E452DA"/>
    <w:rsid w:val="78FB2F22"/>
    <w:rsid w:val="7927265A"/>
    <w:rsid w:val="793C5D8D"/>
    <w:rsid w:val="7A523335"/>
    <w:rsid w:val="7AC97F16"/>
    <w:rsid w:val="7AD35E82"/>
    <w:rsid w:val="7B214D90"/>
    <w:rsid w:val="7BBB54A7"/>
    <w:rsid w:val="7CC66261"/>
    <w:rsid w:val="7CFD4DA4"/>
    <w:rsid w:val="7D542F12"/>
    <w:rsid w:val="7DAB6BB7"/>
    <w:rsid w:val="7DEE1802"/>
    <w:rsid w:val="7DFD5F74"/>
    <w:rsid w:val="7F55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snapToGrid w:val="0"/>
      <w:spacing w:line="360" w:lineRule="atLeast"/>
      <w:outlineLvl w:val="0"/>
    </w:pPr>
    <w:rPr>
      <w:rFonts w:ascii="宋体"/>
    </w:rPr>
  </w:style>
  <w:style w:type="paragraph" w:styleId="6">
    <w:name w:val="heading 2"/>
    <w:basedOn w:val="1"/>
    <w:next w:val="1"/>
    <w:link w:val="94"/>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98"/>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rPr>
  </w:style>
  <w:style w:type="paragraph" w:styleId="9">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10">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1">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2">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3">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6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4"/>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styleId="14">
    <w:name w:val="List 3"/>
    <w:basedOn w:val="1"/>
    <w:qFormat/>
    <w:uiPriority w:val="0"/>
    <w:pPr>
      <w:adjustRightInd w:val="0"/>
      <w:snapToGrid w:val="0"/>
      <w:spacing w:line="360" w:lineRule="auto"/>
      <w:ind w:left="100" w:leftChars="400" w:hanging="200" w:hangingChars="200"/>
    </w:pPr>
    <w:rPr>
      <w:sz w:val="24"/>
    </w:rPr>
  </w:style>
  <w:style w:type="paragraph" w:styleId="15">
    <w:name w:val="annotation subject"/>
    <w:basedOn w:val="16"/>
    <w:next w:val="16"/>
    <w:link w:val="75"/>
    <w:qFormat/>
    <w:uiPriority w:val="0"/>
    <w:pPr>
      <w:adjustRightInd/>
      <w:spacing w:line="240" w:lineRule="auto"/>
      <w:textAlignment w:val="auto"/>
    </w:pPr>
  </w:style>
  <w:style w:type="paragraph" w:styleId="16">
    <w:name w:val="annotation text"/>
    <w:basedOn w:val="1"/>
    <w:link w:val="76"/>
    <w:qFormat/>
    <w:uiPriority w:val="0"/>
    <w:pPr>
      <w:adjustRightInd w:val="0"/>
      <w:spacing w:line="360" w:lineRule="atLeast"/>
      <w:jc w:val="left"/>
      <w:textAlignment w:val="baseline"/>
    </w:pPr>
    <w:rPr>
      <w:sz w:val="24"/>
    </w:rPr>
  </w:style>
  <w:style w:type="paragraph" w:styleId="17">
    <w:name w:val="toc 7"/>
    <w:basedOn w:val="1"/>
    <w:next w:val="1"/>
    <w:qFormat/>
    <w:uiPriority w:val="0"/>
    <w:pPr>
      <w:ind w:left="2520" w:leftChars="1200"/>
    </w:pPr>
  </w:style>
  <w:style w:type="paragraph" w:styleId="18">
    <w:name w:val="Body Text First Indent"/>
    <w:basedOn w:val="2"/>
    <w:qFormat/>
    <w:uiPriority w:val="0"/>
    <w:pPr>
      <w:spacing w:line="360" w:lineRule="auto"/>
      <w:ind w:firstLine="420"/>
    </w:pPr>
    <w:rPr>
      <w:rFonts w:ascii="宋体" w:hAnsi="宋体"/>
      <w:sz w:val="24"/>
    </w:rPr>
  </w:style>
  <w:style w:type="paragraph" w:styleId="19">
    <w:name w:val="List Number 2"/>
    <w:basedOn w:val="1"/>
    <w:qFormat/>
    <w:uiPriority w:val="0"/>
    <w:pPr>
      <w:numPr>
        <w:ilvl w:val="0"/>
        <w:numId w:val="1"/>
      </w:numPr>
      <w:tabs>
        <w:tab w:val="left" w:pos="780"/>
        <w:tab w:val="clear" w:pos="425"/>
      </w:tabs>
      <w:spacing w:line="360" w:lineRule="auto"/>
    </w:pPr>
    <w:rPr>
      <w:sz w:val="24"/>
    </w:rPr>
  </w:style>
  <w:style w:type="paragraph" w:styleId="20">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1">
    <w:name w:val="Normal Indent"/>
    <w:basedOn w:val="1"/>
    <w:qFormat/>
    <w:uiPriority w:val="0"/>
    <w:pPr>
      <w:adjustRightInd w:val="0"/>
      <w:snapToGrid w:val="0"/>
      <w:spacing w:line="360" w:lineRule="auto"/>
      <w:ind w:firstLine="420"/>
    </w:pPr>
    <w:rPr>
      <w:sz w:val="24"/>
    </w:rPr>
  </w:style>
  <w:style w:type="paragraph" w:styleId="22">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3">
    <w:name w:val="Document Map"/>
    <w:basedOn w:val="1"/>
    <w:qFormat/>
    <w:uiPriority w:val="0"/>
    <w:pPr>
      <w:shd w:val="clear" w:color="auto" w:fill="000080"/>
    </w:pPr>
  </w:style>
  <w:style w:type="paragraph" w:styleId="24">
    <w:name w:val="toa heading"/>
    <w:basedOn w:val="1"/>
    <w:next w:val="1"/>
    <w:qFormat/>
    <w:uiPriority w:val="0"/>
    <w:pPr>
      <w:spacing w:before="120"/>
    </w:pPr>
    <w:rPr>
      <w:rFonts w:ascii="Arial" w:hAnsi="Arial"/>
      <w:sz w:val="24"/>
    </w:rPr>
  </w:style>
  <w:style w:type="paragraph" w:styleId="25">
    <w:name w:val="Body Text 3"/>
    <w:basedOn w:val="1"/>
    <w:qFormat/>
    <w:uiPriority w:val="0"/>
    <w:pPr>
      <w:adjustRightInd w:val="0"/>
      <w:snapToGrid w:val="0"/>
      <w:spacing w:after="120" w:line="360" w:lineRule="auto"/>
    </w:pPr>
    <w:rPr>
      <w:sz w:val="16"/>
    </w:rPr>
  </w:style>
  <w:style w:type="paragraph" w:styleId="26">
    <w:name w:val="List Bullet 3"/>
    <w:basedOn w:val="1"/>
    <w:qFormat/>
    <w:uiPriority w:val="0"/>
    <w:pPr>
      <w:numPr>
        <w:ilvl w:val="0"/>
        <w:numId w:val="2"/>
      </w:numPr>
      <w:adjustRightInd w:val="0"/>
      <w:snapToGrid w:val="0"/>
      <w:spacing w:line="360" w:lineRule="auto"/>
    </w:pPr>
    <w:rPr>
      <w:sz w:val="24"/>
    </w:rPr>
  </w:style>
  <w:style w:type="paragraph" w:styleId="27">
    <w:name w:val="Body Text Indent"/>
    <w:basedOn w:val="1"/>
    <w:link w:val="83"/>
    <w:qFormat/>
    <w:uiPriority w:val="0"/>
    <w:pPr>
      <w:spacing w:line="700" w:lineRule="exact"/>
      <w:ind w:left="960"/>
    </w:pPr>
    <w:rPr>
      <w:sz w:val="44"/>
    </w:rPr>
  </w:style>
  <w:style w:type="paragraph" w:styleId="28">
    <w:name w:val="List Number 3"/>
    <w:basedOn w:val="1"/>
    <w:qFormat/>
    <w:uiPriority w:val="0"/>
    <w:pPr>
      <w:tabs>
        <w:tab w:val="left" w:pos="2120"/>
      </w:tabs>
      <w:adjustRightInd w:val="0"/>
      <w:snapToGrid w:val="0"/>
      <w:spacing w:line="360" w:lineRule="auto"/>
      <w:ind w:left="2120" w:hanging="720"/>
    </w:pPr>
    <w:rPr>
      <w:sz w:val="24"/>
    </w:rPr>
  </w:style>
  <w:style w:type="paragraph" w:styleId="29">
    <w:name w:val="List 2"/>
    <w:basedOn w:val="1"/>
    <w:qFormat/>
    <w:uiPriority w:val="0"/>
    <w:pPr>
      <w:adjustRightInd w:val="0"/>
      <w:snapToGrid w:val="0"/>
      <w:spacing w:line="360" w:lineRule="auto"/>
      <w:ind w:left="100" w:leftChars="200" w:hanging="200" w:hangingChars="200"/>
    </w:pPr>
    <w:rPr>
      <w:sz w:val="24"/>
    </w:rPr>
  </w:style>
  <w:style w:type="paragraph" w:styleId="30">
    <w:name w:val="List Continue"/>
    <w:basedOn w:val="1"/>
    <w:qFormat/>
    <w:uiPriority w:val="0"/>
    <w:pPr>
      <w:adjustRightInd w:val="0"/>
      <w:snapToGrid w:val="0"/>
      <w:spacing w:after="120" w:line="360" w:lineRule="auto"/>
      <w:ind w:left="420" w:leftChars="200"/>
    </w:pPr>
    <w:rPr>
      <w:sz w:val="24"/>
    </w:rPr>
  </w:style>
  <w:style w:type="paragraph" w:styleId="31">
    <w:name w:val="List Bullet 2"/>
    <w:basedOn w:val="1"/>
    <w:qFormat/>
    <w:uiPriority w:val="0"/>
    <w:pPr>
      <w:numPr>
        <w:ilvl w:val="0"/>
        <w:numId w:val="3"/>
      </w:numPr>
      <w:adjustRightInd w:val="0"/>
      <w:snapToGrid w:val="0"/>
      <w:spacing w:line="360" w:lineRule="auto"/>
    </w:pPr>
    <w:rPr>
      <w:sz w:val="24"/>
    </w:rPr>
  </w:style>
  <w:style w:type="paragraph" w:styleId="32">
    <w:name w:val="toc 5"/>
    <w:basedOn w:val="1"/>
    <w:next w:val="1"/>
    <w:qFormat/>
    <w:uiPriority w:val="0"/>
    <w:pPr>
      <w:ind w:left="1680" w:leftChars="800"/>
    </w:pPr>
  </w:style>
  <w:style w:type="paragraph" w:styleId="33">
    <w:name w:val="toc 3"/>
    <w:basedOn w:val="1"/>
    <w:next w:val="1"/>
    <w:qFormat/>
    <w:uiPriority w:val="39"/>
    <w:pPr>
      <w:ind w:left="840" w:leftChars="400"/>
    </w:pPr>
  </w:style>
  <w:style w:type="paragraph" w:styleId="34">
    <w:name w:val="Plain Text"/>
    <w:basedOn w:val="1"/>
    <w:link w:val="90"/>
    <w:qFormat/>
    <w:uiPriority w:val="0"/>
    <w:rPr>
      <w:rFonts w:ascii="宋体" w:hAnsi="Courier New"/>
      <w:sz w:val="21"/>
    </w:rPr>
  </w:style>
  <w:style w:type="paragraph" w:styleId="35">
    <w:name w:val="toc 8"/>
    <w:basedOn w:val="1"/>
    <w:next w:val="1"/>
    <w:qFormat/>
    <w:uiPriority w:val="0"/>
    <w:pPr>
      <w:ind w:left="2940" w:leftChars="1400"/>
    </w:pPr>
  </w:style>
  <w:style w:type="paragraph" w:styleId="36">
    <w:name w:val="Date"/>
    <w:basedOn w:val="1"/>
    <w:next w:val="1"/>
    <w:link w:val="110"/>
    <w:qFormat/>
    <w:uiPriority w:val="0"/>
  </w:style>
  <w:style w:type="paragraph" w:styleId="37">
    <w:name w:val="Body Text Indent 2"/>
    <w:basedOn w:val="1"/>
    <w:link w:val="72"/>
    <w:qFormat/>
    <w:uiPriority w:val="0"/>
    <w:pPr>
      <w:snapToGrid w:val="0"/>
      <w:spacing w:line="560" w:lineRule="atLeast"/>
      <w:ind w:firstLine="540"/>
    </w:pPr>
  </w:style>
  <w:style w:type="paragraph" w:styleId="38">
    <w:name w:val="Balloon Text"/>
    <w:basedOn w:val="1"/>
    <w:qFormat/>
    <w:uiPriority w:val="0"/>
    <w:rPr>
      <w:sz w:val="18"/>
    </w:rPr>
  </w:style>
  <w:style w:type="paragraph" w:styleId="39">
    <w:name w:val="footer"/>
    <w:basedOn w:val="1"/>
    <w:link w:val="86"/>
    <w:qFormat/>
    <w:uiPriority w:val="0"/>
    <w:pPr>
      <w:tabs>
        <w:tab w:val="center" w:pos="4153"/>
        <w:tab w:val="right" w:pos="8306"/>
      </w:tabs>
      <w:snapToGrid w:val="0"/>
      <w:jc w:val="left"/>
    </w:pPr>
    <w:rPr>
      <w:sz w:val="18"/>
    </w:rPr>
  </w:style>
  <w:style w:type="paragraph" w:styleId="40">
    <w:name w:val="Body Text First Indent 2"/>
    <w:basedOn w:val="27"/>
    <w:link w:val="82"/>
    <w:qFormat/>
    <w:uiPriority w:val="0"/>
    <w:pPr>
      <w:spacing w:after="120" w:line="240" w:lineRule="auto"/>
      <w:ind w:left="420" w:leftChars="200" w:firstLine="420" w:firstLineChars="200"/>
    </w:pPr>
  </w:style>
  <w:style w:type="paragraph" w:styleId="41">
    <w:name w:val="header"/>
    <w:basedOn w:val="1"/>
    <w:link w:val="112"/>
    <w:qFormat/>
    <w:uiPriority w:val="0"/>
    <w:pPr>
      <w:pBdr>
        <w:bottom w:val="single" w:color="auto" w:sz="6" w:space="1"/>
      </w:pBdr>
      <w:tabs>
        <w:tab w:val="center" w:pos="4153"/>
        <w:tab w:val="right" w:pos="8306"/>
      </w:tabs>
      <w:snapToGrid w:val="0"/>
      <w:jc w:val="center"/>
    </w:pPr>
    <w:rPr>
      <w:sz w:val="18"/>
    </w:rPr>
  </w:style>
  <w:style w:type="paragraph" w:styleId="42">
    <w:name w:val="toc 1"/>
    <w:basedOn w:val="1"/>
    <w:next w:val="1"/>
    <w:qFormat/>
    <w:uiPriority w:val="0"/>
    <w:pPr>
      <w:spacing w:line="180" w:lineRule="auto"/>
      <w:jc w:val="center"/>
    </w:pPr>
    <w:rPr>
      <w:sz w:val="30"/>
    </w:rPr>
  </w:style>
  <w:style w:type="paragraph" w:styleId="43">
    <w:name w:val="List Continue 4"/>
    <w:basedOn w:val="1"/>
    <w:qFormat/>
    <w:uiPriority w:val="0"/>
    <w:pPr>
      <w:adjustRightInd w:val="0"/>
      <w:snapToGrid w:val="0"/>
      <w:spacing w:after="120" w:line="360" w:lineRule="auto"/>
      <w:ind w:left="1680" w:leftChars="800"/>
    </w:pPr>
    <w:rPr>
      <w:sz w:val="24"/>
    </w:rPr>
  </w:style>
  <w:style w:type="paragraph" w:styleId="44">
    <w:name w:val="toc 4"/>
    <w:basedOn w:val="1"/>
    <w:next w:val="1"/>
    <w:qFormat/>
    <w:uiPriority w:val="0"/>
    <w:pPr>
      <w:ind w:left="1260" w:leftChars="600"/>
    </w:pPr>
  </w:style>
  <w:style w:type="paragraph" w:styleId="45">
    <w:name w:val="footnote text"/>
    <w:basedOn w:val="1"/>
    <w:link w:val="70"/>
    <w:qFormat/>
    <w:uiPriority w:val="0"/>
    <w:pPr>
      <w:spacing w:line="360" w:lineRule="auto"/>
    </w:pPr>
    <w:rPr>
      <w:sz w:val="18"/>
    </w:rPr>
  </w:style>
  <w:style w:type="paragraph" w:styleId="46">
    <w:name w:val="toc 6"/>
    <w:basedOn w:val="1"/>
    <w:next w:val="1"/>
    <w:qFormat/>
    <w:uiPriority w:val="0"/>
    <w:pPr>
      <w:ind w:left="2100" w:leftChars="1000"/>
    </w:pPr>
  </w:style>
  <w:style w:type="paragraph" w:styleId="47">
    <w:name w:val="List 5"/>
    <w:basedOn w:val="1"/>
    <w:qFormat/>
    <w:uiPriority w:val="0"/>
    <w:pPr>
      <w:adjustRightInd w:val="0"/>
      <w:snapToGrid w:val="0"/>
      <w:spacing w:line="360" w:lineRule="auto"/>
      <w:ind w:left="100" w:leftChars="800" w:hanging="200" w:hangingChars="200"/>
    </w:pPr>
    <w:rPr>
      <w:sz w:val="24"/>
    </w:rPr>
  </w:style>
  <w:style w:type="paragraph" w:styleId="48">
    <w:name w:val="Body Text Indent 3"/>
    <w:basedOn w:val="1"/>
    <w:qFormat/>
    <w:uiPriority w:val="0"/>
    <w:pPr>
      <w:spacing w:line="360" w:lineRule="auto"/>
      <w:ind w:firstLine="632"/>
    </w:pPr>
    <w:rPr>
      <w:rFonts w:ascii="黑体" w:eastAsia="黑体"/>
    </w:rPr>
  </w:style>
  <w:style w:type="paragraph" w:styleId="49">
    <w:name w:val="table of figures"/>
    <w:basedOn w:val="1"/>
    <w:next w:val="1"/>
    <w:qFormat/>
    <w:uiPriority w:val="0"/>
    <w:pPr>
      <w:tabs>
        <w:tab w:val="right" w:leader="dot" w:pos="8640"/>
      </w:tabs>
      <w:spacing w:line="360" w:lineRule="auto"/>
      <w:ind w:left="400" w:hanging="400"/>
    </w:pPr>
    <w:rPr>
      <w:sz w:val="24"/>
    </w:rPr>
  </w:style>
  <w:style w:type="paragraph" w:styleId="50">
    <w:name w:val="toc 2"/>
    <w:basedOn w:val="1"/>
    <w:next w:val="1"/>
    <w:qFormat/>
    <w:uiPriority w:val="39"/>
    <w:pPr>
      <w:ind w:left="420" w:leftChars="200"/>
    </w:pPr>
  </w:style>
  <w:style w:type="paragraph" w:styleId="51">
    <w:name w:val="toc 9"/>
    <w:basedOn w:val="1"/>
    <w:next w:val="1"/>
    <w:qFormat/>
    <w:uiPriority w:val="0"/>
    <w:pPr>
      <w:ind w:left="3360" w:leftChars="1600"/>
    </w:pPr>
  </w:style>
  <w:style w:type="paragraph" w:styleId="52">
    <w:name w:val="Body Text 2"/>
    <w:basedOn w:val="1"/>
    <w:qFormat/>
    <w:uiPriority w:val="0"/>
    <w:pPr>
      <w:adjustRightInd w:val="0"/>
      <w:snapToGrid w:val="0"/>
      <w:spacing w:after="120" w:line="480" w:lineRule="auto"/>
    </w:pPr>
    <w:rPr>
      <w:sz w:val="24"/>
    </w:rPr>
  </w:style>
  <w:style w:type="paragraph" w:styleId="53">
    <w:name w:val="List 4"/>
    <w:basedOn w:val="1"/>
    <w:qFormat/>
    <w:uiPriority w:val="0"/>
    <w:pPr>
      <w:adjustRightInd w:val="0"/>
      <w:snapToGrid w:val="0"/>
      <w:spacing w:line="360" w:lineRule="auto"/>
      <w:ind w:left="100" w:leftChars="600" w:hanging="200" w:hangingChars="200"/>
    </w:pPr>
    <w:rPr>
      <w:sz w:val="24"/>
    </w:rPr>
  </w:style>
  <w:style w:type="paragraph" w:styleId="54">
    <w:name w:val="List Continue 2"/>
    <w:basedOn w:val="1"/>
    <w:qFormat/>
    <w:uiPriority w:val="0"/>
    <w:pPr>
      <w:adjustRightInd w:val="0"/>
      <w:snapToGrid w:val="0"/>
      <w:spacing w:after="120" w:line="360" w:lineRule="auto"/>
      <w:ind w:left="840" w:leftChars="400"/>
    </w:pPr>
    <w:rPr>
      <w:sz w:val="24"/>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table" w:styleId="68">
    <w:name w:val="Table Grid"/>
    <w:basedOn w:val="6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9">
    <w:name w:val="Char Char6"/>
    <w:qFormat/>
    <w:uiPriority w:val="0"/>
    <w:rPr>
      <w:rFonts w:ascii="仿宋_GB2312" w:eastAsia="仿宋_GB2312"/>
      <w:kern w:val="2"/>
      <w:sz w:val="32"/>
    </w:rPr>
  </w:style>
  <w:style w:type="character" w:customStyle="1" w:styleId="70">
    <w:name w:val="脚注文本 字符"/>
    <w:link w:val="45"/>
    <w:qFormat/>
    <w:uiPriority w:val="0"/>
    <w:rPr>
      <w:kern w:val="2"/>
      <w:sz w:val="18"/>
    </w:rPr>
  </w:style>
  <w:style w:type="character" w:customStyle="1" w:styleId="71">
    <w:name w:val="Char Char2"/>
    <w:qFormat/>
    <w:uiPriority w:val="0"/>
    <w:rPr>
      <w:rFonts w:eastAsia="宋体"/>
      <w:kern w:val="2"/>
      <w:sz w:val="18"/>
      <w:lang w:val="en-US" w:eastAsia="zh-CN"/>
    </w:rPr>
  </w:style>
  <w:style w:type="character" w:customStyle="1" w:styleId="72">
    <w:name w:val="正文文本缩进 2 字符"/>
    <w:link w:val="37"/>
    <w:qFormat/>
    <w:uiPriority w:val="0"/>
    <w:rPr>
      <w:kern w:val="2"/>
      <w:sz w:val="28"/>
    </w:rPr>
  </w:style>
  <w:style w:type="character" w:customStyle="1" w:styleId="73">
    <w:name w:val="Char Char"/>
    <w:qFormat/>
    <w:uiPriority w:val="0"/>
    <w:rPr>
      <w:rFonts w:ascii="宋体" w:hAnsi="宋体" w:eastAsia="宋体"/>
      <w:kern w:val="2"/>
      <w:sz w:val="24"/>
      <w:lang w:val="en-US" w:eastAsia="zh-CN" w:bidi="ar-SA"/>
    </w:rPr>
  </w:style>
  <w:style w:type="character" w:customStyle="1" w:styleId="74">
    <w:name w:val="Table Text Char"/>
    <w:qFormat/>
    <w:uiPriority w:val="0"/>
    <w:rPr>
      <w:rFonts w:ascii="Arial" w:hAnsi="Arial"/>
      <w:kern w:val="2"/>
      <w:sz w:val="18"/>
      <w:lang w:val="en-US" w:eastAsia="zh-CN" w:bidi="ar-SA"/>
    </w:rPr>
  </w:style>
  <w:style w:type="character" w:customStyle="1" w:styleId="75">
    <w:name w:val="批注主题 字符"/>
    <w:basedOn w:val="76"/>
    <w:link w:val="15"/>
    <w:qFormat/>
    <w:uiPriority w:val="0"/>
    <w:rPr>
      <w:sz w:val="24"/>
    </w:rPr>
  </w:style>
  <w:style w:type="character" w:customStyle="1" w:styleId="76">
    <w:name w:val="批注文字 字符1"/>
    <w:link w:val="16"/>
    <w:qFormat/>
    <w:uiPriority w:val="0"/>
    <w:rPr>
      <w:sz w:val="24"/>
    </w:rPr>
  </w:style>
  <w:style w:type="character" w:customStyle="1" w:styleId="77">
    <w:name w:val="标书正文:  0.74 厘米 Char1"/>
    <w:qFormat/>
    <w:uiPriority w:val="0"/>
    <w:rPr>
      <w:rFonts w:eastAsia="宋体"/>
      <w:kern w:val="2"/>
      <w:sz w:val="24"/>
      <w:lang w:val="en-US" w:eastAsia="zh-CN"/>
    </w:rPr>
  </w:style>
  <w:style w:type="character" w:customStyle="1" w:styleId="78">
    <w:name w:val="Char Char11"/>
    <w:qFormat/>
    <w:uiPriority w:val="0"/>
    <w:rPr>
      <w:rFonts w:ascii="宋体"/>
      <w:kern w:val="2"/>
      <w:sz w:val="28"/>
    </w:rPr>
  </w:style>
  <w:style w:type="character" w:customStyle="1" w:styleId="79">
    <w:name w:val="Char Char7"/>
    <w:qFormat/>
    <w:uiPriority w:val="0"/>
    <w:rPr>
      <w:rFonts w:ascii="宋体" w:hAnsi="宋体" w:eastAsia="宋体"/>
      <w:kern w:val="2"/>
      <w:sz w:val="28"/>
    </w:rPr>
  </w:style>
  <w:style w:type="character" w:customStyle="1" w:styleId="80">
    <w:name w:val="文字 Char"/>
    <w:qFormat/>
    <w:uiPriority w:val="0"/>
    <w:rPr>
      <w:rFonts w:ascii="宋体"/>
      <w:kern w:val="2"/>
      <w:sz w:val="28"/>
    </w:rPr>
  </w:style>
  <w:style w:type="character" w:customStyle="1" w:styleId="81">
    <w:name w:val="Char Char5"/>
    <w:qFormat/>
    <w:uiPriority w:val="0"/>
    <w:rPr>
      <w:rFonts w:ascii="Arial" w:hAnsi="Arial" w:eastAsia="宋体"/>
      <w:b/>
      <w:smallCaps/>
      <w:kern w:val="28"/>
      <w:sz w:val="36"/>
      <w:lang w:val="en-US" w:eastAsia="en-US"/>
    </w:rPr>
  </w:style>
  <w:style w:type="character" w:customStyle="1" w:styleId="82">
    <w:name w:val="正文首行缩进 2 字符"/>
    <w:basedOn w:val="83"/>
    <w:link w:val="40"/>
    <w:qFormat/>
    <w:uiPriority w:val="0"/>
    <w:rPr>
      <w:kern w:val="2"/>
      <w:sz w:val="44"/>
    </w:rPr>
  </w:style>
  <w:style w:type="character" w:customStyle="1" w:styleId="83">
    <w:name w:val="正文文本缩进 字符"/>
    <w:link w:val="27"/>
    <w:qFormat/>
    <w:uiPriority w:val="0"/>
    <w:rPr>
      <w:kern w:val="2"/>
      <w:sz w:val="44"/>
    </w:rPr>
  </w:style>
  <w:style w:type="character" w:customStyle="1" w:styleId="84">
    <w:name w:val="font61"/>
    <w:qFormat/>
    <w:uiPriority w:val="0"/>
    <w:rPr>
      <w:rFonts w:hint="eastAsia" w:ascii="微软雅黑" w:hAnsi="微软雅黑" w:eastAsia="微软雅黑" w:cs="微软雅黑"/>
      <w:color w:val="000000"/>
      <w:sz w:val="24"/>
      <w:szCs w:val="24"/>
      <w:u w:val="none"/>
    </w:rPr>
  </w:style>
  <w:style w:type="character" w:customStyle="1" w:styleId="85">
    <w:name w:val="title_emph1"/>
    <w:qFormat/>
    <w:uiPriority w:val="0"/>
    <w:rPr>
      <w:rFonts w:hint="default" w:ascii="Arial" w:hAnsi="Arial"/>
      <w:b/>
      <w:sz w:val="20"/>
    </w:rPr>
  </w:style>
  <w:style w:type="character" w:customStyle="1" w:styleId="86">
    <w:name w:val="页脚 字符"/>
    <w:link w:val="39"/>
    <w:qFormat/>
    <w:uiPriority w:val="99"/>
    <w:rPr>
      <w:kern w:val="2"/>
      <w:sz w:val="18"/>
    </w:rPr>
  </w:style>
  <w:style w:type="character" w:customStyle="1" w:styleId="87">
    <w:name w:val="Comment Text Char"/>
    <w:semiHidden/>
    <w:qFormat/>
    <w:locked/>
    <w:uiPriority w:val="0"/>
    <w:rPr>
      <w:rFonts w:ascii="Times New Roman" w:hAnsi="Times New Roman" w:cs="Times New Roman"/>
      <w:sz w:val="20"/>
      <w:szCs w:val="20"/>
    </w:rPr>
  </w:style>
  <w:style w:type="character" w:customStyle="1" w:styleId="88">
    <w:name w:val="v151"/>
    <w:qFormat/>
    <w:uiPriority w:val="0"/>
    <w:rPr>
      <w:sz w:val="18"/>
    </w:rPr>
  </w:style>
  <w:style w:type="character" w:customStyle="1" w:styleId="89">
    <w:name w:val="font1"/>
    <w:qFormat/>
    <w:uiPriority w:val="0"/>
    <w:rPr>
      <w:color w:val="000000"/>
      <w:sz w:val="18"/>
    </w:rPr>
  </w:style>
  <w:style w:type="character" w:customStyle="1" w:styleId="90">
    <w:name w:val="纯文本 字符"/>
    <w:link w:val="34"/>
    <w:qFormat/>
    <w:locked/>
    <w:uiPriority w:val="99"/>
    <w:rPr>
      <w:rFonts w:ascii="宋体" w:hAnsi="Courier New"/>
      <w:kern w:val="2"/>
      <w:sz w:val="21"/>
    </w:rPr>
  </w:style>
  <w:style w:type="character" w:customStyle="1" w:styleId="91">
    <w:name w:val="Char Char Char Char Char Char Char Char Char"/>
    <w:qFormat/>
    <w:uiPriority w:val="0"/>
    <w:rPr>
      <w:rFonts w:ascii="宋体" w:hAnsi="宋体" w:eastAsia="宋体"/>
      <w:kern w:val="2"/>
      <w:sz w:val="24"/>
      <w:lang w:val="en-US" w:eastAsia="zh-CN" w:bidi="ar-SA"/>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标题 2 字符1"/>
    <w:link w:val="6"/>
    <w:qFormat/>
    <w:uiPriority w:val="0"/>
    <w:rPr>
      <w:rFonts w:ascii="Arial" w:hAnsi="Arial" w:eastAsia="黑体"/>
      <w:b/>
      <w:kern w:val="2"/>
      <w:sz w:val="32"/>
    </w:rPr>
  </w:style>
  <w:style w:type="character" w:customStyle="1" w:styleId="95">
    <w:name w:val="H2 Char"/>
    <w:qFormat/>
    <w:uiPriority w:val="0"/>
    <w:rPr>
      <w:rFonts w:ascii="Arial" w:hAnsi="Arial" w:eastAsia="宋体"/>
      <w:kern w:val="2"/>
      <w:sz w:val="28"/>
      <w:lang w:val="en-US" w:eastAsia="zh-CN"/>
    </w:rPr>
  </w:style>
  <w:style w:type="character" w:customStyle="1" w:styleId="96">
    <w:name w:val="top-det1"/>
    <w:qFormat/>
    <w:uiPriority w:val="0"/>
    <w:rPr>
      <w:b/>
      <w:color w:val="000000"/>
    </w:rPr>
  </w:style>
  <w:style w:type="character" w:customStyle="1" w:styleId="97">
    <w:name w:val="批注文字 字符"/>
    <w:qFormat/>
    <w:uiPriority w:val="0"/>
    <w:rPr>
      <w:sz w:val="24"/>
    </w:rPr>
  </w:style>
  <w:style w:type="character" w:customStyle="1" w:styleId="98">
    <w:name w:val="标题 3 字符1"/>
    <w:link w:val="7"/>
    <w:qFormat/>
    <w:uiPriority w:val="0"/>
    <w:rPr>
      <w:rFonts w:eastAsia="宋体"/>
      <w:b/>
      <w:kern w:val="2"/>
      <w:sz w:val="32"/>
      <w:lang w:val="en-US" w:eastAsia="zh-CN"/>
    </w:rPr>
  </w:style>
  <w:style w:type="character" w:customStyle="1" w:styleId="99">
    <w:name w:val="crowed11"/>
    <w:qFormat/>
    <w:uiPriority w:val="0"/>
    <w:rPr>
      <w:rFonts w:hint="default"/>
      <w:sz w:val="24"/>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标题 2 字符"/>
    <w:qFormat/>
    <w:uiPriority w:val="99"/>
    <w:rPr>
      <w:rFonts w:ascii="Arial" w:hAnsi="Arial" w:eastAsia="黑体"/>
      <w:b/>
      <w:kern w:val="2"/>
      <w:sz w:val="32"/>
    </w:rPr>
  </w:style>
  <w:style w:type="character" w:customStyle="1" w:styleId="102">
    <w:name w:val="Table Heading Char Char"/>
    <w:qFormat/>
    <w:uiPriority w:val="0"/>
    <w:rPr>
      <w:rFonts w:ascii="Arial" w:hAnsi="Arial" w:eastAsia="黑体"/>
      <w:kern w:val="2"/>
      <w:sz w:val="18"/>
      <w:lang w:val="en-US" w:eastAsia="zh-CN"/>
    </w:rPr>
  </w:style>
  <w:style w:type="character" w:customStyle="1" w:styleId="103">
    <w:name w:val="文字 Char Char"/>
    <w:link w:val="104"/>
    <w:qFormat/>
    <w:uiPriority w:val="0"/>
    <w:rPr>
      <w:rFonts w:ascii="宋体"/>
      <w:kern w:val="2"/>
      <w:sz w:val="28"/>
    </w:rPr>
  </w:style>
  <w:style w:type="paragraph" w:customStyle="1" w:styleId="104">
    <w:name w:val="文字"/>
    <w:basedOn w:val="1"/>
    <w:link w:val="103"/>
    <w:qFormat/>
    <w:uiPriority w:val="0"/>
    <w:pPr>
      <w:tabs>
        <w:tab w:val="left" w:pos="8520"/>
      </w:tabs>
      <w:spacing w:line="312" w:lineRule="auto"/>
      <w:ind w:right="-210" w:firstLine="556"/>
    </w:pPr>
    <w:rPr>
      <w:rFonts w:ascii="宋体"/>
    </w:rPr>
  </w:style>
  <w:style w:type="character" w:customStyle="1" w:styleId="105">
    <w:name w:val="样式 宋体"/>
    <w:qFormat/>
    <w:uiPriority w:val="0"/>
    <w:rPr>
      <w:rFonts w:ascii="宋体" w:hAnsi="宋体" w:eastAsia="宋体"/>
      <w:sz w:val="28"/>
    </w:rPr>
  </w:style>
  <w:style w:type="character" w:customStyle="1" w:styleId="106">
    <w:name w:val="正文 + 三号 Char"/>
    <w:qFormat/>
    <w:uiPriority w:val="0"/>
    <w:rPr>
      <w:rFonts w:eastAsia="宋体"/>
      <w:kern w:val="2"/>
      <w:sz w:val="21"/>
      <w:lang w:val="en-US" w:eastAsia="zh-CN"/>
    </w:rPr>
  </w:style>
  <w:style w:type="character" w:customStyle="1" w:styleId="107">
    <w:name w:val="小 Char"/>
    <w:qFormat/>
    <w:uiPriority w:val="0"/>
    <w:rPr>
      <w:rFonts w:ascii="宋体" w:hAnsi="Courier New" w:eastAsia="宋体"/>
      <w:kern w:val="2"/>
      <w:sz w:val="21"/>
      <w:lang w:val="en-US" w:eastAsia="zh-CN" w:bidi="ar-SA"/>
    </w:rPr>
  </w:style>
  <w:style w:type="character" w:customStyle="1" w:styleId="108">
    <w:name w:val="标题 3 字符"/>
    <w:qFormat/>
    <w:uiPriority w:val="0"/>
    <w:rPr>
      <w:rFonts w:eastAsia="宋体"/>
      <w:b/>
      <w:kern w:val="2"/>
      <w:sz w:val="32"/>
      <w:lang w:val="en-US" w:eastAsia="zh-CN"/>
    </w:rPr>
  </w:style>
  <w:style w:type="character" w:customStyle="1" w:styleId="109">
    <w:name w:val="content-white1"/>
    <w:qFormat/>
    <w:uiPriority w:val="0"/>
    <w:rPr>
      <w:color w:val="auto"/>
      <w:sz w:val="18"/>
      <w:u w:val="none"/>
    </w:rPr>
  </w:style>
  <w:style w:type="character" w:customStyle="1" w:styleId="110">
    <w:name w:val="日期 字符"/>
    <w:link w:val="36"/>
    <w:qFormat/>
    <w:uiPriority w:val="0"/>
    <w:rPr>
      <w:kern w:val="2"/>
      <w:sz w:val="28"/>
    </w:rPr>
  </w:style>
  <w:style w:type="character" w:customStyle="1" w:styleId="111">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2">
    <w:name w:val="页眉 字符"/>
    <w:link w:val="41"/>
    <w:qFormat/>
    <w:uiPriority w:val="99"/>
    <w:rPr>
      <w:kern w:val="2"/>
      <w:sz w:val="18"/>
    </w:rPr>
  </w:style>
  <w:style w:type="character" w:customStyle="1" w:styleId="113">
    <w:name w:val="Char Char4"/>
    <w:qFormat/>
    <w:uiPriority w:val="0"/>
    <w:rPr>
      <w:rFonts w:eastAsia="宋体"/>
      <w:b/>
      <w:kern w:val="2"/>
      <w:sz w:val="21"/>
      <w:lang w:val="en-US" w:eastAsia="zh-CN"/>
    </w:rPr>
  </w:style>
  <w:style w:type="character" w:customStyle="1" w:styleId="114">
    <w:name w:val="未命名11"/>
    <w:qFormat/>
    <w:uiPriority w:val="0"/>
    <w:rPr>
      <w:color w:val="77FFFF"/>
      <w:sz w:val="24"/>
    </w:rPr>
  </w:style>
  <w:style w:type="character" w:customStyle="1" w:styleId="115">
    <w:name w:val="font21"/>
    <w:qFormat/>
    <w:uiPriority w:val="0"/>
    <w:rPr>
      <w:rFonts w:hint="default" w:ascii="Times New Roman" w:hAnsi="Times New Roman" w:cs="Times New Roman"/>
      <w:color w:val="000000"/>
      <w:sz w:val="24"/>
      <w:szCs w:val="24"/>
      <w:u w:val="none"/>
    </w:rPr>
  </w:style>
  <w:style w:type="character" w:customStyle="1" w:styleId="116">
    <w:name w:val="Char Char3"/>
    <w:qFormat/>
    <w:uiPriority w:val="0"/>
    <w:rPr>
      <w:rFonts w:eastAsia="宋体"/>
      <w:kern w:val="2"/>
      <w:sz w:val="18"/>
      <w:lang w:val="en-US" w:eastAsia="zh-CN"/>
    </w:rPr>
  </w:style>
  <w:style w:type="character" w:customStyle="1" w:styleId="117">
    <w:name w:val="Table Text Char1 Char Char"/>
    <w:qFormat/>
    <w:uiPriority w:val="0"/>
    <w:rPr>
      <w:rFonts w:ascii="Arial" w:hAnsi="Arial"/>
      <w:kern w:val="2"/>
      <w:sz w:val="18"/>
      <w:lang w:val="en-US" w:eastAsia="zh-CN" w:bidi="ar-SA"/>
    </w:rPr>
  </w:style>
  <w:style w:type="paragraph" w:customStyle="1" w:styleId="11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内容标题"/>
    <w:basedOn w:val="23"/>
    <w:qFormat/>
    <w:uiPriority w:val="0"/>
    <w:rPr>
      <w:rFonts w:ascii="Tahoma" w:hAnsi="Tahoma"/>
      <w:sz w:val="24"/>
    </w:rPr>
  </w:style>
  <w:style w:type="paragraph" w:customStyle="1" w:styleId="12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5">
    <w:name w:val="样式 宋体 五号 行距: 单倍行距"/>
    <w:basedOn w:val="1"/>
    <w:qFormat/>
    <w:uiPriority w:val="0"/>
    <w:pPr>
      <w:adjustRightInd w:val="0"/>
      <w:jc w:val="left"/>
    </w:pPr>
    <w:rPr>
      <w:rFonts w:ascii="宋体" w:hAnsi="宋体"/>
      <w:kern w:val="0"/>
      <w:sz w:val="21"/>
    </w:rPr>
  </w:style>
  <w:style w:type="paragraph" w:customStyle="1" w:styleId="126">
    <w:name w:val="正文表格"/>
    <w:basedOn w:val="1"/>
    <w:qFormat/>
    <w:uiPriority w:val="0"/>
    <w:pPr>
      <w:adjustRightInd w:val="0"/>
      <w:spacing w:before="40" w:after="40"/>
    </w:pPr>
    <w:rPr>
      <w:sz w:val="24"/>
    </w:rPr>
  </w:style>
  <w:style w:type="paragraph" w:customStyle="1" w:styleId="127">
    <w:name w:val="Char1 Char Char Char"/>
    <w:basedOn w:val="1"/>
    <w:qFormat/>
    <w:uiPriority w:val="0"/>
    <w:rPr>
      <w:rFonts w:ascii="Tahoma" w:hAnsi="Tahoma"/>
      <w:sz w:val="24"/>
    </w:rPr>
  </w:style>
  <w:style w:type="paragraph" w:customStyle="1" w:styleId="128">
    <w:name w:val="af"/>
    <w:basedOn w:val="1"/>
    <w:qFormat/>
    <w:uiPriority w:val="0"/>
    <w:pPr>
      <w:widowControl/>
      <w:spacing w:line="300" w:lineRule="atLeast"/>
      <w:jc w:val="left"/>
    </w:pPr>
    <w:rPr>
      <w:rFonts w:ascii="宋体" w:hAnsi="宋体"/>
      <w:kern w:val="0"/>
      <w:sz w:val="18"/>
    </w:rPr>
  </w:style>
  <w:style w:type="paragraph" w:customStyle="1" w:styleId="129">
    <w:name w:val="Title - Revision"/>
    <w:basedOn w:val="58"/>
    <w:qFormat/>
    <w:uiPriority w:val="0"/>
    <w:pPr>
      <w:spacing w:before="720"/>
    </w:pPr>
  </w:style>
  <w:style w:type="paragraph" w:customStyle="1" w:styleId="130">
    <w:name w:val="1.正文"/>
    <w:basedOn w:val="1"/>
    <w:qFormat/>
    <w:uiPriority w:val="0"/>
    <w:pPr>
      <w:spacing w:line="360" w:lineRule="auto"/>
      <w:ind w:left="540" w:leftChars="225" w:firstLine="540" w:firstLineChars="225"/>
    </w:pPr>
    <w:rPr>
      <w:sz w:val="24"/>
    </w:rPr>
  </w:style>
  <w:style w:type="paragraph" w:customStyle="1" w:styleId="131">
    <w:name w:val="Title - Date"/>
    <w:basedOn w:val="58"/>
    <w:next w:val="1"/>
    <w:qFormat/>
    <w:uiPriority w:val="0"/>
    <w:pPr>
      <w:spacing w:before="240" w:after="720"/>
    </w:pPr>
    <w:rPr>
      <w:sz w:val="28"/>
    </w:rPr>
  </w:style>
  <w:style w:type="paragraph" w:customStyle="1" w:styleId="132">
    <w:name w:val="00"/>
    <w:basedOn w:val="1"/>
    <w:qFormat/>
    <w:uiPriority w:val="0"/>
    <w:pPr>
      <w:autoSpaceDE w:val="0"/>
      <w:autoSpaceDN w:val="0"/>
      <w:adjustRightInd w:val="0"/>
      <w:jc w:val="left"/>
    </w:pPr>
    <w:rPr>
      <w:rFonts w:ascii="黑体" w:eastAsia="黑体"/>
      <w:b/>
      <w:kern w:val="0"/>
      <w:sz w:val="20"/>
    </w:rPr>
  </w:style>
  <w:style w:type="paragraph" w:customStyle="1" w:styleId="13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6">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7">
    <w:name w:val="正文文本缩进 21"/>
    <w:basedOn w:val="1"/>
    <w:qFormat/>
    <w:uiPriority w:val="0"/>
    <w:pPr>
      <w:adjustRightInd w:val="0"/>
      <w:spacing w:before="120"/>
      <w:ind w:firstLine="420"/>
      <w:textAlignment w:val="baseline"/>
    </w:pPr>
    <w:rPr>
      <w:sz w:val="24"/>
    </w:rPr>
  </w:style>
  <w:style w:type="paragraph" w:customStyle="1" w:styleId="138">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准正文"/>
    <w:basedOn w:val="27"/>
    <w:qFormat/>
    <w:uiPriority w:val="0"/>
    <w:pPr>
      <w:spacing w:before="60" w:after="60" w:line="360" w:lineRule="auto"/>
      <w:ind w:left="0" w:firstLine="482"/>
    </w:pPr>
    <w:rPr>
      <w:rFonts w:ascii="Arial" w:hAnsi="Arial"/>
      <w:sz w:val="24"/>
    </w:rPr>
  </w:style>
  <w:style w:type="paragraph" w:customStyle="1" w:styleId="142">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4"/>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5"/>
    <w:next w:val="5"/>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22"/>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10"/>
    <w:qFormat/>
    <w:uiPriority w:val="0"/>
    <w:pPr>
      <w:widowControl/>
      <w:adjustRightInd/>
      <w:snapToGrid/>
      <w:spacing w:beforeLines="50"/>
      <w:jc w:val="left"/>
    </w:pPr>
    <w:rPr>
      <w:snapToGrid w:val="0"/>
      <w:kern w:val="24"/>
      <w:sz w:val="28"/>
    </w:rPr>
  </w:style>
  <w:style w:type="paragraph" w:customStyle="1" w:styleId="170">
    <w:name w:val="1"/>
    <w:basedOn w:val="1"/>
    <w:next w:val="34"/>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21"/>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8"/>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8"/>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7"/>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8"/>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5"/>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5"/>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6"/>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uiPriority w:val="0"/>
    <w:pPr>
      <w:spacing w:line="240" w:lineRule="atLeast"/>
      <w:jc w:val="center"/>
    </w:pPr>
    <w:rPr>
      <w:sz w:val="21"/>
    </w:rPr>
  </w:style>
  <w:style w:type="paragraph" w:customStyle="1" w:styleId="229">
    <w:name w:val="摘要"/>
    <w:basedOn w:val="1"/>
    <w:next w:val="6"/>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23"/>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8"/>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7"/>
    <w:next w:val="18"/>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252">
    <w:name w:val="List Paragraph"/>
    <w:basedOn w:val="1"/>
    <w:qFormat/>
    <w:uiPriority w:val="34"/>
    <w:pPr>
      <w:ind w:firstLine="420" w:firstLineChars="200"/>
    </w:pPr>
  </w:style>
  <w:style w:type="character" w:customStyle="1" w:styleId="253">
    <w:name w:val="font41"/>
    <w:basedOn w:val="59"/>
    <w:qFormat/>
    <w:uiPriority w:val="0"/>
    <w:rPr>
      <w:rFonts w:ascii="方正黑体_GBK" w:hAnsi="方正黑体_GBK" w:eastAsia="方正黑体_GBK" w:cs="方正黑体_GBK"/>
      <w:color w:val="000000"/>
      <w:sz w:val="24"/>
      <w:szCs w:val="24"/>
      <w:u w:val="none"/>
    </w:rPr>
  </w:style>
  <w:style w:type="character" w:customStyle="1" w:styleId="254">
    <w:name w:val="font01"/>
    <w:basedOn w:val="59"/>
    <w:qFormat/>
    <w:uiPriority w:val="0"/>
    <w:rPr>
      <w:rFonts w:hint="default" w:ascii="Times New Roman" w:hAnsi="Times New Roman" w:cs="Times New Roman"/>
      <w:color w:val="000000"/>
      <w:sz w:val="24"/>
      <w:szCs w:val="24"/>
      <w:u w:val="none"/>
    </w:rPr>
  </w:style>
  <w:style w:type="character" w:customStyle="1" w:styleId="255">
    <w:name w:val="font81"/>
    <w:basedOn w:val="59"/>
    <w:qFormat/>
    <w:uiPriority w:val="0"/>
    <w:rPr>
      <w:rFonts w:hint="eastAsia" w:ascii="宋体" w:hAnsi="宋体" w:eastAsia="宋体" w:cs="宋体"/>
      <w:color w:val="000000"/>
      <w:sz w:val="20"/>
      <w:szCs w:val="20"/>
      <w:u w:val="none"/>
    </w:rPr>
  </w:style>
  <w:style w:type="character" w:customStyle="1" w:styleId="256">
    <w:name w:val="font11"/>
    <w:basedOn w:val="59"/>
    <w:qFormat/>
    <w:uiPriority w:val="0"/>
    <w:rPr>
      <w:rFonts w:hint="default" w:ascii="Times New Roman" w:hAnsi="Times New Roman" w:cs="Times New Roman"/>
      <w:color w:val="000000"/>
      <w:sz w:val="20"/>
      <w:szCs w:val="20"/>
      <w:u w:val="none"/>
    </w:rPr>
  </w:style>
  <w:style w:type="character" w:customStyle="1" w:styleId="257">
    <w:name w:val="font71"/>
    <w:basedOn w:val="59"/>
    <w:qFormat/>
    <w:uiPriority w:val="0"/>
    <w:rPr>
      <w:rFonts w:hint="eastAsia" w:ascii="宋体" w:hAnsi="宋体" w:eastAsia="宋体" w:cs="宋体"/>
      <w:color w:val="000000"/>
      <w:sz w:val="20"/>
      <w:szCs w:val="20"/>
      <w:u w:val="none"/>
    </w:rPr>
  </w:style>
  <w:style w:type="paragraph" w:customStyle="1" w:styleId="258">
    <w:name w:val="列表段落1"/>
    <w:basedOn w:val="1"/>
    <w:qFormat/>
    <w:uiPriority w:val="99"/>
    <w:pPr>
      <w:ind w:firstLine="420" w:firstLineChars="200"/>
    </w:pPr>
  </w:style>
  <w:style w:type="paragraph" w:customStyle="1" w:styleId="259">
    <w:name w:val="正文 A"/>
    <w:qFormat/>
    <w:uiPriority w:val="0"/>
    <w:pPr>
      <w:widowControl w:val="0"/>
      <w:jc w:val="both"/>
    </w:pPr>
    <w:rPr>
      <w:rFonts w:ascii="Times New Roman" w:hAnsi="Times New Roman" w:eastAsia="Times New Roman" w:cs="Times New Roman"/>
      <w:color w:val="000000"/>
      <w:kern w:val="2"/>
      <w:sz w:val="28"/>
      <w:szCs w:val="28"/>
      <w:u w:val="none" w:color="000000"/>
      <w:lang w:val="en-US" w:eastAsia="zh-CN" w:bidi="ar-SA"/>
    </w:rPr>
  </w:style>
  <w:style w:type="paragraph" w:customStyle="1" w:styleId="260">
    <w:name w:val="样式 (中文) 仿宋_GB2312 小四 行距: 固定值 22 磅"/>
    <w:basedOn w:val="1"/>
    <w:qFormat/>
    <w:uiPriority w:val="0"/>
    <w:pPr>
      <w:spacing w:line="400" w:lineRule="exact"/>
      <w:ind w:firstLine="150" w:firstLineChars="150"/>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6" textRotate="1"/>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20</Pages>
  <Words>9219</Words>
  <Characters>9589</Characters>
  <Lines>89</Lines>
  <Paragraphs>25</Paragraphs>
  <TotalTime>13</TotalTime>
  <ScaleCrop>false</ScaleCrop>
  <LinksUpToDate>false</LinksUpToDate>
  <CharactersWithSpaces>10002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2019-04-23T08:48:00Z</dcterms:created>
  <dc:creator>罗成</dc:creator>
  <cp:lastModifiedBy>Administrator</cp:lastModifiedBy>
  <cp:lastPrinted>2024-10-25T10:40:00Z</cp:lastPrinted>
  <dcterms:modified xsi:type="dcterms:W3CDTF">2024-10-27T00:40:13Z</dcterms:modified>
  <dc:title>竞争性谈判文件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E43EB7EDA1F943AD89AA2341BADB880D</vt:lpwstr>
  </property>
</Properties>
</file>