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94" w:lineRule="exact"/>
        <w:jc w:val="center"/>
        <w:outlineLvl w:val="9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94" w:lineRule="exact"/>
        <w:jc w:val="center"/>
        <w:outlineLvl w:val="9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adjustRightInd w:val="0"/>
        <w:jc w:val="center"/>
        <w:rPr>
          <w:rFonts w:ascii="Times New Roman" w:hAnsi="Times New Roman" w:eastAsia="方正小标宋_GBK" w:cs="Times New Roman"/>
          <w:color w:val="FF0000"/>
          <w:sz w:val="32"/>
          <w:szCs w:val="32"/>
        </w:rPr>
      </w:pPr>
    </w:p>
    <w:p>
      <w:pPr>
        <w:adjustRightInd w:val="0"/>
        <w:jc w:val="center"/>
        <w:rPr>
          <w:rFonts w:ascii="Times New Roman" w:hAnsi="Times New Roman" w:eastAsia="方正小标宋_GBK" w:cs="Times New Roman"/>
          <w:color w:val="FF0000"/>
          <w:sz w:val="32"/>
          <w:szCs w:val="32"/>
        </w:rPr>
      </w:pPr>
    </w:p>
    <w:p>
      <w:pPr>
        <w:adjustRightInd w:val="0"/>
        <w:jc w:val="center"/>
        <w:rPr>
          <w:rFonts w:ascii="Times New Roman" w:hAnsi="Times New Roman" w:eastAsia="方正小标宋_GBK" w:cs="Times New Roman"/>
          <w:color w:val="FF0000"/>
          <w:sz w:val="32"/>
          <w:szCs w:val="32"/>
        </w:rPr>
      </w:pPr>
    </w:p>
    <w:p>
      <w:pPr>
        <w:adjustRightInd w:val="0"/>
        <w:spacing w:line="0" w:lineRule="atLeast"/>
        <w:jc w:val="center"/>
        <w:rPr>
          <w:rFonts w:ascii="Times New Roman" w:hAnsi="Times New Roman" w:eastAsia="方正小标宋_GBK" w:cs="Times New Roman"/>
          <w:color w:val="FF0000"/>
          <w:sz w:val="32"/>
          <w:szCs w:val="32"/>
        </w:rPr>
      </w:pPr>
    </w:p>
    <w:p>
      <w:pPr>
        <w:adjustRightInd w:val="0"/>
        <w:jc w:val="center"/>
        <w:rPr>
          <w:rFonts w:ascii="Times New Roman" w:hAnsi="Times New Roman" w:eastAsia="华文中宋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pict>
          <v:shape id="_x0000_i1025" o:spt="136" type="#_x0000_t136" style="height:54.4pt;width:420.3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大渡口区国有资产监督管理委员会文件" style="font-family:方正小标宋_GBK;font-size:40pt;v-text-align:center;"/>
            <w10:wrap type="none"/>
            <w10:anchorlock/>
          </v:shape>
        </w:pict>
      </w: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b/>
          <w:bCs/>
          <w:sz w:val="32"/>
        </w:rPr>
      </w:pPr>
    </w:p>
    <w:p>
      <w:pPr>
        <w:spacing w:before="173" w:beforeLines="3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渡国资委〔20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32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164465</wp:posOffset>
                </wp:positionV>
                <wp:extent cx="5784215" cy="0"/>
                <wp:effectExtent l="0" t="19050" r="6985" b="19050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6pt;margin-top:12.95pt;height:0pt;width:455.4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hmrnptsAAAAJ&#10;AQAADwAAAGRycy9kb3ducmV2LnhtbE2PwU7CQBCG7ya8w2ZIvBjYtkkVarfEkBBRDmIhMd6W7tg2&#10;dGfr7hbw7V3jQY8z8+Wf788XF92xE1rXGhIQTyNgSJVRLdUC9rvVZAbMeUlKdoZQwBc6WBSjq1xm&#10;ypzpFU+lr1kIIZdJAY33fca5qxrU0k1NjxRuH8Zq6cNoa66sPIdw3fEkim65li2FD43scdlgdSwH&#10;LUC/6Af+vnkcSrt9en773Ky3x5u1ENfjOLoH5vHi/2D40Q/qUASngxlIOdYJmMRpElABSToHFoDZ&#10;PL0Ddvhd8CLn/xsU31BLAwQUAAAACACHTuJANttRzNEBAACuAwAADgAAAGRycy9lMm9Eb2MueG1s&#10;rVPBbtswDL0P2D8Iujd20nULjDg9JMgu2Rag3QcosmwLlURBVOLk70cpcdp1lx7mgyCK5CPfI714&#10;PFnDjiqgBlfz6aTkTDkJjXZdzX8/b+7mnGEUrhEGnKr5WSF/XH7+tBh8pWbQg2lUYATisBp8zfsY&#10;fVUUKHtlBU7AK0fOFoIVkczQFU0QA6FbU8zK8msxQGh8AKkQ6XV9cfIrYvgIILStlmoN8mCVixfU&#10;oIyIRAl77ZEvc7dtq2T81baoIjM1J6Yxn1SE7vt0FsuFqLogfK/ltQXxkRbecbJCOyp6g1qLKNgh&#10;6H+grJYBENo4kWCLC5GsCLGYlu+0eeqFV5kLSY3+Jjr+P1j587gLTDe0CZw5YWngW+0Uu0/KDB4r&#10;Cli5XUjc5Mk9+S3IF2QOVr1wncodPp89pU1TRvFXSjLQE/5++AENxYhDhCzTqQ02QZIA7JSncb5N&#10;Q50ik/T48G3+ZTZ94EyOvkJUY6IPGL8rsCxdam6o5wwsjluMqRFRjSGpjoONNiYP2zg21Px+Pi3L&#10;nIFgdJO8KQ5Dt1+ZwI6C9mWzKenLtMjzNizAwTWXKsalPJVX7Vp6pH0RcA/NeRdGbWiMubnryqU9&#10;eWtnBV9/s+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mrnptsAAAAJAQAADwAAAAAAAAABACAA&#10;AAAiAAAAZHJzL2Rvd25yZXYueG1sUEsBAhQAFAAAAAgAh07iQDbbUczRAQAArgMAAA4AAAAAAAAA&#10;AQAgAAAAKgEAAGRycy9lMm9Eb2MueG1sUEsFBgAAAAAGAAYAWQEAAG0FAAAAAA==&#10;">
                <v:fill on="f" focussize="0,0"/>
                <v:stroke weight="3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大渡口区国有资产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于</w:t>
      </w:r>
      <w:r>
        <w:rPr>
          <w:rFonts w:hint="eastAsia" w:ascii="Times New Roman" w:hAnsi="Times New Roman" w:eastAsia="方正小标宋_GBK" w:cs="方正小标宋简体"/>
          <w:color w:val="000000"/>
          <w:sz w:val="44"/>
          <w:szCs w:val="44"/>
        </w:rPr>
        <w:t>大渡口区新晟发建设有限公司增资的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重庆市大渡口区新晟发建设有限公司：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5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你司《关于向重庆市大渡口区新晟发建设有限公司增加注册资本金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7500万元的请示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》（渝新晟发司文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）已收悉，经区国资委研究，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现将有关事项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批复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5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一、将新晟发公司由原注册资本金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6.03亿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元增加至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6.78亿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元，其中，区国资委出资额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4.78亿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元（已缴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4.03亿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追缴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0.75亿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元）；建渡基金合伙企业出资额2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按照以前清产核资报告，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净资产超过注册资本金增值部分的1873.94万元作为区国资委的权益。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二、本次增资后双方注册资本金的比例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区国资委占股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71.29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%，建渡基金合伙企业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28.71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股权结构如下：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7"/>
        <w:gridCol w:w="1868"/>
        <w:gridCol w:w="1555"/>
        <w:gridCol w:w="173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股东名称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增资扩股前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增资扩股后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出资额      （人民币/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亿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元）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持股比例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出资额      （人民币/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亿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元）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区国资委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4.03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67.83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4.78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71.29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建渡基金合伙企业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32.17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28.71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6.03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6.78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%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三、请你司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按照相关程序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办理新晟发公司增资扩股工商注册手续。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大渡口区国有资产监督管理委员会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/>
          <w:color w:val="000000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大晟公司</w:t>
      </w:r>
      <w:r>
        <w:rPr>
          <w:rFonts w:hint="eastAsia" w:ascii="Times New Roman" w:hAnsi="Times New Roman" w:eastAsia="方正仿宋_GBK"/>
          <w:sz w:val="28"/>
          <w:szCs w:val="28"/>
        </w:rPr>
        <w:t>，建桥公司。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大渡口区国有资产监督管理委员会办公室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17780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1.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ublLdEAAAAG&#10;AQAADwAAAGRycy9kb3ducmV2LnhtbE2PMU/DMBCFdyT+g3VIbNRuBkhDnA6VWNgoCInNja9xhH2O&#10;bDdN/j3HBNt7eqf3vmv3S/BixpTHSBq2GwUCqY92pEHDx/vLQw0iF0PW+EioYcUM++72pjWNjVd6&#10;w/lYBsEllBujwZUyNVLm3mEweRMnJM7OMQVT2KZB2mSuXB68rJR6lMGMxAvOTHhw2H8fL0HD0/IZ&#10;ccp4wK/z3Cc3rrV/XbW+v9uqZxAFl/J3DL/4jA4dM53ihWwWXgM/UjRUjM9hVdfsTyx2qgbZtfI/&#10;fvcDUEsDBBQAAAAIAIdO4kD3xtK6yAEAAJkDAAAOAAAAZHJzL2Uyb0RvYy54bWytU82O0zAQviPx&#10;Dpbv1GkPqIqarhZVi5AQIC08gOvYjSX/yeM26QvAG3Diwp3n6nMwdpLuslz2sBdnPDP+Zr5vJpub&#10;wRpykhG0dw1dLipKpBO+1e7Q0G9f796sKYHEXcuNd7KhZwn0Zvv61aYPtVz5zptWRoIgDuo+NLRL&#10;KdSMgeik5bDwQToMKh8tT3iNB9ZG3iO6NWxVVW9Z72MbohcSAL27MUgnxPgcQK+UFnLnxdFKl0bU&#10;KA1PSAk6HYBuS7dKSZE+KwUyEdNQZJrKiUXQ3ueTbTe8PkQeOi2mFvhzWnjCyXLtsOgVascTJ8eo&#10;/4OyWkQPXqWF8JaNRIoiyGJZPdHmvuNBFi4oNYSr6PBysOLT6Uskum3oihLHLQ788vPH5defy+/v&#10;ZJnl6QPUmHUfMC8N7/yASzP7AZ2Z9aCizV/kQzCO4p6v4sohEZEfrVfrdYUhgbH5gvjs4XmIkN5L&#10;b0k2GhpxekVUfvoIaUydU3I15++0MWWCxv3jQMzsYbn3scdspWE/TIT2vj0jnx4H31CHe06J+eBQ&#10;17wjsxFnYz8bxxD1oStLlOtBuD0mbKL0liuMsFNhnFhhN21XXonH95L18Ed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a5uUt0QAAAAYBAAAPAAAAAAAAAAEAIAAAACIAAABkcnMvZG93bnJldi54&#10;bWxQSwECFAAUAAAACACHTuJA98bSusgBAACZ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D3B9B"/>
    <w:rsid w:val="11DE4056"/>
    <w:rsid w:val="1292333A"/>
    <w:rsid w:val="15A6707F"/>
    <w:rsid w:val="17DEFA27"/>
    <w:rsid w:val="18AD5C58"/>
    <w:rsid w:val="1EEF257F"/>
    <w:rsid w:val="2E8C546A"/>
    <w:rsid w:val="2F9070CA"/>
    <w:rsid w:val="32272424"/>
    <w:rsid w:val="3E173D76"/>
    <w:rsid w:val="479D52F7"/>
    <w:rsid w:val="4A220161"/>
    <w:rsid w:val="4AAE2FA6"/>
    <w:rsid w:val="518845B1"/>
    <w:rsid w:val="547739EF"/>
    <w:rsid w:val="58FB13B9"/>
    <w:rsid w:val="63B475F6"/>
    <w:rsid w:val="6B4C2A94"/>
    <w:rsid w:val="6C6D670D"/>
    <w:rsid w:val="6E1946E5"/>
    <w:rsid w:val="7E312C58"/>
    <w:rsid w:val="BFF78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b/>
      <w:color w:val="FF0000"/>
      <w:sz w:val="4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character" w:customStyle="1" w:styleId="12">
    <w:name w:val="font51"/>
    <w:basedOn w:val="10"/>
    <w:link w:val="1"/>
    <w:qFormat/>
    <w:uiPriority w:val="0"/>
    <w:rPr>
      <w:rFonts w:hint="eastAsia" w:ascii="方正仿宋_GBK" w:hAnsi="方正仿宋_GBK" w:eastAsia="方正仿宋_GBK"/>
      <w:b/>
      <w:color w:val="000000"/>
      <w:sz w:val="28"/>
      <w:szCs w:val="28"/>
      <w:u w:val="none"/>
    </w:rPr>
  </w:style>
  <w:style w:type="character" w:customStyle="1" w:styleId="13">
    <w:name w:val="font01"/>
    <w:basedOn w:val="10"/>
    <w:link w:val="1"/>
    <w:qFormat/>
    <w:uiPriority w:val="0"/>
    <w:rPr>
      <w:rFonts w:hint="eastAsia" w:ascii="方正仿宋_GBK" w:hAnsi="方正仿宋_GBK" w:eastAsia="方正仿宋_GBK"/>
      <w:color w:val="000000"/>
      <w:sz w:val="24"/>
      <w:szCs w:val="24"/>
      <w:u w:val="none"/>
    </w:rPr>
  </w:style>
  <w:style w:type="character" w:customStyle="1" w:styleId="14">
    <w:name w:val="font21"/>
    <w:basedOn w:val="10"/>
    <w:link w:val="1"/>
    <w:qFormat/>
    <w:uiPriority w:val="0"/>
    <w:rPr>
      <w:rFonts w:ascii="Times New Roman" w:hAnsi="Times New Roman"/>
      <w:b/>
      <w:color w:val="000000"/>
      <w:sz w:val="28"/>
      <w:szCs w:val="28"/>
      <w:u w:val="none"/>
    </w:rPr>
  </w:style>
  <w:style w:type="character" w:customStyle="1" w:styleId="15">
    <w:name w:val="font41"/>
    <w:basedOn w:val="10"/>
    <w:link w:val="1"/>
    <w:qFormat/>
    <w:uiPriority w:val="0"/>
    <w:rPr>
      <w:rFonts w:hint="eastAsia" w:ascii="方正仿宋_GBK" w:hAnsi="方正仿宋_GBK" w:eastAsia="方正仿宋_GBK"/>
      <w:b/>
      <w:color w:val="000000"/>
      <w:sz w:val="24"/>
      <w:szCs w:val="24"/>
      <w:u w:val="none"/>
    </w:rPr>
  </w:style>
  <w:style w:type="character" w:customStyle="1" w:styleId="16">
    <w:name w:val="font31"/>
    <w:basedOn w:val="10"/>
    <w:link w:val="1"/>
    <w:qFormat/>
    <w:uiPriority w:val="0"/>
    <w:rPr>
      <w:rFonts w:hint="eastAsia" w:ascii="方正仿宋_GBK" w:hAnsi="方正仿宋_GBK" w:eastAsia="方正仿宋_GBK"/>
      <w:color w:val="000000"/>
      <w:sz w:val="28"/>
      <w:szCs w:val="28"/>
      <w:u w:val="none"/>
    </w:rPr>
  </w:style>
  <w:style w:type="paragraph" w:customStyle="1" w:styleId="17">
    <w:name w:val="标题1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 w:eastAsia="宋体"/>
      <w:b/>
      <w:bCs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2023-05-18T18:38:00Z</dcterms:created>
  <dc:creator>江东月</dc:creator>
  <cp:lastModifiedBy>Administrator</cp:lastModifiedBy>
  <cp:lastPrinted>2023-05-25T09:51:00Z</cp:lastPrinted>
  <dcterms:modified xsi:type="dcterms:W3CDTF">2023-05-26T03:30:31Z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