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jc w:val="center"/>
        <w:rPr>
          <w:rFonts w:ascii="Times New Roman" w:hAnsi="Times New Roman" w:eastAsia="方正小标宋_GBK"/>
          <w:sz w:val="44"/>
          <w:szCs w:val="44"/>
        </w:rPr>
      </w:pPr>
    </w:p>
    <w:p>
      <w:pPr>
        <w:spacing w:line="594" w:lineRule="exact"/>
        <w:jc w:val="center"/>
        <w:rPr>
          <w:rFonts w:ascii="Times New Roman" w:hAnsi="Times New Roman" w:eastAsia="方正小标宋_GBK"/>
          <w:sz w:val="44"/>
          <w:szCs w:val="44"/>
        </w:rPr>
      </w:pPr>
    </w:p>
    <w:p>
      <w:pPr>
        <w:adjustRightInd w:val="0"/>
        <w:jc w:val="center"/>
        <w:rPr>
          <w:rFonts w:ascii="Times New Roman" w:hAnsi="Times New Roman" w:eastAsia="方正小标宋_GBK"/>
          <w:color w:val="FF0000"/>
          <w:sz w:val="32"/>
          <w:szCs w:val="32"/>
        </w:rPr>
      </w:pPr>
    </w:p>
    <w:p>
      <w:pPr>
        <w:adjustRightInd w:val="0"/>
        <w:jc w:val="center"/>
        <w:rPr>
          <w:rFonts w:ascii="Times New Roman" w:hAnsi="Times New Roman" w:eastAsia="方正小标宋_GBK"/>
          <w:color w:val="FF0000"/>
          <w:sz w:val="32"/>
          <w:szCs w:val="32"/>
        </w:rPr>
      </w:pPr>
    </w:p>
    <w:p>
      <w:pPr>
        <w:adjustRightInd w:val="0"/>
        <w:jc w:val="center"/>
        <w:rPr>
          <w:rFonts w:ascii="Times New Roman" w:hAnsi="Times New Roman" w:eastAsia="方正小标宋_GBK"/>
          <w:color w:val="FF0000"/>
          <w:sz w:val="32"/>
          <w:szCs w:val="32"/>
        </w:rPr>
      </w:pPr>
    </w:p>
    <w:p>
      <w:pPr>
        <w:adjustRightInd w:val="0"/>
        <w:spacing w:line="0" w:lineRule="atLeast"/>
        <w:jc w:val="center"/>
        <w:rPr>
          <w:rFonts w:ascii="Times New Roman" w:hAnsi="Times New Roman" w:eastAsia="方正小标宋_GBK"/>
          <w:color w:val="FF0000"/>
          <w:sz w:val="32"/>
          <w:szCs w:val="32"/>
        </w:rPr>
      </w:pPr>
    </w:p>
    <w:p>
      <w:pPr>
        <w:adjustRightInd w:val="0"/>
        <w:jc w:val="center"/>
        <w:rPr>
          <w:rFonts w:ascii="Times New Roman" w:hAnsi="Times New Roman" w:eastAsia="华文中宋"/>
          <w:color w:val="FF0000"/>
          <w:sz w:val="32"/>
          <w:szCs w:val="32"/>
        </w:rPr>
      </w:pPr>
      <w:r>
        <w:rPr>
          <w:rFonts w:ascii="Times New Roman" w:hAnsi="Times New Roman" w:eastAsia="方正仿宋_GBK"/>
          <w:sz w:val="32"/>
        </w:rPr>
        <w:pict>
          <v:shape id="_x0000_i1025" o:spt="136" type="#_x0000_t136" style="height:54.4pt;width:420.3pt;" fillcolor="#FF0000" filled="t" stroked="t" coordsize="21600,21600">
            <v:path/>
            <v:fill on="t" focussize="0,0"/>
            <v:stroke weight="0pt" color="#FF0000"/>
            <v:imagedata o:title=""/>
            <o:lock v:ext="edit"/>
            <v:textpath on="t" fitshape="t" fitpath="t" trim="t" xscale="f" string="大渡口区国有资产监督管理委员会文件" style="font-family:方正小标宋_GBK;font-size:40pt;v-text-align:center;"/>
            <w10:wrap type="none"/>
            <w10:anchorlock/>
          </v:shape>
        </w:pict>
      </w:r>
    </w:p>
    <w:p>
      <w:pPr>
        <w:spacing w:line="560" w:lineRule="exact"/>
        <w:rPr>
          <w:rFonts w:ascii="Times New Roman" w:hAnsi="Times New Roman" w:eastAsia="方正仿宋_GBK"/>
          <w:b/>
          <w:bCs/>
          <w:sz w:val="32"/>
        </w:rPr>
      </w:pPr>
    </w:p>
    <w:p>
      <w:pPr>
        <w:spacing w:before="93" w:beforeLines="30"/>
        <w:jc w:val="center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渡国资委〔2024〕</w:t>
      </w:r>
      <w:r>
        <w:rPr>
          <w:rFonts w:hint="eastAsia" w:ascii="Times New Roman" w:hAnsi="Times New Roman" w:eastAsia="方正仿宋_GBK"/>
          <w:sz w:val="32"/>
          <w:szCs w:val="32"/>
          <w:lang w:val="en-US" w:eastAsia="zh-CN"/>
        </w:rPr>
        <w:t>9</w:t>
      </w:r>
      <w:r>
        <w:rPr>
          <w:rFonts w:ascii="Times New Roman" w:hAnsi="Times New Roman" w:eastAsia="方正仿宋_GBK"/>
          <w:sz w:val="32"/>
          <w:szCs w:val="32"/>
        </w:rPr>
        <w:t>号</w:t>
      </w:r>
    </w:p>
    <w:p>
      <w:pPr>
        <w:spacing w:line="320" w:lineRule="exact"/>
        <w:rPr>
          <w:rFonts w:ascii="Times New Roman" w:hAnsi="Times New Roman" w:eastAsia="方正仿宋_GBK"/>
          <w:bCs/>
          <w:sz w:val="32"/>
          <w:szCs w:val="32"/>
        </w:rPr>
      </w:pPr>
      <w:r>
        <w:rPr>
          <w:rFonts w:ascii="Times New Roman" w:hAnsi="Times New Roman" w:eastAsia="方正仿宋_GBK"/>
          <w:b/>
          <w:bCs/>
          <w:sz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-96520</wp:posOffset>
                </wp:positionH>
                <wp:positionV relativeFrom="paragraph">
                  <wp:posOffset>164465</wp:posOffset>
                </wp:positionV>
                <wp:extent cx="5784215" cy="0"/>
                <wp:effectExtent l="0" t="19050" r="6985" b="19050"/>
                <wp:wrapSquare wrapText="bothSides"/>
                <wp:docPr id="1" name="Lin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84215" cy="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3" o:spid="_x0000_s1026" o:spt="20" style="position:absolute;left:0pt;margin-left:-7.6pt;margin-top:12.95pt;height:0pt;width:455.45pt;mso-wrap-distance-bottom:0pt;mso-wrap-distance-left:9pt;mso-wrap-distance-right:9pt;mso-wrap-distance-top:0pt;z-index:251658240;mso-width-relative:page;mso-height-relative:page;" filled="f" stroked="t" coordsize="21600,21600" o:gfxdata="UEsDBAoAAAAAAIdO4kAAAAAAAAAAAAAAAAAEAAAAZHJzL1BLAwQUAAAACACHTuJAhmrnptsAAAAJ&#10;AQAADwAAAGRycy9kb3ducmV2LnhtbE2PwU7CQBCG7ya8w2ZIvBjYtkkVarfEkBBRDmIhMd6W7tg2&#10;dGfr7hbw7V3jQY8z8+Wf788XF92xE1rXGhIQTyNgSJVRLdUC9rvVZAbMeUlKdoZQwBc6WBSjq1xm&#10;ypzpFU+lr1kIIZdJAY33fca5qxrU0k1NjxRuH8Zq6cNoa66sPIdw3fEkim65li2FD43scdlgdSwH&#10;LUC/6Af+vnkcSrt9en773Ky3x5u1ENfjOLoH5vHi/2D40Q/qUASngxlIOdYJmMRpElABSToHFoDZ&#10;PL0Ddvhd8CLn/xsU31BLAwQUAAAACACHTuJAGyOBXrcBAABgAwAADgAAAGRycy9lMm9Eb2MueG1s&#10;rVPBbtswDL0P6D8Iui+203ULjDg9pEgv2Rag7QcokmwLk0RBUmLn70cpcdput6I+CJZJPr73SC/v&#10;R6PJUfqgwDa0mpWUSMtBKNs19OV583VBSYjMCqbByoaeZKD3q5svy8HVcg49aCE9QRAb6sE1tI/R&#10;1UUReC8NCzNw0mKwBW9YxKvvCuHZgOhGF/Oy/F4M4IXzwGUI+PXhHKSrjN+2ksffbRtkJLqhyC3m&#10;0+dzn85itWR155nrFb/QYB9gYZiy2PQK9cAiIwev/oMyinsI0MYZB1NA2youswZUU5X/qHnqmZNZ&#10;C5oT3NWm8Hmw/Ndx54kSODtKLDM4oq2yktwmZwYXakxY251P2vhon9wW+J9ALKx7ZjuZGT6fHJZV&#10;qaJ4V5IuwSH+fvgJAnPYIUK2aWy9SZBoABnzNE7XacgxEo4f734svs2rO0r4FCtYPRU6H+KjBEPS&#10;S0M1cs7A7LgNMRFh9ZSS+ljYKK3zsLUlQ0NvF1VZ5ooAWokUTXnBd/u19uTIcF82mxKfLAsjb9M8&#10;HKw4d9E21cm8apfWk+yzgXsQp52fvMExZnKXlUt78vaeHXz9MVZ/A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CsEAABbQ29udGVudF9UeXBlc10u&#10;eG1sUEsBAhQACgAAAAAAh07iQAAAAAAAAAAAAAAAAAYAAAAAAAAAAAAQAAAADQMAAF9yZWxzL1BL&#10;AQIUABQAAAAIAIdO4kCKFGY80QAAAJQBAAALAAAAAAAAAAEAIAAAADEDAABfcmVscy8ucmVsc1BL&#10;AQIUAAoAAAAAAIdO4kAAAAAAAAAAAAAAAAAEAAAAAAAAAAAAEAAAAAAAAABkcnMvUEsBAhQAFAAA&#10;AAgAh07iQIZq56bbAAAACQEAAA8AAAAAAAAAAQAgAAAAIgAAAGRycy9kb3ducmV2LnhtbFBLAQIU&#10;ABQAAAAIAIdO4kAbI4FetwEAAGADAAAOAAAAAAAAAAEAIAAAACoBAABkcnMvZTJvRG9jLnhtbFBL&#10;BQYAAAAABgAGAFkBAABTBQAAAAA=&#10;">
                <v:fill on="f" focussize="0,0"/>
                <v:stroke weight="3pt" color="#FF0000" joinstyle="round"/>
                <v:imagedata o:title=""/>
                <o:lock v:ext="edit" aspectratio="f"/>
                <w10:wrap type="square"/>
              </v:line>
            </w:pict>
          </mc:Fallback>
        </mc:AlternateContent>
      </w:r>
    </w:p>
    <w:p>
      <w:pPr>
        <w:spacing w:line="594" w:lineRule="exact"/>
        <w:rPr>
          <w:rFonts w:ascii="Times New Roman" w:hAnsi="Times New Roman" w:eastAsia="方正小标宋_GBK"/>
          <w:sz w:val="44"/>
          <w:szCs w:val="44"/>
        </w:rPr>
      </w:pPr>
    </w:p>
    <w:p>
      <w:pPr>
        <w:spacing w:line="594" w:lineRule="exact"/>
        <w:jc w:val="center"/>
        <w:rPr>
          <w:rFonts w:ascii="Times New Roman" w:hAnsi="Times New Roman" w:eastAsia="方正小标宋_GBK"/>
          <w:sz w:val="44"/>
          <w:szCs w:val="44"/>
        </w:rPr>
      </w:pPr>
      <w:r>
        <w:rPr>
          <w:rFonts w:ascii="Times New Roman" w:hAnsi="Times New Roman" w:eastAsia="方正小标宋_GBK"/>
          <w:sz w:val="44"/>
          <w:szCs w:val="44"/>
        </w:rPr>
        <w:t>大渡口区国有资产监督管理委员会</w:t>
      </w:r>
    </w:p>
    <w:p>
      <w:pPr>
        <w:spacing w:line="594" w:lineRule="exact"/>
        <w:jc w:val="center"/>
        <w:rPr>
          <w:rFonts w:ascii="Times New Roman" w:hAnsi="Times New Roman" w:eastAsia="方正小标宋_GBK" w:cs="方正小标宋简体"/>
          <w:color w:val="000000"/>
          <w:sz w:val="44"/>
          <w:szCs w:val="44"/>
        </w:rPr>
      </w:pPr>
      <w:r>
        <w:rPr>
          <w:rFonts w:hint="eastAsia" w:ascii="Times New Roman" w:hAnsi="Times New Roman" w:eastAsia="方正小标宋_GBK"/>
          <w:sz w:val="44"/>
          <w:szCs w:val="44"/>
        </w:rPr>
        <w:t>关于重庆市</w:t>
      </w:r>
      <w:r>
        <w:rPr>
          <w:rFonts w:hint="eastAsia" w:ascii="Times New Roman" w:hAnsi="Times New Roman" w:eastAsia="方正小标宋_GBK" w:cs="方正小标宋简体"/>
          <w:color w:val="000000"/>
          <w:sz w:val="44"/>
          <w:szCs w:val="44"/>
        </w:rPr>
        <w:t>大渡口区城乡建设发展有限公司</w:t>
      </w:r>
    </w:p>
    <w:p>
      <w:pPr>
        <w:spacing w:line="594" w:lineRule="exact"/>
        <w:jc w:val="center"/>
        <w:rPr>
          <w:rFonts w:ascii="Times New Roman" w:hAnsi="Times New Roman" w:eastAsia="方正小标宋_GBK" w:cs="方正小标宋简体"/>
          <w:color w:val="000000"/>
          <w:sz w:val="44"/>
          <w:szCs w:val="44"/>
        </w:rPr>
      </w:pPr>
      <w:r>
        <w:rPr>
          <w:rFonts w:hint="eastAsia" w:ascii="Times New Roman" w:hAnsi="Times New Roman" w:eastAsia="方正小标宋_GBK" w:cs="方正小标宋简体"/>
          <w:color w:val="000000"/>
          <w:sz w:val="44"/>
          <w:szCs w:val="44"/>
        </w:rPr>
        <w:t>增资的</w:t>
      </w:r>
      <w:r>
        <w:rPr>
          <w:rFonts w:hint="eastAsia" w:ascii="Times New Roman" w:hAnsi="Times New Roman" w:eastAsia="方正小标宋_GBK"/>
          <w:sz w:val="44"/>
          <w:szCs w:val="44"/>
        </w:rPr>
        <w:t>批复</w:t>
      </w:r>
    </w:p>
    <w:p>
      <w:pPr>
        <w:spacing w:line="594" w:lineRule="exact"/>
        <w:rPr>
          <w:rFonts w:ascii="Times New Roman" w:hAnsi="Times New Roman"/>
        </w:rPr>
      </w:pPr>
    </w:p>
    <w:p>
      <w:pPr>
        <w:spacing w:line="594" w:lineRule="exact"/>
        <w:rPr>
          <w:rFonts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重庆市大渡口区城乡建设发展有限公司：</w:t>
      </w:r>
    </w:p>
    <w:p>
      <w:pPr>
        <w:spacing w:line="594" w:lineRule="exact"/>
        <w:ind w:firstLine="615"/>
        <w:rPr>
          <w:rFonts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你司《关于拨付资本金用于支付皖新大厦项目款项的请示》（渝城建发司文</w:t>
      </w:r>
      <w:r>
        <w:rPr>
          <w:rFonts w:ascii="Times New Roman" w:hAnsi="Times New Roman" w:eastAsia="方正仿宋_GBK"/>
          <w:sz w:val="32"/>
          <w:szCs w:val="32"/>
        </w:rPr>
        <w:t>〔2024〕21号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）已收悉，经区国资委研究，现将有关事项批复如下：</w:t>
      </w:r>
    </w:p>
    <w:p>
      <w:pPr>
        <w:spacing w:line="594" w:lineRule="exact"/>
        <w:ind w:firstLine="615"/>
        <w:rPr>
          <w:rFonts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一、按照《重庆市大渡口区第十四届人民政府第6</w:t>
      </w:r>
      <w:r>
        <w:rPr>
          <w:rFonts w:ascii="Times New Roman" w:hAnsi="Times New Roman" w:eastAsia="方正仿宋_GBK" w:cs="方正仿宋_GBK"/>
          <w:sz w:val="32"/>
          <w:szCs w:val="32"/>
        </w:rPr>
        <w:t>0次常务会议纪要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》《十三届区委第1</w:t>
      </w:r>
      <w:r>
        <w:rPr>
          <w:rFonts w:ascii="Times New Roman" w:hAnsi="Times New Roman" w:eastAsia="方正仿宋_GBK" w:cs="方正仿宋_GBK"/>
          <w:sz w:val="32"/>
          <w:szCs w:val="32"/>
        </w:rPr>
        <w:t>04次常委会会议纪要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》有关精神，依规依法按程序以资本金形式拨付3</w:t>
      </w:r>
      <w:r>
        <w:rPr>
          <w:rFonts w:ascii="Times New Roman" w:hAnsi="Times New Roman" w:eastAsia="方正仿宋_GBK" w:cs="方正仿宋_GBK"/>
          <w:sz w:val="32"/>
          <w:szCs w:val="32"/>
        </w:rPr>
        <w:t>000万元至城建公司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。</w:t>
      </w:r>
    </w:p>
    <w:p>
      <w:pPr>
        <w:spacing w:line="594" w:lineRule="exact"/>
        <w:ind w:firstLine="615"/>
        <w:rPr>
          <w:rFonts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二、城建公司注册资本金由原</w:t>
      </w:r>
      <w:r>
        <w:rPr>
          <w:rFonts w:ascii="Times New Roman" w:hAnsi="Times New Roman" w:eastAsia="方正仿宋_GBK" w:cs="方正仿宋_GBK"/>
          <w:sz w:val="32"/>
          <w:szCs w:val="32"/>
        </w:rPr>
        <w:t>1000万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元增加至</w:t>
      </w:r>
      <w:r>
        <w:rPr>
          <w:rFonts w:ascii="Times New Roman" w:hAnsi="Times New Roman" w:eastAsia="方正仿宋_GBK" w:cs="方正仿宋_GBK"/>
          <w:sz w:val="32"/>
          <w:szCs w:val="32"/>
        </w:rPr>
        <w:t>4000万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元。</w:t>
      </w:r>
      <w:r>
        <w:rPr>
          <w:rFonts w:ascii="Times New Roman" w:hAnsi="Times New Roman" w:eastAsia="方正仿宋_GBK" w:cs="方正仿宋_GBK"/>
          <w:sz w:val="32"/>
          <w:szCs w:val="32"/>
        </w:rPr>
        <w:t xml:space="preserve"> </w:t>
      </w:r>
    </w:p>
    <w:p>
      <w:pPr>
        <w:spacing w:line="594" w:lineRule="exact"/>
        <w:rPr>
          <w:rFonts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 xml:space="preserve">    三、请你司按照相关程序办理城建公司增资工商变更手续。</w:t>
      </w:r>
    </w:p>
    <w:p>
      <w:pPr>
        <w:spacing w:line="594" w:lineRule="exact"/>
        <w:rPr>
          <w:rFonts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 xml:space="preserve">  </w:t>
      </w:r>
    </w:p>
    <w:p>
      <w:pPr>
        <w:pStyle w:val="2"/>
        <w:rPr>
          <w:rFonts w:hint="eastAsia"/>
        </w:rPr>
      </w:pPr>
    </w:p>
    <w:p>
      <w:pPr>
        <w:spacing w:line="594" w:lineRule="exact"/>
        <w:rPr>
          <w:rFonts w:ascii="Times New Roman" w:hAnsi="Times New Roman" w:eastAsia="方正仿宋_GBK" w:cs="方正仿宋_GBK"/>
          <w:sz w:val="32"/>
          <w:szCs w:val="32"/>
        </w:rPr>
      </w:pPr>
    </w:p>
    <w:p>
      <w:pPr>
        <w:spacing w:line="594" w:lineRule="exact"/>
        <w:ind w:firstLine="3840" w:firstLineChars="1200"/>
        <w:rPr>
          <w:rFonts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大渡口区国有资产监督管理委员会</w:t>
      </w:r>
    </w:p>
    <w:p>
      <w:pPr>
        <w:spacing w:line="594" w:lineRule="exact"/>
        <w:rPr>
          <w:rFonts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 xml:space="preserve">                                202</w:t>
      </w:r>
      <w:r>
        <w:rPr>
          <w:rFonts w:ascii="Times New Roman" w:hAnsi="Times New Roman" w:eastAsia="方正仿宋_GBK" w:cs="方正仿宋_GBK"/>
          <w:sz w:val="32"/>
          <w:szCs w:val="32"/>
        </w:rPr>
        <w:t>4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年</w:t>
      </w:r>
      <w:r>
        <w:rPr>
          <w:rFonts w:ascii="Times New Roman" w:hAnsi="Times New Roman" w:eastAsia="方正仿宋_GBK" w:cs="方正仿宋_GBK"/>
          <w:sz w:val="32"/>
          <w:szCs w:val="32"/>
        </w:rPr>
        <w:t>4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月</w:t>
      </w:r>
      <w:r>
        <w:rPr>
          <w:rFonts w:ascii="Times New Roman" w:hAnsi="Times New Roman" w:eastAsia="方正仿宋_GBK" w:cs="方正仿宋_GBK"/>
          <w:sz w:val="32"/>
          <w:szCs w:val="32"/>
        </w:rPr>
        <w:t>25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日</w:t>
      </w:r>
      <w:bookmarkStart w:id="0" w:name="_GoBack"/>
      <w:bookmarkEnd w:id="0"/>
    </w:p>
    <w:p>
      <w:pPr>
        <w:spacing w:line="600" w:lineRule="exact"/>
        <w:rPr>
          <w:rFonts w:ascii="Times New Roman" w:hAnsi="Times New Roman"/>
          <w:color w:val="000000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pStyle w:val="3"/>
        <w:rPr>
          <w:rFonts w:eastAsiaTheme="minorEastAsia"/>
        </w:rPr>
      </w:pPr>
    </w:p>
    <w:p>
      <w:pPr>
        <w:pStyle w:val="3"/>
        <w:rPr>
          <w:rFonts w:eastAsiaTheme="minorEastAsia"/>
        </w:rPr>
      </w:pPr>
    </w:p>
    <w:p>
      <w:pPr>
        <w:pStyle w:val="3"/>
        <w:rPr>
          <w:rFonts w:eastAsiaTheme="minorEastAsia"/>
        </w:rPr>
      </w:pPr>
    </w:p>
    <w:p>
      <w:pPr>
        <w:pStyle w:val="3"/>
        <w:rPr>
          <w:rFonts w:eastAsiaTheme="minorEastAsia"/>
        </w:rPr>
      </w:pPr>
    </w:p>
    <w:p>
      <w:pPr>
        <w:pStyle w:val="3"/>
        <w:rPr>
          <w:rFonts w:eastAsiaTheme="minorEastAsia"/>
        </w:rPr>
      </w:pPr>
    </w:p>
    <w:p>
      <w:pPr>
        <w:pStyle w:val="3"/>
        <w:rPr>
          <w:rFonts w:eastAsiaTheme="minorEastAsia"/>
        </w:rPr>
      </w:pPr>
    </w:p>
    <w:p>
      <w:pPr>
        <w:pStyle w:val="3"/>
        <w:rPr>
          <w:rFonts w:eastAsiaTheme="minorEastAsia"/>
        </w:rPr>
      </w:pPr>
    </w:p>
    <w:p>
      <w:pPr>
        <w:pStyle w:val="3"/>
        <w:rPr>
          <w:rFonts w:eastAsiaTheme="minorEastAsia"/>
        </w:rPr>
      </w:pPr>
    </w:p>
    <w:p>
      <w:pPr>
        <w:pStyle w:val="3"/>
        <w:rPr>
          <w:rFonts w:eastAsiaTheme="minorEastAsia"/>
        </w:rPr>
      </w:pPr>
    </w:p>
    <w:p>
      <w:pPr>
        <w:pStyle w:val="3"/>
        <w:rPr>
          <w:rFonts w:eastAsiaTheme="minorEastAsia"/>
        </w:rPr>
      </w:pPr>
    </w:p>
    <w:p>
      <w:pPr>
        <w:pStyle w:val="3"/>
        <w:rPr>
          <w:rFonts w:eastAsiaTheme="minorEastAsia"/>
        </w:rPr>
      </w:pPr>
    </w:p>
    <w:p>
      <w:pPr>
        <w:pStyle w:val="3"/>
        <w:rPr>
          <w:rFonts w:eastAsiaTheme="minorEastAsia"/>
        </w:rPr>
      </w:pPr>
    </w:p>
    <w:p>
      <w:pPr>
        <w:pStyle w:val="3"/>
        <w:rPr>
          <w:rFonts w:eastAsiaTheme="minorEastAsia"/>
        </w:rPr>
      </w:pPr>
    </w:p>
    <w:p>
      <w:pPr>
        <w:pStyle w:val="3"/>
        <w:rPr>
          <w:rFonts w:eastAsiaTheme="minorEastAsia"/>
        </w:rPr>
      </w:pPr>
    </w:p>
    <w:p>
      <w:pPr>
        <w:pStyle w:val="3"/>
        <w:rPr>
          <w:rFonts w:eastAsiaTheme="minorEastAsia"/>
        </w:rPr>
      </w:pPr>
    </w:p>
    <w:p>
      <w:pPr>
        <w:pStyle w:val="3"/>
        <w:rPr>
          <w:rFonts w:eastAsiaTheme="minorEastAsia"/>
        </w:rPr>
      </w:pPr>
    </w:p>
    <w:p>
      <w:pPr>
        <w:pStyle w:val="3"/>
        <w:rPr>
          <w:rFonts w:eastAsiaTheme="minorEastAsia"/>
        </w:rPr>
      </w:pPr>
    </w:p>
    <w:p>
      <w:pPr>
        <w:pStyle w:val="3"/>
        <w:rPr>
          <w:rFonts w:eastAsiaTheme="minorEastAsia"/>
        </w:rPr>
      </w:pPr>
    </w:p>
    <w:p>
      <w:pPr>
        <w:pStyle w:val="3"/>
        <w:rPr>
          <w:rFonts w:eastAsiaTheme="minorEastAsia"/>
        </w:rPr>
      </w:pPr>
    </w:p>
    <w:p>
      <w:pPr>
        <w:pStyle w:val="3"/>
        <w:rPr>
          <w:rFonts w:eastAsiaTheme="minorEastAsia"/>
        </w:rPr>
      </w:pPr>
    </w:p>
    <w:p>
      <w:pPr>
        <w:pBdr>
          <w:top w:val="single" w:color="auto" w:sz="4" w:space="1"/>
          <w:bottom w:val="single" w:color="auto" w:sz="4" w:space="1"/>
        </w:pBdr>
        <w:spacing w:line="400" w:lineRule="exact"/>
        <w:ind w:firstLine="280" w:firstLineChars="100"/>
        <w:rPr>
          <w:rFonts w:ascii="Times New Roman" w:hAnsi="Times New Roman" w:eastAsia="方正仿宋_GBK"/>
          <w:sz w:val="28"/>
          <w:szCs w:val="28"/>
        </w:rPr>
      </w:pPr>
      <w:r>
        <w:rPr>
          <w:rFonts w:hint="eastAsia" w:ascii="Times New Roman" w:hAnsi="Times New Roman" w:eastAsia="方正仿宋_GBK"/>
          <w:sz w:val="28"/>
          <w:szCs w:val="28"/>
        </w:rPr>
        <w:t>大渡口区国有资产监督管理委员会办公室     202</w:t>
      </w:r>
      <w:r>
        <w:rPr>
          <w:rFonts w:ascii="Times New Roman" w:hAnsi="Times New Roman" w:eastAsia="方正仿宋_GBK"/>
          <w:sz w:val="28"/>
          <w:szCs w:val="28"/>
        </w:rPr>
        <w:t>4</w:t>
      </w:r>
      <w:r>
        <w:rPr>
          <w:rFonts w:hint="eastAsia" w:ascii="Times New Roman" w:hAnsi="Times New Roman" w:eastAsia="方正仿宋_GBK"/>
          <w:sz w:val="28"/>
          <w:szCs w:val="28"/>
        </w:rPr>
        <w:t>年</w:t>
      </w:r>
      <w:r>
        <w:rPr>
          <w:rFonts w:ascii="Times New Roman" w:hAnsi="Times New Roman" w:eastAsia="方正仿宋_GBK"/>
          <w:sz w:val="28"/>
          <w:szCs w:val="28"/>
        </w:rPr>
        <w:t>4</w:t>
      </w:r>
      <w:r>
        <w:rPr>
          <w:rFonts w:hint="eastAsia" w:ascii="Times New Roman" w:hAnsi="Times New Roman" w:eastAsia="方正仿宋_GBK"/>
          <w:sz w:val="28"/>
          <w:szCs w:val="28"/>
        </w:rPr>
        <w:t>月</w:t>
      </w:r>
      <w:r>
        <w:rPr>
          <w:rFonts w:ascii="Times New Roman" w:hAnsi="Times New Roman" w:eastAsia="方正仿宋_GBK"/>
          <w:sz w:val="28"/>
          <w:szCs w:val="28"/>
        </w:rPr>
        <w:t>25</w:t>
      </w:r>
      <w:r>
        <w:rPr>
          <w:rFonts w:hint="eastAsia" w:ascii="Times New Roman" w:hAnsi="Times New Roman" w:eastAsia="方正仿宋_GBK"/>
          <w:sz w:val="28"/>
          <w:szCs w:val="28"/>
        </w:rPr>
        <w:t>日印发</w:t>
      </w:r>
    </w:p>
    <w:sectPr>
      <w:footerReference r:id="rId3" w:type="default"/>
      <w:pgSz w:w="11906" w:h="16838"/>
      <w:pgMar w:top="1984" w:right="1446" w:bottom="1644" w:left="1446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rPr>
        <w:rFonts w:hint="eastAsia"/>
      </w:rPr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17780</wp:posOffset>
              </wp:positionV>
              <wp:extent cx="1828800" cy="1828800"/>
              <wp:effectExtent l="0" t="0" r="0" b="0"/>
              <wp:wrapNone/>
              <wp:docPr id="2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1.4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mublLdEAAAAG&#10;AQAADwAAAGRycy9kb3ducmV2LnhtbE2PMU/DMBCFdyT+g3VIbNRuBkhDnA6VWNgoCInNja9xhH2O&#10;bDdN/j3HBNt7eqf3vmv3S/BixpTHSBq2GwUCqY92pEHDx/vLQw0iF0PW+EioYcUM++72pjWNjVd6&#10;w/lYBsEllBujwZUyNVLm3mEweRMnJM7OMQVT2KZB2mSuXB68rJR6lMGMxAvOTHhw2H8fL0HD0/IZ&#10;ccp4wK/z3Cc3rrV/XbW+v9uqZxAFl/J3DL/4jA4dM53ihWwWXgM/UjRUjM9hVdfsTyx2qgbZtfI/&#10;fvcDUEsDBBQAAAAIAIdO4kDSauIPpQEAAD8DAAAOAAAAZHJzL2Uyb0RvYy54bWytUktuGzEM3RfI&#10;HQTta429KIyBx0GLIEWBoCmQ9ACyRvII0A+i4hlfoLlBV9lkn3P5HKHkGee3K7qRKJJ65Hvk6nyw&#10;huxkBO1dQ+ezihLphG+12zb09+3l5yUlkLhrufFONnQvgZ6vzz6t+lDLhe+8aWUkCOKg7kNDu5RC&#10;zRiITloOMx+kw6Dy0fKEz7hlbeQ9olvDFlX1hfU+tiF6IQHQe3EM0nXBV0qKdK0UyERMQ7G3VM5Y&#10;zk0+2XrF623kodNibIP/QxeWa4dFT1AXPHFyF/UHKKtF9OBVmglvmVdKC1k4IJt59Y7NTceDLFxQ&#10;HAgnmeD/wYqfu1+R6LahC0octziiw9/7w8PT4fEPmWd5+gA1Zt0EzEvDNz/gmCc/oDOzHlS0+UY+&#10;BOMo9P4krhwSEfnTcrFcVhgSGJseiM9evocI6bv0lmSjoRGnV0TluytIx9QpJVdz/lIbUyZo3BsH&#10;YmYPy70fe8xWGjbDSGjj2z3y6XHwDXW4mZSYHw51zTsyGXEyNqORa0D4epewcOknox6hxmI4pcJo&#10;3Ki8Bq/fJetl79fP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DwQAAFtDb250ZW50X1R5cGVzXS54bWxQSwECFAAKAAAAAACHTuJAAAAAAAAAAAAA&#10;AAAABgAAAAAAAAAAABAAAADxAgAAX3JlbHMvUEsBAhQAFAAAAAgAh07iQIoUZjzRAAAAlAEAAAsA&#10;AAAAAAAAAQAgAAAAFQMAAF9yZWxzLy5yZWxzUEsBAhQACgAAAAAAh07iQAAAAAAAAAAAAAAAAAQA&#10;AAAAAAAAAAAQAAAAAAAAAGRycy9QSwECFAAUAAAACACHTuJAmublLdEAAAAGAQAADwAAAAAAAAAB&#10;ACAAAAAiAAAAZHJzL2Rvd25yZXYueG1sUEsBAhQAFAAAAAgAh07iQNJq4g+lAQAAPwMAAA4AAAAA&#10;AAAAAQAgAAAAIAEAAGRycy9lMm9Eb2MueG1sUEsFBgAAAAAGAAYAWQEAADc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Theme="minorEastAsia" w:hAnsiTheme="minorEastAsia" w:eastAsiaTheme="minorEastAsia" w:cstheme="minorEastAsia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characterSpacingControl w:val="doNotCompress"/>
  <w:compat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2D01"/>
    <w:rsid w:val="001749B9"/>
    <w:rsid w:val="008A4EB4"/>
    <w:rsid w:val="00993294"/>
    <w:rsid w:val="00CD2D01"/>
    <w:rsid w:val="00DA1851"/>
    <w:rsid w:val="00E34DBA"/>
    <w:rsid w:val="00F94A5F"/>
    <w:rsid w:val="095D3B9B"/>
    <w:rsid w:val="11DE4056"/>
    <w:rsid w:val="1292333A"/>
    <w:rsid w:val="15A6707F"/>
    <w:rsid w:val="17DEFA27"/>
    <w:rsid w:val="18AD5C58"/>
    <w:rsid w:val="1EEF257F"/>
    <w:rsid w:val="2E8C546A"/>
    <w:rsid w:val="2F9070CA"/>
    <w:rsid w:val="32272424"/>
    <w:rsid w:val="3E173D76"/>
    <w:rsid w:val="479D52F7"/>
    <w:rsid w:val="4A220161"/>
    <w:rsid w:val="4AAE2FA6"/>
    <w:rsid w:val="518845B1"/>
    <w:rsid w:val="547739EF"/>
    <w:rsid w:val="58FB13B9"/>
    <w:rsid w:val="63B475F6"/>
    <w:rsid w:val="6B4C2A94"/>
    <w:rsid w:val="6C6D670D"/>
    <w:rsid w:val="6E1946E5"/>
    <w:rsid w:val="6ED77078"/>
    <w:rsid w:val="7E312C58"/>
    <w:rsid w:val="BFF78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10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nhideWhenUsed/>
    <w:qFormat/>
    <w:uiPriority w:val="99"/>
    <w:pPr>
      <w:jc w:val="center"/>
    </w:pPr>
    <w:rPr>
      <w:b/>
      <w:color w:val="FF0000"/>
      <w:sz w:val="44"/>
    </w:rPr>
  </w:style>
  <w:style w:type="paragraph" w:customStyle="1" w:styleId="3">
    <w:name w:val="默认"/>
    <w:qFormat/>
    <w:uiPriority w:val="0"/>
    <w:rPr>
      <w:rFonts w:ascii="Helvetica" w:hAnsi="Helvetica" w:eastAsia="Helvetica" w:cs="Helvetica"/>
      <w:color w:val="000000"/>
      <w:sz w:val="22"/>
      <w:szCs w:val="22"/>
      <w:lang w:val="en-US" w:eastAsia="zh-CN" w:bidi="ar-SA"/>
    </w:rPr>
  </w:style>
  <w:style w:type="paragraph" w:styleId="4">
    <w:name w:val="Balloon Text"/>
    <w:basedOn w:val="1"/>
    <w:link w:val="20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styleId="9">
    <w:name w:val="page number"/>
    <w:basedOn w:val="8"/>
    <w:qFormat/>
    <w:uiPriority w:val="0"/>
  </w:style>
  <w:style w:type="character" w:customStyle="1" w:styleId="11">
    <w:name w:val="默认段落字体1"/>
    <w:semiHidden/>
    <w:qFormat/>
    <w:uiPriority w:val="0"/>
  </w:style>
  <w:style w:type="table" w:customStyle="1" w:styleId="12">
    <w:name w:val="普通表格1"/>
    <w:semiHidden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3">
    <w:name w:val="font51"/>
    <w:basedOn w:val="11"/>
    <w:qFormat/>
    <w:uiPriority w:val="0"/>
    <w:rPr>
      <w:rFonts w:hint="eastAsia" w:ascii="方正仿宋_GBK" w:hAnsi="方正仿宋_GBK" w:eastAsia="方正仿宋_GBK"/>
      <w:b/>
      <w:color w:val="000000"/>
      <w:sz w:val="28"/>
      <w:szCs w:val="28"/>
      <w:u w:val="none"/>
    </w:rPr>
  </w:style>
  <w:style w:type="character" w:customStyle="1" w:styleId="14">
    <w:name w:val="font01"/>
    <w:basedOn w:val="11"/>
    <w:qFormat/>
    <w:uiPriority w:val="0"/>
    <w:rPr>
      <w:rFonts w:hint="eastAsia" w:ascii="方正仿宋_GBK" w:hAnsi="方正仿宋_GBK" w:eastAsia="方正仿宋_GBK"/>
      <w:color w:val="000000"/>
      <w:sz w:val="24"/>
      <w:szCs w:val="24"/>
      <w:u w:val="none"/>
    </w:rPr>
  </w:style>
  <w:style w:type="character" w:customStyle="1" w:styleId="15">
    <w:name w:val="font21"/>
    <w:basedOn w:val="11"/>
    <w:qFormat/>
    <w:uiPriority w:val="0"/>
    <w:rPr>
      <w:rFonts w:ascii="Times New Roman" w:hAnsi="Times New Roman"/>
      <w:b/>
      <w:color w:val="000000"/>
      <w:sz w:val="28"/>
      <w:szCs w:val="28"/>
      <w:u w:val="none"/>
    </w:rPr>
  </w:style>
  <w:style w:type="character" w:customStyle="1" w:styleId="16">
    <w:name w:val="font41"/>
    <w:basedOn w:val="11"/>
    <w:qFormat/>
    <w:uiPriority w:val="0"/>
    <w:rPr>
      <w:rFonts w:hint="eastAsia" w:ascii="方正仿宋_GBK" w:hAnsi="方正仿宋_GBK" w:eastAsia="方正仿宋_GBK"/>
      <w:b/>
      <w:color w:val="000000"/>
      <w:sz w:val="24"/>
      <w:szCs w:val="24"/>
      <w:u w:val="none"/>
    </w:rPr>
  </w:style>
  <w:style w:type="character" w:customStyle="1" w:styleId="17">
    <w:name w:val="font31"/>
    <w:basedOn w:val="11"/>
    <w:qFormat/>
    <w:uiPriority w:val="0"/>
    <w:rPr>
      <w:rFonts w:hint="eastAsia" w:ascii="方正仿宋_GBK" w:hAnsi="方正仿宋_GBK" w:eastAsia="方正仿宋_GBK"/>
      <w:color w:val="000000"/>
      <w:sz w:val="28"/>
      <w:szCs w:val="28"/>
      <w:u w:val="none"/>
    </w:rPr>
  </w:style>
  <w:style w:type="paragraph" w:customStyle="1" w:styleId="18">
    <w:name w:val="标题1"/>
    <w:basedOn w:val="1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</w:rPr>
  </w:style>
  <w:style w:type="paragraph" w:customStyle="1" w:styleId="19">
    <w:name w:val="Default"/>
    <w:qFormat/>
    <w:uiPriority w:val="0"/>
    <w:pPr>
      <w:autoSpaceDE w:val="0"/>
      <w:autoSpaceDN w:val="0"/>
      <w:adjustRightInd w:val="0"/>
    </w:pPr>
    <w:rPr>
      <w:rFonts w:ascii="Arial" w:hAnsi="Arial" w:eastAsia="宋体" w:cs="Arial"/>
      <w:color w:val="000000"/>
      <w:sz w:val="24"/>
      <w:szCs w:val="24"/>
      <w:lang w:val="en-US" w:eastAsia="zh-CN" w:bidi="ar-SA"/>
    </w:rPr>
  </w:style>
  <w:style w:type="character" w:customStyle="1" w:styleId="20">
    <w:name w:val="批注框文本 Char"/>
    <w:basedOn w:val="8"/>
    <w:link w:val="4"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重庆市大渡口区城市运营管理有限公司</Company>
  <Pages>1</Pages>
  <Words>63</Words>
  <Characters>360</Characters>
  <Lines>3</Lines>
  <Paragraphs>1</Paragraphs>
  <TotalTime>13</TotalTime>
  <ScaleCrop>false</ScaleCrop>
  <LinksUpToDate>false</LinksUpToDate>
  <CharactersWithSpaces>422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2023-05-18T18:38:00Z</dcterms:created>
  <dc:creator>江东月</dc:creator>
  <cp:lastModifiedBy>区财政局</cp:lastModifiedBy>
  <cp:lastPrinted>2024-05-07T10:10:00Z</cp:lastPrinted>
  <dcterms:modified xsi:type="dcterms:W3CDTF">2024-05-08T01:18:39Z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