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4" w:lineRule="exact"/>
        <w:jc w:val="center"/>
        <w:textAlignment w:val="auto"/>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大渡口区2023年度</w:t>
      </w:r>
    </w:p>
    <w:p>
      <w:pPr>
        <w:keepNext w:val="0"/>
        <w:keepLines w:val="0"/>
        <w:pageBreakBefore w:val="0"/>
        <w:kinsoku/>
        <w:wordWrap/>
        <w:overflowPunct/>
        <w:topLinePunct w:val="0"/>
        <w:autoSpaceDE/>
        <w:autoSpaceDN/>
        <w:bidi w:val="0"/>
        <w:spacing w:line="594" w:lineRule="exact"/>
        <w:jc w:val="center"/>
        <w:textAlignment w:val="auto"/>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国有资产管理情况的综合报告</w:t>
      </w:r>
    </w:p>
    <w:p>
      <w:pPr>
        <w:keepNext w:val="0"/>
        <w:keepLines w:val="0"/>
        <w:pageBreakBefore w:val="0"/>
        <w:kinsoku/>
        <w:wordWrap/>
        <w:overflowPunct/>
        <w:topLinePunct w:val="0"/>
        <w:autoSpaceDE/>
        <w:autoSpaceDN/>
        <w:bidi w:val="0"/>
        <w:spacing w:line="594" w:lineRule="exact"/>
        <w:jc w:val="both"/>
        <w:textAlignment w:val="auto"/>
        <w:rPr>
          <w:rFonts w:ascii="Times New Roman" w:hAnsi="Times New Roman" w:eastAsia="方正仿宋_GB18030" w:cs="Times New Roman"/>
          <w:sz w:val="32"/>
          <w:szCs w:val="32"/>
          <w:highlight w:val="none"/>
        </w:rPr>
      </w:pPr>
    </w:p>
    <w:p>
      <w:pPr>
        <w:keepNext w:val="0"/>
        <w:keepLines w:val="0"/>
        <w:pageBreakBefore w:val="0"/>
        <w:kinsoku/>
        <w:wordWrap/>
        <w:overflowPunct/>
        <w:topLinePunct w:val="0"/>
        <w:autoSpaceDE/>
        <w:autoSpaceDN/>
        <w:bidi w:val="0"/>
        <w:spacing w:line="594" w:lineRule="exact"/>
        <w:jc w:val="both"/>
        <w:textAlignment w:val="auto"/>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区人大常委会：</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highlight w:val="none"/>
        </w:rPr>
        <w:t>按照《关于建立区人民政府向区人大常委会报告国有资产管理情况制度的实施意见》（大渡口委发〔2019〕4号）要求，大渡口区人民政府向区人大常委会报告2023年度国有资产管理情况。现将相关工作报告如下。</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outlineLvl w:val="9"/>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一、国有资产总体情况</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outlineLvl w:val="9"/>
        <w:rPr>
          <w:rFonts w:ascii="Times New Roman" w:hAnsi="Times New Roman" w:eastAsia="方正仿宋_GBK"/>
          <w:sz w:val="32"/>
          <w:highlight w:val="none"/>
        </w:rPr>
      </w:pPr>
      <w:r>
        <w:rPr>
          <w:rFonts w:ascii="Times New Roman" w:hAnsi="Times New Roman" w:eastAsia="方正仿宋_GBK"/>
          <w:sz w:val="32"/>
          <w:highlight w:val="none"/>
        </w:rPr>
        <w:t>我区国有资产包括企业国有资产（不含金融资产）、行政事业性国有资产、国有自然资源（资产）3类。</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outlineLvl w:val="9"/>
        <w:rPr>
          <w:rFonts w:ascii="Times New Roman" w:hAnsi="Times New Roman" w:cs="Times New Roman"/>
          <w:highlight w:val="none"/>
        </w:rPr>
      </w:pPr>
      <w:r>
        <w:rPr>
          <w:rFonts w:ascii="Times New Roman" w:hAnsi="Times New Roman" w:eastAsia="方正楷体_GBK" w:cs="Times New Roman"/>
          <w:color w:val="000000"/>
          <w:kern w:val="0"/>
          <w:sz w:val="32"/>
          <w:szCs w:val="32"/>
          <w:highlight w:val="none"/>
        </w:rPr>
        <w:t>（一）企业国有资产（不含金融</w:t>
      </w:r>
      <w:r>
        <w:rPr>
          <w:rFonts w:hint="eastAsia" w:ascii="Times New Roman" w:hAnsi="Times New Roman" w:eastAsia="方正楷体_GBK" w:cs="Times New Roman"/>
          <w:color w:val="000000"/>
          <w:kern w:val="0"/>
          <w:sz w:val="32"/>
          <w:szCs w:val="32"/>
          <w:highlight w:val="none"/>
          <w:lang w:val="en-US" w:eastAsia="zh-CN"/>
        </w:rPr>
        <w:t>资产</w:t>
      </w:r>
      <w:r>
        <w:rPr>
          <w:rFonts w:ascii="Times New Roman" w:hAnsi="Times New Roman" w:eastAsia="方正楷体_GBK" w:cs="Times New Roman"/>
          <w:color w:val="000000"/>
          <w:kern w:val="0"/>
          <w:sz w:val="32"/>
          <w:szCs w:val="32"/>
          <w:highlight w:val="none"/>
        </w:rPr>
        <w:t>）</w:t>
      </w:r>
      <w:r>
        <w:rPr>
          <w:rFonts w:hint="eastAsia" w:ascii="Times New Roman" w:hAnsi="Times New Roman" w:eastAsia="方正楷体_GBK" w:cs="Times New Roman"/>
          <w:color w:val="000000"/>
          <w:kern w:val="0"/>
          <w:sz w:val="32"/>
          <w:szCs w:val="32"/>
          <w:highlight w:val="none"/>
        </w:rPr>
        <w:t>。</w:t>
      </w:r>
      <w:r>
        <w:rPr>
          <w:rFonts w:ascii="Times New Roman" w:hAnsi="Times New Roman" w:eastAsia="TimesNewRomanPSMT" w:cs="Times New Roman"/>
          <w:color w:val="000000"/>
          <w:kern w:val="0"/>
          <w:sz w:val="32"/>
          <w:szCs w:val="32"/>
          <w:highlight w:val="none"/>
        </w:rPr>
        <w:t>2023</w:t>
      </w:r>
      <w:r>
        <w:rPr>
          <w:rFonts w:ascii="Times New Roman" w:hAnsi="Times New Roman" w:eastAsia="方正仿宋_GBK" w:cs="Times New Roman"/>
          <w:color w:val="000000"/>
          <w:kern w:val="0"/>
          <w:sz w:val="32"/>
          <w:szCs w:val="32"/>
          <w:highlight w:val="none"/>
        </w:rPr>
        <w:t>年，</w:t>
      </w:r>
      <w:r>
        <w:rPr>
          <w:rFonts w:hint="eastAsia" w:ascii="Times New Roman" w:hAnsi="Times New Roman" w:eastAsia="方正仿宋_GBK"/>
          <w:sz w:val="32"/>
          <w:szCs w:val="32"/>
          <w:highlight w:val="none"/>
        </w:rPr>
        <w:t>纳入市国资委报告范围的全区国有企业</w:t>
      </w:r>
      <w:r>
        <w:rPr>
          <w:rFonts w:ascii="Times New Roman" w:hAnsi="Times New Roman" w:eastAsia="方正仿宋_GBK" w:cs="Times New Roman"/>
          <w:color w:val="000000"/>
          <w:kern w:val="0"/>
          <w:sz w:val="32"/>
          <w:szCs w:val="32"/>
          <w:highlight w:val="none"/>
        </w:rPr>
        <w:t>19户，资产总额696.9亿元，负债总额401.7亿元，所有者权益295.2亿元，利润总额4.6亿元</w:t>
      </w:r>
      <w:r>
        <w:rPr>
          <w:rFonts w:hint="eastAsia" w:ascii="Times New Roman" w:hAnsi="Times New Roman" w:eastAsia="方正仿宋_GBK" w:cs="Times New Roman"/>
          <w:color w:val="000000"/>
          <w:kern w:val="0"/>
          <w:sz w:val="32"/>
          <w:szCs w:val="32"/>
          <w:highlight w:val="none"/>
        </w:rPr>
        <w:t>，</w:t>
      </w:r>
      <w:r>
        <w:rPr>
          <w:rFonts w:hint="eastAsia" w:ascii="Times New Roman" w:hAnsi="Times New Roman" w:eastAsia="方正仿宋_GBK"/>
          <w:sz w:val="32"/>
          <w:szCs w:val="32"/>
          <w:highlight w:val="none"/>
        </w:rPr>
        <w:t>资产负债率57.6%</w:t>
      </w:r>
      <w:r>
        <w:rPr>
          <w:rFonts w:ascii="Times New Roman" w:hAnsi="Times New Roman" w:eastAsia="方正仿宋_GBK" w:cs="Times New Roman"/>
          <w:color w:val="000000"/>
          <w:kern w:val="0"/>
          <w:sz w:val="32"/>
          <w:szCs w:val="32"/>
          <w:highlight w:val="none"/>
        </w:rPr>
        <w:t>。</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outlineLvl w:val="9"/>
        <w:rPr>
          <w:rFonts w:ascii="Times New Roman" w:hAnsi="Times New Roman" w:eastAsia="方正仿宋_GBK" w:cs="Times New Roman"/>
          <w:sz w:val="32"/>
          <w:szCs w:val="32"/>
          <w:highlight w:val="none"/>
        </w:rPr>
      </w:pPr>
      <w:r>
        <w:rPr>
          <w:rFonts w:hint="eastAsia" w:ascii="Times New Roman" w:hAnsi="Times New Roman" w:eastAsia="方正楷体_GBK" w:cs="Times New Roman"/>
          <w:color w:val="000000"/>
          <w:kern w:val="0"/>
          <w:sz w:val="32"/>
          <w:szCs w:val="32"/>
          <w:highlight w:val="none"/>
        </w:rPr>
        <w:t>（二）</w:t>
      </w:r>
      <w:r>
        <w:rPr>
          <w:rFonts w:ascii="Times New Roman" w:hAnsi="Times New Roman" w:eastAsia="方正楷体_GBK" w:cs="Times New Roman"/>
          <w:color w:val="000000"/>
          <w:kern w:val="0"/>
          <w:sz w:val="32"/>
          <w:szCs w:val="32"/>
          <w:highlight w:val="none"/>
        </w:rPr>
        <w:t>行</w:t>
      </w:r>
      <w:r>
        <w:rPr>
          <w:rFonts w:ascii="Times New Roman" w:hAnsi="Times New Roman" w:eastAsia="方正楷体_GBK" w:cs="Times New Roman"/>
          <w:sz w:val="32"/>
          <w:szCs w:val="32"/>
          <w:highlight w:val="none"/>
        </w:rPr>
        <w:t>政事业性国有资产</w:t>
      </w:r>
      <w:r>
        <w:rPr>
          <w:rFonts w:hint="eastAsia" w:ascii="Times New Roman" w:hAnsi="Times New Roman" w:eastAsia="方正楷体_GBK" w:cs="Times New Roman"/>
          <w:sz w:val="32"/>
          <w:szCs w:val="32"/>
          <w:highlight w:val="none"/>
        </w:rPr>
        <w:t>。</w:t>
      </w:r>
      <w:r>
        <w:rPr>
          <w:rFonts w:ascii="Times New Roman" w:hAnsi="Times New Roman" w:eastAsia="方正仿宋_GBK" w:cs="Times New Roman"/>
          <w:sz w:val="32"/>
          <w:szCs w:val="32"/>
          <w:highlight w:val="none"/>
        </w:rPr>
        <w:t>2023年，全区行政事业单位资产总额</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净值</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bCs/>
          <w:sz w:val="32"/>
          <w:szCs w:val="32"/>
          <w:highlight w:val="none"/>
        </w:rPr>
        <w:t>54.</w:t>
      </w:r>
      <w:r>
        <w:rPr>
          <w:rFonts w:hint="eastAsia" w:ascii="Times New Roman" w:hAnsi="Times New Roman" w:eastAsia="方正仿宋_GBK" w:cs="Times New Roman"/>
          <w:bCs/>
          <w:sz w:val="32"/>
          <w:szCs w:val="32"/>
          <w:highlight w:val="none"/>
          <w:lang w:val="en-US" w:eastAsia="zh-CN"/>
        </w:rPr>
        <w:t>4</w:t>
      </w:r>
      <w:r>
        <w:rPr>
          <w:rFonts w:ascii="Times New Roman" w:hAnsi="Times New Roman" w:eastAsia="方正仿宋_GBK" w:cs="Times New Roman"/>
          <w:sz w:val="32"/>
          <w:szCs w:val="32"/>
          <w:highlight w:val="none"/>
        </w:rPr>
        <w:t>亿元，同比增长13.1%；负债总额7亿元，同比</w:t>
      </w:r>
      <w:r>
        <w:rPr>
          <w:rFonts w:ascii="Times New Roman" w:hAnsi="Times New Roman" w:eastAsia="方正仿宋_GBK" w:cs="Times New Roman"/>
          <w:bCs/>
          <w:sz w:val="32"/>
          <w:szCs w:val="32"/>
          <w:highlight w:val="none"/>
        </w:rPr>
        <w:t>增长4.</w:t>
      </w:r>
      <w:r>
        <w:rPr>
          <w:rFonts w:hint="eastAsia" w:ascii="Times New Roman" w:hAnsi="Times New Roman" w:eastAsia="方正仿宋_GBK" w:cs="Times New Roman"/>
          <w:bCs/>
          <w:sz w:val="32"/>
          <w:szCs w:val="32"/>
          <w:highlight w:val="none"/>
          <w:lang w:val="en-US" w:eastAsia="zh-CN"/>
        </w:rPr>
        <w:t>5</w:t>
      </w:r>
      <w:r>
        <w:rPr>
          <w:rFonts w:ascii="Times New Roman" w:hAnsi="Times New Roman" w:eastAsia="方正仿宋_GBK" w:cs="Times New Roman"/>
          <w:bCs/>
          <w:sz w:val="32"/>
          <w:szCs w:val="32"/>
          <w:highlight w:val="none"/>
        </w:rPr>
        <w:t>%</w:t>
      </w:r>
      <w:r>
        <w:rPr>
          <w:rFonts w:ascii="Times New Roman" w:hAnsi="Times New Roman" w:eastAsia="方正仿宋_GBK" w:cs="Times New Roman"/>
          <w:sz w:val="32"/>
          <w:szCs w:val="32"/>
          <w:highlight w:val="none"/>
        </w:rPr>
        <w:t>；净资产总额</w:t>
      </w:r>
      <w:r>
        <w:rPr>
          <w:rFonts w:ascii="Times New Roman" w:hAnsi="Times New Roman" w:eastAsia="方正仿宋_GBK" w:cs="Times New Roman"/>
          <w:bCs/>
          <w:sz w:val="32"/>
          <w:szCs w:val="32"/>
          <w:highlight w:val="none"/>
        </w:rPr>
        <w:t>47.4</w:t>
      </w:r>
      <w:r>
        <w:rPr>
          <w:rFonts w:ascii="Times New Roman" w:hAnsi="Times New Roman" w:eastAsia="方正仿宋_GBK" w:cs="Times New Roman"/>
          <w:sz w:val="32"/>
          <w:szCs w:val="32"/>
          <w:highlight w:val="none"/>
        </w:rPr>
        <w:t>亿元，同比增长</w:t>
      </w:r>
      <w:r>
        <w:rPr>
          <w:rFonts w:ascii="Times New Roman" w:hAnsi="Times New Roman" w:eastAsia="方正仿宋_GBK" w:cs="Times New Roman"/>
          <w:bCs/>
          <w:sz w:val="32"/>
          <w:szCs w:val="32"/>
          <w:highlight w:val="none"/>
        </w:rPr>
        <w:t>14.5</w:t>
      </w:r>
      <w:r>
        <w:rPr>
          <w:rFonts w:ascii="Times New Roman" w:hAnsi="Times New Roman" w:eastAsia="方正仿宋_GBK" w:cs="Times New Roman"/>
          <w:sz w:val="32"/>
          <w:szCs w:val="32"/>
          <w:highlight w:val="none"/>
        </w:rPr>
        <w:t>%。其中：行政单位国有资产33.6亿元，负债4.8亿元，资产负债率14.</w:t>
      </w:r>
      <w:r>
        <w:rPr>
          <w:rFonts w:hint="eastAsia" w:ascii="Times New Roman" w:hAnsi="Times New Roman" w:eastAsia="方正仿宋_GBK" w:cs="Times New Roman"/>
          <w:sz w:val="32"/>
          <w:szCs w:val="32"/>
          <w:highlight w:val="none"/>
          <w:lang w:val="en-US" w:eastAsia="zh-CN"/>
        </w:rPr>
        <w:t>3</w:t>
      </w:r>
      <w:r>
        <w:rPr>
          <w:rFonts w:ascii="Times New Roman" w:hAnsi="Times New Roman" w:eastAsia="方正仿宋_GBK" w:cs="Times New Roman"/>
          <w:sz w:val="32"/>
          <w:szCs w:val="32"/>
          <w:highlight w:val="none"/>
        </w:rPr>
        <w:t>%；事业单位国有资产20.8亿元，负债2.2亿元，资产负债率10.6%。</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outlineLvl w:val="9"/>
        <w:rPr>
          <w:rFonts w:ascii="Times New Roman" w:hAnsi="Times New Roman" w:eastAsia="方正仿宋_GBK" w:cs="Times New Roman"/>
          <w:b/>
          <w:color w:val="000000"/>
          <w:sz w:val="32"/>
          <w:szCs w:val="32"/>
          <w:highlight w:val="none"/>
        </w:rPr>
      </w:pPr>
      <w:r>
        <w:rPr>
          <w:rFonts w:ascii="Times New Roman" w:hAnsi="Times New Roman" w:eastAsia="方正楷体_GBK" w:cs="Times New Roman"/>
          <w:sz w:val="32"/>
          <w:szCs w:val="32"/>
          <w:highlight w:val="none"/>
        </w:rPr>
        <w:t>（三）国有自然资源（资产）</w:t>
      </w:r>
      <w:r>
        <w:rPr>
          <w:rFonts w:hint="eastAsia" w:ascii="Times New Roman" w:hAnsi="Times New Roman" w:eastAsia="方正楷体_GBK" w:cs="Times New Roman"/>
          <w:sz w:val="32"/>
          <w:szCs w:val="32"/>
          <w:highlight w:val="none"/>
        </w:rPr>
        <w:t>。</w:t>
      </w:r>
      <w:r>
        <w:rPr>
          <w:rFonts w:hint="eastAsia" w:ascii="Times New Roman" w:hAnsi="Times New Roman" w:eastAsia="方正仿宋_GBK" w:cs="Times New Roman"/>
          <w:sz w:val="32"/>
          <w:szCs w:val="32"/>
          <w:highlight w:val="none"/>
        </w:rPr>
        <w:t>全</w:t>
      </w:r>
      <w:r>
        <w:rPr>
          <w:rFonts w:ascii="Times New Roman" w:hAnsi="Times New Roman" w:eastAsia="方正仿宋_GBK" w:cs="Times New Roman"/>
          <w:sz w:val="32"/>
          <w:szCs w:val="32"/>
          <w:highlight w:val="none"/>
        </w:rPr>
        <w:t>区国有自然资源主要包括土地资源、矿产资源、森林资源、湿地资源、水资源五类。2023年，大渡口区国有土地面积8</w:t>
      </w:r>
      <w:r>
        <w:rPr>
          <w:rFonts w:hint="eastAsia" w:ascii="Times New Roman" w:hAnsi="Times New Roman" w:eastAsia="方正仿宋_GBK" w:cs="Times New Roman"/>
          <w:sz w:val="32"/>
          <w:szCs w:val="32"/>
          <w:highlight w:val="none"/>
          <w:lang w:val="en-US" w:eastAsia="zh-CN"/>
        </w:rPr>
        <w:t>199.9</w:t>
      </w:r>
      <w:r>
        <w:rPr>
          <w:rFonts w:ascii="Times New Roman" w:hAnsi="Times New Roman" w:eastAsia="方正仿宋_GBK" w:cs="Times New Roman"/>
          <w:sz w:val="32"/>
          <w:szCs w:val="32"/>
          <w:highlight w:val="none"/>
        </w:rPr>
        <w:t>公顷，</w:t>
      </w:r>
      <w:r>
        <w:rPr>
          <w:rFonts w:hint="eastAsia" w:ascii="Times New Roman" w:hAnsi="Times New Roman" w:eastAsia="方正仿宋_GBK" w:cs="Times New Roman"/>
          <w:sz w:val="32"/>
          <w:szCs w:val="32"/>
          <w:highlight w:val="none"/>
        </w:rPr>
        <w:t>其中</w:t>
      </w:r>
      <w:r>
        <w:rPr>
          <w:rFonts w:ascii="Times New Roman" w:hAnsi="Times New Roman" w:eastAsia="方正仿宋_GBK" w:cs="Times New Roman"/>
          <w:sz w:val="32"/>
          <w:szCs w:val="32"/>
          <w:highlight w:val="none"/>
        </w:rPr>
        <w:t>农用地3691.</w:t>
      </w:r>
      <w:r>
        <w:rPr>
          <w:rFonts w:hint="eastAsia" w:ascii="Times New Roman" w:hAnsi="Times New Roman" w:eastAsia="方正仿宋_GBK" w:cs="Times New Roman"/>
          <w:sz w:val="32"/>
          <w:szCs w:val="32"/>
          <w:highlight w:val="none"/>
          <w:lang w:val="en-US" w:eastAsia="zh-CN"/>
        </w:rPr>
        <w:t>3</w:t>
      </w:r>
      <w:r>
        <w:rPr>
          <w:rFonts w:ascii="Times New Roman" w:hAnsi="Times New Roman" w:eastAsia="方正仿宋_GBK" w:cs="Times New Roman"/>
          <w:sz w:val="32"/>
          <w:szCs w:val="32"/>
          <w:highlight w:val="none"/>
        </w:rPr>
        <w:t>公顷</w:t>
      </w:r>
      <w:r>
        <w:rPr>
          <w:rFonts w:ascii="Times New Roman" w:hAnsi="Times New Roman" w:eastAsia="方正仿宋_GBK" w:cs="Times New Roman"/>
          <w:color w:val="111F2C"/>
          <w:sz w:val="32"/>
          <w:szCs w:val="32"/>
          <w:highlight w:val="none"/>
        </w:rPr>
        <w:t>，</w:t>
      </w:r>
      <w:r>
        <w:rPr>
          <w:rFonts w:ascii="Times New Roman" w:hAnsi="Times New Roman" w:eastAsia="方正仿宋_GBK" w:cs="Times New Roman"/>
          <w:color w:val="auto"/>
          <w:sz w:val="32"/>
          <w:szCs w:val="32"/>
          <w:highlight w:val="none"/>
        </w:rPr>
        <w:t>建设用地4413.2公顷</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未利用地95.4公顷。</w:t>
      </w:r>
      <w:r>
        <w:rPr>
          <w:rFonts w:ascii="Times New Roman" w:hAnsi="Times New Roman" w:eastAsia="方正仿宋_GBK" w:cs="Times New Roman"/>
          <w:color w:val="000000"/>
          <w:sz w:val="32"/>
          <w:szCs w:val="32"/>
          <w:highlight w:val="none"/>
        </w:rPr>
        <w:t>现有储备土地4087.7公顷，其中市级储备土地总面积2797.9公顷，区属储备土地1289.8公顷。</w:t>
      </w:r>
      <w:r>
        <w:rPr>
          <w:rFonts w:hint="eastAsia" w:ascii="方正仿宋_GBK" w:hAnsi="方正仿宋_GBK" w:eastAsia="方正仿宋_GBK" w:cs="方正仿宋_GBK"/>
          <w:color w:val="000000"/>
          <w:sz w:val="32"/>
          <w:szCs w:val="32"/>
          <w:highlight w:val="none"/>
        </w:rPr>
        <w:t>矿产资源</w:t>
      </w:r>
      <w:r>
        <w:rPr>
          <w:rFonts w:hint="eastAsia" w:ascii="Times New Roman" w:hAnsi="Times New Roman" w:eastAsia="方正仿宋_GBK"/>
          <w:sz w:val="32"/>
          <w:highlight w:val="none"/>
        </w:rPr>
        <w:t>（</w:t>
      </w:r>
      <w:r>
        <w:rPr>
          <w:rFonts w:ascii="Times New Roman" w:hAnsi="Times New Roman" w:eastAsia="方正仿宋_GBK"/>
          <w:sz w:val="32"/>
          <w:highlight w:val="none"/>
        </w:rPr>
        <w:t>地热</w:t>
      </w:r>
      <w:r>
        <w:rPr>
          <w:rFonts w:hint="eastAsia" w:ascii="Times New Roman" w:hAnsi="Times New Roman" w:eastAsia="方正仿宋_GBK"/>
          <w:sz w:val="32"/>
          <w:highlight w:val="none"/>
        </w:rPr>
        <w:t>）</w:t>
      </w:r>
      <w:r>
        <w:rPr>
          <w:rFonts w:ascii="Times New Roman" w:hAnsi="Times New Roman" w:eastAsia="方正仿宋_GBK"/>
          <w:sz w:val="32"/>
          <w:highlight w:val="none"/>
        </w:rPr>
        <w:t>1种</w:t>
      </w:r>
      <w:r>
        <w:rPr>
          <w:rFonts w:ascii="Times New Roman" w:hAnsi="Times New Roman" w:eastAsia="方正仿宋_GBK" w:cs="Times New Roman"/>
          <w:color w:val="000000"/>
          <w:w w:val="94"/>
          <w:sz w:val="32"/>
          <w:szCs w:val="32"/>
          <w:highlight w:val="none"/>
        </w:rPr>
        <w:t>，分布在跳磴镇</w:t>
      </w:r>
      <w:r>
        <w:rPr>
          <w:rFonts w:ascii="Times New Roman" w:hAnsi="Times New Roman" w:eastAsia="方正仿宋_GBK" w:cs="Times New Roman"/>
          <w:color w:val="000000"/>
          <w:sz w:val="32"/>
          <w:szCs w:val="32"/>
          <w:highlight w:val="none"/>
        </w:rPr>
        <w:t>。</w:t>
      </w:r>
      <w:r>
        <w:rPr>
          <w:rFonts w:hint="eastAsia" w:ascii="Times New Roman" w:hAnsi="Times New Roman" w:eastAsia="方正仿宋_GBK" w:cs="Times New Roman"/>
          <w:color w:val="000000"/>
          <w:sz w:val="32"/>
          <w:szCs w:val="32"/>
          <w:highlight w:val="none"/>
        </w:rPr>
        <w:t>全区</w:t>
      </w:r>
      <w:r>
        <w:rPr>
          <w:rFonts w:ascii="Times New Roman" w:hAnsi="Times New Roman" w:eastAsia="方正仿宋_GBK" w:cs="Times New Roman"/>
          <w:color w:val="000000"/>
          <w:sz w:val="32"/>
          <w:szCs w:val="32"/>
          <w:highlight w:val="none"/>
        </w:rPr>
        <w:t>国有林地面积1057.6公顷，占全区林地面积的29.3%</w:t>
      </w:r>
      <w:r>
        <w:rPr>
          <w:rFonts w:hint="eastAsia" w:ascii="Times New Roman" w:hAnsi="Times New Roman" w:eastAsia="方正仿宋_GBK" w:cs="Times New Roman"/>
          <w:color w:val="000000"/>
          <w:sz w:val="32"/>
          <w:szCs w:val="32"/>
          <w:highlight w:val="none"/>
        </w:rPr>
        <w:t>；</w:t>
      </w:r>
      <w:r>
        <w:rPr>
          <w:rFonts w:ascii="Times New Roman" w:hAnsi="Times New Roman" w:eastAsia="方正仿宋_GBK" w:cs="Times New Roman"/>
          <w:color w:val="000000"/>
          <w:sz w:val="32"/>
          <w:szCs w:val="32"/>
          <w:highlight w:val="none"/>
        </w:rPr>
        <w:t>国有森林面积992.3公顷，占全区森林面积的28.9%。</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outlineLvl w:val="9"/>
        <w:rPr>
          <w:rFonts w:ascii="Times New Roman" w:hAnsi="Times New Roman" w:eastAsia="方正黑体_GBK" w:cs="Times New Roman"/>
          <w:sz w:val="32"/>
          <w:highlight w:val="none"/>
        </w:rPr>
      </w:pPr>
      <w:r>
        <w:rPr>
          <w:rFonts w:ascii="Times New Roman" w:hAnsi="Times New Roman" w:eastAsia="方正黑体_GBK" w:cs="Times New Roman"/>
          <w:sz w:val="32"/>
          <w:highlight w:val="none"/>
        </w:rPr>
        <w:t>二、国有资产管理情况</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outlineLvl w:val="9"/>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我区国有资产分别由区国资委、区财政局、区规划和自然资源局和区农业农村委负责管理。区国资委负责国有企业国有资产管理和监督；区财政局负责全区行政事业性国有资产管理和监督；区规划和自然资源局、区农业农村委负责对全区土地资源、矿产资源、森林资源、湿地资源、水资源等国有自然资源实施管理和监督。</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40" w:firstLineChars="200"/>
        <w:jc w:val="both"/>
        <w:textAlignment w:val="auto"/>
        <w:outlineLvl w:val="9"/>
        <w:rPr>
          <w:rFonts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rPr>
        <w:t>企业国有资产（不含金融资产</w:t>
      </w:r>
      <w:r>
        <w:rPr>
          <w:rFonts w:hint="eastAsia" w:ascii="方正楷体_GBK" w:hAnsi="方正楷体_GBK" w:eastAsia="方正楷体_GBK" w:cs="方正楷体_GBK"/>
          <w:sz w:val="32"/>
          <w:szCs w:val="32"/>
          <w:highlight w:val="none"/>
          <w:shd w:val="clear" w:color="auto" w:fill="FFFFFF"/>
        </w:rPr>
        <w:t>）</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outlineLvl w:val="9"/>
        <w:rPr>
          <w:rFonts w:ascii="Times New Roman" w:hAnsi="Times New Roman" w:eastAsia="方正仿宋_GBK" w:cs="Times New Roman"/>
          <w:sz w:val="32"/>
          <w:szCs w:val="32"/>
          <w:highlight w:val="none"/>
        </w:rPr>
      </w:pPr>
      <w:r>
        <w:rPr>
          <w:rFonts w:hint="eastAsia" w:ascii="Times New Roman" w:hAnsi="Times New Roman" w:eastAsia="方正仿宋_GBK" w:cs="Times New Roman"/>
          <w:b/>
          <w:bCs/>
          <w:sz w:val="32"/>
          <w:highlight w:val="none"/>
          <w:lang w:val="en-US" w:eastAsia="zh-CN"/>
        </w:rPr>
        <w:t>1.</w:t>
      </w:r>
      <w:r>
        <w:rPr>
          <w:rFonts w:ascii="Times New Roman" w:hAnsi="Times New Roman" w:eastAsia="方正仿宋_GBK" w:cs="Times New Roman"/>
          <w:b/>
          <w:bCs/>
          <w:sz w:val="32"/>
          <w:highlight w:val="none"/>
        </w:rPr>
        <w:t>国有企业改革纵深推进。</w:t>
      </w:r>
      <w:r>
        <w:rPr>
          <w:rFonts w:hint="eastAsia" w:ascii="Times New Roman" w:hAnsi="Times New Roman" w:eastAsia="方正仿宋_GBK" w:cs="Times New Roman"/>
          <w:sz w:val="32"/>
          <w:szCs w:val="32"/>
          <w:highlight w:val="none"/>
        </w:rPr>
        <w:t>率先启动</w:t>
      </w:r>
      <w:r>
        <w:rPr>
          <w:rFonts w:hint="eastAsia" w:ascii="Times New Roman" w:hAnsi="Times New Roman" w:eastAsia="方正仿宋_GBK" w:cs="方正仿宋_GBK"/>
          <w:sz w:val="32"/>
          <w:szCs w:val="32"/>
          <w:highlight w:val="none"/>
        </w:rPr>
        <w:t>新一轮国资国企改革</w:t>
      </w:r>
      <w:r>
        <w:rPr>
          <w:rFonts w:hint="eastAsia" w:ascii="Times New Roman" w:hAnsi="Times New Roman" w:eastAsia="方正仿宋_GBK" w:cs="Times New Roman"/>
          <w:sz w:val="32"/>
          <w:szCs w:val="32"/>
          <w:highlight w:val="none"/>
        </w:rPr>
        <w:t>，区属国有企业划分为国有资本投融资管理类、城乡建设发展类和城市运营管理类</w:t>
      </w:r>
      <w:r>
        <w:rPr>
          <w:rFonts w:hint="eastAsia" w:ascii="Times New Roman" w:hAnsi="Times New Roman" w:eastAsia="方正仿宋_GBK" w:cs="Times New Roman"/>
          <w:sz w:val="32"/>
          <w:szCs w:val="32"/>
          <w:highlight w:val="none"/>
          <w:lang w:val="en-US" w:eastAsia="zh-CN"/>
        </w:rPr>
        <w:t>三</w:t>
      </w:r>
      <w:r>
        <w:rPr>
          <w:rFonts w:hint="eastAsia" w:ascii="Times New Roman" w:hAnsi="Times New Roman" w:eastAsia="方正仿宋_GBK" w:cs="Times New Roman"/>
          <w:sz w:val="32"/>
          <w:szCs w:val="32"/>
          <w:highlight w:val="none"/>
        </w:rPr>
        <w:t>大体系</w:t>
      </w:r>
      <w:r>
        <w:rPr>
          <w:rFonts w:hint="eastAsia" w:ascii="Times New Roman" w:hAnsi="Times New Roman" w:eastAsia="方正仿宋_GBK" w:cs="Times New Roman"/>
          <w:b w:val="0"/>
          <w:bCs w:val="0"/>
          <w:sz w:val="32"/>
          <w:szCs w:val="32"/>
          <w:highlight w:val="none"/>
          <w:lang w:val="en-US" w:eastAsia="zh-CN"/>
        </w:rPr>
        <w:t>，推动国有资本向主业集中、向优势企业集中、向重点行业和关键领域集中，国有经济向资本运作、城市开发、市场运营等重点领域聚焦</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员工人数总量控制，只减不增</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b w:val="0"/>
          <w:bCs w:val="0"/>
          <w:sz w:val="32"/>
          <w:szCs w:val="32"/>
          <w:highlight w:val="none"/>
          <w:lang w:val="en-US" w:eastAsia="zh-CN"/>
        </w:rPr>
        <w:t>严控无序扩张</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b w:val="0"/>
          <w:bCs w:val="0"/>
          <w:sz w:val="32"/>
          <w:szCs w:val="32"/>
          <w:highlight w:val="none"/>
          <w:lang w:val="en-US" w:eastAsia="zh-CN"/>
        </w:rPr>
        <w:t>开展区属国企合规体系建设、价值创造行动和提效增能行动，</w:t>
      </w:r>
      <w:r>
        <w:rPr>
          <w:rFonts w:hint="eastAsia" w:ascii="Times New Roman" w:hAnsi="Times New Roman" w:eastAsia="方正仿宋_GBK" w:cs="Times New Roman"/>
          <w:sz w:val="32"/>
          <w:szCs w:val="32"/>
          <w:highlight w:val="none"/>
        </w:rPr>
        <w:t>压实国有企业主体责任，推进国有企业</w:t>
      </w:r>
      <w:r>
        <w:rPr>
          <w:rFonts w:hint="eastAsia" w:ascii="Times New Roman" w:hAnsi="Times New Roman" w:eastAsia="方正仿宋_GBK" w:cs="Times New Roman"/>
          <w:sz w:val="32"/>
          <w:szCs w:val="32"/>
          <w:highlight w:val="none"/>
          <w:lang w:val="en-US" w:eastAsia="zh-CN"/>
        </w:rPr>
        <w:t>高质量发展</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b w:val="0"/>
          <w:bCs w:val="0"/>
          <w:sz w:val="32"/>
          <w:szCs w:val="32"/>
          <w:highlight w:val="none"/>
          <w:lang w:val="en-US" w:eastAsia="zh-CN"/>
        </w:rPr>
        <w:t>推行全员业绩考核，建立“基本工资+绩效工资”的薪酬分配机制，实现以绩定薪、一岗一薪、易岗易薪。</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outlineLvl w:val="9"/>
        <w:rPr>
          <w:rFonts w:hint="default" w:ascii="Times New Roman" w:hAnsi="Times New Roman" w:eastAsia="方正仿宋_GBK" w:cs="Times New Roman"/>
          <w:b/>
          <w:bCs/>
          <w:sz w:val="32"/>
          <w:szCs w:val="32"/>
          <w:highlight w:val="none"/>
          <w:lang w:val="en-US"/>
        </w:rPr>
      </w:pPr>
      <w:r>
        <w:rPr>
          <w:rFonts w:hint="eastAsia" w:ascii="Times New Roman" w:hAnsi="Times New Roman" w:eastAsia="方正仿宋_GBK" w:cs="Times New Roman"/>
          <w:b/>
          <w:bCs/>
          <w:sz w:val="32"/>
          <w:szCs w:val="32"/>
          <w:highlight w:val="none"/>
        </w:rPr>
        <w:t>2.国有企业发展稳中有序。</w:t>
      </w:r>
      <w:r>
        <w:rPr>
          <w:rFonts w:ascii="Times New Roman" w:hAnsi="Times New Roman" w:eastAsia="方正仿宋_GBK" w:cs="Times New Roman"/>
          <w:sz w:val="32"/>
          <w:highlight w:val="none"/>
          <w:lang w:val="zh-TW"/>
        </w:rPr>
        <w:t>202</w:t>
      </w:r>
      <w:r>
        <w:rPr>
          <w:rFonts w:ascii="Times New Roman" w:hAnsi="Times New Roman" w:eastAsia="方正仿宋_GBK" w:cs="Times New Roman"/>
          <w:sz w:val="32"/>
          <w:highlight w:val="none"/>
        </w:rPr>
        <w:t>3</w:t>
      </w:r>
      <w:r>
        <w:rPr>
          <w:rFonts w:ascii="Times New Roman" w:hAnsi="Times New Roman" w:eastAsia="方正仿宋_GBK" w:cs="Times New Roman"/>
          <w:sz w:val="32"/>
          <w:highlight w:val="none"/>
          <w:lang w:val="zh-TW"/>
        </w:rPr>
        <w:t>年</w:t>
      </w:r>
      <w:r>
        <w:rPr>
          <w:rFonts w:hint="eastAsia" w:ascii="Times New Roman" w:hAnsi="Times New Roman" w:eastAsia="方正仿宋_GBK" w:cs="Times New Roman"/>
          <w:sz w:val="32"/>
          <w:highlight w:val="none"/>
          <w:lang w:val="zh-TW"/>
        </w:rPr>
        <w:t>，</w:t>
      </w:r>
      <w:r>
        <w:rPr>
          <w:rFonts w:hint="eastAsia" w:ascii="Times New Roman" w:hAnsi="Times New Roman" w:eastAsia="方正仿宋_GBK" w:cs="Times New Roman"/>
          <w:sz w:val="32"/>
          <w:highlight w:val="none"/>
        </w:rPr>
        <w:t>区属国有企业</w:t>
      </w:r>
      <w:r>
        <w:rPr>
          <w:rFonts w:ascii="Times New Roman" w:hAnsi="Times New Roman" w:eastAsia="方正仿宋_GBK" w:cs="Times New Roman"/>
          <w:sz w:val="32"/>
          <w:highlight w:val="none"/>
          <w:lang w:val="zh-TW"/>
        </w:rPr>
        <w:t>统筹</w:t>
      </w:r>
      <w:r>
        <w:rPr>
          <w:rFonts w:ascii="Times New Roman" w:hAnsi="Times New Roman" w:eastAsia="方正仿宋_GBK"/>
          <w:sz w:val="32"/>
          <w:highlight w:val="none"/>
          <w:lang w:val="zh-TW"/>
        </w:rPr>
        <w:t>推进各类项目逾</w:t>
      </w:r>
      <w:r>
        <w:rPr>
          <w:rFonts w:hint="eastAsia" w:ascii="Times New Roman" w:hAnsi="Times New Roman" w:eastAsia="方正仿宋_GBK"/>
          <w:sz w:val="32"/>
          <w:highlight w:val="none"/>
        </w:rPr>
        <w:t>250</w:t>
      </w:r>
      <w:r>
        <w:rPr>
          <w:rFonts w:ascii="Times New Roman" w:hAnsi="Times New Roman" w:eastAsia="方正仿宋_GBK"/>
          <w:sz w:val="32"/>
          <w:highlight w:val="none"/>
        </w:rPr>
        <w:t>项，实现</w:t>
      </w:r>
      <w:r>
        <w:rPr>
          <w:rFonts w:ascii="Times New Roman" w:hAnsi="Times New Roman" w:eastAsia="方正仿宋_GBK" w:cs="Times New Roman"/>
          <w:sz w:val="32"/>
          <w:szCs w:val="32"/>
          <w:highlight w:val="none"/>
        </w:rPr>
        <w:t>固定资产投资</w:t>
      </w:r>
      <w:r>
        <w:rPr>
          <w:rFonts w:ascii="Times New Roman" w:hAnsi="Times New Roman" w:eastAsia="方正仿宋_GBK" w:cs="Times New Roman"/>
          <w:sz w:val="32"/>
          <w:szCs w:val="32"/>
          <w:highlight w:val="none"/>
          <w:lang w:val="zh-TW"/>
        </w:rPr>
        <w:t>逾</w:t>
      </w:r>
      <w:r>
        <w:rPr>
          <w:rFonts w:ascii="Times New Roman" w:hAnsi="Times New Roman" w:eastAsia="方正仿宋_GBK" w:cs="Times New Roman"/>
          <w:sz w:val="32"/>
          <w:szCs w:val="32"/>
          <w:highlight w:val="none"/>
        </w:rPr>
        <w:t>230亿元，招商引资</w:t>
      </w:r>
      <w:r>
        <w:rPr>
          <w:rFonts w:ascii="Times New Roman" w:hAnsi="Times New Roman" w:eastAsia="方正仿宋_GBK" w:cs="Times New Roman"/>
          <w:sz w:val="32"/>
          <w:szCs w:val="32"/>
          <w:highlight w:val="none"/>
          <w:lang w:val="zh-TW"/>
        </w:rPr>
        <w:t>逾</w:t>
      </w:r>
      <w:r>
        <w:rPr>
          <w:rFonts w:hint="eastAsia" w:ascii="Times New Roman" w:hAnsi="Times New Roman" w:eastAsia="方正仿宋_GBK" w:cs="Times New Roman"/>
          <w:sz w:val="32"/>
          <w:szCs w:val="32"/>
          <w:highlight w:val="none"/>
        </w:rPr>
        <w:t>40</w:t>
      </w:r>
      <w:r>
        <w:rPr>
          <w:rFonts w:ascii="Times New Roman" w:hAnsi="Times New Roman" w:eastAsia="方正仿宋_GBK" w:cs="Times New Roman"/>
          <w:sz w:val="32"/>
          <w:szCs w:val="32"/>
          <w:highlight w:val="none"/>
        </w:rPr>
        <w:t>0亿元。</w:t>
      </w:r>
      <w:r>
        <w:rPr>
          <w:rFonts w:hint="default" w:ascii="Times New Roman" w:hAnsi="Times New Roman" w:eastAsia="方正仿宋_GBK" w:cs="Times New Roman"/>
          <w:b w:val="0"/>
          <w:bCs w:val="0"/>
          <w:sz w:val="32"/>
          <w:szCs w:val="32"/>
          <w:highlight w:val="none"/>
        </w:rPr>
        <w:t>打造</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区产业信息公共服务平台</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lang w:eastAsia="zh-CN"/>
        </w:rPr>
        <w:t>，</w:t>
      </w:r>
      <w:r>
        <w:rPr>
          <w:rFonts w:hint="eastAsia" w:ascii="Times New Roman" w:hAnsi="Times New Roman" w:eastAsia="方正仿宋_GBK" w:cs="Times New Roman"/>
          <w:b w:val="0"/>
          <w:bCs w:val="0"/>
          <w:sz w:val="32"/>
          <w:szCs w:val="32"/>
          <w:highlight w:val="none"/>
          <w:lang w:eastAsia="zh-CN"/>
        </w:rPr>
        <w:t>提升园区企业电子政务公共服务水平。</w:t>
      </w:r>
      <w:r>
        <w:rPr>
          <w:rFonts w:hint="eastAsia" w:ascii="Times New Roman" w:hAnsi="Times New Roman" w:eastAsia="方正仿宋_GBK" w:cs="Times New Roman"/>
          <w:b w:val="0"/>
          <w:bCs w:val="0"/>
          <w:sz w:val="32"/>
          <w:highlight w:val="none"/>
          <w:lang w:val="en-US" w:eastAsia="zh-CN"/>
        </w:rPr>
        <w:t>7个项目“保交楼”实现市级部门销号，有力稳定房地产市场，</w:t>
      </w:r>
      <w:r>
        <w:rPr>
          <w:rFonts w:hint="eastAsia" w:ascii="Times New Roman" w:hAnsi="Times New Roman" w:eastAsia="方正仿宋_GBK" w:cs="Times New Roman"/>
          <w:sz w:val="32"/>
          <w:highlight w:val="none"/>
        </w:rPr>
        <w:t>促进社会稳定。</w:t>
      </w:r>
      <w:r>
        <w:rPr>
          <w:rFonts w:hint="eastAsia" w:ascii="Times New Roman" w:hAnsi="Times New Roman" w:eastAsia="方正仿宋_GBK" w:cs="Times New Roman"/>
          <w:b w:val="0"/>
          <w:bCs w:val="0"/>
          <w:sz w:val="32"/>
          <w:highlight w:val="none"/>
          <w:lang w:val="en-US" w:eastAsia="zh-CN"/>
        </w:rPr>
        <w:t>打表推进老旧改工作</w:t>
      </w:r>
      <w:r>
        <w:rPr>
          <w:rFonts w:hint="eastAsia" w:ascii="Times New Roman" w:hAnsi="Times New Roman" w:eastAsia="方正仿宋_GBK" w:cs="Times New Roman"/>
          <w:color w:val="0000FF"/>
          <w:sz w:val="32"/>
          <w:szCs w:val="32"/>
          <w:highlight w:val="none"/>
          <w:lang w:eastAsia="zh-CN"/>
        </w:rPr>
        <w:t>，</w:t>
      </w:r>
      <w:r>
        <w:rPr>
          <w:rFonts w:ascii="Times New Roman" w:hAnsi="Times New Roman" w:eastAsia="方正仿宋_GBK" w:cs="Times New Roman"/>
          <w:sz w:val="32"/>
          <w:szCs w:val="32"/>
          <w:highlight w:val="none"/>
        </w:rPr>
        <w:t>5个片区老旧小区改造</w:t>
      </w:r>
      <w:r>
        <w:rPr>
          <w:rFonts w:hint="eastAsia" w:ascii="Times New Roman" w:hAnsi="Times New Roman" w:eastAsia="方正仿宋_GBK" w:cs="Times New Roman"/>
          <w:sz w:val="32"/>
          <w:szCs w:val="32"/>
          <w:highlight w:val="none"/>
        </w:rPr>
        <w:t>受</w:t>
      </w:r>
      <w:r>
        <w:rPr>
          <w:rFonts w:ascii="Times New Roman" w:hAnsi="Times New Roman" w:eastAsia="方正仿宋_GBK" w:cs="Times New Roman"/>
          <w:sz w:val="32"/>
          <w:szCs w:val="32"/>
          <w:highlight w:val="none"/>
        </w:rPr>
        <w:t>市政府表彰</w:t>
      </w:r>
      <w:r>
        <w:rPr>
          <w:rFonts w:hint="eastAsia" w:ascii="Times New Roman" w:hAnsi="Times New Roman" w:eastAsia="方正仿宋_GBK" w:cs="Times New Roman"/>
          <w:sz w:val="32"/>
          <w:szCs w:val="32"/>
          <w:highlight w:val="none"/>
        </w:rPr>
        <w:t>，获得</w:t>
      </w:r>
      <w:r>
        <w:rPr>
          <w:rFonts w:ascii="Times New Roman" w:hAnsi="Times New Roman" w:eastAsia="方正仿宋_GBK" w:cs="Times New Roman"/>
          <w:sz w:val="32"/>
          <w:szCs w:val="32"/>
          <w:highlight w:val="none"/>
        </w:rPr>
        <w:t>激励资金500万元</w:t>
      </w:r>
      <w:r>
        <w:rPr>
          <w:rFonts w:hint="eastAsia" w:ascii="Times New Roman" w:hAnsi="Times New Roman" w:eastAsia="方正仿宋_GBK" w:cs="Times New Roman"/>
          <w:sz w:val="32"/>
          <w:szCs w:val="32"/>
          <w:highlight w:val="none"/>
        </w:rPr>
        <w:t>。</w:t>
      </w:r>
      <w:r>
        <w:rPr>
          <w:rFonts w:hint="default" w:ascii="Times New Roman" w:hAnsi="Times New Roman" w:eastAsia="方正仿宋_GBK" w:cs="Times New Roman"/>
          <w:b w:val="0"/>
          <w:bCs w:val="0"/>
          <w:sz w:val="32"/>
          <w:szCs w:val="32"/>
          <w:highlight w:val="none"/>
          <w:lang w:val="en-US" w:eastAsia="zh-CN"/>
        </w:rPr>
        <w:t>成功</w:t>
      </w:r>
      <w:r>
        <w:rPr>
          <w:rFonts w:hint="eastAsia" w:ascii="Times New Roman" w:hAnsi="Times New Roman" w:eastAsia="方正仿宋_GBK" w:cs="Times New Roman"/>
          <w:b w:val="0"/>
          <w:bCs w:val="0"/>
          <w:sz w:val="32"/>
          <w:szCs w:val="32"/>
          <w:highlight w:val="none"/>
          <w:lang w:val="en-US" w:eastAsia="zh-CN"/>
        </w:rPr>
        <w:t>举办“</w:t>
      </w:r>
      <w:r>
        <w:rPr>
          <w:rFonts w:hint="default" w:ascii="Times New Roman" w:hAnsi="Times New Roman" w:eastAsia="方正仿宋_GBK" w:cs="Times New Roman"/>
          <w:b w:val="0"/>
          <w:bCs w:val="0"/>
          <w:sz w:val="32"/>
          <w:szCs w:val="32"/>
          <w:highlight w:val="none"/>
          <w:lang w:val="en-US" w:eastAsia="zh-CN"/>
        </w:rPr>
        <w:t>重庆小面文化节</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智跑重庆·潮九宫集市</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重庆乐堡音乐节</w:t>
      </w:r>
      <w:r>
        <w:rPr>
          <w:rFonts w:hint="eastAsia" w:ascii="Times New Roman" w:hAnsi="Times New Roman" w:eastAsia="方正仿宋_GBK" w:cs="Times New Roman"/>
          <w:b w:val="0"/>
          <w:bCs w:val="0"/>
          <w:sz w:val="32"/>
          <w:szCs w:val="32"/>
          <w:highlight w:val="none"/>
          <w:lang w:val="en-US" w:eastAsia="zh-CN"/>
        </w:rPr>
        <w:t>”等活动</w:t>
      </w:r>
      <w:r>
        <w:rPr>
          <w:rFonts w:hint="default" w:ascii="Times New Roman" w:hAnsi="Times New Roman" w:eastAsia="方正仿宋_GBK" w:cs="Times New Roman"/>
          <w:b w:val="0"/>
          <w:bCs w:val="0"/>
          <w:sz w:val="32"/>
          <w:szCs w:val="32"/>
          <w:highlight w:val="none"/>
          <w:lang w:val="en-US" w:eastAsia="zh-CN"/>
        </w:rPr>
        <w:t>，提升大渡口区文旅影响力和知名度</w:t>
      </w:r>
      <w:r>
        <w:rPr>
          <w:rFonts w:hint="eastAsia" w:ascii="Times New Roman" w:hAnsi="Times New Roman" w:eastAsia="方正仿宋_GBK"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highlight w:val="none"/>
        </w:rPr>
      </w:pPr>
      <w:r>
        <w:rPr>
          <w:rFonts w:hint="eastAsia" w:ascii="Times New Roman" w:hAnsi="Times New Roman" w:eastAsia="方正仿宋_GBK" w:cs="Times New Roman"/>
          <w:b/>
          <w:bCs/>
          <w:sz w:val="32"/>
          <w:szCs w:val="32"/>
          <w:highlight w:val="none"/>
        </w:rPr>
        <w:t>3.国资监管效能不断提高。</w:t>
      </w:r>
      <w:r>
        <w:rPr>
          <w:rFonts w:hint="eastAsia" w:ascii="Times New Roman" w:hAnsi="Times New Roman" w:eastAsia="方正仿宋_GBK" w:cs="Times New Roman"/>
          <w:sz w:val="32"/>
          <w:szCs w:val="32"/>
          <w:highlight w:val="none"/>
        </w:rPr>
        <w:t>修订《大渡口区国有资产监督管理委员会议事规则》，督促区级融资平台公司建立完善公司管理制度和</w:t>
      </w:r>
      <w:r>
        <w:rPr>
          <w:rFonts w:hint="eastAsia" w:ascii="Times New Roman" w:hAnsi="Times New Roman" w:eastAsia="方正仿宋_GBK" w:cs="方正仿宋_GBK"/>
          <w:color w:val="000000"/>
          <w:kern w:val="0"/>
          <w:sz w:val="32"/>
          <w:szCs w:val="32"/>
          <w:highlight w:val="none"/>
        </w:rPr>
        <w:t>融资管理制度。强化国家出资企业产权登记管理。</w:t>
      </w:r>
      <w:r>
        <w:rPr>
          <w:rFonts w:ascii="Times New Roman" w:hAnsi="Times New Roman" w:eastAsia="方正仿宋_GBK" w:cs="方正仿宋_GBK"/>
          <w:color w:val="000000"/>
          <w:kern w:val="0"/>
          <w:sz w:val="32"/>
          <w:szCs w:val="32"/>
          <w:highlight w:val="none"/>
        </w:rPr>
        <w:t>跟进督办国有企业债务化解工作</w:t>
      </w:r>
      <w:r>
        <w:rPr>
          <w:rFonts w:hint="eastAsia" w:ascii="Times New Roman" w:hAnsi="Times New Roman" w:eastAsia="方正仿宋_GBK" w:cs="方正仿宋_GBK"/>
          <w:color w:val="000000"/>
          <w:kern w:val="0"/>
          <w:sz w:val="32"/>
          <w:szCs w:val="32"/>
          <w:highlight w:val="none"/>
        </w:rPr>
        <w:t>，周报告月调度季督查。</w:t>
      </w:r>
      <w:r>
        <w:rPr>
          <w:rFonts w:ascii="Times New Roman" w:hAnsi="Times New Roman" w:eastAsia="方正仿宋_GBK" w:cs="方正仿宋_GBK"/>
          <w:color w:val="000000"/>
          <w:kern w:val="0"/>
          <w:sz w:val="32"/>
          <w:szCs w:val="32"/>
          <w:highlight w:val="none"/>
        </w:rPr>
        <w:t>开展</w:t>
      </w:r>
      <w:r>
        <w:rPr>
          <w:rFonts w:hint="eastAsia" w:ascii="Times New Roman" w:hAnsi="Times New Roman" w:eastAsia="方正仿宋_GBK" w:cs="方正仿宋_GBK"/>
          <w:color w:val="000000"/>
          <w:kern w:val="0"/>
          <w:sz w:val="32"/>
          <w:szCs w:val="32"/>
          <w:highlight w:val="none"/>
        </w:rPr>
        <w:t>国有企业</w:t>
      </w:r>
      <w:r>
        <w:rPr>
          <w:rFonts w:ascii="Times New Roman" w:hAnsi="Times New Roman" w:eastAsia="方正仿宋_GBK" w:cs="方正仿宋_GBK"/>
          <w:color w:val="000000"/>
          <w:kern w:val="0"/>
          <w:sz w:val="32"/>
          <w:szCs w:val="32"/>
          <w:highlight w:val="none"/>
        </w:rPr>
        <w:t>资产摸底调查，</w:t>
      </w:r>
      <w:r>
        <w:rPr>
          <w:rFonts w:hint="eastAsia" w:ascii="Times New Roman" w:hAnsi="Times New Roman" w:eastAsia="方正仿宋_GBK" w:cs="方正仿宋_GBK"/>
          <w:color w:val="000000"/>
          <w:kern w:val="0"/>
          <w:sz w:val="32"/>
          <w:szCs w:val="32"/>
          <w:highlight w:val="none"/>
        </w:rPr>
        <w:t>全力推动资产盘活。加快</w:t>
      </w:r>
      <w:r>
        <w:rPr>
          <w:rFonts w:ascii="Times New Roman" w:hAnsi="Times New Roman" w:eastAsia="方正仿宋_GBK" w:cs="方正仿宋_GBK"/>
          <w:color w:val="000000"/>
          <w:kern w:val="0"/>
          <w:sz w:val="32"/>
          <w:szCs w:val="32"/>
          <w:highlight w:val="none"/>
        </w:rPr>
        <w:t>推进</w:t>
      </w:r>
      <w:r>
        <w:rPr>
          <w:rFonts w:hint="eastAsia" w:ascii="Times New Roman" w:hAnsi="Times New Roman" w:eastAsia="方正仿宋_GBK" w:cs="方正仿宋_GBK"/>
          <w:color w:val="000000"/>
          <w:kern w:val="0"/>
          <w:sz w:val="32"/>
          <w:szCs w:val="32"/>
          <w:highlight w:val="none"/>
        </w:rPr>
        <w:t>国资监管一体化平台建设，</w:t>
      </w:r>
      <w:r>
        <w:rPr>
          <w:rFonts w:ascii="Times New Roman" w:hAnsi="Times New Roman" w:eastAsia="方正仿宋_GBK" w:cs="方正仿宋_GBK"/>
          <w:color w:val="000000"/>
          <w:kern w:val="0"/>
          <w:sz w:val="32"/>
          <w:szCs w:val="32"/>
          <w:highlight w:val="none"/>
        </w:rPr>
        <w:t>经营性资产集中统</w:t>
      </w:r>
      <w:r>
        <w:rPr>
          <w:rFonts w:hint="eastAsia" w:ascii="Times New Roman" w:hAnsi="Times New Roman" w:eastAsia="方正仿宋_GBK" w:cs="方正仿宋_GBK"/>
          <w:color w:val="000000"/>
          <w:kern w:val="0"/>
          <w:sz w:val="32"/>
          <w:szCs w:val="32"/>
          <w:highlight w:val="none"/>
        </w:rPr>
        <w:t>一监管。</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outlineLvl w:val="9"/>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（二）行政事业性国有资产</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outlineLvl w:val="9"/>
        <w:rPr>
          <w:rFonts w:ascii="Times New Roman" w:hAnsi="Times New Roman" w:eastAsia="方正仿宋_GBK" w:cs="Times New Roman"/>
          <w:color w:val="C00000"/>
          <w:sz w:val="32"/>
          <w:szCs w:val="32"/>
          <w:highlight w:val="none"/>
        </w:rPr>
      </w:pPr>
      <w:r>
        <w:rPr>
          <w:rFonts w:ascii="Times New Roman" w:hAnsi="Times New Roman" w:eastAsia="方正仿宋_GBK" w:cs="Times New Roman"/>
          <w:b/>
          <w:color w:val="000000"/>
          <w:sz w:val="32"/>
          <w:szCs w:val="32"/>
          <w:highlight w:val="none"/>
        </w:rPr>
        <w:t>1.扎实开展资产清查摸底，夯实资产管理基础。</w:t>
      </w:r>
      <w:r>
        <w:rPr>
          <w:rFonts w:hint="eastAsia" w:ascii="Times New Roman" w:hAnsi="Times New Roman" w:eastAsia="方正仿宋_GBK" w:cs="Times New Roman"/>
          <w:sz w:val="32"/>
          <w:szCs w:val="32"/>
          <w:highlight w:val="none"/>
        </w:rPr>
        <w:t>开展全</w:t>
      </w:r>
      <w:r>
        <w:rPr>
          <w:rFonts w:hint="eastAsia" w:ascii="Times New Roman" w:hAnsi="Times New Roman" w:eastAsia="方正仿宋_GBK" w:cs="Times New Roman"/>
          <w:sz w:val="32"/>
          <w:szCs w:val="32"/>
          <w:highlight w:val="none"/>
          <w:lang w:val="en-US" w:eastAsia="zh-CN"/>
        </w:rPr>
        <w:t>区</w:t>
      </w:r>
      <w:r>
        <w:rPr>
          <w:rFonts w:hint="eastAsia" w:ascii="Times New Roman" w:hAnsi="Times New Roman" w:eastAsia="方正仿宋_GBK" w:cs="Times New Roman"/>
          <w:sz w:val="32"/>
          <w:szCs w:val="32"/>
          <w:highlight w:val="none"/>
        </w:rPr>
        <w:t>国有资产调查摸底工作，全面开展“三资”清理，重点开展固定资产（不动产）清查，</w:t>
      </w:r>
      <w:r>
        <w:rPr>
          <w:rFonts w:ascii="Times New Roman" w:hAnsi="Times New Roman" w:eastAsia="方正仿宋_GBK" w:cs="Times New Roman"/>
          <w:sz w:val="32"/>
          <w:szCs w:val="32"/>
          <w:highlight w:val="none"/>
        </w:rPr>
        <w:t>厘清国有资产家底，确保底数清、</w:t>
      </w:r>
      <w:r>
        <w:rPr>
          <w:rFonts w:hint="eastAsia" w:ascii="Times New Roman" w:hAnsi="Times New Roman" w:eastAsia="方正仿宋_GBK" w:cs="Times New Roman"/>
          <w:sz w:val="32"/>
          <w:szCs w:val="32"/>
          <w:highlight w:val="none"/>
        </w:rPr>
        <w:t>情况明、</w:t>
      </w:r>
      <w:r>
        <w:rPr>
          <w:rFonts w:ascii="Times New Roman" w:hAnsi="Times New Roman" w:eastAsia="方正仿宋_GBK" w:cs="Times New Roman"/>
          <w:sz w:val="32"/>
          <w:szCs w:val="32"/>
          <w:highlight w:val="none"/>
        </w:rPr>
        <w:t>数据准。</w:t>
      </w:r>
      <w:r>
        <w:rPr>
          <w:rFonts w:hint="eastAsia" w:ascii="Times New Roman" w:hAnsi="Times New Roman" w:eastAsia="方正仿宋_GBK" w:cs="Times New Roman"/>
          <w:color w:val="auto"/>
          <w:sz w:val="32"/>
          <w:szCs w:val="32"/>
          <w:highlight w:val="none"/>
        </w:rPr>
        <w:t>清查覆盖</w:t>
      </w:r>
      <w:r>
        <w:rPr>
          <w:rStyle w:val="20"/>
          <w:rFonts w:ascii="Times New Roman" w:hAnsi="Times New Roman" w:eastAsia="方正仿宋_GBK" w:cs="Times New Roman"/>
          <w:color w:val="auto"/>
          <w:sz w:val="32"/>
          <w:szCs w:val="32"/>
          <w:highlight w:val="none"/>
        </w:rPr>
        <w:t>全区112家预算单位</w:t>
      </w:r>
      <w:r>
        <w:rPr>
          <w:rStyle w:val="20"/>
          <w:rFonts w:hint="eastAsia" w:ascii="Times New Roman" w:hAnsi="Times New Roman" w:eastAsia="方正仿宋_GBK" w:cs="Times New Roman"/>
          <w:color w:val="auto"/>
          <w:sz w:val="32"/>
          <w:szCs w:val="32"/>
          <w:highlight w:val="none"/>
        </w:rPr>
        <w:t>的</w:t>
      </w:r>
      <w:r>
        <w:rPr>
          <w:rStyle w:val="20"/>
          <w:rFonts w:ascii="Times New Roman" w:hAnsi="Times New Roman" w:eastAsia="方正仿宋_GBK" w:cs="Times New Roman"/>
          <w:color w:val="auto"/>
          <w:sz w:val="32"/>
          <w:szCs w:val="32"/>
          <w:highlight w:val="none"/>
        </w:rPr>
        <w:t>土地房屋、家具用具等七大类</w:t>
      </w:r>
      <w:r>
        <w:rPr>
          <w:rStyle w:val="20"/>
          <w:rFonts w:hint="eastAsia" w:ascii="Times New Roman" w:hAnsi="Times New Roman" w:eastAsia="方正仿宋_GBK" w:cs="Times New Roman"/>
          <w:color w:val="auto"/>
          <w:sz w:val="32"/>
          <w:szCs w:val="32"/>
          <w:highlight w:val="none"/>
        </w:rPr>
        <w:t>共</w:t>
      </w:r>
      <w:r>
        <w:rPr>
          <w:rStyle w:val="20"/>
          <w:rFonts w:ascii="Times New Roman" w:hAnsi="Times New Roman" w:eastAsia="方正仿宋_GBK" w:cs="Times New Roman"/>
          <w:color w:val="auto"/>
          <w:sz w:val="32"/>
          <w:szCs w:val="32"/>
          <w:highlight w:val="none"/>
        </w:rPr>
        <w:t>120</w:t>
      </w:r>
      <w:r>
        <w:rPr>
          <w:rStyle w:val="20"/>
          <w:rFonts w:hint="eastAsia" w:ascii="Times New Roman" w:hAnsi="Times New Roman" w:eastAsia="方正仿宋_GBK" w:cs="Times New Roman"/>
          <w:color w:val="auto"/>
          <w:sz w:val="32"/>
          <w:szCs w:val="32"/>
          <w:highlight w:val="none"/>
          <w:lang w:val="en-US"/>
        </w:rPr>
        <w:t>万</w:t>
      </w:r>
      <w:r>
        <w:rPr>
          <w:rStyle w:val="20"/>
          <w:rFonts w:ascii="Times New Roman" w:hAnsi="Times New Roman" w:eastAsia="方正仿宋_GBK" w:cs="Times New Roman"/>
          <w:color w:val="auto"/>
          <w:sz w:val="32"/>
          <w:szCs w:val="32"/>
          <w:highlight w:val="none"/>
        </w:rPr>
        <w:t>项资产</w:t>
      </w:r>
      <w:r>
        <w:rPr>
          <w:rStyle w:val="20"/>
          <w:rFonts w:hint="eastAsia" w:ascii="Times New Roman" w:hAnsi="Times New Roman" w:eastAsia="方正仿宋_GBK" w:cs="Times New Roman"/>
          <w:color w:val="auto"/>
          <w:sz w:val="32"/>
          <w:szCs w:val="32"/>
          <w:highlight w:val="none"/>
        </w:rPr>
        <w:t>。开展闲置资产专项清查，</w:t>
      </w:r>
      <w:r>
        <w:rPr>
          <w:rStyle w:val="20"/>
          <w:rFonts w:ascii="Times New Roman" w:hAnsi="Times New Roman" w:eastAsia="方正仿宋_GBK" w:cs="Times New Roman"/>
          <w:color w:val="auto"/>
          <w:sz w:val="32"/>
          <w:szCs w:val="32"/>
          <w:highlight w:val="none"/>
          <w:lang w:val="zh-TW" w:bidi="zh-TW"/>
        </w:rPr>
        <w:t>清理低效闲置的房屋、门面、停车位等固定资产</w:t>
      </w:r>
      <w:r>
        <w:rPr>
          <w:rStyle w:val="20"/>
          <w:rFonts w:ascii="Times New Roman" w:hAnsi="Times New Roman" w:eastAsia="方正仿宋_GBK" w:cs="Times New Roman"/>
          <w:color w:val="auto"/>
          <w:sz w:val="32"/>
          <w:szCs w:val="32"/>
          <w:highlight w:val="none"/>
          <w:lang w:bidi="zh-TW"/>
        </w:rPr>
        <w:t>127项</w:t>
      </w:r>
      <w:r>
        <w:rPr>
          <w:rFonts w:ascii="Times New Roman" w:hAnsi="Times New Roman" w:eastAsia="方正仿宋_GBK" w:cs="Times New Roman"/>
          <w:color w:val="auto"/>
          <w:kern w:val="0"/>
          <w:sz w:val="32"/>
          <w:szCs w:val="32"/>
          <w:highlight w:val="none"/>
        </w:rPr>
        <w:t>。</w:t>
      </w:r>
    </w:p>
    <w:p>
      <w:pPr>
        <w:pStyle w:val="5"/>
        <w:keepNext w:val="0"/>
        <w:keepLines w:val="0"/>
        <w:pageBreakBefore w:val="0"/>
        <w:widowControl w:val="0"/>
        <w:kinsoku/>
        <w:wordWrap/>
        <w:overflowPunct/>
        <w:topLinePunct w:val="0"/>
        <w:autoSpaceDE/>
        <w:autoSpaceDN/>
        <w:bidi w:val="0"/>
        <w:snapToGrid w:val="0"/>
        <w:spacing w:line="594" w:lineRule="exact"/>
        <w:ind w:firstLine="643" w:firstLineChars="200"/>
        <w:jc w:val="both"/>
        <w:textAlignment w:val="auto"/>
        <w:outlineLvl w:val="9"/>
        <w:rPr>
          <w:rFonts w:ascii="Times New Roman" w:hAnsi="Times New Roman" w:eastAsia="方正仿宋_GBK" w:cs="Times New Roman"/>
          <w:color w:val="C00000"/>
          <w:sz w:val="32"/>
          <w:szCs w:val="32"/>
          <w:highlight w:val="none"/>
        </w:rPr>
      </w:pPr>
      <w:r>
        <w:rPr>
          <w:rFonts w:ascii="Times New Roman" w:hAnsi="Times New Roman" w:eastAsia="方正仿宋_GBK" w:cs="Times New Roman"/>
          <w:b/>
          <w:bCs/>
          <w:sz w:val="32"/>
          <w:szCs w:val="32"/>
          <w:highlight w:val="none"/>
        </w:rPr>
        <w:t>2.拓宽国有资产盘活思路，释放资产盘活效能。</w:t>
      </w:r>
      <w:r>
        <w:rPr>
          <w:rFonts w:ascii="Times New Roman" w:hAnsi="Times New Roman" w:eastAsia="方正仿宋_GBK" w:cs="Times New Roman"/>
          <w:sz w:val="32"/>
          <w:szCs w:val="32"/>
          <w:highlight w:val="none"/>
        </w:rPr>
        <w:t>按照</w:t>
      </w:r>
      <w:r>
        <w:rPr>
          <w:rFonts w:hint="eastAsia" w:ascii="方正仿宋_GBK" w:hAnsi="方正仿宋_GBK" w:eastAsia="方正仿宋_GBK" w:cs="方正仿宋_GBK"/>
          <w:sz w:val="32"/>
          <w:szCs w:val="32"/>
          <w:highlight w:val="none"/>
        </w:rPr>
        <w:t>“闲置房产出租、调拨资产再利用、淘汰资产处置”</w:t>
      </w:r>
      <w:r>
        <w:rPr>
          <w:rFonts w:hint="eastAsia" w:ascii="Times New Roman" w:hAnsi="Times New Roman" w:eastAsia="方正仿宋_GBK" w:cs="Times New Roman"/>
          <w:sz w:val="32"/>
          <w:szCs w:val="32"/>
          <w:highlight w:val="none"/>
        </w:rPr>
        <w:t>原则</w:t>
      </w:r>
      <w:r>
        <w:rPr>
          <w:rFonts w:ascii="Times New Roman" w:hAnsi="Times New Roman" w:eastAsia="方正仿宋_GBK" w:cs="Times New Roman"/>
          <w:sz w:val="32"/>
          <w:szCs w:val="32"/>
          <w:highlight w:val="none"/>
        </w:rPr>
        <w:t>，分类实施盘活举措</w:t>
      </w:r>
      <w:r>
        <w:rPr>
          <w:rFonts w:hint="eastAsia"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严格</w:t>
      </w:r>
      <w:r>
        <w:rPr>
          <w:rFonts w:eastAsia="方正仿宋_GBK"/>
          <w:sz w:val="32"/>
          <w:szCs w:val="32"/>
          <w:highlight w:val="none"/>
        </w:rPr>
        <w:t>按照《大渡口区行政事业单位国有资产出租出借管理办法》</w:t>
      </w:r>
      <w:r>
        <w:rPr>
          <w:rFonts w:hint="eastAsia" w:eastAsia="方正仿宋_GBK"/>
          <w:sz w:val="32"/>
          <w:szCs w:val="32"/>
          <w:highlight w:val="none"/>
        </w:rPr>
        <w:t>，积极</w:t>
      </w:r>
      <w:r>
        <w:rPr>
          <w:rFonts w:eastAsia="方正仿宋_GBK"/>
          <w:sz w:val="32"/>
          <w:szCs w:val="32"/>
          <w:highlight w:val="none"/>
        </w:rPr>
        <w:t>履行公开招租流程</w:t>
      </w:r>
      <w:r>
        <w:rPr>
          <w:rFonts w:hint="eastAsia" w:eastAsia="方正仿宋_GBK"/>
          <w:sz w:val="32"/>
          <w:szCs w:val="32"/>
          <w:highlight w:val="none"/>
        </w:rPr>
        <w:t>，</w:t>
      </w:r>
      <w:r>
        <w:rPr>
          <w:rFonts w:eastAsia="方正仿宋_GBK"/>
          <w:sz w:val="32"/>
          <w:szCs w:val="32"/>
          <w:highlight w:val="none"/>
        </w:rPr>
        <w:t>避免闲置。</w:t>
      </w:r>
      <w:r>
        <w:rPr>
          <w:rFonts w:hint="eastAsia" w:eastAsia="方正仿宋_GBK"/>
          <w:color w:val="auto"/>
          <w:sz w:val="32"/>
          <w:szCs w:val="32"/>
          <w:highlight w:val="none"/>
        </w:rPr>
        <w:t>深度挖掘可经营</w:t>
      </w:r>
      <w:r>
        <w:rPr>
          <w:rFonts w:hint="eastAsia" w:eastAsia="方正仿宋_GBK"/>
          <w:color w:val="auto"/>
          <w:sz w:val="32"/>
          <w:szCs w:val="32"/>
          <w:highlight w:val="none"/>
          <w:lang w:val="en-US" w:eastAsia="zh-CN"/>
        </w:rPr>
        <w:t>性</w:t>
      </w:r>
      <w:r>
        <w:rPr>
          <w:rFonts w:hint="eastAsia" w:eastAsia="方正仿宋_GBK"/>
          <w:color w:val="auto"/>
          <w:sz w:val="32"/>
          <w:szCs w:val="32"/>
          <w:highlight w:val="none"/>
        </w:rPr>
        <w:t>停车资源，加快实施停车位智</w:t>
      </w:r>
      <w:r>
        <w:rPr>
          <w:rFonts w:hint="eastAsia" w:ascii="方正仿宋_GBK" w:hAnsi="Times New Roman" w:eastAsia="方正仿宋_GBK"/>
          <w:color w:val="auto"/>
          <w:sz w:val="32"/>
          <w:szCs w:val="32"/>
          <w:highlight w:val="none"/>
        </w:rPr>
        <w:t>能改造建设，利用零星地块、桥下、绿地等空间修建小微停车场。</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outlineLvl w:val="9"/>
        <w:rPr>
          <w:rFonts w:ascii="Times New Roman" w:hAnsi="Times New Roman" w:eastAsia="方正仿宋_GBK" w:cs="Times New Roman"/>
          <w:color w:val="auto"/>
          <w:kern w:val="0"/>
          <w:sz w:val="32"/>
          <w:szCs w:val="32"/>
          <w:highlight w:val="none"/>
        </w:rPr>
      </w:pPr>
      <w:r>
        <w:rPr>
          <w:rFonts w:ascii="Times New Roman" w:hAnsi="Times New Roman" w:eastAsia="方正仿宋_GBK" w:cs="Times New Roman"/>
          <w:b/>
          <w:color w:val="000000"/>
          <w:sz w:val="32"/>
          <w:szCs w:val="32"/>
          <w:highlight w:val="none"/>
        </w:rPr>
        <w:t>3.规范资产使用处置流程，提升动态监管水平。</w:t>
      </w:r>
      <w:r>
        <w:rPr>
          <w:rFonts w:ascii="Times New Roman" w:hAnsi="Times New Roman" w:eastAsia="方正仿宋_GBK" w:cs="Times New Roman"/>
          <w:sz w:val="32"/>
          <w:szCs w:val="32"/>
          <w:highlight w:val="none"/>
        </w:rPr>
        <w:t>按照大渡口区行政事业单位资产出租出借和处置相关规定，严格实行</w:t>
      </w:r>
      <w:r>
        <w:rPr>
          <w:rFonts w:ascii="方正仿宋_GBK" w:hAnsi="方正仿宋_GBK" w:eastAsia="方正仿宋_GBK" w:cs="方正仿宋_GBK"/>
          <w:sz w:val="32"/>
          <w:szCs w:val="32"/>
          <w:highlight w:val="none"/>
        </w:rPr>
        <w:t>“</w:t>
      </w:r>
      <w:r>
        <w:rPr>
          <w:rFonts w:ascii="Times New Roman" w:hAnsi="Times New Roman" w:eastAsia="方正仿宋_GBK" w:cs="Times New Roman"/>
          <w:sz w:val="32"/>
          <w:szCs w:val="32"/>
          <w:highlight w:val="none"/>
        </w:rPr>
        <w:t>线上+线下</w:t>
      </w:r>
      <w:r>
        <w:rPr>
          <w:rFonts w:ascii="方正仿宋_GBK" w:hAnsi="方正仿宋_GBK" w:eastAsia="方正仿宋_GBK" w:cs="方正仿宋_GBK"/>
          <w:sz w:val="32"/>
          <w:szCs w:val="32"/>
          <w:highlight w:val="none"/>
        </w:rPr>
        <w:t>”</w:t>
      </w:r>
      <w:r>
        <w:rPr>
          <w:rFonts w:ascii="Times New Roman" w:hAnsi="Times New Roman" w:eastAsia="方正仿宋_GBK" w:cs="Times New Roman"/>
          <w:sz w:val="32"/>
          <w:szCs w:val="32"/>
          <w:highlight w:val="none"/>
        </w:rPr>
        <w:t>资产处置审批管理流程，加强对资产从</w:t>
      </w:r>
      <w:r>
        <w:rPr>
          <w:rFonts w:hint="eastAsia" w:ascii="方正仿宋_GBK" w:hAnsi="方正仿宋_GBK" w:eastAsia="方正仿宋_GBK" w:cs="方正仿宋_GBK"/>
          <w:sz w:val="32"/>
          <w:szCs w:val="32"/>
          <w:highlight w:val="none"/>
        </w:rPr>
        <w:t>“</w:t>
      </w:r>
      <w:r>
        <w:rPr>
          <w:rFonts w:ascii="Times New Roman" w:hAnsi="Times New Roman" w:eastAsia="方正仿宋_GBK" w:cs="Times New Roman"/>
          <w:sz w:val="32"/>
          <w:szCs w:val="32"/>
          <w:highlight w:val="none"/>
        </w:rPr>
        <w:t>入口</w:t>
      </w:r>
      <w:r>
        <w:rPr>
          <w:rFonts w:ascii="方正仿宋_GBK" w:hAnsi="方正仿宋_GBK" w:eastAsia="方正仿宋_GBK" w:cs="方正仿宋_GBK"/>
          <w:sz w:val="32"/>
          <w:szCs w:val="32"/>
          <w:highlight w:val="none"/>
        </w:rPr>
        <w:t>”</w:t>
      </w:r>
      <w:r>
        <w:rPr>
          <w:rFonts w:ascii="Times New Roman" w:hAnsi="Times New Roman" w:eastAsia="方正仿宋_GBK" w:cs="Times New Roman"/>
          <w:sz w:val="32"/>
          <w:szCs w:val="32"/>
          <w:highlight w:val="none"/>
        </w:rPr>
        <w:t>到</w:t>
      </w:r>
      <w:r>
        <w:rPr>
          <w:rFonts w:ascii="方正仿宋_GBK" w:hAnsi="方正仿宋_GBK" w:eastAsia="方正仿宋_GBK" w:cs="方正仿宋_GBK"/>
          <w:sz w:val="32"/>
          <w:szCs w:val="32"/>
          <w:highlight w:val="none"/>
        </w:rPr>
        <w:t>“</w:t>
      </w:r>
      <w:r>
        <w:rPr>
          <w:rFonts w:ascii="Times New Roman" w:hAnsi="Times New Roman" w:eastAsia="方正仿宋_GBK" w:cs="Times New Roman"/>
          <w:sz w:val="32"/>
          <w:szCs w:val="32"/>
          <w:highlight w:val="none"/>
        </w:rPr>
        <w:t>出口</w:t>
      </w:r>
      <w:r>
        <w:rPr>
          <w:rFonts w:ascii="方正仿宋_GBK" w:hAnsi="方正仿宋_GBK" w:eastAsia="方正仿宋_GBK" w:cs="方正仿宋_GBK"/>
          <w:sz w:val="32"/>
          <w:szCs w:val="32"/>
          <w:highlight w:val="none"/>
        </w:rPr>
        <w:t>”</w:t>
      </w:r>
      <w:r>
        <w:rPr>
          <w:rFonts w:ascii="Times New Roman" w:hAnsi="Times New Roman" w:eastAsia="方正仿宋_GBK" w:cs="Times New Roman"/>
          <w:sz w:val="32"/>
          <w:szCs w:val="32"/>
          <w:highlight w:val="none"/>
        </w:rPr>
        <w:t>的全过程监管。</w:t>
      </w:r>
      <w:r>
        <w:rPr>
          <w:rFonts w:ascii="Times New Roman" w:hAnsi="Times New Roman" w:eastAsia="方正仿宋_GBK" w:cs="Times New Roman"/>
          <w:color w:val="auto"/>
          <w:sz w:val="32"/>
          <w:szCs w:val="32"/>
          <w:highlight w:val="none"/>
        </w:rPr>
        <w:t>全年审批资产出租100处（间），出租收益322.</w:t>
      </w:r>
      <w:r>
        <w:rPr>
          <w:rFonts w:hint="eastAsia" w:ascii="Times New Roman" w:hAnsi="Times New Roman" w:eastAsia="方正仿宋_GBK" w:cs="Times New Roman"/>
          <w:color w:val="auto"/>
          <w:sz w:val="32"/>
          <w:szCs w:val="32"/>
          <w:highlight w:val="none"/>
          <w:lang w:val="en-US" w:eastAsia="zh-CN"/>
        </w:rPr>
        <w:t>2</w:t>
      </w:r>
      <w:r>
        <w:rPr>
          <w:rFonts w:ascii="Times New Roman" w:hAnsi="Times New Roman" w:eastAsia="方正仿宋_GBK" w:cs="Times New Roman"/>
          <w:color w:val="auto"/>
          <w:sz w:val="32"/>
          <w:szCs w:val="32"/>
          <w:highlight w:val="none"/>
        </w:rPr>
        <w:t>万元。严格执行办公设备家具配置标准和车辆管理办法，全年报废车辆</w:t>
      </w:r>
      <w:r>
        <w:rPr>
          <w:rFonts w:hint="eastAsia" w:ascii="Times New Roman" w:hAnsi="Times New Roman" w:eastAsia="方正仿宋_GBK" w:cs="Times New Roman"/>
          <w:color w:val="auto"/>
          <w:sz w:val="32"/>
          <w:szCs w:val="32"/>
          <w:highlight w:val="none"/>
          <w:lang w:eastAsia="zh-CN"/>
        </w:rPr>
        <w:t>3</w:t>
      </w:r>
      <w:r>
        <w:rPr>
          <w:rFonts w:hint="eastAsia" w:ascii="Times New Roman" w:hAnsi="Times New Roman" w:eastAsia="方正仿宋_GBK" w:cs="Times New Roman"/>
          <w:color w:val="auto"/>
          <w:sz w:val="32"/>
          <w:szCs w:val="32"/>
          <w:highlight w:val="none"/>
          <w:lang w:val="en-US" w:eastAsia="zh-CN"/>
        </w:rPr>
        <w:t>9</w:t>
      </w:r>
      <w:r>
        <w:rPr>
          <w:rFonts w:ascii="Times New Roman" w:hAnsi="Times New Roman" w:eastAsia="方正仿宋_GBK" w:cs="Times New Roman"/>
          <w:color w:val="auto"/>
          <w:sz w:val="32"/>
          <w:szCs w:val="32"/>
          <w:highlight w:val="none"/>
        </w:rPr>
        <w:t>台，新增车辆</w:t>
      </w:r>
      <w:r>
        <w:rPr>
          <w:rFonts w:hint="eastAsia" w:ascii="Times New Roman" w:hAnsi="Times New Roman" w:eastAsia="方正仿宋_GBK" w:cs="Times New Roman"/>
          <w:color w:val="auto"/>
          <w:sz w:val="32"/>
          <w:szCs w:val="32"/>
          <w:highlight w:val="none"/>
          <w:lang w:eastAsia="zh-CN"/>
        </w:rPr>
        <w:t>3</w:t>
      </w:r>
      <w:r>
        <w:rPr>
          <w:rFonts w:hint="eastAsia" w:ascii="Times New Roman" w:hAnsi="Times New Roman" w:eastAsia="方正仿宋_GBK" w:cs="Times New Roman"/>
          <w:color w:val="auto"/>
          <w:sz w:val="32"/>
          <w:szCs w:val="32"/>
          <w:highlight w:val="none"/>
          <w:lang w:val="en-US" w:eastAsia="zh-CN"/>
        </w:rPr>
        <w:t>1</w:t>
      </w:r>
      <w:r>
        <w:rPr>
          <w:rFonts w:ascii="Times New Roman" w:hAnsi="Times New Roman" w:eastAsia="方正仿宋_GBK" w:cs="Times New Roman"/>
          <w:color w:val="auto"/>
          <w:sz w:val="32"/>
          <w:szCs w:val="32"/>
          <w:highlight w:val="none"/>
        </w:rPr>
        <w:t>台。</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outlineLvl w:val="9"/>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color w:val="000000"/>
          <w:sz w:val="32"/>
          <w:szCs w:val="32"/>
          <w:highlight w:val="none"/>
        </w:rPr>
        <w:t>4.压实资产管理主体责任，加强财政检查监督。</w:t>
      </w:r>
      <w:r>
        <w:rPr>
          <w:rFonts w:ascii="Times New Roman" w:hAnsi="Times New Roman" w:eastAsia="方正仿宋_GBK" w:cs="Times New Roman"/>
          <w:color w:val="000000"/>
          <w:sz w:val="32"/>
          <w:szCs w:val="32"/>
          <w:highlight w:val="none"/>
        </w:rPr>
        <w:t>切实增强资产管理主体责任意识，加强管理机构和队伍建设，落实资产使用人和管理人岗位职责，强化资产清查、登记入账、权属管理等基础工作，努力提高国有资产管理水平。</w:t>
      </w:r>
      <w:r>
        <w:rPr>
          <w:rFonts w:ascii="Times New Roman" w:hAnsi="Times New Roman" w:eastAsia="方正仿宋_GBK" w:cs="Times New Roman"/>
          <w:color w:val="auto"/>
          <w:sz w:val="32"/>
          <w:szCs w:val="32"/>
          <w:highlight w:val="none"/>
        </w:rPr>
        <w:t>重点开展行政事业单位资产出租出借情况检查，</w:t>
      </w:r>
      <w:r>
        <w:rPr>
          <w:rFonts w:hint="eastAsia" w:ascii="Times New Roman" w:hAnsi="Times New Roman" w:eastAsia="方正仿宋_GBK" w:cs="Times New Roman"/>
          <w:color w:val="auto"/>
          <w:sz w:val="32"/>
          <w:szCs w:val="32"/>
          <w:highlight w:val="none"/>
        </w:rPr>
        <w:t>检查</w:t>
      </w:r>
      <w:r>
        <w:rPr>
          <w:rFonts w:ascii="Times New Roman" w:hAnsi="Times New Roman" w:eastAsia="方正仿宋_GBK" w:cs="Times New Roman"/>
          <w:color w:val="auto"/>
          <w:sz w:val="32"/>
          <w:szCs w:val="32"/>
          <w:highlight w:val="none"/>
        </w:rPr>
        <w:t>结果纳入年度综合目标考核。</w:t>
      </w:r>
      <w:r>
        <w:rPr>
          <w:rFonts w:ascii="Times New Roman" w:hAnsi="Times New Roman" w:eastAsia="方正仿宋_GBK"/>
          <w:color w:val="auto"/>
          <w:sz w:val="32"/>
          <w:szCs w:val="32"/>
          <w:highlight w:val="none"/>
        </w:rPr>
        <w:t>全面实行国有资产信息化</w:t>
      </w:r>
      <w:r>
        <w:rPr>
          <w:rFonts w:hint="eastAsia" w:ascii="Times New Roman" w:hAnsi="Times New Roman" w:eastAsia="方正仿宋_GBK"/>
          <w:color w:val="auto"/>
          <w:sz w:val="32"/>
          <w:szCs w:val="32"/>
          <w:highlight w:val="none"/>
        </w:rPr>
        <w:t>动态监管</w:t>
      </w:r>
      <w:r>
        <w:rPr>
          <w:rFonts w:ascii="Times New Roman" w:hAnsi="Times New Roman" w:eastAsia="方正仿宋_GBK"/>
          <w:color w:val="auto"/>
          <w:sz w:val="32"/>
          <w:szCs w:val="32"/>
          <w:highlight w:val="none"/>
        </w:rPr>
        <w:t>，督促各单位及时将资产增减情况录入系统，及时调整更新</w:t>
      </w:r>
      <w:r>
        <w:rPr>
          <w:rFonts w:hint="eastAsia" w:ascii="Times New Roman" w:hAnsi="Times New Roman" w:eastAsia="方正仿宋_GBK"/>
          <w:color w:val="auto"/>
          <w:sz w:val="32"/>
          <w:szCs w:val="32"/>
          <w:highlight w:val="none"/>
        </w:rPr>
        <w:t>行政事业性</w:t>
      </w:r>
      <w:r>
        <w:rPr>
          <w:rFonts w:ascii="Times New Roman" w:hAnsi="Times New Roman" w:eastAsia="方正仿宋_GBK"/>
          <w:color w:val="auto"/>
          <w:sz w:val="32"/>
          <w:szCs w:val="32"/>
          <w:highlight w:val="none"/>
        </w:rPr>
        <w:t>资产增减</w:t>
      </w:r>
      <w:r>
        <w:rPr>
          <w:rFonts w:hint="eastAsia" w:ascii="Times New Roman" w:hAnsi="Times New Roman" w:eastAsia="方正仿宋_GBK"/>
          <w:color w:val="auto"/>
          <w:sz w:val="32"/>
          <w:szCs w:val="32"/>
          <w:highlight w:val="none"/>
        </w:rPr>
        <w:t>变化</w:t>
      </w:r>
      <w:r>
        <w:rPr>
          <w:rFonts w:ascii="Times New Roman" w:hAnsi="Times New Roman" w:eastAsia="方正仿宋_GBK"/>
          <w:color w:val="auto"/>
          <w:sz w:val="32"/>
          <w:szCs w:val="32"/>
          <w:highlight w:val="none"/>
        </w:rPr>
        <w:t>情况</w:t>
      </w:r>
      <w:r>
        <w:rPr>
          <w:rFonts w:hint="eastAsia" w:ascii="Times New Roman" w:hAnsi="Times New Roman" w:eastAsia="方正仿宋_GBK"/>
          <w:color w:val="auto"/>
          <w:sz w:val="32"/>
          <w:szCs w:val="32"/>
          <w:highlight w:val="none"/>
        </w:rPr>
        <w:t>，重点监控单价20万</w:t>
      </w:r>
      <w:r>
        <w:rPr>
          <w:rFonts w:hint="eastAsia" w:ascii="Times New Roman" w:hAnsi="Times New Roman" w:eastAsia="方正仿宋_GBK"/>
          <w:color w:val="auto"/>
          <w:sz w:val="32"/>
          <w:szCs w:val="32"/>
          <w:highlight w:val="none"/>
          <w:lang w:val="en-US" w:eastAsia="zh-CN"/>
        </w:rPr>
        <w:t>元</w:t>
      </w:r>
      <w:r>
        <w:rPr>
          <w:rFonts w:hint="eastAsia" w:ascii="Times New Roman" w:hAnsi="Times New Roman" w:eastAsia="方正仿宋_GBK"/>
          <w:color w:val="auto"/>
          <w:sz w:val="32"/>
          <w:szCs w:val="32"/>
          <w:highlight w:val="none"/>
        </w:rPr>
        <w:t>以上的固</w:t>
      </w:r>
      <w:r>
        <w:rPr>
          <w:rFonts w:hint="eastAsia" w:ascii="Times New Roman" w:hAnsi="Times New Roman" w:eastAsia="方正仿宋_GBK"/>
          <w:color w:val="auto"/>
          <w:sz w:val="32"/>
          <w:szCs w:val="32"/>
          <w:highlight w:val="none"/>
          <w:lang w:eastAsia="zh-CN"/>
        </w:rPr>
        <w:t>定</w:t>
      </w:r>
      <w:bookmarkStart w:id="0" w:name="_GoBack"/>
      <w:bookmarkEnd w:id="0"/>
      <w:r>
        <w:rPr>
          <w:rFonts w:hint="eastAsia" w:ascii="Times New Roman" w:hAnsi="Times New Roman" w:eastAsia="方正仿宋_GBK"/>
          <w:color w:val="auto"/>
          <w:sz w:val="32"/>
          <w:szCs w:val="32"/>
          <w:highlight w:val="none"/>
        </w:rPr>
        <w:t>资产</w:t>
      </w:r>
      <w:r>
        <w:rPr>
          <w:rFonts w:ascii="Times New Roman" w:hAnsi="Times New Roman"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outlineLvl w:val="9"/>
        <w:rPr>
          <w:rFonts w:ascii="Times New Roman" w:hAnsi="Times New Roman" w:eastAsia="方正仿宋_GBK"/>
          <w:color w:val="auto"/>
          <w:sz w:val="32"/>
          <w:szCs w:val="32"/>
          <w:highlight w:val="none"/>
        </w:rPr>
      </w:pPr>
      <w:r>
        <w:rPr>
          <w:rFonts w:ascii="Times New Roman" w:hAnsi="Times New Roman" w:eastAsia="方正仿宋_GBK" w:cs="Times New Roman"/>
          <w:b/>
          <w:color w:val="000000"/>
          <w:sz w:val="32"/>
          <w:szCs w:val="32"/>
          <w:highlight w:val="none"/>
        </w:rPr>
        <w:t>5.持续推进重点问题整改，落实人大审议意见。</w:t>
      </w:r>
      <w:r>
        <w:rPr>
          <w:rFonts w:hint="eastAsia" w:ascii="Times New Roman" w:hAnsi="Times New Roman" w:eastAsia="方正仿宋_GBK"/>
          <w:sz w:val="32"/>
          <w:szCs w:val="32"/>
          <w:highlight w:val="none"/>
        </w:rPr>
        <w:t>成立推动国有资产盘活工作领导小组，制定《大渡口区推动国有资产盘活工作方案》，倒排工期、集中攻坚，推动“三攻坚一盘活”改革任务落实落细落地。</w:t>
      </w:r>
      <w:r>
        <w:rPr>
          <w:rFonts w:hint="eastAsia" w:ascii="Times New Roman" w:hAnsi="Times New Roman" w:eastAsia="方正仿宋_GBK" w:cs="方正仿宋_GBK"/>
          <w:color w:val="auto"/>
          <w:sz w:val="32"/>
          <w:szCs w:val="32"/>
          <w:highlight w:val="none"/>
        </w:rPr>
        <w:t>2024年，</w:t>
      </w:r>
      <w:r>
        <w:rPr>
          <w:rFonts w:ascii="Times New Roman" w:hAnsi="Times New Roman" w:eastAsia="方正仿宋_GBK"/>
          <w:color w:val="auto"/>
          <w:sz w:val="32"/>
          <w:szCs w:val="32"/>
          <w:highlight w:val="none"/>
        </w:rPr>
        <w:t>核查行政机关办公用房30余万平方米</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统筹调剂全区办公用房分配，调整办公用房面积近1万平方米，有效保障办公用房需求。</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outlineLvl w:val="9"/>
        <w:rPr>
          <w:rFonts w:ascii="Times New Roman" w:hAnsi="Times New Roman" w:eastAsia="方正楷体_GBK" w:cs="Times New Roman"/>
          <w:kern w:val="0"/>
          <w:sz w:val="32"/>
          <w:szCs w:val="32"/>
          <w:highlight w:val="none"/>
        </w:rPr>
      </w:pPr>
      <w:r>
        <w:rPr>
          <w:rFonts w:ascii="Times New Roman" w:hAnsi="Times New Roman" w:eastAsia="方正楷体_GBK" w:cs="Times New Roman"/>
          <w:kern w:val="0"/>
          <w:sz w:val="32"/>
          <w:szCs w:val="32"/>
          <w:highlight w:val="none"/>
        </w:rPr>
        <w:t>（三）国有自然资源（资产）</w:t>
      </w:r>
    </w:p>
    <w:p>
      <w:pPr>
        <w:keepNext w:val="0"/>
        <w:keepLines w:val="0"/>
        <w:pageBreakBefore w:val="0"/>
        <w:widowControl w:val="0"/>
        <w:kinsoku/>
        <w:wordWrap/>
        <w:overflowPunct/>
        <w:topLinePunct w:val="0"/>
        <w:autoSpaceDE/>
        <w:autoSpaceDN/>
        <w:bidi w:val="0"/>
        <w:snapToGrid w:val="0"/>
        <w:spacing w:line="594" w:lineRule="exact"/>
        <w:ind w:firstLine="643" w:firstLineChars="200"/>
        <w:jc w:val="both"/>
        <w:textAlignment w:val="auto"/>
        <w:outlineLvl w:val="9"/>
        <w:rPr>
          <w:rFonts w:ascii="Times New Roman" w:hAnsi="Times New Roman" w:eastAsia="方正仿宋_GBK" w:cs="Times New Roman"/>
          <w:sz w:val="32"/>
          <w:szCs w:val="32"/>
          <w:highlight w:val="none"/>
        </w:rPr>
      </w:pPr>
      <w:r>
        <w:rPr>
          <w:rFonts w:hint="eastAsia" w:ascii="Times New Roman" w:hAnsi="Times New Roman" w:eastAsia="方正仿宋_GBK" w:cs="Times New Roman"/>
          <w:b/>
          <w:bCs/>
          <w:sz w:val="32"/>
          <w:szCs w:val="32"/>
          <w:highlight w:val="none"/>
        </w:rPr>
        <w:t>1</w:t>
      </w:r>
      <w:r>
        <w:rPr>
          <w:rFonts w:ascii="Times New Roman" w:hAnsi="Times New Roman" w:eastAsia="方正仿宋_GBK" w:cs="Times New Roman"/>
          <w:b/>
          <w:bCs/>
          <w:sz w:val="32"/>
          <w:szCs w:val="32"/>
          <w:highlight w:val="none"/>
        </w:rPr>
        <w:t>.</w:t>
      </w:r>
      <w:r>
        <w:rPr>
          <w:rFonts w:ascii="Times New Roman" w:hAnsi="Times New Roman" w:eastAsia="方正仿宋_GBK" w:cs="Times New Roman"/>
          <w:b/>
          <w:color w:val="000000"/>
          <w:sz w:val="32"/>
          <w:szCs w:val="32"/>
          <w:highlight w:val="none"/>
        </w:rPr>
        <w:t>持续优化国土空间规划。</w:t>
      </w:r>
      <w:r>
        <w:rPr>
          <w:rFonts w:ascii="Times New Roman" w:hAnsi="Times New Roman" w:eastAsia="方正仿宋_GBK" w:cs="Times New Roman"/>
          <w:sz w:val="32"/>
          <w:szCs w:val="32"/>
          <w:highlight w:val="none"/>
        </w:rPr>
        <w:t>三区三线划定成果及城镇开发边界局部优化方案已经自然资源部审查通过，大渡口区国土空间分区规划已获市政府批复。</w:t>
      </w:r>
    </w:p>
    <w:p>
      <w:pPr>
        <w:keepNext w:val="0"/>
        <w:keepLines w:val="0"/>
        <w:pageBreakBefore w:val="0"/>
        <w:widowControl w:val="0"/>
        <w:kinsoku/>
        <w:wordWrap/>
        <w:overflowPunct/>
        <w:topLinePunct w:val="0"/>
        <w:autoSpaceDE/>
        <w:autoSpaceDN/>
        <w:bidi w:val="0"/>
        <w:snapToGrid w:val="0"/>
        <w:spacing w:line="594" w:lineRule="exact"/>
        <w:ind w:firstLine="643" w:firstLineChars="200"/>
        <w:jc w:val="both"/>
        <w:textAlignment w:val="auto"/>
        <w:outlineLvl w:val="9"/>
        <w:rPr>
          <w:rFonts w:ascii="Times New Roman" w:hAnsi="Times New Roman" w:eastAsia="方正仿宋_GBK" w:cs="Times New Roman"/>
          <w:sz w:val="32"/>
          <w:szCs w:val="32"/>
          <w:highlight w:val="none"/>
        </w:rPr>
      </w:pPr>
      <w:r>
        <w:rPr>
          <w:rFonts w:hint="eastAsia" w:ascii="Times New Roman" w:hAnsi="Times New Roman" w:eastAsia="方正仿宋_GBK" w:cs="Times New Roman"/>
          <w:b/>
          <w:color w:val="000000"/>
          <w:sz w:val="32"/>
          <w:szCs w:val="32"/>
          <w:highlight w:val="none"/>
        </w:rPr>
        <w:t>2</w:t>
      </w:r>
      <w:r>
        <w:rPr>
          <w:rFonts w:ascii="Times New Roman" w:hAnsi="Times New Roman" w:eastAsia="方正仿宋_GBK" w:cs="Times New Roman"/>
          <w:b/>
          <w:color w:val="000000"/>
          <w:sz w:val="32"/>
          <w:szCs w:val="32"/>
          <w:highlight w:val="none"/>
        </w:rPr>
        <w:t>.提升自然资源资产效益。</w:t>
      </w:r>
      <w:r>
        <w:rPr>
          <w:rFonts w:ascii="Times New Roman" w:hAnsi="Times New Roman" w:eastAsia="方正仿宋_GBK" w:cs="Times New Roman"/>
          <w:sz w:val="32"/>
          <w:szCs w:val="32"/>
          <w:highlight w:val="none"/>
        </w:rPr>
        <w:t>全年通过出让土地、河道</w:t>
      </w:r>
      <w:r>
        <w:rPr>
          <w:rFonts w:ascii="Times New Roman" w:hAnsi="Times New Roman" w:eastAsia="方正仿宋_GBK" w:cs="Times New Roman"/>
          <w:color w:val="000000"/>
          <w:sz w:val="32"/>
          <w:szCs w:val="32"/>
          <w:highlight w:val="none"/>
        </w:rPr>
        <w:t>疏浚及清淤资源盘活、</w:t>
      </w:r>
      <w:r>
        <w:rPr>
          <w:rFonts w:ascii="Times New Roman" w:hAnsi="Times New Roman" w:eastAsia="方正仿宋_GBK" w:cs="Times New Roman"/>
          <w:sz w:val="32"/>
          <w:szCs w:val="32"/>
          <w:highlight w:val="none"/>
        </w:rPr>
        <w:t>征收水资源费等方式实现自然资源有偿使用；完成林地、草地、园地分等定级及基准地价制定工作。</w:t>
      </w:r>
    </w:p>
    <w:p>
      <w:pPr>
        <w:keepNext w:val="0"/>
        <w:keepLines w:val="0"/>
        <w:pageBreakBefore w:val="0"/>
        <w:widowControl w:val="0"/>
        <w:kinsoku/>
        <w:wordWrap/>
        <w:overflowPunct/>
        <w:topLinePunct w:val="0"/>
        <w:autoSpaceDE/>
        <w:autoSpaceDN/>
        <w:bidi w:val="0"/>
        <w:snapToGrid w:val="0"/>
        <w:spacing w:line="594" w:lineRule="exact"/>
        <w:ind w:firstLine="643" w:firstLineChars="200"/>
        <w:jc w:val="both"/>
        <w:textAlignment w:val="auto"/>
        <w:outlineLvl w:val="9"/>
        <w:rPr>
          <w:rFonts w:ascii="Times New Roman" w:hAnsi="Times New Roman" w:eastAsia="方正仿宋_GBK" w:cs="Times New Roman"/>
          <w:sz w:val="32"/>
          <w:szCs w:val="32"/>
          <w:highlight w:val="none"/>
        </w:rPr>
      </w:pPr>
      <w:r>
        <w:rPr>
          <w:rFonts w:hint="eastAsia" w:ascii="Times New Roman" w:hAnsi="Times New Roman" w:eastAsia="方正仿宋_GBK" w:cs="Times New Roman"/>
          <w:b/>
          <w:color w:val="000000"/>
          <w:sz w:val="32"/>
          <w:szCs w:val="32"/>
          <w:highlight w:val="none"/>
        </w:rPr>
        <w:t>3</w:t>
      </w:r>
      <w:r>
        <w:rPr>
          <w:rFonts w:ascii="Times New Roman" w:hAnsi="Times New Roman" w:eastAsia="方正仿宋_GBK" w:cs="Times New Roman"/>
          <w:b/>
          <w:color w:val="000000"/>
          <w:sz w:val="32"/>
          <w:szCs w:val="32"/>
          <w:highlight w:val="none"/>
        </w:rPr>
        <w:t>.强化规划和自然资源基础保障。</w:t>
      </w:r>
      <w:r>
        <w:rPr>
          <w:rFonts w:ascii="Times New Roman" w:hAnsi="Times New Roman" w:eastAsia="方正仿宋_GBK" w:cs="Times New Roman"/>
          <w:sz w:val="32"/>
          <w:szCs w:val="32"/>
          <w:highlight w:val="none"/>
        </w:rPr>
        <w:t>2023年</w:t>
      </w:r>
      <w:r>
        <w:rPr>
          <w:rFonts w:ascii="方正仿宋_GBK" w:hAnsi="方正仿宋_GBK" w:eastAsia="方正仿宋_GBK" w:cs="方正仿宋_GBK"/>
          <w:sz w:val="32"/>
          <w:szCs w:val="32"/>
          <w:highlight w:val="none"/>
        </w:rPr>
        <w:t>“</w:t>
      </w:r>
      <w:r>
        <w:rPr>
          <w:rFonts w:ascii="Times New Roman" w:hAnsi="Times New Roman" w:eastAsia="方正仿宋_GBK" w:cs="Times New Roman"/>
          <w:color w:val="000000"/>
          <w:sz w:val="32"/>
          <w:szCs w:val="32"/>
          <w:highlight w:val="none"/>
        </w:rPr>
        <w:t>增存挂钩</w:t>
      </w:r>
      <w:r>
        <w:rPr>
          <w:rFonts w:ascii="方正仿宋_GBK" w:hAnsi="方正仿宋_GBK" w:eastAsia="方正仿宋_GBK" w:cs="方正仿宋_GBK"/>
          <w:sz w:val="32"/>
          <w:szCs w:val="32"/>
          <w:highlight w:val="none"/>
        </w:rPr>
        <w:t>”</w:t>
      </w:r>
      <w:r>
        <w:rPr>
          <w:rFonts w:ascii="Times New Roman" w:hAnsi="Times New Roman" w:eastAsia="方正仿宋_GBK" w:cs="Times New Roman"/>
          <w:color w:val="000000"/>
          <w:sz w:val="32"/>
          <w:szCs w:val="32"/>
          <w:highlight w:val="none"/>
        </w:rPr>
        <w:t>闲置土地处置及批而未供工作均顺利完成处置任务。全力保障成渝铁路改造等市区级重点项目用地。积极推进民生工程，提升城市品质，保障道路、学校</w:t>
      </w:r>
      <w:r>
        <w:rPr>
          <w:rFonts w:ascii="Times New Roman" w:hAnsi="Times New Roman" w:eastAsia="方正仿宋_GBK" w:cs="Times New Roman"/>
          <w:sz w:val="32"/>
          <w:szCs w:val="32"/>
          <w:highlight w:val="none"/>
        </w:rPr>
        <w:t>等基础设施用地。</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outlineLvl w:val="9"/>
        <w:rPr>
          <w:rFonts w:ascii="Times New Roman" w:hAnsi="Times New Roman" w:eastAsia="方正仿宋_GBK" w:cs="Times New Roman"/>
          <w:sz w:val="32"/>
          <w:szCs w:val="32"/>
          <w:highlight w:val="none"/>
        </w:rPr>
      </w:pPr>
      <w:r>
        <w:rPr>
          <w:rFonts w:hint="eastAsia" w:ascii="Times New Roman" w:hAnsi="Times New Roman" w:eastAsia="方正仿宋_GBK" w:cs="Times New Roman"/>
          <w:b/>
          <w:color w:val="000000"/>
          <w:sz w:val="32"/>
          <w:szCs w:val="32"/>
          <w:highlight w:val="none"/>
        </w:rPr>
        <w:t>4</w:t>
      </w:r>
      <w:r>
        <w:rPr>
          <w:rFonts w:ascii="Times New Roman" w:hAnsi="Times New Roman" w:eastAsia="方正仿宋_GBK" w:cs="Times New Roman"/>
          <w:b/>
          <w:color w:val="000000"/>
          <w:sz w:val="32"/>
          <w:szCs w:val="32"/>
          <w:highlight w:val="none"/>
        </w:rPr>
        <w:t>.统筹山水林田湖草保护修复。</w:t>
      </w:r>
      <w:r>
        <w:rPr>
          <w:rFonts w:ascii="Times New Roman" w:hAnsi="Times New Roman" w:eastAsia="方正仿宋_GBK" w:cs="Times New Roman"/>
          <w:sz w:val="32"/>
          <w:szCs w:val="32"/>
          <w:highlight w:val="none"/>
        </w:rPr>
        <w:t>严格落实耕地保护目标责任制，推进历史遗留和关闭矿山生态修复，基本摸清全区历史遗留和关闭矿山生态本底，创立了以小南海水泥厂</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rPr>
        <w:t>油坊石灰石矿为代表的“企业义务做本底，社会参与绘蓝图”的生态修复创新模式并在全市推广。积极推进林长制试点，建立林长巡查制度和网格护林员制度。</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outlineLvl w:val="9"/>
        <w:rPr>
          <w:rFonts w:ascii="Times New Roman" w:hAnsi="Times New Roman" w:eastAsia="方正仿宋_GBK" w:cs="Times New Roman"/>
          <w:sz w:val="32"/>
          <w:szCs w:val="32"/>
          <w:highlight w:val="none"/>
        </w:rPr>
      </w:pPr>
      <w:r>
        <w:rPr>
          <w:rFonts w:hint="eastAsia" w:ascii="Times New Roman" w:hAnsi="Times New Roman" w:eastAsia="方正仿宋_GBK" w:cs="Times New Roman"/>
          <w:b/>
          <w:color w:val="000000"/>
          <w:sz w:val="32"/>
          <w:szCs w:val="32"/>
          <w:highlight w:val="none"/>
        </w:rPr>
        <w:t>5</w:t>
      </w:r>
      <w:r>
        <w:rPr>
          <w:rFonts w:ascii="Times New Roman" w:hAnsi="Times New Roman" w:eastAsia="方正仿宋_GBK" w:cs="Times New Roman"/>
          <w:b/>
          <w:color w:val="000000"/>
          <w:sz w:val="32"/>
          <w:szCs w:val="32"/>
          <w:highlight w:val="none"/>
        </w:rPr>
        <w:t>.加强自然资源执法监督</w:t>
      </w:r>
      <w:r>
        <w:rPr>
          <w:rFonts w:hint="eastAsia" w:ascii="Times New Roman" w:hAnsi="Times New Roman" w:eastAsia="方正仿宋_GBK" w:cs="Times New Roman"/>
          <w:b/>
          <w:color w:val="000000"/>
          <w:sz w:val="32"/>
          <w:szCs w:val="32"/>
          <w:highlight w:val="none"/>
        </w:rPr>
        <w:t>检查</w:t>
      </w:r>
      <w:r>
        <w:rPr>
          <w:rFonts w:ascii="Times New Roman" w:hAnsi="Times New Roman" w:eastAsia="方正仿宋_GBK" w:cs="Times New Roman"/>
          <w:b/>
          <w:color w:val="000000"/>
          <w:sz w:val="32"/>
          <w:szCs w:val="32"/>
          <w:highlight w:val="none"/>
        </w:rPr>
        <w:t>。</w:t>
      </w:r>
      <w:r>
        <w:rPr>
          <w:rFonts w:ascii="Times New Roman" w:hAnsi="Times New Roman" w:eastAsia="方正仿宋_GBK" w:cs="Times New Roman"/>
          <w:sz w:val="32"/>
          <w:szCs w:val="32"/>
          <w:highlight w:val="none"/>
        </w:rPr>
        <w:t>坚决制止耕地</w:t>
      </w:r>
      <w:r>
        <w:rPr>
          <w:rFonts w:ascii="方正仿宋_GBK" w:hAnsi="方正仿宋_GBK" w:eastAsia="方正仿宋_GBK" w:cs="方正仿宋_GBK"/>
          <w:sz w:val="32"/>
          <w:szCs w:val="32"/>
          <w:highlight w:val="none"/>
        </w:rPr>
        <w:t>“</w:t>
      </w:r>
      <w:r>
        <w:rPr>
          <w:rFonts w:ascii="Times New Roman" w:hAnsi="Times New Roman" w:eastAsia="方正仿宋_GBK" w:cs="Times New Roman"/>
          <w:sz w:val="32"/>
          <w:szCs w:val="32"/>
          <w:highlight w:val="none"/>
        </w:rPr>
        <w:t>非农化</w:t>
      </w:r>
      <w:r>
        <w:rPr>
          <w:rFonts w:ascii="方正仿宋_GBK" w:hAnsi="方正仿宋_GBK" w:eastAsia="方正仿宋_GBK" w:cs="方正仿宋_GBK"/>
          <w:sz w:val="32"/>
          <w:szCs w:val="32"/>
          <w:highlight w:val="none"/>
        </w:rPr>
        <w:t>”</w:t>
      </w:r>
      <w:r>
        <w:rPr>
          <w:rFonts w:ascii="Times New Roman" w:hAnsi="Times New Roman" w:eastAsia="方正仿宋_GBK" w:cs="Times New Roman"/>
          <w:sz w:val="32"/>
          <w:szCs w:val="32"/>
          <w:highlight w:val="none"/>
        </w:rPr>
        <w:t>行为，制止辖区农村乱占耕地建房行为、开展卫片执法、</w:t>
      </w:r>
      <w:r>
        <w:rPr>
          <w:rFonts w:ascii="方正仿宋_GBK" w:hAnsi="方正仿宋_GBK" w:eastAsia="方正仿宋_GBK" w:cs="方正仿宋_GBK"/>
          <w:sz w:val="32"/>
          <w:szCs w:val="32"/>
          <w:highlight w:val="none"/>
        </w:rPr>
        <w:t>“</w:t>
      </w:r>
      <w:r>
        <w:rPr>
          <w:rFonts w:ascii="Times New Roman" w:hAnsi="Times New Roman" w:eastAsia="方正仿宋_GBK" w:cs="Times New Roman"/>
          <w:sz w:val="32"/>
          <w:szCs w:val="32"/>
          <w:highlight w:val="none"/>
        </w:rPr>
        <w:t>四山</w:t>
      </w:r>
      <w:r>
        <w:rPr>
          <w:rFonts w:ascii="方正仿宋_GBK" w:hAnsi="方正仿宋_GBK" w:eastAsia="方正仿宋_GBK" w:cs="方正仿宋_GBK"/>
          <w:sz w:val="32"/>
          <w:szCs w:val="32"/>
          <w:highlight w:val="none"/>
        </w:rPr>
        <w:t>”</w:t>
      </w:r>
      <w:r>
        <w:rPr>
          <w:rFonts w:ascii="Times New Roman" w:hAnsi="Times New Roman" w:eastAsia="方正仿宋_GBK" w:cs="Times New Roman"/>
          <w:sz w:val="32"/>
          <w:szCs w:val="32"/>
          <w:highlight w:val="none"/>
        </w:rPr>
        <w:t>违法建筑整治、动态巡查等工作，落实耕地保有量目标。制定并印发巡查计划和工作方案，加强矿山</w:t>
      </w:r>
      <w:r>
        <w:rPr>
          <w:rFonts w:ascii="方正仿宋_GBK" w:hAnsi="方正仿宋_GBK" w:eastAsia="方正仿宋_GBK" w:cs="方正仿宋_GBK"/>
          <w:sz w:val="32"/>
          <w:szCs w:val="32"/>
          <w:highlight w:val="none"/>
        </w:rPr>
        <w:t>“</w:t>
      </w:r>
      <w:r>
        <w:rPr>
          <w:rFonts w:ascii="Times New Roman" w:hAnsi="Times New Roman" w:eastAsia="方正仿宋_GBK" w:cs="Times New Roman"/>
          <w:sz w:val="32"/>
          <w:szCs w:val="32"/>
          <w:highlight w:val="none"/>
        </w:rPr>
        <w:t>打非治违</w:t>
      </w:r>
      <w:r>
        <w:rPr>
          <w:rFonts w:ascii="方正仿宋_GBK" w:hAnsi="方正仿宋_GBK" w:eastAsia="方正仿宋_GBK" w:cs="方正仿宋_GBK"/>
          <w:sz w:val="32"/>
          <w:szCs w:val="32"/>
          <w:highlight w:val="none"/>
        </w:rPr>
        <w:t>”</w:t>
      </w:r>
      <w:r>
        <w:rPr>
          <w:rFonts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outlineLvl w:val="9"/>
        <w:rPr>
          <w:rFonts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lang w:val="en-US" w:eastAsia="zh-CN"/>
        </w:rPr>
        <w:t>三</w:t>
      </w:r>
      <w:r>
        <w:rPr>
          <w:rFonts w:ascii="Times New Roman" w:hAnsi="Times New Roman" w:eastAsia="方正黑体_GBK" w:cs="Times New Roman"/>
          <w:sz w:val="32"/>
          <w:szCs w:val="32"/>
          <w:highlight w:val="none"/>
        </w:rPr>
        <w:t>、下一步工作重点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Times New Roman" w:hAnsi="Times New Roman" w:eastAsia="方正仿宋_GBK" w:cs="Times New Roman"/>
          <w:bCs/>
          <w:sz w:val="32"/>
          <w:szCs w:val="32"/>
          <w:highlight w:val="none"/>
        </w:rPr>
      </w:pPr>
      <w:r>
        <w:rPr>
          <w:rFonts w:hint="eastAsia" w:ascii="方正楷体_GBK" w:hAnsi="方正楷体_GBK" w:eastAsia="方正楷体_GBK" w:cs="方正楷体_GBK"/>
          <w:bCs/>
          <w:sz w:val="32"/>
          <w:szCs w:val="32"/>
          <w:highlight w:val="none"/>
        </w:rPr>
        <w:t>（一）</w:t>
      </w:r>
      <w:r>
        <w:rPr>
          <w:rFonts w:hint="eastAsia" w:ascii="方正楷体_GBK" w:hAnsi="方正楷体_GBK" w:eastAsia="方正楷体_GBK" w:cs="方正楷体_GBK"/>
          <w:sz w:val="32"/>
          <w:szCs w:val="32"/>
          <w:highlight w:val="none"/>
        </w:rPr>
        <w:t>深入推进国资国</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企改革</w:t>
      </w:r>
      <w:r>
        <w:rPr>
          <w:rFonts w:hint="eastAsia" w:ascii="方正楷体_GBK" w:hAnsi="方正楷体_GBK" w:eastAsia="方正楷体_GBK" w:cs="方正楷体_GBK"/>
          <w:bCs/>
          <w:color w:val="000000" w:themeColor="text1"/>
          <w:sz w:val="32"/>
          <w:szCs w:val="32"/>
          <w:highlight w:val="none"/>
          <w14:textFill>
            <w14:solidFill>
              <w14:schemeClr w14:val="tx1"/>
            </w14:solidFill>
          </w14:textFill>
        </w:rPr>
        <w:t>。</w:t>
      </w:r>
      <w:r>
        <w:rPr>
          <w:rFonts w:ascii="Times New Roman" w:hAnsi="Times New Roman" w:eastAsia="方正仿宋_GBK" w:cs="Times New Roman"/>
          <w:b/>
          <w:bCs/>
          <w:color w:val="000000" w:themeColor="text1"/>
          <w:sz w:val="32"/>
          <w:szCs w:val="32"/>
          <w:highlight w:val="none"/>
          <w14:textFill>
            <w14:solidFill>
              <w14:schemeClr w14:val="tx1"/>
            </w14:solidFill>
          </w14:textFill>
        </w:rPr>
        <w:t>一是打赢国企改革攻坚战。</w:t>
      </w:r>
      <w:r>
        <w:rPr>
          <w:rFonts w:hint="eastAsia" w:ascii="Times New Roman" w:hAnsi="Times New Roman" w:eastAsia="方正仿宋_GBK" w:cs="Times New Roman"/>
          <w:b w:val="0"/>
          <w:bCs w:val="0"/>
          <w:color w:val="000000" w:themeColor="text1"/>
          <w:kern w:val="2"/>
          <w:sz w:val="32"/>
          <w:szCs w:val="32"/>
          <w:highlight w:val="none"/>
          <w:lang w:val="en-US" w:eastAsia="zh-CN"/>
          <w14:textFill>
            <w14:solidFill>
              <w14:schemeClr w14:val="tx1"/>
            </w14:solidFill>
          </w14:textFill>
        </w:rPr>
        <w:t>加强对原有国企的注销工作督促调度，及时掌握企业注销难点问题，</w:t>
      </w:r>
      <w:r>
        <w:rPr>
          <w:rFonts w:hint="eastAsia" w:ascii="Times New Roman" w:hAnsi="Times New Roman" w:eastAsia="方正仿宋_GBK" w:cs="Times New Roman"/>
          <w:b w:val="0"/>
          <w:bCs w:val="0"/>
          <w:kern w:val="2"/>
          <w:sz w:val="32"/>
          <w:szCs w:val="32"/>
          <w:lang w:val="en-US" w:eastAsia="zh-CN"/>
        </w:rPr>
        <w:t>加快完成长期亏损国有企业“止损”“瘦身”</w:t>
      </w:r>
      <w:r>
        <w:rPr>
          <w:rFonts w:hint="eastAsia" w:ascii="Times New Roman" w:hAnsi="Times New Roman" w:eastAsia="方正仿宋_GBK" w:cs="Times New Roman"/>
          <w:b w:val="0"/>
          <w:bCs w:val="0"/>
          <w:color w:val="000000" w:themeColor="text1"/>
          <w:kern w:val="2"/>
          <w:sz w:val="32"/>
          <w:szCs w:val="32"/>
          <w:highlight w:val="none"/>
          <w:lang w:val="en-US" w:eastAsia="zh-CN"/>
          <w14:textFill>
            <w14:solidFill>
              <w14:schemeClr w14:val="tx1"/>
            </w14:solidFill>
          </w14:textFill>
        </w:rPr>
        <w:t>。</w:t>
      </w:r>
      <w:r>
        <w:rPr>
          <w:rFonts w:ascii="Times New Roman" w:hAnsi="Times New Roman" w:eastAsia="方正仿宋_GBK" w:cs="Times New Roman"/>
          <w:color w:val="000000" w:themeColor="text1"/>
          <w:sz w:val="32"/>
          <w:szCs w:val="32"/>
          <w:highlight w:val="none"/>
          <w14:textFill>
            <w14:solidFill>
              <w14:schemeClr w14:val="tx1"/>
            </w14:solidFill>
          </w14:textFill>
        </w:rPr>
        <w:t>压实一级企业主体责任，以</w:t>
      </w:r>
      <w:r>
        <w:rPr>
          <w:rFonts w:ascii="方正仿宋_GBK" w:hAnsi="方正仿宋_GBK" w:eastAsia="方正仿宋_GBK" w:cs="方正仿宋_GBK"/>
          <w:color w:val="000000" w:themeColor="text1"/>
          <w:sz w:val="32"/>
          <w:szCs w:val="32"/>
          <w:highlight w:val="none"/>
          <w14:textFill>
            <w14:solidFill>
              <w14:schemeClr w14:val="tx1"/>
            </w14:solidFill>
          </w14:textFill>
        </w:rPr>
        <w:t>“</w:t>
      </w:r>
      <w:r>
        <w:rPr>
          <w:rFonts w:ascii="Times New Roman" w:hAnsi="Times New Roman" w:eastAsia="方正仿宋_GBK" w:cs="Times New Roman"/>
          <w:color w:val="000000" w:themeColor="text1"/>
          <w:sz w:val="32"/>
          <w:szCs w:val="32"/>
          <w:highlight w:val="none"/>
          <w14:textFill>
            <w14:solidFill>
              <w14:schemeClr w14:val="tx1"/>
            </w14:solidFill>
          </w14:textFill>
        </w:rPr>
        <w:t>一企一策</w:t>
      </w:r>
      <w:r>
        <w:rPr>
          <w:rFonts w:ascii="方正仿宋_GBK" w:hAnsi="方正仿宋_GBK" w:eastAsia="方正仿宋_GBK" w:cs="方正仿宋_GBK"/>
          <w:color w:val="000000" w:themeColor="text1"/>
          <w:sz w:val="32"/>
          <w:szCs w:val="32"/>
          <w:highlight w:val="none"/>
          <w14:textFill>
            <w14:solidFill>
              <w14:schemeClr w14:val="tx1"/>
            </w14:solidFill>
          </w14:textFill>
        </w:rPr>
        <w:t>”</w:t>
      </w:r>
      <w:r>
        <w:rPr>
          <w:rFonts w:ascii="Times New Roman" w:hAnsi="Times New Roman" w:eastAsia="方正仿宋_GBK" w:cs="Times New Roman"/>
          <w:color w:val="000000" w:themeColor="text1"/>
          <w:sz w:val="32"/>
          <w:szCs w:val="32"/>
          <w:highlight w:val="none"/>
          <w14:textFill>
            <w14:solidFill>
              <w14:schemeClr w14:val="tx1"/>
            </w14:solidFill>
          </w14:textFill>
        </w:rPr>
        <w:t>推动亏损企业找准出血点，找到盈利点，确保完成全年亏损企业减亏扭亏目标。</w:t>
      </w:r>
      <w:r>
        <w:rPr>
          <w:rFonts w:ascii="Times New Roman" w:hAnsi="Times New Roman" w:eastAsia="方正仿宋_GBK" w:cs="Times New Roman"/>
          <w:b/>
          <w:bCs/>
          <w:color w:val="000000" w:themeColor="text1"/>
          <w:sz w:val="32"/>
          <w:szCs w:val="32"/>
          <w:highlight w:val="none"/>
          <w14:textFill>
            <w14:solidFill>
              <w14:schemeClr w14:val="tx1"/>
            </w14:solidFill>
          </w14:textFill>
        </w:rPr>
        <w:t>二是推进</w:t>
      </w:r>
      <w:r>
        <w:rPr>
          <w:rFonts w:ascii="方正仿宋_GBK" w:hAnsi="方正仿宋_GBK" w:eastAsia="方正仿宋_GBK" w:cs="方正仿宋_GBK"/>
          <w:b/>
          <w:bCs/>
          <w:color w:val="000000" w:themeColor="text1"/>
          <w:sz w:val="32"/>
          <w:szCs w:val="32"/>
          <w:highlight w:val="none"/>
          <w14:textFill>
            <w14:solidFill>
              <w14:schemeClr w14:val="tx1"/>
            </w14:solidFill>
          </w14:textFill>
        </w:rPr>
        <w:t>“</w:t>
      </w:r>
      <w:r>
        <w:rPr>
          <w:rFonts w:ascii="Times New Roman" w:hAnsi="Times New Roman" w:eastAsia="方正仿宋_GBK" w:cs="Times New Roman"/>
          <w:b/>
          <w:bCs/>
          <w:color w:val="000000" w:themeColor="text1"/>
          <w:sz w:val="32"/>
          <w:szCs w:val="32"/>
          <w:highlight w:val="none"/>
          <w14:textFill>
            <w14:solidFill>
              <w14:schemeClr w14:val="tx1"/>
            </w14:solidFill>
          </w14:textFill>
        </w:rPr>
        <w:t>三资</w:t>
      </w:r>
      <w:r>
        <w:rPr>
          <w:rFonts w:ascii="方正仿宋_GBK" w:hAnsi="方正仿宋_GBK" w:eastAsia="方正仿宋_GBK" w:cs="方正仿宋_GBK"/>
          <w:b/>
          <w:bCs/>
          <w:color w:val="000000" w:themeColor="text1"/>
          <w:sz w:val="32"/>
          <w:szCs w:val="32"/>
          <w:highlight w:val="none"/>
          <w14:textFill>
            <w14:solidFill>
              <w14:schemeClr w14:val="tx1"/>
            </w14:solidFill>
          </w14:textFill>
        </w:rPr>
        <w:t>”</w:t>
      </w:r>
      <w:r>
        <w:rPr>
          <w:rFonts w:ascii="Times New Roman" w:hAnsi="Times New Roman" w:eastAsia="方正仿宋_GBK" w:cs="Times New Roman"/>
          <w:b/>
          <w:bCs/>
          <w:color w:val="000000" w:themeColor="text1"/>
          <w:sz w:val="32"/>
          <w:szCs w:val="32"/>
          <w:highlight w:val="none"/>
          <w14:textFill>
            <w14:solidFill>
              <w14:schemeClr w14:val="tx1"/>
            </w14:solidFill>
          </w14:textFill>
        </w:rPr>
        <w:t>盘活利用。</w:t>
      </w:r>
      <w:r>
        <w:rPr>
          <w:rFonts w:ascii="Times New Roman" w:hAnsi="Times New Roman" w:eastAsia="方正仿宋_GBK" w:cs="Times New Roman"/>
          <w:color w:val="000000" w:themeColor="text1"/>
          <w:sz w:val="32"/>
          <w:szCs w:val="32"/>
          <w:highlight w:val="none"/>
          <w14:textFill>
            <w14:solidFill>
              <w14:schemeClr w14:val="tx1"/>
            </w14:solidFill>
          </w14:textFill>
        </w:rPr>
        <w:t>梳理区属国有企业不具备竞争优势、缺乏发展潜力的非主营业务（企业）和低效无效资产，清理退出长期不分红和长期亏损的参股股权。通过努力盘活低效资产、加大闲置资产</w:t>
      </w:r>
      <w:r>
        <w:rPr>
          <w:rFonts w:ascii="Times New Roman" w:hAnsi="Times New Roman" w:eastAsia="方正仿宋_GBK" w:cs="Times New Roman"/>
          <w:sz w:val="32"/>
          <w:szCs w:val="32"/>
          <w:highlight w:val="none"/>
        </w:rPr>
        <w:t>处置力度、创新资产经营模式、提高资产经营效益等方式，增加公司经营收入，提高国有资本经营预算收入水平。</w:t>
      </w:r>
      <w:r>
        <w:rPr>
          <w:rFonts w:ascii="Times New Roman" w:hAnsi="Times New Roman" w:eastAsia="方正仿宋_GBK" w:cs="Times New Roman"/>
          <w:b/>
          <w:bCs/>
          <w:sz w:val="32"/>
          <w:szCs w:val="32"/>
          <w:highlight w:val="none"/>
        </w:rPr>
        <w:t>三是加强</w:t>
      </w:r>
      <w:r>
        <w:rPr>
          <w:rFonts w:hint="eastAsia" w:ascii="Times New Roman" w:hAnsi="Times New Roman" w:eastAsia="方正仿宋_GBK" w:cs="Times New Roman"/>
          <w:b/>
          <w:bCs/>
          <w:sz w:val="32"/>
          <w:szCs w:val="32"/>
          <w:highlight w:val="none"/>
          <w:lang w:eastAsia="zh-CN"/>
        </w:rPr>
        <w:t>国资国企监管力度</w:t>
      </w:r>
      <w:r>
        <w:rPr>
          <w:rFonts w:ascii="Times New Roman" w:hAnsi="Times New Roman" w:eastAsia="方正仿宋_GBK" w:cs="Times New Roman"/>
          <w:b/>
          <w:bCs/>
          <w:sz w:val="32"/>
          <w:szCs w:val="32"/>
          <w:highlight w:val="none"/>
        </w:rPr>
        <w:t>。</w:t>
      </w:r>
      <w:r>
        <w:rPr>
          <w:rFonts w:hint="eastAsia" w:ascii="Times New Roman" w:hAnsi="Times New Roman" w:eastAsia="方正仿宋_GBK" w:cs="Times New Roman"/>
          <w:b w:val="0"/>
          <w:bCs w:val="0"/>
          <w:kern w:val="2"/>
          <w:sz w:val="32"/>
          <w:szCs w:val="32"/>
          <w:lang w:val="en-US" w:eastAsia="zh-CN"/>
        </w:rPr>
        <w:t>聚焦管资本深化国资监管机构职能转变，围绕管好资本布局、规范资本运作、提高资本回报、维护资本安全等重点，优化国资监管机构监管职责和工作内容。建立国资监管责任约谈工作规则、重大事项报告审批制度。坚持横向联动、同向发力，提升国资监管效能</w:t>
      </w:r>
      <w:r>
        <w:rPr>
          <w:rFonts w:ascii="Times New Roman" w:hAnsi="Times New Roman" w:eastAsia="方正仿宋_GBK" w:cs="Times New Roman"/>
          <w:sz w:val="32"/>
          <w:szCs w:val="32"/>
          <w:highlight w:val="none"/>
        </w:rPr>
        <w:t>。</w:t>
      </w:r>
    </w:p>
    <w:p>
      <w:pPr>
        <w:pStyle w:val="5"/>
        <w:keepNext w:val="0"/>
        <w:keepLines w:val="0"/>
        <w:pageBreakBefore w:val="0"/>
        <w:widowControl w:val="0"/>
        <w:kinsoku/>
        <w:wordWrap/>
        <w:overflowPunct/>
        <w:topLinePunct w:val="0"/>
        <w:autoSpaceDE/>
        <w:autoSpaceDN/>
        <w:bidi w:val="0"/>
        <w:snapToGrid w:val="0"/>
        <w:spacing w:line="594" w:lineRule="exact"/>
        <w:ind w:firstLine="640" w:firstLineChars="200"/>
        <w:jc w:val="both"/>
        <w:textAlignment w:val="auto"/>
        <w:outlineLvl w:val="9"/>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楷体_GBK" w:cs="Times New Roman"/>
          <w:sz w:val="32"/>
          <w:szCs w:val="32"/>
          <w:highlight w:val="none"/>
        </w:rPr>
        <w:t>（二）稳步推</w:t>
      </w:r>
      <w:r>
        <w:rPr>
          <w:rFonts w:ascii="Times New Roman" w:hAnsi="Times New Roman" w:eastAsia="方正楷体_GBK" w:cs="Times New Roman"/>
          <w:sz w:val="32"/>
          <w:szCs w:val="32"/>
          <w:highlight w:val="none"/>
        </w:rPr>
        <w:t>进</w:t>
      </w:r>
      <w:r>
        <w:rPr>
          <w:rFonts w:hint="eastAsia" w:ascii="Times New Roman" w:hAnsi="Times New Roman" w:eastAsia="方正楷体_GBK" w:cs="Times New Roman"/>
          <w:sz w:val="32"/>
          <w:szCs w:val="32"/>
          <w:highlight w:val="none"/>
        </w:rPr>
        <w:t>行政事</w:t>
      </w:r>
      <w:r>
        <w:rPr>
          <w:rFonts w:hint="eastAsia" w:ascii="Times New Roman" w:hAnsi="Times New Roman" w:eastAsia="方正楷体_GBK" w:cs="Times New Roman"/>
          <w:sz w:val="32"/>
          <w:szCs w:val="32"/>
          <w:highlight w:val="none"/>
          <w:lang w:val="en-US" w:eastAsia="zh-CN"/>
        </w:rPr>
        <w:t>业</w:t>
      </w:r>
      <w:r>
        <w:rPr>
          <w:rFonts w:hint="eastAsia" w:ascii="Times New Roman" w:hAnsi="Times New Roman" w:eastAsia="方正楷体_GBK" w:cs="Times New Roman"/>
          <w:sz w:val="32"/>
          <w:szCs w:val="32"/>
          <w:highlight w:val="none"/>
        </w:rPr>
        <w:t>性</w:t>
      </w:r>
      <w:r>
        <w:rPr>
          <w:rFonts w:ascii="Times New Roman" w:hAnsi="Times New Roman" w:eastAsia="方正楷体_GBK" w:cs="Times New Roman"/>
          <w:sz w:val="32"/>
          <w:szCs w:val="32"/>
          <w:highlight w:val="none"/>
        </w:rPr>
        <w:t>资产</w:t>
      </w:r>
      <w:r>
        <w:rPr>
          <w:rFonts w:hint="eastAsia" w:ascii="Times New Roman" w:hAnsi="Times New Roman" w:eastAsia="方正楷体_GBK" w:cs="Times New Roman"/>
          <w:sz w:val="32"/>
          <w:szCs w:val="32"/>
          <w:highlight w:val="none"/>
        </w:rPr>
        <w:t>提质增效</w:t>
      </w:r>
      <w:r>
        <w:rPr>
          <w:rFonts w:ascii="Times New Roman" w:hAnsi="Times New Roman" w:eastAsia="方正楷体_GBK" w:cs="Times New Roman"/>
          <w:sz w:val="32"/>
          <w:szCs w:val="32"/>
          <w:highlight w:val="none"/>
        </w:rPr>
        <w:t>。</w:t>
      </w:r>
      <w:r>
        <w:rPr>
          <w:rFonts w:hint="eastAsia" w:ascii="Times New Roman" w:hAnsi="Times New Roman" w:eastAsia="方正仿宋_GBK" w:cs="Times New Roman"/>
          <w:b/>
          <w:sz w:val="32"/>
          <w:szCs w:val="32"/>
          <w:highlight w:val="none"/>
        </w:rPr>
        <w:t>一是持续增强资产管理责任意识。</w:t>
      </w:r>
      <w:r>
        <w:rPr>
          <w:rFonts w:hint="eastAsia" w:ascii="Times New Roman" w:hAnsi="Times New Roman" w:eastAsia="方正仿宋_GBK" w:cs="Times New Roman"/>
          <w:b w:val="0"/>
          <w:bCs/>
          <w:sz w:val="32"/>
          <w:szCs w:val="32"/>
          <w:highlight w:val="none"/>
          <w:lang w:val="en-US" w:eastAsia="zh-CN"/>
        </w:rPr>
        <w:t>落实</w:t>
      </w:r>
      <w:r>
        <w:rPr>
          <w:rFonts w:hint="eastAsia" w:ascii="Times New Roman" w:hAnsi="Times New Roman" w:eastAsia="方正仿宋_GBK" w:cs="Times New Roman"/>
          <w:b w:val="0"/>
          <w:bCs/>
          <w:sz w:val="32"/>
          <w:szCs w:val="32"/>
          <w:highlight w:val="none"/>
        </w:rPr>
        <w:t>国</w:t>
      </w:r>
      <w:r>
        <w:rPr>
          <w:rFonts w:hint="eastAsia" w:ascii="Times New Roman" w:hAnsi="Times New Roman" w:eastAsia="方正仿宋_GBK" w:cs="Times New Roman"/>
          <w:sz w:val="32"/>
          <w:szCs w:val="32"/>
          <w:highlight w:val="none"/>
        </w:rPr>
        <w:t>有资产</w:t>
      </w:r>
      <w:r>
        <w:rPr>
          <w:rFonts w:hint="eastAsia" w:ascii="Times New Roman" w:hAnsi="Times New Roman" w:eastAsia="方正仿宋_GBK" w:cs="Times New Roman"/>
          <w:sz w:val="32"/>
          <w:szCs w:val="32"/>
          <w:highlight w:val="none"/>
          <w:lang w:val="en-US" w:eastAsia="zh-CN"/>
        </w:rPr>
        <w:t>管理</w:t>
      </w:r>
      <w:r>
        <w:rPr>
          <w:rFonts w:hint="eastAsia" w:ascii="Times New Roman" w:hAnsi="Times New Roman" w:eastAsia="方正仿宋_GBK" w:cs="Times New Roman"/>
          <w:sz w:val="32"/>
          <w:szCs w:val="32"/>
          <w:highlight w:val="none"/>
        </w:rPr>
        <w:t>主体责任，把资产管理放在与资金管理同等重要位置，建立健全资产管理内控机制，强化职责分工、密切协调配合。加强资产管理队伍建设，选强配齐资产管理人员，加强业务培训，强化责任意识，提高管好用好国有资产的积极性、主动性。</w:t>
      </w:r>
      <w:r>
        <w:rPr>
          <w:rFonts w:hint="eastAsia" w:ascii="Times New Roman" w:hAnsi="Times New Roman" w:eastAsia="方正仿宋_GBK" w:cs="Times New Roman"/>
          <w:b/>
          <w:sz w:val="32"/>
          <w:szCs w:val="32"/>
          <w:highlight w:val="none"/>
        </w:rPr>
        <w:t>二是持续</w:t>
      </w:r>
      <w:r>
        <w:rPr>
          <w:rFonts w:ascii="Times New Roman" w:hAnsi="Times New Roman" w:eastAsia="方正仿宋_GBK" w:cs="Times New Roman"/>
          <w:b/>
          <w:sz w:val="32"/>
          <w:szCs w:val="32"/>
          <w:highlight w:val="none"/>
        </w:rPr>
        <w:t>提升资产管理</w:t>
      </w:r>
      <w:r>
        <w:rPr>
          <w:rFonts w:hint="eastAsia" w:ascii="Times New Roman" w:hAnsi="Times New Roman" w:eastAsia="方正仿宋_GBK" w:cs="Times New Roman"/>
          <w:b/>
          <w:sz w:val="32"/>
          <w:szCs w:val="32"/>
          <w:highlight w:val="none"/>
        </w:rPr>
        <w:t>整体</w:t>
      </w:r>
      <w:r>
        <w:rPr>
          <w:rFonts w:ascii="Times New Roman" w:hAnsi="Times New Roman" w:eastAsia="方正仿宋_GBK" w:cs="Times New Roman"/>
          <w:b/>
          <w:sz w:val="32"/>
          <w:szCs w:val="32"/>
          <w:highlight w:val="none"/>
        </w:rPr>
        <w:t>效能</w:t>
      </w:r>
      <w:r>
        <w:rPr>
          <w:rFonts w:hint="eastAsia" w:ascii="Times New Roman" w:hAnsi="Times New Roman" w:eastAsia="方正仿宋_GBK" w:cs="Times New Roman"/>
          <w:b/>
          <w:sz w:val="32"/>
          <w:szCs w:val="32"/>
          <w:highlight w:val="none"/>
        </w:rPr>
        <w:t>。</w:t>
      </w:r>
      <w:r>
        <w:rPr>
          <w:rFonts w:ascii="Times New Roman" w:hAnsi="Times New Roman" w:eastAsia="方正仿宋_GBK" w:cs="Times New Roman"/>
          <w:sz w:val="32"/>
          <w:szCs w:val="32"/>
          <w:highlight w:val="none"/>
        </w:rPr>
        <w:t>强化</w:t>
      </w:r>
      <w:r>
        <w:rPr>
          <w:rFonts w:hint="eastAsia" w:ascii="Times New Roman" w:hAnsi="Times New Roman" w:eastAsia="方正仿宋_GBK" w:cs="Times New Roman"/>
          <w:sz w:val="32"/>
          <w:szCs w:val="32"/>
          <w:highlight w:val="none"/>
        </w:rPr>
        <w:t>资产“入口”</w:t>
      </w:r>
      <w:r>
        <w:rPr>
          <w:rFonts w:ascii="Times New Roman" w:hAnsi="Times New Roman" w:eastAsia="方正仿宋_GBK" w:cs="Times New Roman"/>
          <w:sz w:val="32"/>
          <w:szCs w:val="32"/>
          <w:highlight w:val="none"/>
        </w:rPr>
        <w:t>管理，</w:t>
      </w:r>
      <w:r>
        <w:rPr>
          <w:rFonts w:hint="eastAsia" w:ascii="Times New Roman" w:hAnsi="Times New Roman" w:eastAsia="方正仿宋_GBK" w:cs="Times New Roman"/>
          <w:sz w:val="32"/>
          <w:szCs w:val="32"/>
          <w:highlight w:val="none"/>
        </w:rPr>
        <w:t>以推进资产配置标准为切入点，</w:t>
      </w:r>
      <w:r>
        <w:rPr>
          <w:rFonts w:hint="eastAsia" w:ascii="Times New Roman" w:hAnsi="Times New Roman" w:eastAsia="方正仿宋_GBK" w:cs="Times New Roman"/>
          <w:sz w:val="32"/>
          <w:szCs w:val="32"/>
          <w:highlight w:val="none"/>
          <w:lang w:val="en-US" w:eastAsia="zh-CN"/>
        </w:rPr>
        <w:t>将</w:t>
      </w:r>
      <w:r>
        <w:rPr>
          <w:rFonts w:hint="eastAsia" w:ascii="Times New Roman" w:hAnsi="Times New Roman" w:eastAsia="方正仿宋_GBK" w:cs="Times New Roman"/>
          <w:sz w:val="32"/>
          <w:szCs w:val="32"/>
          <w:highlight w:val="none"/>
        </w:rPr>
        <w:t>资产配置和部门预算编制</w:t>
      </w:r>
      <w:r>
        <w:rPr>
          <w:rFonts w:hint="eastAsia" w:ascii="Times New Roman" w:hAnsi="Times New Roman" w:eastAsia="方正仿宋_GBK" w:cs="Times New Roman"/>
          <w:sz w:val="32"/>
          <w:szCs w:val="32"/>
          <w:highlight w:val="none"/>
          <w:lang w:val="en-US" w:eastAsia="zh-CN"/>
        </w:rPr>
        <w:t>紧密</w:t>
      </w:r>
      <w:r>
        <w:rPr>
          <w:rFonts w:hint="eastAsia" w:ascii="Times New Roman" w:hAnsi="Times New Roman" w:eastAsia="方正仿宋_GBK" w:cs="Times New Roman"/>
          <w:sz w:val="32"/>
          <w:szCs w:val="32"/>
          <w:highlight w:val="none"/>
        </w:rPr>
        <w:t>结合，</w:t>
      </w:r>
      <w:r>
        <w:rPr>
          <w:rFonts w:ascii="Times New Roman" w:hAnsi="Times New Roman" w:eastAsia="方正仿宋_GBK" w:cs="Times New Roman"/>
          <w:sz w:val="32"/>
          <w:szCs w:val="32"/>
          <w:highlight w:val="none"/>
        </w:rPr>
        <w:t>从严审核新增资产配置预算。</w:t>
      </w:r>
      <w:r>
        <w:rPr>
          <w:rFonts w:hint="eastAsia" w:ascii="Times New Roman" w:hAnsi="Times New Roman" w:eastAsia="方正仿宋_GBK" w:cs="Times New Roman"/>
          <w:sz w:val="32"/>
          <w:szCs w:val="32"/>
          <w:highlight w:val="none"/>
        </w:rPr>
        <w:t>牢固树立“过紧日子”思想，有效盘活存量资产，将</w:t>
      </w:r>
      <w:r>
        <w:rPr>
          <w:rFonts w:ascii="Times New Roman" w:hAnsi="Times New Roman" w:eastAsia="方正仿宋_GBK" w:cs="Times New Roman"/>
          <w:sz w:val="32"/>
          <w:szCs w:val="32"/>
          <w:highlight w:val="none"/>
        </w:rPr>
        <w:t>低效运转、闲置资产</w:t>
      </w:r>
      <w:r>
        <w:rPr>
          <w:rFonts w:hint="eastAsia" w:ascii="Times New Roman" w:hAnsi="Times New Roman" w:eastAsia="方正仿宋_GBK" w:cs="Times New Roman"/>
          <w:sz w:val="32"/>
          <w:szCs w:val="32"/>
          <w:highlight w:val="none"/>
        </w:rPr>
        <w:t>进行</w:t>
      </w:r>
      <w:r>
        <w:rPr>
          <w:rFonts w:ascii="Times New Roman" w:hAnsi="Times New Roman" w:eastAsia="方正仿宋_GBK" w:cs="Times New Roman"/>
          <w:sz w:val="32"/>
          <w:szCs w:val="32"/>
          <w:highlight w:val="none"/>
        </w:rPr>
        <w:t>盘活利用</w:t>
      </w:r>
      <w:r>
        <w:rPr>
          <w:rFonts w:hint="eastAsia" w:ascii="Times New Roman" w:hAnsi="Times New Roman" w:eastAsia="方正仿宋_GBK" w:cs="Times New Roman"/>
          <w:sz w:val="32"/>
          <w:szCs w:val="32"/>
          <w:highlight w:val="none"/>
        </w:rPr>
        <w:t>，释放资产价值。优化资产“出口”管理，不断推进资产处置规范化、效能化。</w:t>
      </w:r>
      <w:r>
        <w:rPr>
          <w:rFonts w:hint="eastAsia" w:ascii="Times New Roman" w:hAnsi="Times New Roman" w:eastAsia="方正仿宋_GBK" w:cs="Times New Roman"/>
          <w:b/>
          <w:sz w:val="32"/>
          <w:szCs w:val="32"/>
          <w:highlight w:val="none"/>
        </w:rPr>
        <w:t>三是持续加大资产监督检查力度。</w:t>
      </w:r>
      <w:r>
        <w:rPr>
          <w:rFonts w:hint="eastAsia" w:ascii="Times New Roman" w:hAnsi="Times New Roman" w:eastAsia="方正仿宋_GBK" w:cs="Times New Roman"/>
          <w:sz w:val="32"/>
          <w:szCs w:val="32"/>
          <w:highlight w:val="none"/>
        </w:rPr>
        <w:t>针对资产确权、配置、使用、处置、收益、安全等重点管理环节，细化管理要求，明确操作规程，确保管理规范、流程清晰、责任可查。坚持日常监督和专项检查相结合，构筑立体化监督网络，自觉接受人大监督、审计监督、财会监督等各类监督，</w:t>
      </w:r>
      <w:r>
        <w:rPr>
          <w:rFonts w:ascii="Times New Roman" w:hAnsi="Times New Roman" w:eastAsia="方正仿宋_GBK" w:cs="Times New Roman"/>
          <w:sz w:val="32"/>
          <w:szCs w:val="32"/>
          <w:highlight w:val="none"/>
        </w:rPr>
        <w:t>推动行政事业单位国有资产管理制度落地见效</w:t>
      </w:r>
      <w:r>
        <w:rPr>
          <w:rFonts w:hint="eastAsia"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outlineLvl w:val="9"/>
        <w:rPr>
          <w:rFonts w:hint="eastAsia" w:ascii="方正仿宋_GBK" w:hAnsi="Times New Roman" w:eastAsia="方正仿宋_GBK" w:cs="Times New Roman"/>
          <w:sz w:val="32"/>
          <w:szCs w:val="32"/>
          <w:highlight w:val="none"/>
        </w:rPr>
      </w:pPr>
      <w:r>
        <w:rPr>
          <w:rFonts w:hint="eastAsia" w:ascii="方正楷体_GBK" w:hAnsi="Times New Roman" w:eastAsia="方正楷体_GBK" w:cs="Times New Roman"/>
          <w:sz w:val="32"/>
          <w:szCs w:val="32"/>
          <w:highlight w:val="none"/>
        </w:rPr>
        <w:t>（三）持续完善国有自然资源</w:t>
      </w:r>
      <w:r>
        <w:rPr>
          <w:rFonts w:hint="eastAsia" w:ascii="方正楷体_GBK" w:hAnsi="Times New Roman" w:eastAsia="方正楷体_GBK" w:cs="Times New Roman"/>
          <w:sz w:val="32"/>
          <w:szCs w:val="32"/>
          <w:highlight w:val="none"/>
          <w:lang w:eastAsia="zh-CN"/>
        </w:rPr>
        <w:t>（</w:t>
      </w:r>
      <w:r>
        <w:rPr>
          <w:rFonts w:hint="eastAsia" w:ascii="方正楷体_GBK" w:hAnsi="Times New Roman" w:eastAsia="方正楷体_GBK" w:cs="Times New Roman"/>
          <w:sz w:val="32"/>
          <w:szCs w:val="32"/>
          <w:highlight w:val="none"/>
        </w:rPr>
        <w:t>资产</w:t>
      </w:r>
      <w:r>
        <w:rPr>
          <w:rFonts w:hint="eastAsia" w:ascii="方正楷体_GBK" w:hAnsi="Times New Roman" w:eastAsia="方正楷体_GBK" w:cs="Times New Roman"/>
          <w:sz w:val="32"/>
          <w:szCs w:val="32"/>
          <w:highlight w:val="none"/>
          <w:lang w:eastAsia="zh-CN"/>
        </w:rPr>
        <w:t>）</w:t>
      </w:r>
      <w:r>
        <w:rPr>
          <w:rFonts w:hint="eastAsia" w:ascii="方正楷体_GBK" w:hAnsi="Times New Roman" w:eastAsia="方正楷体_GBK" w:cs="Times New Roman"/>
          <w:sz w:val="32"/>
          <w:szCs w:val="32"/>
          <w:highlight w:val="none"/>
        </w:rPr>
        <w:t>管理制度机制。</w:t>
      </w:r>
      <w:r>
        <w:rPr>
          <w:rFonts w:hint="eastAsia" w:ascii="方正仿宋_GBK" w:hAnsi="Times New Roman" w:eastAsia="方正仿宋_GBK" w:cs="Times New Roman"/>
          <w:b/>
          <w:bCs/>
          <w:sz w:val="32"/>
          <w:szCs w:val="32"/>
          <w:highlight w:val="none"/>
        </w:rPr>
        <w:t>一是优化国土空间规划。</w:t>
      </w:r>
      <w:r>
        <w:rPr>
          <w:rFonts w:hint="eastAsia" w:ascii="方正仿宋_GBK" w:hAnsi="Times New Roman" w:eastAsia="方正仿宋_GBK" w:cs="Times New Roman"/>
          <w:sz w:val="32"/>
          <w:szCs w:val="32"/>
          <w:highlight w:val="none"/>
        </w:rPr>
        <w:t>严格落实耕地占补平衡制度，全面推进林长制，做好林政资源审批管理工作。有序推进详细规划、专项规划编制审批。强化国土空间用途管制，合理编制土地利用年度计划和土地征收成片开发方案，强化农用地转用和土地征收报批管理，加强临时用地审批管理。</w:t>
      </w:r>
      <w:r>
        <w:rPr>
          <w:rFonts w:hint="eastAsia" w:ascii="方正仿宋_GBK" w:hAnsi="Times New Roman" w:eastAsia="方正仿宋_GBK" w:cs="Times New Roman"/>
          <w:b/>
          <w:bCs/>
          <w:sz w:val="32"/>
          <w:szCs w:val="32"/>
          <w:highlight w:val="none"/>
        </w:rPr>
        <w:t>二是建立健全动态监测制度。</w:t>
      </w:r>
      <w:r>
        <w:rPr>
          <w:rFonts w:hint="eastAsia" w:ascii="方正仿宋_GBK" w:hAnsi="Times New Roman" w:eastAsia="方正仿宋_GBK" w:cs="Times New Roman"/>
          <w:sz w:val="32"/>
          <w:szCs w:val="32"/>
          <w:highlight w:val="none"/>
        </w:rPr>
        <w:t>探索开展全门类国有自然资源清查工作，持续开展土地变更调查、全国城镇地籍调查数据库更新、国土空间监测、宅基地和农房登记移交等工作。</w:t>
      </w:r>
      <w:r>
        <w:rPr>
          <w:rFonts w:hint="eastAsia" w:ascii="方正仿宋_GBK" w:hAnsi="Times New Roman" w:eastAsia="方正仿宋_GBK" w:cs="Times New Roman"/>
          <w:b/>
          <w:bCs/>
          <w:sz w:val="32"/>
          <w:szCs w:val="32"/>
          <w:highlight w:val="none"/>
        </w:rPr>
        <w:t>三是完成</w:t>
      </w:r>
      <w:r>
        <w:rPr>
          <w:rFonts w:hint="eastAsia" w:ascii="方正仿宋_GBK" w:hAnsi="Times New Roman" w:eastAsia="方正仿宋_GBK" w:cs="Times New Roman"/>
          <w:b/>
          <w:bCs/>
          <w:sz w:val="32"/>
          <w:szCs w:val="32"/>
          <w:highlight w:val="none"/>
          <w:lang w:val="en-US" w:eastAsia="zh-CN"/>
        </w:rPr>
        <w:t>土地</w:t>
      </w:r>
      <w:r>
        <w:rPr>
          <w:rFonts w:hint="eastAsia" w:ascii="方正仿宋_GBK" w:hAnsi="Times New Roman" w:eastAsia="方正仿宋_GBK" w:cs="Times New Roman"/>
          <w:b/>
          <w:bCs/>
          <w:sz w:val="32"/>
          <w:szCs w:val="32"/>
          <w:highlight w:val="none"/>
        </w:rPr>
        <w:t>供应任务。</w:t>
      </w:r>
      <w:r>
        <w:rPr>
          <w:rFonts w:hint="eastAsia" w:ascii="方正仿宋_GBK" w:hAnsi="Times New Roman" w:eastAsia="方正仿宋_GBK" w:cs="Times New Roman"/>
          <w:sz w:val="32"/>
          <w:szCs w:val="32"/>
          <w:highlight w:val="none"/>
        </w:rPr>
        <w:t>合理确定土地供应时序，保质保量完成经营性土地供应任务。做好学校、道路等基础设施用地划拨供应并保障工业等产业项目落地；做好年度批而未供处置工作，持续推进土地供应监管工作，加强巡查力度</w:t>
      </w:r>
      <w:r>
        <w:rPr>
          <w:rFonts w:hint="eastAsia" w:ascii="方正仿宋_GBK" w:hAnsi="Times New Roman" w:eastAsia="方正仿宋_GBK" w:cs="Times New Roman"/>
          <w:sz w:val="32"/>
          <w:szCs w:val="32"/>
          <w:highlight w:val="none"/>
          <w:lang w:eastAsia="zh-CN"/>
        </w:rPr>
        <w:t>；</w:t>
      </w:r>
      <w:r>
        <w:rPr>
          <w:rFonts w:hint="eastAsia" w:ascii="方正仿宋_GBK" w:hAnsi="Times New Roman" w:eastAsia="方正仿宋_GBK" w:cs="Times New Roman"/>
          <w:sz w:val="32"/>
          <w:szCs w:val="32"/>
          <w:highlight w:val="none"/>
        </w:rPr>
        <w:t>加大闲置土地处置力度，提高土地利用效率。</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outlineLvl w:val="9"/>
        <w:rPr>
          <w:rFonts w:hint="eastAsia" w:ascii="方正仿宋_GBK"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outlineLvl w:val="9"/>
        <w:rPr>
          <w:rFonts w:hint="eastAsia" w:ascii="方正仿宋_GBK"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outlineLvl w:val="9"/>
        <w:rPr>
          <w:rFonts w:hint="eastAsia" w:ascii="方正仿宋_GBK"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outlineLvl w:val="9"/>
        <w:rPr>
          <w:rFonts w:hint="eastAsia" w:ascii="方正仿宋_GBK" w:hAnsi="Times New Roman" w:eastAsia="方正仿宋_GBK" w:cs="Times New Roman"/>
          <w:sz w:val="32"/>
          <w:szCs w:val="32"/>
          <w:highlight w:val="none"/>
        </w:rPr>
      </w:pPr>
    </w:p>
    <w:p>
      <w:pPr>
        <w:pStyle w:val="2"/>
        <w:ind w:left="0" w:leftChars="0" w:firstLine="0" w:firstLineChars="0"/>
        <w:rPr>
          <w:rFonts w:hint="eastAsia" w:ascii="方正仿宋_GBK" w:hAnsi="Times New Roman" w:eastAsia="方正仿宋_GBK" w:cs="Times New Roman"/>
          <w:sz w:val="32"/>
          <w:szCs w:val="32"/>
          <w:highlight w:val="none"/>
          <w:lang w:eastAsia="zh-CN"/>
        </w:rPr>
      </w:pPr>
    </w:p>
    <w:sectPr>
      <w:footerReference r:id="rId3" w:type="default"/>
      <w:pgSz w:w="11906" w:h="16838"/>
      <w:pgMar w:top="1984" w:right="1446" w:bottom="1644" w:left="1446" w:header="851" w:footer="1474"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B91DB1D6-6F82-40E0-B174-B0EA40DCDD84}"/>
  </w:font>
  <w:font w:name="方正仿宋_GBK">
    <w:panose1 w:val="03000509000000000000"/>
    <w:charset w:val="86"/>
    <w:family w:val="auto"/>
    <w:pitch w:val="default"/>
    <w:sig w:usb0="00000001" w:usb1="080E0000" w:usb2="00000000" w:usb3="00000000" w:csb0="00040000" w:csb1="00000000"/>
    <w:embedRegular r:id="rId2" w:fontKey="{815390FF-68DA-47C2-BEE0-4404D2B67B58}"/>
  </w:font>
  <w:font w:name="方正楷体_GBK">
    <w:panose1 w:val="03000509000000000000"/>
    <w:charset w:val="86"/>
    <w:family w:val="script"/>
    <w:pitch w:val="default"/>
    <w:sig w:usb0="00000001" w:usb1="080E0000" w:usb2="00000000" w:usb3="00000000" w:csb0="00040000" w:csb1="00000000"/>
    <w:embedRegular r:id="rId3" w:fontKey="{CB2314FA-7362-4673-9C7C-0A192A83C52D}"/>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embedRegular r:id="rId4" w:fontKey="{758E89B4-E788-4B81-962A-4DD2CCCCCF91}"/>
  </w:font>
  <w:font w:name="方正仿宋_GB18030">
    <w:panose1 w:val="02000000000000000000"/>
    <w:charset w:val="86"/>
    <w:family w:val="auto"/>
    <w:pitch w:val="default"/>
    <w:sig w:usb0="00000000" w:usb1="00000000" w:usb2="00000000" w:usb3="00000000" w:csb0="00000000" w:csb1="00000000"/>
    <w:embedRegular r:id="rId5" w:fontKey="{1886D6D7-873E-4A5A-8DBF-ECA5DA4B6B14}"/>
  </w:font>
  <w:font w:name="方正黑体_GBK">
    <w:panose1 w:val="03000509000000000000"/>
    <w:charset w:val="86"/>
    <w:family w:val="auto"/>
    <w:pitch w:val="default"/>
    <w:sig w:usb0="00000001" w:usb1="080E0000" w:usb2="00000000" w:usb3="00000000" w:csb0="00040000" w:csb1="00000000"/>
    <w:embedRegular r:id="rId6" w:fontKey="{B2E20051-2A2D-4B48-AF30-AFEAB546D953}"/>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Fonts w:ascii="宋体" w:hAnsi="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82FC97"/>
    <w:multiLevelType w:val="singleLevel"/>
    <w:tmpl w:val="EB82FC97"/>
    <w:lvl w:ilvl="0" w:tentative="0">
      <w:start w:val="1"/>
      <w:numFmt w:val="chineseCounting"/>
      <w:suff w:val="nothing"/>
      <w:lvlText w:val="（%1）"/>
      <w:lvlJc w:val="left"/>
      <w:rPr>
        <w:rFonts w:hint="eastAsia"/>
      </w:rPr>
    </w:lvl>
  </w:abstractNum>
  <w:abstractNum w:abstractNumId="1">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pStyle w:val="3"/>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MjQyYjUzNzM2YjkyMTE0OGI4N2I1OTY1ZmY0NzQifQ=="/>
  </w:docVars>
  <w:rsids>
    <w:rsidRoot w:val="212651D0"/>
    <w:rsid w:val="0000258D"/>
    <w:rsid w:val="00715F2B"/>
    <w:rsid w:val="01AF7CF7"/>
    <w:rsid w:val="02E76938"/>
    <w:rsid w:val="04900CB6"/>
    <w:rsid w:val="05767287"/>
    <w:rsid w:val="058B5484"/>
    <w:rsid w:val="065D535C"/>
    <w:rsid w:val="069B5E85"/>
    <w:rsid w:val="07EA74B8"/>
    <w:rsid w:val="083F02C5"/>
    <w:rsid w:val="08C40270"/>
    <w:rsid w:val="08E91129"/>
    <w:rsid w:val="09384DF5"/>
    <w:rsid w:val="09847C7D"/>
    <w:rsid w:val="09A96E25"/>
    <w:rsid w:val="09C21A36"/>
    <w:rsid w:val="0A3221B3"/>
    <w:rsid w:val="0B5F5B32"/>
    <w:rsid w:val="0BBA44FC"/>
    <w:rsid w:val="0C0C283F"/>
    <w:rsid w:val="0C9413AC"/>
    <w:rsid w:val="0DDD673E"/>
    <w:rsid w:val="0E4B0DD5"/>
    <w:rsid w:val="0F8B519C"/>
    <w:rsid w:val="10525806"/>
    <w:rsid w:val="106152DF"/>
    <w:rsid w:val="12064AFA"/>
    <w:rsid w:val="120E1C01"/>
    <w:rsid w:val="130A224D"/>
    <w:rsid w:val="134D05AC"/>
    <w:rsid w:val="157A631C"/>
    <w:rsid w:val="158D1527"/>
    <w:rsid w:val="15B436C8"/>
    <w:rsid w:val="16AE05AC"/>
    <w:rsid w:val="16B15CA4"/>
    <w:rsid w:val="16CC768C"/>
    <w:rsid w:val="170D3DCD"/>
    <w:rsid w:val="177112D7"/>
    <w:rsid w:val="178328A0"/>
    <w:rsid w:val="17B301A3"/>
    <w:rsid w:val="17F07537"/>
    <w:rsid w:val="18C12FD3"/>
    <w:rsid w:val="19E12C6D"/>
    <w:rsid w:val="1B06436E"/>
    <w:rsid w:val="1BED2991"/>
    <w:rsid w:val="1C8256C5"/>
    <w:rsid w:val="1CA81EFC"/>
    <w:rsid w:val="1D621800"/>
    <w:rsid w:val="1DBA0F69"/>
    <w:rsid w:val="1E0F1B69"/>
    <w:rsid w:val="1E583273"/>
    <w:rsid w:val="1EA1019C"/>
    <w:rsid w:val="1ED35081"/>
    <w:rsid w:val="1F9A5FFD"/>
    <w:rsid w:val="206E2A1F"/>
    <w:rsid w:val="20814C74"/>
    <w:rsid w:val="208E2217"/>
    <w:rsid w:val="21167C63"/>
    <w:rsid w:val="212651D0"/>
    <w:rsid w:val="21BD027C"/>
    <w:rsid w:val="21C314C3"/>
    <w:rsid w:val="21C60D20"/>
    <w:rsid w:val="21FE01EB"/>
    <w:rsid w:val="226A4DFB"/>
    <w:rsid w:val="234D39CE"/>
    <w:rsid w:val="23B70A63"/>
    <w:rsid w:val="242F5ED4"/>
    <w:rsid w:val="24383BC9"/>
    <w:rsid w:val="24735344"/>
    <w:rsid w:val="250F5D16"/>
    <w:rsid w:val="25315AE9"/>
    <w:rsid w:val="260F0C69"/>
    <w:rsid w:val="27386B86"/>
    <w:rsid w:val="276003F7"/>
    <w:rsid w:val="2850286C"/>
    <w:rsid w:val="29B26050"/>
    <w:rsid w:val="2A1B3B07"/>
    <w:rsid w:val="2B7C786E"/>
    <w:rsid w:val="2BB07406"/>
    <w:rsid w:val="2BD4702C"/>
    <w:rsid w:val="2CA613A2"/>
    <w:rsid w:val="2D4C1A23"/>
    <w:rsid w:val="2D7C6A89"/>
    <w:rsid w:val="2DB50921"/>
    <w:rsid w:val="2DC8189F"/>
    <w:rsid w:val="2FC07B02"/>
    <w:rsid w:val="3078637A"/>
    <w:rsid w:val="307A46CF"/>
    <w:rsid w:val="31AA329C"/>
    <w:rsid w:val="31AC40F2"/>
    <w:rsid w:val="31B2195B"/>
    <w:rsid w:val="32434C15"/>
    <w:rsid w:val="329655CE"/>
    <w:rsid w:val="32B67A1F"/>
    <w:rsid w:val="33463656"/>
    <w:rsid w:val="3385308C"/>
    <w:rsid w:val="34B0464D"/>
    <w:rsid w:val="356771D2"/>
    <w:rsid w:val="35DD64C6"/>
    <w:rsid w:val="35E353B5"/>
    <w:rsid w:val="35E42A4B"/>
    <w:rsid w:val="360F3FE2"/>
    <w:rsid w:val="36B17C4A"/>
    <w:rsid w:val="36C82BBD"/>
    <w:rsid w:val="36E5185A"/>
    <w:rsid w:val="36EC0C0B"/>
    <w:rsid w:val="38237904"/>
    <w:rsid w:val="39853EDC"/>
    <w:rsid w:val="398E5E85"/>
    <w:rsid w:val="3AC93232"/>
    <w:rsid w:val="3AFB6C5F"/>
    <w:rsid w:val="3B2E2848"/>
    <w:rsid w:val="3B4C1754"/>
    <w:rsid w:val="3C79686F"/>
    <w:rsid w:val="3CEE3F51"/>
    <w:rsid w:val="3D2E1BF0"/>
    <w:rsid w:val="3DF526FF"/>
    <w:rsid w:val="3E1A6339"/>
    <w:rsid w:val="3E614CE2"/>
    <w:rsid w:val="3E9C21F6"/>
    <w:rsid w:val="3F461EDE"/>
    <w:rsid w:val="3F6738F9"/>
    <w:rsid w:val="3F773C49"/>
    <w:rsid w:val="40D41161"/>
    <w:rsid w:val="412E37D2"/>
    <w:rsid w:val="41866E28"/>
    <w:rsid w:val="41C211D6"/>
    <w:rsid w:val="41E84702"/>
    <w:rsid w:val="42471544"/>
    <w:rsid w:val="439A0A28"/>
    <w:rsid w:val="439A3C5D"/>
    <w:rsid w:val="43F25029"/>
    <w:rsid w:val="441D78FE"/>
    <w:rsid w:val="442F58CD"/>
    <w:rsid w:val="44671DEA"/>
    <w:rsid w:val="448B0D0B"/>
    <w:rsid w:val="44E158A2"/>
    <w:rsid w:val="44E22C31"/>
    <w:rsid w:val="4513234C"/>
    <w:rsid w:val="454C3E11"/>
    <w:rsid w:val="458F5FA8"/>
    <w:rsid w:val="45B26BAB"/>
    <w:rsid w:val="45D711B8"/>
    <w:rsid w:val="46962778"/>
    <w:rsid w:val="46F55FD3"/>
    <w:rsid w:val="475856C9"/>
    <w:rsid w:val="48D42EC8"/>
    <w:rsid w:val="48EE4096"/>
    <w:rsid w:val="49156425"/>
    <w:rsid w:val="493A1565"/>
    <w:rsid w:val="49B90D64"/>
    <w:rsid w:val="49BB31FB"/>
    <w:rsid w:val="4A7764C5"/>
    <w:rsid w:val="4B79153C"/>
    <w:rsid w:val="4B8248E0"/>
    <w:rsid w:val="4C390EEC"/>
    <w:rsid w:val="4D0A5BE5"/>
    <w:rsid w:val="4D453663"/>
    <w:rsid w:val="4F1E2186"/>
    <w:rsid w:val="4F237DE7"/>
    <w:rsid w:val="4F8F2045"/>
    <w:rsid w:val="50330DC5"/>
    <w:rsid w:val="52045900"/>
    <w:rsid w:val="53990721"/>
    <w:rsid w:val="53BD2875"/>
    <w:rsid w:val="56061DA4"/>
    <w:rsid w:val="564D03D6"/>
    <w:rsid w:val="56A86021"/>
    <w:rsid w:val="56C836F9"/>
    <w:rsid w:val="56EF668F"/>
    <w:rsid w:val="574A71B6"/>
    <w:rsid w:val="579C0681"/>
    <w:rsid w:val="57AB60A7"/>
    <w:rsid w:val="582F576C"/>
    <w:rsid w:val="58A54BCD"/>
    <w:rsid w:val="59372DB8"/>
    <w:rsid w:val="5A041CDC"/>
    <w:rsid w:val="5A4157EA"/>
    <w:rsid w:val="5C133134"/>
    <w:rsid w:val="5CCA40BB"/>
    <w:rsid w:val="5D4D7582"/>
    <w:rsid w:val="5D517622"/>
    <w:rsid w:val="5D5336B2"/>
    <w:rsid w:val="5DA8075C"/>
    <w:rsid w:val="5F225970"/>
    <w:rsid w:val="5F2834F9"/>
    <w:rsid w:val="60641E35"/>
    <w:rsid w:val="60DB3FFA"/>
    <w:rsid w:val="619E1834"/>
    <w:rsid w:val="61E9140A"/>
    <w:rsid w:val="623E3162"/>
    <w:rsid w:val="62B142DE"/>
    <w:rsid w:val="62C71EA9"/>
    <w:rsid w:val="6428796E"/>
    <w:rsid w:val="64323123"/>
    <w:rsid w:val="643F1B44"/>
    <w:rsid w:val="657B0D2C"/>
    <w:rsid w:val="66641D9A"/>
    <w:rsid w:val="666D524A"/>
    <w:rsid w:val="672608BB"/>
    <w:rsid w:val="692A2431"/>
    <w:rsid w:val="693269B1"/>
    <w:rsid w:val="695F54E3"/>
    <w:rsid w:val="6960203B"/>
    <w:rsid w:val="6A0A50B7"/>
    <w:rsid w:val="6A250929"/>
    <w:rsid w:val="6AB55103"/>
    <w:rsid w:val="6AF44665"/>
    <w:rsid w:val="6B843AF8"/>
    <w:rsid w:val="6C145294"/>
    <w:rsid w:val="6C846928"/>
    <w:rsid w:val="6D7B7A8D"/>
    <w:rsid w:val="6DD86B45"/>
    <w:rsid w:val="6E7F38B1"/>
    <w:rsid w:val="6FA55265"/>
    <w:rsid w:val="6FFD600B"/>
    <w:rsid w:val="71C034F3"/>
    <w:rsid w:val="72BF44C2"/>
    <w:rsid w:val="72F103ED"/>
    <w:rsid w:val="740A0AED"/>
    <w:rsid w:val="741F1B50"/>
    <w:rsid w:val="756726E9"/>
    <w:rsid w:val="75B60652"/>
    <w:rsid w:val="777D13D6"/>
    <w:rsid w:val="77F03685"/>
    <w:rsid w:val="77F30D40"/>
    <w:rsid w:val="783D6DDF"/>
    <w:rsid w:val="78EC2E1F"/>
    <w:rsid w:val="791B31D4"/>
    <w:rsid w:val="798D0461"/>
    <w:rsid w:val="7A961586"/>
    <w:rsid w:val="7C8810B1"/>
    <w:rsid w:val="7E6B6F02"/>
    <w:rsid w:val="7F271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numPr>
        <w:ilvl w:val="2"/>
        <w:numId w:val="1"/>
      </w:numPr>
      <w:adjustRightInd w:val="0"/>
      <w:outlineLvl w:val="2"/>
    </w:pPr>
    <w:rPr>
      <w:rFonts w:ascii="方正仿宋_GBK" w:hAnsi="方正仿宋_GBK" w:eastAsia="方正仿宋_GBK"/>
      <w:bCs/>
      <w:kern w:val="0"/>
      <w:sz w:val="32"/>
      <w:szCs w:val="32"/>
      <w:lang w:val="zh-CN"/>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firstLine="640" w:firstLineChars="200"/>
      <w:jc w:val="left"/>
    </w:pPr>
    <w:rPr>
      <w:rFonts w:ascii="方正楷体_GBK" w:eastAsia="方正楷体_GBK"/>
      <w:szCs w:val="32"/>
    </w:rPr>
  </w:style>
  <w:style w:type="paragraph" w:styleId="4">
    <w:name w:val="Body Text First Indent"/>
    <w:basedOn w:val="5"/>
    <w:next w:val="1"/>
    <w:unhideWhenUsed/>
    <w:qFormat/>
    <w:uiPriority w:val="99"/>
    <w:pPr>
      <w:ind w:firstLine="420" w:firstLineChars="100"/>
    </w:pPr>
  </w:style>
  <w:style w:type="paragraph" w:styleId="5">
    <w:name w:val="Body Text"/>
    <w:basedOn w:val="1"/>
    <w:next w:val="6"/>
    <w:qFormat/>
    <w:uiPriority w:val="99"/>
    <w:pPr>
      <w:spacing w:after="120"/>
    </w:pPr>
    <w:rPr>
      <w:rFonts w:ascii="Times New Roman" w:hAnsi="Times New Roman" w:eastAsia="宋体" w:cs="Times New Roman"/>
    </w:r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Normal Indent"/>
    <w:basedOn w:val="1"/>
    <w:next w:val="1"/>
    <w:qFormat/>
    <w:uiPriority w:val="0"/>
  </w:style>
  <w:style w:type="paragraph" w:styleId="8">
    <w:name w:val="index 6"/>
    <w:basedOn w:val="1"/>
    <w:next w:val="1"/>
    <w:qFormat/>
    <w:uiPriority w:val="0"/>
    <w:pPr>
      <w:ind w:left="2100"/>
    </w:pPr>
  </w:style>
  <w:style w:type="paragraph" w:styleId="9">
    <w:name w:val="Body Text Indent 2"/>
    <w:basedOn w:val="1"/>
    <w:unhideWhenUsed/>
    <w:qFormat/>
    <w:uiPriority w:val="99"/>
    <w:pPr>
      <w:spacing w:after="120" w:line="480" w:lineRule="auto"/>
      <w:ind w:left="420" w:leftChars="200"/>
    </w:pPr>
  </w:style>
  <w:style w:type="paragraph" w:styleId="10">
    <w:name w:val="footer"/>
    <w:basedOn w:val="1"/>
    <w:next w:val="8"/>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5">
    <w:name w:val="Default"/>
    <w:next w:val="1"/>
    <w:qFormat/>
    <w:uiPriority w:val="0"/>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 w:type="character" w:customStyle="1" w:styleId="16">
    <w:name w:val="font81"/>
    <w:basedOn w:val="13"/>
    <w:qFormat/>
    <w:uiPriority w:val="0"/>
    <w:rPr>
      <w:rFonts w:hint="eastAsia" w:ascii="宋体" w:hAnsi="宋体" w:eastAsia="宋体" w:cs="宋体"/>
      <w:color w:val="000000"/>
      <w:sz w:val="20"/>
      <w:szCs w:val="20"/>
      <w:u w:val="none"/>
    </w:rPr>
  </w:style>
  <w:style w:type="paragraph" w:customStyle="1" w:styleId="17">
    <w:name w:val="索引 51"/>
    <w:basedOn w:val="1"/>
    <w:next w:val="1"/>
    <w:qFormat/>
    <w:uiPriority w:val="0"/>
    <w:pPr>
      <w:ind w:left="1680"/>
    </w:pPr>
  </w:style>
  <w:style w:type="character" w:customStyle="1" w:styleId="18">
    <w:name w:val="font11"/>
    <w:basedOn w:val="13"/>
    <w:qFormat/>
    <w:uiPriority w:val="0"/>
    <w:rPr>
      <w:rFonts w:hint="default" w:ascii="Times New Roman" w:hAnsi="Times New Roman" w:cs="Times New Roman"/>
      <w:color w:val="000000"/>
      <w:sz w:val="20"/>
      <w:szCs w:val="20"/>
      <w:u w:val="none"/>
    </w:rPr>
  </w:style>
  <w:style w:type="paragraph" w:customStyle="1" w:styleId="19">
    <w:name w:val="p0"/>
    <w:basedOn w:val="1"/>
    <w:qFormat/>
    <w:uiPriority w:val="99"/>
    <w:pPr>
      <w:widowControl/>
    </w:pPr>
    <w:rPr>
      <w:rFonts w:ascii="Calibri" w:hAnsi="Calibri" w:eastAsia="方正仿宋_GBK" w:cs="Calibri"/>
      <w:kern w:val="0"/>
      <w:sz w:val="33"/>
      <w:szCs w:val="33"/>
    </w:rPr>
  </w:style>
  <w:style w:type="character" w:customStyle="1" w:styleId="20">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19219</Words>
  <Characters>30326</Characters>
  <Lines>0</Lines>
  <Paragraphs>0</Paragraphs>
  <TotalTime>2</TotalTime>
  <ScaleCrop>false</ScaleCrop>
  <LinksUpToDate>false</LinksUpToDate>
  <CharactersWithSpaces>33821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2023-11-06T04:32:00Z</dcterms:created>
  <dc:creator>NTKO</dc:creator>
  <cp:lastModifiedBy>NTKO</cp:lastModifiedBy>
  <cp:lastPrinted>2024-11-14T08:28:00Z</cp:lastPrinted>
  <dcterms:modified xsi:type="dcterms:W3CDTF">2025-03-10T03:32:50Z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37D64DA4505D40A4AC247C543A4ABF5F_11</vt:lpwstr>
  </property>
</Properties>
</file>