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Lines="0" w:after="0" w:afterLines="0" w:line="54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重庆市大渡口区发展和改革委员会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Lines="0" w:after="0" w:afterLines="0" w:line="54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重庆市大渡口区农业农村委员会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Lines="0" w:after="0" w:afterLines="0" w:line="54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eastAsia="方正小标宋_GBK"/>
          <w:sz w:val="42"/>
          <w:szCs w:val="42"/>
        </w:rPr>
        <w:t>关于制定我区农业用水指导价格的通知</w:t>
      </w:r>
    </w:p>
    <w:p>
      <w:pPr>
        <w:pStyle w:val="7"/>
        <w:tabs>
          <w:tab w:val="left" w:pos="8125"/>
          <w:tab w:val="left" w:pos="8450"/>
        </w:tabs>
        <w:spacing w:line="560" w:lineRule="exact"/>
        <w:ind w:firstLine="160" w:firstLineChars="50"/>
        <w:jc w:val="center"/>
        <w:rPr>
          <w:rFonts w:hint="default" w:ascii="Times New Roman" w:hAnsi="Times New Roman" w:eastAsia="方正仿宋_GBK" w:cs="Times New Roman"/>
          <w:szCs w:val="32"/>
          <w:lang w:eastAsia="zh-CN"/>
        </w:rPr>
      </w:pPr>
      <w:bookmarkStart w:id="0" w:name="OLE_LINK1"/>
      <w:r>
        <w:rPr>
          <w:rFonts w:hint="default" w:ascii="Times New Roman" w:hAnsi="Times New Roman" w:eastAsia="方正仿宋_GBK" w:cs="Times New Roman"/>
          <w:szCs w:val="32"/>
          <w:lang w:eastAsia="zh-CN"/>
        </w:rPr>
        <w:t>渡发改发</w:t>
      </w:r>
      <w:r>
        <w:rPr>
          <w:rFonts w:hint="default" w:ascii="Times New Roman" w:hAnsi="Times New Roman" w:eastAsia="方正仿宋_GBK" w:cs="Times New Roman"/>
          <w:szCs w:val="32"/>
        </w:rPr>
        <w:t>〔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Cs w:val="32"/>
        </w:rPr>
        <w:t>〕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74</w:t>
      </w:r>
      <w:r>
        <w:rPr>
          <w:rFonts w:hint="default" w:ascii="Times New Roman" w:hAnsi="Times New Roman" w:eastAsia="方正仿宋_GBK" w:cs="Times New Roman"/>
          <w:color w:val="auto"/>
          <w:szCs w:val="32"/>
        </w:rPr>
        <w:t>号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各镇人民政府，各有关单位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为深入贯彻落实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国务院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、市政府推进农业水价综合改革有关文件精神，建立健全我区农业水价机制。根据《重庆</w:t>
      </w:r>
      <w:bookmarkStart w:id="1" w:name="_GoBack"/>
      <w:bookmarkEnd w:id="1"/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市人民政府办公厅关于推进农业水价综合改革（试点）的实施意见》（渝府办发〔2016〕150号）以及《重庆市物价局  重庆市水利局关于加强农业水价管理的指导意见》（渝价〔2018〕89号）文件要求，结合我区实际，制定了我区农业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水价最高指导价标准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农业水价价格管理形式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我区农业水价，实行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指导价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与市场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调节价相结合的价格管理形式。区属中小型灌区骨干工程农业水价、小型水利工程农业水价实行政府指导价，社会资本投入建设、农村集体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所有、用户自建自用及供方与终端用户签订供水价格协议的，由供需双方协商议定价格。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二、</w:t>
      </w:r>
      <w:r>
        <w:rPr>
          <w:rFonts w:ascii="Times New Roman" w:hAnsi="Times New Roman" w:eastAsia="方正黑体_GBK" w:cs="Times New Roman"/>
          <w:sz w:val="32"/>
          <w:szCs w:val="32"/>
        </w:rPr>
        <w:t>农业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水价政府指导价标准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农业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水价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实行差别化价格机制和超定额累进加价制度。区别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粮食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作物、经济作物、养殖业等不同用水类型，实行分类水价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区分提水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灌溉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自流灌溉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供水价格。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提水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灌溉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供水价格：粮食作物为 0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.46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元/m³、经济作物为0.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49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元/m³ 、养殖业为0.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52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元/m³ ；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自流灌溉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供水价格：粮食作物为 0.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15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元/m³、经济作物为0.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18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元/m³ 、养殖业为0.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21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元/m³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以上农业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水价政府指导价标准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为最高限价，各</w:t>
      </w:r>
      <w:r>
        <w:rPr>
          <w:rFonts w:ascii="Times New Roman" w:hAnsi="Times New Roman" w:eastAsia="方正仿宋_GBK" w:cs="Times New Roman"/>
          <w:sz w:val="32"/>
          <w:szCs w:val="32"/>
        </w:rPr>
        <w:t>农业用水经营管理单位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可根据实际情况下浮执行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具体执行价格报各镇人民政府登记。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both"/>
        <w:textAlignment w:val="auto"/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三、建立超定额累进加价制度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农业用水实行定额管理，按照改革要求，建立超定额累进加价制度。以既定水权的三个控制目标为基础（节水鼓励线、初始水权线、耗水警戒线）划定阶梯水价，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即：用水量在节水鼓励线及以下的按照水价的90%收取水费；用水量在节水鼓励线以上，初始水权线及以下的按照水价的95%收取水费；用水量在初始水权线以上，耗水警戒线及以下的按照水价的105%收取水费；用水量在耗水警戒线以上的按照水价的110%收取水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四、</w:t>
      </w:r>
      <w:r>
        <w:rPr>
          <w:rFonts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执行时间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本通知自发文之日起执行。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五、</w:t>
      </w:r>
      <w:r>
        <w:rPr>
          <w:rFonts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其他事项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各农业用水经营管理单位应通过供水合同或协议明确供水结算价格、供水量、供水面积、供水对象、供水范围及双方的权利和义务，水费征收按实际出口表计征收，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按方计费，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并严格执行价格公示制度，公开用水指标、实用水量、水价标准、水费额度，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增强水费征收的透明度，坚决防止乱加价、乱收费。加强水费的使用监督，严禁乱挪用、乱开支，切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实提高水费使用效益。原有关规定凡与本通知不符的，按本通知执行。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" w:firstLineChars="200"/>
        <w:jc w:val="both"/>
        <w:textAlignment w:val="auto"/>
        <w:rPr>
          <w:rFonts w:hint="eastAsia" w:ascii="Times New Roman" w:hAnsi="Times New Roman" w:eastAsia="方正仿宋_GBK" w:cs="Times New Roman"/>
          <w:w w:val="85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w w:val="85"/>
          <w:kern w:val="2"/>
          <w:sz w:val="32"/>
          <w:szCs w:val="32"/>
          <w:lang w:val="en-US" w:eastAsia="zh-CN" w:bidi="ar-SA"/>
        </w:rPr>
        <w:t>重庆市大渡口区发展和改革委员会  重庆市大渡口区农业农村委员会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日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3" w:type="default"/>
      <w:footerReference r:id="rId4" w:type="default"/>
      <w:pgSz w:w="11906" w:h="16838"/>
      <w:pgMar w:top="1962" w:right="1474" w:bottom="1281" w:left="1587" w:header="851" w:footer="992" w:gutter="0"/>
      <w:pgNumType w:fmt="decimal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148590</wp:posOffset>
              </wp:positionV>
              <wp:extent cx="5619750" cy="8255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9750" cy="825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11.7pt;height:0.65pt;width:442.5pt;z-index:251660288;mso-width-relative:page;mso-height-relative:page;" filled="f" stroked="t" coordsize="21600,21600" o:gfxdata="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e1HmdQA&#10;AAAGAQAADwAAAAAAAAABACAAAAAiAAAAZHJzL2Rvd25yZXYueG1sUEsBAhQAFAAAAAgAh07iQC3/&#10;OW7qAQAAtwMAAA4AAAAAAAAAAQAgAAAAIwEAAGRycy9lMm9Eb2MueG1sUEsFBgAAAAAGAAYAWQEA&#10;AH8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重庆市大渡口区发展和改革委员会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5619750" cy="0"/>
              <wp:effectExtent l="0" t="10795" r="0" b="1778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1975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442.5pt;z-index:251659264;mso-width-relative:page;mso-height-relative:page;" filled="f" stroked="t" coordsize="21600,21600" o:gfxdata="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tbrDdQAAAAHAQAADwAAAAAAAAABACAAAAAiAAAAZHJzL2Rvd25yZXYueG1sUEsBAhQAFAAA&#10;AAgAh07iQLLVgYfzAQAAvQMAAA4AAAAAAAAAAQAgAAAAIw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重庆市大渡口区发展和改革委员会行政规范性文件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61A185"/>
    <w:multiLevelType w:val="singleLevel"/>
    <w:tmpl w:val="AF61A1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4NGVlNTczMGZhODQxYmYxYTI4YjkxM2FkNjNlNGQifQ=="/>
  </w:docVars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68790A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17B0A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6EE7604A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362133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  <w:rPr>
      <w:rFonts w:ascii="等线" w:hAnsi="等线" w:eastAsia="等线"/>
      <w:sz w:val="21"/>
      <w:szCs w:val="22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next w:val="6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33"/>
      <w:szCs w:val="24"/>
      <w:lang w:val="en-US" w:eastAsia="zh-CN" w:bidi="ar-SA"/>
    </w:rPr>
  </w:style>
  <w:style w:type="paragraph" w:customStyle="1" w:styleId="6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7">
    <w:name w:val="Date"/>
    <w:basedOn w:val="1"/>
    <w:next w:val="1"/>
    <w:qFormat/>
    <w:uiPriority w:val="0"/>
    <w:rPr>
      <w:rFonts w:eastAsia="仿宋_GB2312"/>
      <w:sz w:val="32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  <w:bCs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1018</Words>
  <Characters>1075</Characters>
  <Lines>1</Lines>
  <Paragraphs>1</Paragraphs>
  <TotalTime>10</TotalTime>
  <ScaleCrop>false</ScaleCrop>
  <LinksUpToDate>false</LinksUpToDate>
  <CharactersWithSpaces>1089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2022-06-06T16:09:00Z</cp:lastPrinted>
  <dcterms:modified xsi:type="dcterms:W3CDTF">2024-10-16T01:22:53Z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48C61CB29D3F4D9384F5922CF0F7FFB4</vt:lpwstr>
  </property>
</Properties>
</file>