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5号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w:t>
      </w:r>
      <w:r>
        <w:rPr>
          <w:rFonts w:hint="eastAsia" w:ascii="方正仿宋_GBK" w:hAnsi="方正仿宋_GBK" w:eastAsia="方正仿宋_GBK" w:cs="方正仿宋_GBK"/>
          <w:sz w:val="28"/>
          <w:szCs w:val="28"/>
          <w:lang w:eastAsia="zh-CN"/>
        </w:rPr>
        <w:t>庆万吨冷储物流有限公司：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w:t>
      </w:r>
      <w:bookmarkStart w:id="0" w:name="_GoBack"/>
      <w:bookmarkEnd w:id="0"/>
      <w:r>
        <w:rPr>
          <w:rFonts w:hint="eastAsia" w:ascii="方正仿宋_GBK" w:hAnsi="方正仿宋_GBK" w:eastAsia="方正仿宋_GBK" w:cs="方正仿宋_GBK"/>
          <w:sz w:val="28"/>
          <w:szCs w:val="28"/>
          <w:lang w:eastAsia="zh-CN"/>
        </w:rPr>
        <w:t>的审批办法〉的通知》（劳部发〔1994〕503号）第四条、第五条之规定，准予许可你公司的部分工作岗位在2022年4月至2023年3月期间，实行不定时工作制和以月为周期的综合计算工时工作制。具体意见如下：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（一）公司的高管、部门经理、驾驶员、采购员4种工作岗位实行不定时工作制。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（二）公司的中控操作工、维修工、制冷操作工、配电工、制水工、安保人员6种工作岗位实行以月为周期的综合计算工时工作制。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二、实行不定时工作制职工每天的实际工作时间与法定标准工作时间基本相同且平均每周至少休息一天。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四、此决定及你公司提交的《重庆市用人单位实行特殊工时制度申请表》及相关资料应向职工公示15个工作日，并请严格按决定的岗位人员范围依法组织实施，保障职工休息休假等权利。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18</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2E435650"/>
    <w:rsid w:val="2FAD47EE"/>
    <w:rsid w:val="363E1389"/>
    <w:rsid w:val="390D2362"/>
    <w:rsid w:val="48130CB9"/>
    <w:rsid w:val="4E3953C1"/>
    <w:rsid w:val="4F5F6129"/>
    <w:rsid w:val="514E08B7"/>
    <w:rsid w:val="533C2896"/>
    <w:rsid w:val="539F5DA0"/>
    <w:rsid w:val="56E04EB4"/>
    <w:rsid w:val="58841F23"/>
    <w:rsid w:val="590F2A61"/>
    <w:rsid w:val="5BCC0E0D"/>
    <w:rsid w:val="5D7B0812"/>
    <w:rsid w:val="608D09BA"/>
    <w:rsid w:val="614A64B0"/>
    <w:rsid w:val="64D73B01"/>
    <w:rsid w:val="65684C5F"/>
    <w:rsid w:val="682D7D99"/>
    <w:rsid w:val="6B27286F"/>
    <w:rsid w:val="6DC91457"/>
    <w:rsid w:val="70E543BD"/>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2022-03-18T08:31:58Z</cp:lastPrinted>
  <dcterms:modified xsi:type="dcterms:W3CDTF">2022-03-18T08:33:01Z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5A2B29F06F4D4EC6A3EF0D23FE4103E0</vt:lpwstr>
  </property>
</Properties>
</file>