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720" w:lineRule="exact"/>
        <w:ind w:left="2194"/>
        <w:textAlignment w:val="baseline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准予行政许可决定书</w:t>
      </w:r>
    </w:p>
    <w:p>
      <w:pPr>
        <w:pStyle w:val="2"/>
        <w:spacing w:before="75" w:line="237" w:lineRule="auto"/>
        <w:ind w:left="2111"/>
      </w:pPr>
      <w:r>
        <w:rPr>
          <w:spacing w:val="5"/>
        </w:rPr>
        <w:t>渡人社遣变字〔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〕第</w:t>
      </w:r>
      <w:r>
        <w:rPr>
          <w:rFonts w:hint="eastAsia" w:ascii="Times New Roman" w:hAnsi="Times New Roman" w:eastAsia="宋体" w:cs="Times New Roman"/>
          <w:spacing w:val="5"/>
          <w:lang w:val="en-US" w:eastAsia="zh-CN"/>
        </w:rPr>
        <w:t xml:space="preserve"> 8 </w:t>
      </w:r>
      <w:r>
        <w:rPr>
          <w:spacing w:val="5"/>
        </w:rPr>
        <w:t>号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594" w:lineRule="exact"/>
        <w:ind w:right="16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申请人（公司名称）: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u w:val="single"/>
          <w:lang w:eastAsia="zh-CN"/>
        </w:rPr>
        <w:t>重庆臻焱节能环保科技股份有限公司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594" w:lineRule="exact"/>
        <w:ind w:right="16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地址（住所）：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u w:val="single"/>
          <w:lang w:val="en-US" w:eastAsia="zh-CN"/>
        </w:rPr>
        <w:t>重庆市大渡口区翠柏路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single"/>
          <w:lang w:val="en-US" w:eastAsia="zh-CN"/>
        </w:rPr>
        <w:t>104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u w:val="single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u w:val="single"/>
          <w:lang w:val="en-US" w:eastAsia="zh-CN"/>
        </w:rPr>
        <w:t>幢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single"/>
          <w:lang w:val="en-US" w:eastAsia="zh-CN"/>
        </w:rPr>
        <w:t>9-6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94" w:lineRule="exact"/>
        <w:ind w:left="47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法定代表人（负责人）：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u w:val="single"/>
          <w:lang w:eastAsia="zh-CN"/>
        </w:rPr>
        <w:t>严礼祥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94" w:lineRule="exact"/>
        <w:ind w:left="27" w:right="13" w:firstLine="657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u w:val="none"/>
          <w:lang w:eastAsia="zh-CN"/>
        </w:rPr>
        <w:t>重庆臻焱节能环保科技股份有限公司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日提出的劳务派遣机构名称、住所变更行政许可申请（受理编号：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11500104009286340P400011400800102202406179201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），经审查，符合法定条件，根据《劳务派遣行政许可实施办法》第二章第十六条之规定，准予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u w:val="none"/>
          <w:lang w:eastAsia="zh-CN"/>
        </w:rPr>
        <w:t>重庆臻焱节能环保科技股份有限公司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名称由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重庆臻焱节能环保科技有限公司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变更为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重庆臻焱节能环保科技股份有限公司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，住所由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重庆市大渡口区春晖路街道翠柏路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101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幢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-2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变更为重庆市大渡口区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翠柏路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104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幢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9-6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，并据此为其换发新的《劳务派遣经营许可证》。</w:t>
      </w:r>
      <w:bookmarkStart w:id="0" w:name="_GoBack"/>
      <w:bookmarkEnd w:id="0"/>
    </w:p>
    <w:p>
      <w:pPr>
        <w:spacing w:line="287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88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594" w:lineRule="exact"/>
        <w:ind w:left="5710" w:leftChars="1314" w:right="164" w:hanging="2951" w:hangingChars="928"/>
        <w:textAlignment w:val="baseline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重庆市大渡口区人力资源和社会保障</w:t>
      </w:r>
      <w:r>
        <w:rPr>
          <w:rFonts w:hint="eastAsia" w:cs="方正仿宋_GBK"/>
          <w:spacing w:val="-1"/>
          <w:sz w:val="32"/>
          <w:szCs w:val="32"/>
          <w:lang w:eastAsia="zh-CN"/>
        </w:rPr>
        <w:t>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594" w:lineRule="exact"/>
        <w:ind w:left="5718" w:leftChars="2074" w:right="164" w:hanging="1363" w:hangingChars="426"/>
        <w:textAlignment w:val="baseline"/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日</w:t>
      </w:r>
    </w:p>
    <w:sectPr>
      <w:pgSz w:w="11906" w:h="16839"/>
      <w:pgMar w:top="2098" w:right="1531" w:bottom="1984" w:left="1531" w:header="85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yYjQ2NDA3YjA3ZGNkZWJjNTVjMTY5YTJmYzNiY2QifQ=="/>
  </w:docVars>
  <w:rsids>
    <w:rsidRoot w:val="00000000"/>
    <w:rsid w:val="3C29367E"/>
    <w:rsid w:val="6243752F"/>
    <w:rsid w:val="747D2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383</Characters>
  <TotalTime>3</TotalTime>
  <ScaleCrop>false</ScaleCrop>
  <LinksUpToDate>false</LinksUpToDate>
  <CharactersWithSpaces>395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2024-04-18T14:45:00Z</dcterms:created>
  <dc:creator>微软用户</dc:creator>
  <cp:lastModifiedBy>石上花间</cp:lastModifiedBy>
  <dcterms:modified xsi:type="dcterms:W3CDTF">2024-06-18T07:07:16Z</dcterms:modified>
  <dc:title>准予行政许可决定书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2024-05-31T11:53:08Z</vt:filetime>
  </property>
  <property fmtid="{D5CDD505-2E9C-101B-9397-08002B2CF9AE}" pid="4" name="KSOProductBuildVer">
    <vt:lpwstr>2052-12.1.0.16929</vt:lpwstr>
  </property>
  <property fmtid="{D5CDD505-2E9C-101B-9397-08002B2CF9AE}" pid="5" name="ICV">
    <vt:lpwstr>2B3C500DAE3C47CEBAF96C26D014390C_12</vt:lpwstr>
  </property>
</Properties>
</file>