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hint="default" w:ascii="t" w:hAnsi="t" w:eastAsia="方正小标宋_GBK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" w:hAnsi="t" w:eastAsia="方正小标宋_GBK" w:cs="宋体"/>
          <w:kern w:val="0"/>
          <w:sz w:val="32"/>
          <w:szCs w:val="32"/>
          <w:u w:val="none"/>
          <w:lang w:val="en-US" w:eastAsia="zh-CN"/>
        </w:rPr>
        <w:t>附件</w:t>
      </w:r>
    </w:p>
    <w:p>
      <w:pPr>
        <w:widowControl/>
        <w:ind w:left="840" w:hanging="1320" w:hangingChars="300"/>
        <w:jc w:val="center"/>
        <w:rPr>
          <w:rFonts w:hint="eastAsia" w:ascii="t" w:hAnsi="t" w:eastAsia="方正小标宋_GBK" w:cs="宋体"/>
          <w:kern w:val="0"/>
          <w:sz w:val="44"/>
          <w:szCs w:val="44"/>
        </w:rPr>
      </w:pP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区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202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年</w:t>
      </w:r>
      <w:r>
        <w:rPr>
          <w:rFonts w:hint="eastAsia" w:ascii="t" w:hAnsi="t" w:eastAsia="方正小标宋_GBK" w:cs="宋体"/>
          <w:kern w:val="0"/>
          <w:sz w:val="44"/>
          <w:szCs w:val="44"/>
          <w:lang w:val="en-US" w:eastAsia="zh-CN"/>
        </w:rPr>
        <w:t>第二批</w:t>
      </w:r>
      <w:r>
        <w:rPr>
          <w:rFonts w:hint="eastAsia" w:ascii="t" w:hAnsi="t" w:eastAsia="方正小标宋_GBK" w:cs="宋体"/>
          <w:kern w:val="0"/>
          <w:sz w:val="44"/>
          <w:szCs w:val="44"/>
        </w:rPr>
        <w:t>享受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企业新型学徒制培训预支补贴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公示表</w:t>
      </w:r>
    </w:p>
    <w:tbl>
      <w:tblPr>
        <w:tblStyle w:val="4"/>
        <w:tblW w:w="53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276"/>
        <w:gridCol w:w="1476"/>
        <w:gridCol w:w="1682"/>
        <w:gridCol w:w="1721"/>
        <w:gridCol w:w="839"/>
        <w:gridCol w:w="1453"/>
        <w:gridCol w:w="2124"/>
        <w:gridCol w:w="121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  <w:lang w:eastAsia="zh-CN"/>
              </w:rPr>
              <w:t>培训机构</w:t>
            </w: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696" w:type="pct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  <w:lang w:val="en-US" w:eastAsia="zh-CN"/>
              </w:rPr>
              <w:t>50%</w:t>
            </w: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</w:pPr>
            <w:bookmarkStart w:id="0" w:name="_Hlk57914090"/>
            <w:bookmarkStart w:id="1" w:name="_Hlk57914810"/>
            <w:r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" w:hAnsi="t" w:eastAsia="方正仿宋_GBK"/>
                <w:sz w:val="24"/>
                <w:szCs w:val="24"/>
                <w:lang w:eastAsia="zh-CN"/>
              </w:rPr>
              <w:t>重庆冶金高级技工学校</w:t>
            </w:r>
          </w:p>
        </w:tc>
        <w:tc>
          <w:tcPr>
            <w:tcW w:w="484" w:type="pct"/>
            <w:vMerge w:val="restart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新型学徒制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车工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职业资格证书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125000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重庆利德工业制造有限公司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" w:hAnsi="t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" w:hAnsi="t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484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电工</w:t>
            </w:r>
          </w:p>
        </w:tc>
        <w:tc>
          <w:tcPr>
            <w:tcW w:w="564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初级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696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112500</w:t>
            </w:r>
          </w:p>
        </w:tc>
        <w:tc>
          <w:tcPr>
            <w:tcW w:w="6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重庆嘉威啤酒有限公司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2782" w:type="pct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6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237500</w:t>
            </w:r>
          </w:p>
        </w:tc>
        <w:tc>
          <w:tcPr>
            <w:tcW w:w="6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bookmarkEnd w:id="1"/>
    </w:tbl>
    <w:p>
      <w:pPr>
        <w:widowControl/>
        <w:shd w:val="clear" w:color="auto" w:fill="FFFFFF"/>
        <w:spacing w:line="30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《重庆市人力资源和社会保障局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重庆市经济和信息化委员会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重庆市财政局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重庆市国有资产监督管理委员会重庆市总工会重庆工商业联合会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关于全面推行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中国特色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企业新型学徒制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加强技能人才培养工作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的通知》（</w:t>
      </w:r>
      <w:bookmarkStart w:id="2" w:name="文种"/>
      <w:r>
        <w:rPr>
          <w:rFonts w:hint="eastAsia" w:ascii="方正仿宋_GBK" w:hAnsi="方正仿宋_GBK" w:eastAsia="方正仿宋_GBK" w:cs="方正仿宋_GBK"/>
          <w:sz w:val="28"/>
          <w:szCs w:val="28"/>
        </w:rPr>
        <w:t>渝人社发</w:t>
      </w:r>
      <w:bookmarkEnd w:id="2"/>
      <w:r>
        <w:rPr>
          <w:rFonts w:hint="eastAsia" w:ascii="方正仿宋_GBK" w:hAnsi="方正仿宋_GBK" w:eastAsia="方正仿宋_GBK" w:cs="方正仿宋_GBK"/>
          <w:sz w:val="28"/>
          <w:szCs w:val="28"/>
        </w:rPr>
        <w:t>〔</w:t>
      </w:r>
      <w:bookmarkStart w:id="3" w:name="年份"/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bookmarkEnd w:id="3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〕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执行</w:t>
      </w:r>
    </w:p>
    <w:p>
      <w:pPr>
        <w:widowControl/>
        <w:shd w:val="clear" w:color="auto" w:fill="FFFFFF"/>
        <w:spacing w:line="300" w:lineRule="exact"/>
        <w:rPr>
          <w:rFonts w:hint="eastAsia" w:ascii="t" w:hAnsi="t"/>
        </w:rPr>
      </w:pPr>
    </w:p>
    <w:sectPr>
      <w:headerReference r:id="rId3" w:type="default"/>
      <w:footerReference r:id="rId4" w:type="default"/>
      <w:pgSz w:w="16838" w:h="11906" w:orient="landscape"/>
      <w:pgMar w:top="980" w:right="1440" w:bottom="84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3ZDgwOWU5NzhjNzViZWYzMGRkMjVjM2I3OGM1ODkifQ=="/>
  </w:docVars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3716D82"/>
    <w:rsid w:val="0412246B"/>
    <w:rsid w:val="05560245"/>
    <w:rsid w:val="07C84E80"/>
    <w:rsid w:val="09E70802"/>
    <w:rsid w:val="0A296596"/>
    <w:rsid w:val="0B4904C6"/>
    <w:rsid w:val="0BB97C70"/>
    <w:rsid w:val="0CF41299"/>
    <w:rsid w:val="130F3DE2"/>
    <w:rsid w:val="146129E0"/>
    <w:rsid w:val="16CA5C52"/>
    <w:rsid w:val="19C93A65"/>
    <w:rsid w:val="1AC8139B"/>
    <w:rsid w:val="1E722663"/>
    <w:rsid w:val="1E9124FE"/>
    <w:rsid w:val="1FB66AF2"/>
    <w:rsid w:val="21667D9C"/>
    <w:rsid w:val="293D6360"/>
    <w:rsid w:val="2AC01104"/>
    <w:rsid w:val="2B58495B"/>
    <w:rsid w:val="32727750"/>
    <w:rsid w:val="32754E6B"/>
    <w:rsid w:val="35292CBB"/>
    <w:rsid w:val="35D839AE"/>
    <w:rsid w:val="3C7B19A0"/>
    <w:rsid w:val="42130621"/>
    <w:rsid w:val="46837DB4"/>
    <w:rsid w:val="55CA372A"/>
    <w:rsid w:val="57DE55B1"/>
    <w:rsid w:val="59247AFF"/>
    <w:rsid w:val="594261A9"/>
    <w:rsid w:val="5AD36351"/>
    <w:rsid w:val="66EF6257"/>
    <w:rsid w:val="6E3658EB"/>
    <w:rsid w:val="6E3C4A9F"/>
    <w:rsid w:val="719573C4"/>
    <w:rsid w:val="739A733F"/>
    <w:rsid w:val="76E27E16"/>
    <w:rsid w:val="791A6777"/>
    <w:rsid w:val="7A7F2F45"/>
    <w:rsid w:val="7BB22CDF"/>
    <w:rsid w:val="7C3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236</Words>
  <Characters>266</Characters>
  <Lines>4</Lines>
  <Paragraphs>1</Paragraphs>
  <TotalTime>129</TotalTime>
  <ScaleCrop>false</ScaleCrop>
  <LinksUpToDate>false</LinksUpToDate>
  <CharactersWithSpaces>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zouqinshu</cp:lastModifiedBy>
  <cp:lastPrinted>2021-08-31T01:36:00Z</cp:lastPrinted>
  <dcterms:modified xsi:type="dcterms:W3CDTF">2022-12-04T12:34:41Z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2052-11.1.0.12763</vt:lpwstr>
  </property>
  <property fmtid="{D5CDD505-2E9C-101B-9397-08002B2CF9AE}" pid="4" name="ICV">
    <vt:lpwstr>A72C03199BD74C79ACCF3452D2D0CF33</vt:lpwstr>
  </property>
</Properties>
</file>