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B3" w:rsidRDefault="006808B0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重庆市住房和城乡建设委员会</w:t>
      </w:r>
    </w:p>
    <w:p w:rsidR="000856B3" w:rsidRDefault="006808B0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关于贯彻执行新版建设工程勘察</w:t>
      </w:r>
    </w:p>
    <w:p w:rsidR="000856B3" w:rsidRDefault="006808B0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设计规范的通知</w:t>
      </w:r>
    </w:p>
    <w:p w:rsidR="00B76072" w:rsidRDefault="00B76072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</w:pP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渝建〔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2021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〕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11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号</w:t>
      </w:r>
    </w:p>
    <w:p w:rsidR="000856B3" w:rsidRPr="00B76072" w:rsidRDefault="000856B3">
      <w:pPr>
        <w:pStyle w:val="a3"/>
        <w:widowControl/>
        <w:spacing w:beforeAutospacing="0" w:after="180" w:afterAutospacing="0" w:line="600" w:lineRule="exact"/>
        <w:ind w:firstLine="420"/>
        <w:jc w:val="center"/>
        <w:rPr>
          <w:rFonts w:ascii="方正仿宋_GBK" w:eastAsia="方正仿宋_GBK" w:hint="eastAsia"/>
          <w:sz w:val="32"/>
          <w:szCs w:val="32"/>
        </w:rPr>
      </w:pP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各区县（自治县）住房城乡建委，两江新区、重庆高新区、万盛经开区、重庆经开区、双桥经开区建设局，各开发建设单位，各勘察设计企业，各施工图审查机构：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为了贯彻执行《建设工程质量管理条例》，加强工程建设质量管理工作，住建部最近批准发布了《建筑与市政工程抗震通用规范》等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22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部全文强制性条文的建设工程勘察设计规范（以下简称“新版规范”，详见附件）。为确保新版规范贯彻实施，实现新旧规范的顺利过渡，现就有关事项通知如下：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一、从新版规范实施之日起，全市建设工程初步设计编制、审查应按照新版规范执行。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二、从新版规范实施之日起，未取得施工图审查合格书的建设工程项目应按新版规范执行。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lastRenderedPageBreak/>
        <w:t>三、从新版规范实施之日起，工程建设标准设计中与新版规范不符的内容，视为无效，不得在勘察设计文件中采用，不得作为施工图审查的参考依据，地方标准规范中低于新版规范要求的应按新版规范要求执行。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四、各单位必须认真组织有关人员加强对新版规范的学习和培训。工程技术人员应尽快熟悉新版规范，准确掌握新版规范的内容和要求。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附件：新版建设工程勘察设计通用规范及实施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日期。</w:t>
      </w:r>
    </w:p>
    <w:p w:rsidR="00B76072" w:rsidRDefault="00B76072">
      <w:pPr>
        <w:pStyle w:val="a3"/>
        <w:widowControl/>
        <w:spacing w:beforeAutospacing="0" w:after="180" w:afterAutospacing="0" w:line="600" w:lineRule="exact"/>
        <w:ind w:firstLine="420"/>
        <w:jc w:val="right"/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</w:pPr>
    </w:p>
    <w:p w:rsidR="00B76072" w:rsidRDefault="00B76072">
      <w:pPr>
        <w:pStyle w:val="a3"/>
        <w:widowControl/>
        <w:spacing w:beforeAutospacing="0" w:after="180" w:afterAutospacing="0" w:line="600" w:lineRule="exact"/>
        <w:ind w:firstLine="420"/>
        <w:jc w:val="right"/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</w:pPr>
    </w:p>
    <w:p w:rsidR="00B76072" w:rsidRDefault="00B76072">
      <w:pPr>
        <w:pStyle w:val="a3"/>
        <w:widowControl/>
        <w:spacing w:beforeAutospacing="0" w:after="180" w:afterAutospacing="0" w:line="600" w:lineRule="exact"/>
        <w:ind w:firstLine="420"/>
        <w:jc w:val="right"/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</w:pP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jc w:val="right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重庆市住房和城乡建设委员会</w:t>
      </w:r>
    </w:p>
    <w:p w:rsidR="000856B3" w:rsidRPr="00B76072" w:rsidRDefault="006808B0">
      <w:pPr>
        <w:pStyle w:val="a3"/>
        <w:widowControl/>
        <w:spacing w:beforeAutospacing="0" w:after="180" w:afterAutospacing="0" w:line="600" w:lineRule="exact"/>
        <w:ind w:firstLine="420"/>
        <w:jc w:val="right"/>
        <w:rPr>
          <w:rFonts w:ascii="方正仿宋_GBK" w:eastAsia="方正仿宋_GBK" w:hint="eastAsia"/>
          <w:sz w:val="32"/>
          <w:szCs w:val="32"/>
        </w:rPr>
      </w:pP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2021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12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29</w:t>
      </w:r>
      <w:r w:rsidRPr="00B7607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0856B3" w:rsidRDefault="000856B3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B76072" w:rsidRDefault="00B76072" w:rsidP="00B76072">
      <w:pPr>
        <w:spacing w:line="6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lastRenderedPageBreak/>
        <w:t>新版建设工程勘察设计通用规范及</w:t>
      </w:r>
    </w:p>
    <w:p w:rsidR="00B76072" w:rsidRDefault="00B76072" w:rsidP="00B76072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实施日期</w:t>
      </w:r>
    </w:p>
    <w:p w:rsidR="00B76072" w:rsidRDefault="00B76072" w:rsidP="00B76072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tbl>
      <w:tblPr>
        <w:tblStyle w:val="a6"/>
        <w:tblW w:w="5573" w:type="pct"/>
        <w:tblInd w:w="-459" w:type="dxa"/>
        <w:tblLook w:val="04A0"/>
      </w:tblPr>
      <w:tblGrid>
        <w:gridCol w:w="851"/>
        <w:gridCol w:w="4677"/>
        <w:gridCol w:w="2126"/>
        <w:gridCol w:w="1845"/>
      </w:tblGrid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编号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实施日期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《市容环卫工程项目规范》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55013-2021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《生活垃圾处理处置工程项目规范》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55012-2021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《园林绿化工程项目规范》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55014-2021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《工程结构通用规范》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55001-2021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《钢结构通用规范》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55006-2021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《城市道路交通工程项目规范》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55011-2021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《供热工程项目规范》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55010-2021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《燃气工程项目规范》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55009-2021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《砌体结构通用规范》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55007-2021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《木结构通用规范》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55005-2021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《组合结构通用规范》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55004-2021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《建筑与市政地基基础通用规范》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55003-2021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《建筑与市政工程抗震通用规范》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55002-2021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5000" w:type="pct"/>
            <w:gridSpan w:val="4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建筑与市政工程无障碍通用规范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55019-2021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《建筑节能与可再生能源利用通用规范》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55015-2021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《建筑环境通用规范》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55016-2021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建筑给水排水与节水通用规范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55020-2021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《既有建筑维护与改造通用规范》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55022-2021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《工程测量通用规范》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55018-2021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《工程勘察通用规范》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55017-2021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《混凝土结构通用规范》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55008-2021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tr w:rsidR="00B76072" w:rsidTr="00B76072">
        <w:tc>
          <w:tcPr>
            <w:tcW w:w="448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2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《既有建筑鉴定与加固通用规范》</w:t>
            </w:r>
          </w:p>
        </w:tc>
        <w:tc>
          <w:tcPr>
            <w:tcW w:w="1119" w:type="pct"/>
            <w:vAlign w:val="center"/>
          </w:tcPr>
          <w:p w:rsidR="00B76072" w:rsidRDefault="00B76072" w:rsidP="00ED79C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GB 55021-2021</w:t>
            </w:r>
          </w:p>
        </w:tc>
        <w:tc>
          <w:tcPr>
            <w:tcW w:w="971" w:type="pct"/>
            <w:vAlign w:val="center"/>
          </w:tcPr>
          <w:p w:rsidR="00B76072" w:rsidRDefault="00B76072" w:rsidP="00ED79C5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2022</w:t>
            </w:r>
            <w:r>
              <w:rPr>
                <w:rFonts w:ascii="Times New Roman" w:eastAsia="方正仿宋_GBK" w:hAnsi="Times New Roman" w:cs="Times New Roman"/>
                <w:sz w:val="22"/>
              </w:rPr>
              <w:t>年</w:t>
            </w:r>
            <w:r>
              <w:rPr>
                <w:rFonts w:ascii="Times New Roman" w:eastAsia="方正仿宋_GBK" w:hAnsi="Times New Roman" w:cs="Times New Roman"/>
                <w:sz w:val="22"/>
              </w:rPr>
              <w:t>4</w:t>
            </w:r>
            <w:r>
              <w:rPr>
                <w:rFonts w:ascii="Times New Roman" w:eastAsia="方正仿宋_GBK" w:hAnsi="Times New Roman" w:cs="Times New Roman"/>
                <w:sz w:val="22"/>
              </w:rPr>
              <w:t>月</w:t>
            </w:r>
            <w:r>
              <w:rPr>
                <w:rFonts w:ascii="Times New Roman" w:eastAsia="方正仿宋_GBK" w:hAnsi="Times New Roman" w:cs="Times New Roman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sz w:val="22"/>
              </w:rPr>
              <w:t>日</w:t>
            </w:r>
          </w:p>
        </w:tc>
      </w:tr>
      <w:bookmarkEnd w:id="0"/>
    </w:tbl>
    <w:p w:rsidR="00B76072" w:rsidRPr="00B76072" w:rsidRDefault="00B7607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sectPr w:rsidR="00B76072" w:rsidRPr="00B76072" w:rsidSect="0008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B0" w:rsidRDefault="006808B0" w:rsidP="00B76072">
      <w:r>
        <w:separator/>
      </w:r>
    </w:p>
  </w:endnote>
  <w:endnote w:type="continuationSeparator" w:id="1">
    <w:p w:rsidR="006808B0" w:rsidRDefault="006808B0" w:rsidP="00B7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B0" w:rsidRDefault="006808B0" w:rsidP="00B76072">
      <w:r>
        <w:separator/>
      </w:r>
    </w:p>
  </w:footnote>
  <w:footnote w:type="continuationSeparator" w:id="1">
    <w:p w:rsidR="006808B0" w:rsidRDefault="006808B0" w:rsidP="00B76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1ZDBjMTFmNzVjYzI2YjI4ZWFiMWViOWM5OGNhZGYifQ=="/>
  </w:docVars>
  <w:rsids>
    <w:rsidRoot w:val="6C1771D3"/>
    <w:rsid w:val="000856B3"/>
    <w:rsid w:val="006808B0"/>
    <w:rsid w:val="00B76072"/>
    <w:rsid w:val="2BCC4267"/>
    <w:rsid w:val="6C17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56B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7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60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607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B7607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综合科李微微</dc:creator>
  <cp:lastModifiedBy>NTKO</cp:lastModifiedBy>
  <cp:revision>2</cp:revision>
  <dcterms:created xsi:type="dcterms:W3CDTF">2022-08-31T01:39:00Z</dcterms:created>
  <dcterms:modified xsi:type="dcterms:W3CDTF">2022-08-31T01:54:00Z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7ABA5B5DC19C4496A0F164947F287618</vt:lpwstr>
  </property>
</Properties>
</file>