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AFEFB">
      <w:pPr>
        <w:spacing w:after="0"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重庆市大渡口区招商投资促进局</w:t>
      </w:r>
    </w:p>
    <w:p w14:paraId="0125D324">
      <w:pPr>
        <w:spacing w:after="0"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钓鱼嘴投资机会清单制作服务</w:t>
      </w:r>
      <w:r>
        <w:rPr>
          <w:rFonts w:ascii="Times New Roman" w:hAnsi="Times New Roman" w:eastAsia="方正小标宋_GBK"/>
          <w:sz w:val="44"/>
          <w:szCs w:val="44"/>
        </w:rPr>
        <w:t>采购文件</w:t>
      </w:r>
    </w:p>
    <w:p w14:paraId="4345FD16">
      <w:pPr>
        <w:spacing w:after="0" w:line="594" w:lineRule="exact"/>
        <w:jc w:val="both"/>
        <w:rPr>
          <w:rFonts w:ascii="Times New Roman" w:hAnsi="Times New Roman" w:eastAsia="方正黑体_GBK"/>
          <w:sz w:val="32"/>
          <w:szCs w:val="32"/>
        </w:rPr>
      </w:pPr>
    </w:p>
    <w:p w14:paraId="5A204240">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一、采购内容</w:t>
      </w:r>
    </w:p>
    <w:tbl>
      <w:tblPr>
        <w:tblStyle w:val="1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1418"/>
        <w:gridCol w:w="1701"/>
        <w:gridCol w:w="2551"/>
      </w:tblGrid>
      <w:tr w14:paraId="2CA6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18" w:type="dxa"/>
            <w:vAlign w:val="center"/>
          </w:tcPr>
          <w:p w14:paraId="3BF903EC">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项目名称</w:t>
            </w:r>
          </w:p>
        </w:tc>
        <w:tc>
          <w:tcPr>
            <w:tcW w:w="1418" w:type="dxa"/>
            <w:vAlign w:val="center"/>
          </w:tcPr>
          <w:p w14:paraId="2E4A3E0A">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采购预算（万元）</w:t>
            </w:r>
          </w:p>
        </w:tc>
        <w:tc>
          <w:tcPr>
            <w:tcW w:w="1701" w:type="dxa"/>
            <w:vAlign w:val="center"/>
          </w:tcPr>
          <w:p w14:paraId="7390A709">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资金来源</w:t>
            </w:r>
          </w:p>
        </w:tc>
        <w:tc>
          <w:tcPr>
            <w:tcW w:w="2551" w:type="dxa"/>
            <w:vAlign w:val="center"/>
          </w:tcPr>
          <w:p w14:paraId="1CF49D11">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备注</w:t>
            </w:r>
          </w:p>
        </w:tc>
      </w:tr>
      <w:tr w14:paraId="4E58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3118" w:type="dxa"/>
            <w:vAlign w:val="center"/>
          </w:tcPr>
          <w:p w14:paraId="35A539DA">
            <w:pPr>
              <w:spacing w:after="0" w:line="600" w:lineRule="exact"/>
              <w:jc w:val="center"/>
              <w:rPr>
                <w:rFonts w:ascii="Times New Roman" w:hAnsi="Times New Roman" w:eastAsia="方正仿宋_GBK"/>
                <w:sz w:val="28"/>
                <w:szCs w:val="32"/>
              </w:rPr>
            </w:pPr>
            <w:r>
              <w:rPr>
                <w:rFonts w:hint="eastAsia" w:ascii="方正仿宋_GBK" w:hAnsi="方正仿宋_GBK" w:eastAsia="方正仿宋_GBK" w:cs="方正仿宋_GBK"/>
                <w:b w:val="0"/>
                <w:bCs w:val="0"/>
                <w:sz w:val="24"/>
                <w:szCs w:val="32"/>
                <w:highlight w:val="none"/>
                <w:lang w:eastAsia="zh-CN"/>
              </w:rPr>
              <w:t>钓鱼嘴投资机会清单</w:t>
            </w:r>
            <w:r>
              <w:rPr>
                <w:rFonts w:hint="eastAsia" w:ascii="方正仿宋_GBK" w:hAnsi="方正仿宋_GBK" w:eastAsia="方正仿宋_GBK" w:cs="方正仿宋_GBK"/>
                <w:b w:val="0"/>
                <w:bCs w:val="0"/>
                <w:sz w:val="24"/>
                <w:szCs w:val="32"/>
                <w:highlight w:val="none"/>
                <w:lang w:val="en-US" w:eastAsia="zh-CN"/>
              </w:rPr>
              <w:t>制作</w:t>
            </w:r>
            <w:r>
              <w:rPr>
                <w:rFonts w:hint="eastAsia" w:ascii="方正仿宋_GBK" w:hAnsi="方正仿宋_GBK" w:eastAsia="方正仿宋_GBK" w:cs="方正仿宋_GBK"/>
                <w:b w:val="0"/>
                <w:bCs w:val="0"/>
                <w:sz w:val="24"/>
                <w:szCs w:val="32"/>
                <w:highlight w:val="none"/>
              </w:rPr>
              <w:t>服务</w:t>
            </w:r>
          </w:p>
        </w:tc>
        <w:tc>
          <w:tcPr>
            <w:tcW w:w="1418" w:type="dxa"/>
            <w:vAlign w:val="center"/>
          </w:tcPr>
          <w:p w14:paraId="779589AD">
            <w:pPr>
              <w:spacing w:after="0" w:line="600" w:lineRule="exact"/>
              <w:jc w:val="center"/>
              <w:rPr>
                <w:rFonts w:hint="default" w:ascii="Times New Roman" w:hAnsi="Times New Roman" w:eastAsia="方正仿宋_GBK"/>
                <w:sz w:val="28"/>
                <w:szCs w:val="32"/>
                <w:lang w:val="en-US" w:eastAsia="zh-CN"/>
              </w:rPr>
            </w:pPr>
            <w:r>
              <w:rPr>
                <w:rFonts w:hint="eastAsia" w:ascii="Times New Roman" w:hAnsi="Times New Roman" w:eastAsia="方正仿宋_GBK"/>
                <w:sz w:val="24"/>
                <w:szCs w:val="32"/>
                <w:lang w:val="en-US" w:eastAsia="zh-CN"/>
              </w:rPr>
              <w:t>20</w:t>
            </w:r>
          </w:p>
        </w:tc>
        <w:tc>
          <w:tcPr>
            <w:tcW w:w="1701" w:type="dxa"/>
            <w:vAlign w:val="center"/>
          </w:tcPr>
          <w:p w14:paraId="1B685AFD">
            <w:pPr>
              <w:spacing w:after="0" w:line="500" w:lineRule="exact"/>
              <w:jc w:val="center"/>
              <w:rPr>
                <w:rFonts w:ascii="Times New Roman" w:hAnsi="Times New Roman" w:eastAsia="方正仿宋_GBK"/>
                <w:sz w:val="28"/>
                <w:szCs w:val="32"/>
              </w:rPr>
            </w:pPr>
            <w:r>
              <w:rPr>
                <w:rFonts w:hint="eastAsia" w:ascii="方正仿宋_GBK" w:hAnsi="方正仿宋_GBK" w:eastAsia="方正仿宋_GBK" w:cs="方正仿宋_GBK"/>
                <w:sz w:val="24"/>
                <w:szCs w:val="32"/>
                <w:highlight w:val="none"/>
              </w:rPr>
              <w:t>重大项目前期经费</w:t>
            </w:r>
          </w:p>
        </w:tc>
        <w:tc>
          <w:tcPr>
            <w:tcW w:w="2551" w:type="dxa"/>
            <w:vAlign w:val="center"/>
          </w:tcPr>
          <w:p w14:paraId="201B33D8">
            <w:pPr>
              <w:spacing w:after="0" w:line="600" w:lineRule="exact"/>
              <w:jc w:val="center"/>
              <w:rPr>
                <w:rFonts w:hint="default" w:ascii="Times New Roman" w:hAnsi="Times New Roman" w:eastAsia="方正仿宋_GBK" w:cs="Times New Roman"/>
                <w:sz w:val="24"/>
                <w:szCs w:val="24"/>
              </w:rPr>
            </w:pPr>
            <w:r>
              <w:rPr>
                <w:rStyle w:val="16"/>
                <w:rFonts w:hint="default" w:ascii="Times New Roman" w:hAnsi="Times New Roman" w:eastAsia="方正仿宋_GBK" w:cs="Times New Roman"/>
                <w:color w:val="auto"/>
                <w:highlight w:val="none"/>
              </w:rPr>
              <w:t>采购预算金额为投标总限价，报价不得超过</w:t>
            </w:r>
            <w:r>
              <w:rPr>
                <w:rStyle w:val="16"/>
                <w:rFonts w:hint="eastAsia" w:ascii="Times New Roman" w:hAnsi="Times New Roman" w:cs="Times New Roman"/>
                <w:color w:val="auto"/>
                <w:highlight w:val="none"/>
                <w:lang w:val="en-US" w:eastAsia="zh-CN"/>
              </w:rPr>
              <w:t>20</w:t>
            </w:r>
            <w:r>
              <w:rPr>
                <w:rStyle w:val="16"/>
                <w:rFonts w:hint="default" w:ascii="Times New Roman" w:hAnsi="Times New Roman" w:eastAsia="方正仿宋_GBK" w:cs="Times New Roman"/>
                <w:color w:val="auto"/>
                <w:highlight w:val="none"/>
              </w:rPr>
              <w:t>万元</w:t>
            </w:r>
          </w:p>
        </w:tc>
      </w:tr>
    </w:tbl>
    <w:p w14:paraId="7E5653C2">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二、投标资格</w:t>
      </w:r>
    </w:p>
    <w:p w14:paraId="1193D72C">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 xml:space="preserve">（一）资质条件 </w:t>
      </w:r>
    </w:p>
    <w:p w14:paraId="2BFE9A6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具有独立承担民事责任的能力； </w:t>
      </w:r>
    </w:p>
    <w:p w14:paraId="60D9F967">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具有良好的商业信誉和健全的财务会计制度；</w:t>
      </w:r>
    </w:p>
    <w:p w14:paraId="7AA2825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具有履行合同所必需的办公设备和专业技术能力；</w:t>
      </w:r>
    </w:p>
    <w:p w14:paraId="07347D7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有依法缴纳税收和社会保障资金的良好记录；</w:t>
      </w:r>
    </w:p>
    <w:p w14:paraId="55D1469B">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在社会信用体系中无严重失信记录；</w:t>
      </w:r>
    </w:p>
    <w:p w14:paraId="243F6C55">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6. </w:t>
      </w:r>
      <w:r>
        <w:rPr>
          <w:rFonts w:ascii="Times New Roman" w:hAnsi="Times New Roman" w:eastAsia="方正仿宋_GBK"/>
          <w:sz w:val="32"/>
          <w:szCs w:val="32"/>
        </w:rPr>
        <w:t>法律、行政法规规定的其他条件</w:t>
      </w:r>
      <w:r>
        <w:rPr>
          <w:rFonts w:hint="eastAsia" w:ascii="Times New Roman" w:hAnsi="Times New Roman" w:eastAsia="方正仿宋_GBK"/>
          <w:sz w:val="32"/>
          <w:szCs w:val="32"/>
        </w:rPr>
        <w:t>；</w:t>
      </w:r>
    </w:p>
    <w:p w14:paraId="568C4E0A">
      <w:pPr>
        <w:spacing w:after="0" w:line="600" w:lineRule="exact"/>
        <w:ind w:firstLine="598"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 有参与过项目策划、规划咨询等相关的技术服务，且能提供相关成果证明</w:t>
      </w:r>
      <w:r>
        <w:rPr>
          <w:rFonts w:hint="eastAsia" w:ascii="Times New Roman" w:hAnsi="Times New Roman" w:eastAsia="方正仿宋_GBK"/>
          <w:sz w:val="32"/>
          <w:szCs w:val="32"/>
          <w:lang w:eastAsia="zh-CN"/>
        </w:rPr>
        <w:t>。</w:t>
      </w:r>
    </w:p>
    <w:p w14:paraId="6161FE1E">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（二）本项目不接受联合体投标。</w:t>
      </w:r>
    </w:p>
    <w:p w14:paraId="36936EAC">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三、采购服务内容</w:t>
      </w:r>
    </w:p>
    <w:p w14:paraId="7765CC02">
      <w:pPr>
        <w:spacing w:after="0" w:line="600" w:lineRule="exact"/>
        <w:ind w:firstLine="598" w:firstLineChars="200"/>
        <w:jc w:val="both"/>
        <w:rPr>
          <w:rFonts w:hint="eastAsia" w:ascii="方正楷体_GBK" w:hAnsi="Times New Roman" w:eastAsia="方正楷体_GBK"/>
          <w:sz w:val="32"/>
          <w:szCs w:val="32"/>
        </w:rPr>
      </w:pPr>
      <w:r>
        <w:rPr>
          <w:rFonts w:hint="eastAsia" w:ascii="方正楷体_GBK" w:hAnsi="Times New Roman" w:eastAsia="方正楷体_GBK"/>
          <w:sz w:val="32"/>
          <w:szCs w:val="32"/>
        </w:rPr>
        <w:t>（一）服务内容</w:t>
      </w:r>
    </w:p>
    <w:p w14:paraId="5408DC75">
      <w:pPr>
        <w:spacing w:after="0" w:line="600" w:lineRule="exact"/>
        <w:ind w:left="288" w:leftChars="145" w:firstLine="299" w:firstLineChars="100"/>
        <w:jc w:val="both"/>
        <w:rPr>
          <w:rFonts w:hint="eastAsia" w:ascii="Times New Roman" w:hAnsi="Times New Roman" w:eastAsia="方正仿宋_GBK"/>
          <w:sz w:val="32"/>
          <w:szCs w:val="32"/>
        </w:rPr>
      </w:pPr>
      <w:r>
        <w:rPr>
          <w:rFonts w:hint="eastAsia" w:ascii="Times New Roman" w:hAnsi="Times New Roman" w:eastAsia="方正仿宋_GBK"/>
          <w:sz w:val="32"/>
          <w:szCs w:val="32"/>
        </w:rPr>
        <w:t>1. 钓鱼嘴投资机会清单制作服务项目，采购预算</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万元，购买钓鱼</w:t>
      </w:r>
    </w:p>
    <w:p w14:paraId="3705751F">
      <w:pPr>
        <w:spacing w:after="0" w:line="600" w:lineRule="exact"/>
        <w:ind w:left="299" w:hanging="299" w:hangingChars="100"/>
        <w:jc w:val="both"/>
        <w:rPr>
          <w:rFonts w:hint="eastAsia" w:ascii="Times New Roman" w:hAnsi="Times New Roman" w:eastAsia="方正仿宋_GBK"/>
          <w:sz w:val="32"/>
          <w:szCs w:val="32"/>
        </w:rPr>
      </w:pPr>
      <w:r>
        <w:rPr>
          <w:rFonts w:hint="eastAsia" w:ascii="Times New Roman" w:hAnsi="Times New Roman" w:eastAsia="方正仿宋_GBK"/>
          <w:sz w:val="32"/>
          <w:szCs w:val="32"/>
        </w:rPr>
        <w:t>嘴投资机会清单制作服务内容，包括但不限于对钓鱼嘴投资机会清单的</w:t>
      </w:r>
    </w:p>
    <w:p w14:paraId="64F95064">
      <w:pPr>
        <w:spacing w:after="0" w:line="600" w:lineRule="exact"/>
        <w:ind w:left="299" w:hanging="299" w:hangingChars="100"/>
        <w:jc w:val="both"/>
        <w:rPr>
          <w:rFonts w:hint="eastAsia" w:ascii="Times New Roman" w:hAnsi="Times New Roman" w:eastAsia="方正仿宋_GBK"/>
          <w:sz w:val="32"/>
          <w:szCs w:val="32"/>
        </w:rPr>
      </w:pPr>
      <w:r>
        <w:rPr>
          <w:rFonts w:hint="eastAsia" w:ascii="Times New Roman" w:hAnsi="Times New Roman" w:eastAsia="方正仿宋_GBK"/>
          <w:sz w:val="32"/>
          <w:szCs w:val="32"/>
        </w:rPr>
        <w:t>前期策划、框架撰写、</w:t>
      </w:r>
      <w:r>
        <w:rPr>
          <w:rFonts w:hint="eastAsia" w:ascii="Times New Roman" w:hAnsi="Times New Roman" w:eastAsia="方正仿宋_GBK"/>
          <w:color w:val="000000" w:themeColor="text1"/>
          <w:sz w:val="32"/>
          <w:szCs w:val="32"/>
          <w:lang w:val="en-US" w:eastAsia="zh-CN"/>
          <w14:textFill>
            <w14:solidFill>
              <w14:schemeClr w14:val="tx1"/>
            </w14:solidFill>
          </w14:textFill>
        </w:rPr>
        <w:t>图片整理、效益分析、</w:t>
      </w:r>
      <w:r>
        <w:rPr>
          <w:rFonts w:hint="eastAsia" w:ascii="Times New Roman" w:hAnsi="Times New Roman" w:eastAsia="方正仿宋_GBK"/>
          <w:sz w:val="32"/>
          <w:szCs w:val="32"/>
        </w:rPr>
        <w:t>后期修改、PDF制作等。</w:t>
      </w:r>
    </w:p>
    <w:p w14:paraId="76F57843">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2. 相关机构接受委托任务后，若中途有临时追加任务，按照本项目成交价格为基础双方友好协商。</w:t>
      </w:r>
    </w:p>
    <w:p w14:paraId="6BEA5E77">
      <w:pPr>
        <w:spacing w:after="0" w:line="600" w:lineRule="exact"/>
        <w:ind w:firstLine="598" w:firstLineChars="200"/>
        <w:jc w:val="both"/>
        <w:rPr>
          <w:rFonts w:ascii="方正楷体_GBK" w:hAnsi="Times New Roman" w:eastAsia="方正楷体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二</w:t>
      </w:r>
      <w:r>
        <w:rPr>
          <w:rFonts w:ascii="方正楷体_GBK" w:hAnsi="Times New Roman" w:eastAsia="方正楷体_GBK"/>
          <w:sz w:val="32"/>
          <w:szCs w:val="32"/>
        </w:rPr>
        <w:t>）</w:t>
      </w:r>
      <w:r>
        <w:rPr>
          <w:rFonts w:hint="eastAsia" w:ascii="方正楷体_GBK" w:hAnsi="Times New Roman" w:eastAsia="方正楷体_GBK"/>
          <w:sz w:val="32"/>
          <w:szCs w:val="32"/>
        </w:rPr>
        <w:t>服务要求</w:t>
      </w:r>
    </w:p>
    <w:p w14:paraId="1E2919B0">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1. 投资机会清单制作要求：为</w:t>
      </w:r>
      <w:r>
        <w:rPr>
          <w:rFonts w:hint="eastAsia" w:ascii="Times New Roman" w:hAnsi="Times New Roman" w:eastAsia="方正仿宋_GBK"/>
          <w:sz w:val="32"/>
          <w:szCs w:val="32"/>
          <w:lang w:val="en-US" w:eastAsia="zh-CN"/>
        </w:rPr>
        <w:t>大渡口区</w:t>
      </w:r>
      <w:r>
        <w:rPr>
          <w:rFonts w:hint="eastAsia" w:ascii="Times New Roman" w:hAnsi="Times New Roman" w:eastAsia="方正仿宋_GBK"/>
          <w:sz w:val="32"/>
          <w:szCs w:val="32"/>
        </w:rPr>
        <w:t>精准编制钓鱼嘴片区投资机会清单，该清单需详尽列出重点项目的项目概况、项目定位、</w:t>
      </w:r>
      <w:r>
        <w:rPr>
          <w:rFonts w:hint="eastAsia" w:ascii="Times New Roman" w:hAnsi="Times New Roman" w:eastAsia="方正仿宋_GBK"/>
          <w:color w:val="000000" w:themeColor="text1"/>
          <w:sz w:val="32"/>
          <w:szCs w:val="32"/>
          <w:lang w:val="en-US" w:eastAsia="zh-CN"/>
          <w14:textFill>
            <w14:solidFill>
              <w14:schemeClr w14:val="tx1"/>
            </w14:solidFill>
          </w14:textFill>
        </w:rPr>
        <w:t>交通坐标、</w:t>
      </w:r>
      <w:r>
        <w:rPr>
          <w:rFonts w:hint="eastAsia" w:ascii="Times New Roman" w:hAnsi="Times New Roman" w:eastAsia="方正仿宋_GBK"/>
          <w:color w:val="000000" w:themeColor="text1"/>
          <w:sz w:val="32"/>
          <w:szCs w:val="32"/>
          <w14:textFill>
            <w14:solidFill>
              <w14:schemeClr w14:val="tx1"/>
            </w14:solidFill>
          </w14:textFill>
        </w:rPr>
        <w:t>投资需求、机会需求及效益等关键信息。需展现钓鱼嘴区域的投资潜力、发展前景及独特优势，通过生动的图片和精准的文案</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数据分析，</w:t>
      </w:r>
      <w:r>
        <w:rPr>
          <w:rFonts w:hint="eastAsia" w:ascii="Times New Roman" w:hAnsi="Times New Roman" w:eastAsia="方正仿宋_GBK"/>
          <w:sz w:val="32"/>
          <w:szCs w:val="32"/>
        </w:rPr>
        <w:t>吸引潜在投资者的关注。</w:t>
      </w:r>
    </w:p>
    <w:p w14:paraId="67F408A8">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2. 投资机会清单制作服务及保障工作：完成钓鱼嘴投资机会清单的前期策划、框架撰写</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图片整理、效益分析、</w:t>
      </w:r>
      <w:r>
        <w:rPr>
          <w:rFonts w:hint="eastAsia" w:ascii="Times New Roman" w:hAnsi="Times New Roman" w:eastAsia="方正仿宋_GBK"/>
          <w:color w:val="000000" w:themeColor="text1"/>
          <w:sz w:val="32"/>
          <w:szCs w:val="32"/>
          <w14:textFill>
            <w14:solidFill>
              <w14:schemeClr w14:val="tx1"/>
            </w14:solidFill>
          </w14:textFill>
        </w:rPr>
        <w:t>后期修改</w:t>
      </w:r>
      <w:r>
        <w:rPr>
          <w:rFonts w:hint="eastAsia" w:ascii="Times New Roman" w:hAnsi="Times New Roman" w:eastAsia="方正仿宋_GBK"/>
          <w:sz w:val="32"/>
          <w:szCs w:val="32"/>
        </w:rPr>
        <w:t>、PDF制作等；协助完成编制钓鱼嘴投资机会清单的资金申报工作，相关费用分阶段支付等。</w:t>
      </w:r>
    </w:p>
    <w:p w14:paraId="31E09107">
      <w:pPr>
        <w:spacing w:after="0" w:line="600" w:lineRule="exact"/>
        <w:ind w:firstLine="598" w:firstLineChars="200"/>
        <w:jc w:val="both"/>
        <w:rPr>
          <w:rFonts w:ascii="Times New Roman" w:hAnsi="Times New Roman" w:eastAsia="方正楷体_GBK"/>
          <w:sz w:val="32"/>
          <w:szCs w:val="32"/>
        </w:rPr>
      </w:pPr>
      <w:r>
        <w:rPr>
          <w:rFonts w:ascii="Times New Roman" w:hAnsi="Times New Roman" w:eastAsia="方正楷体_GBK"/>
          <w:sz w:val="32"/>
          <w:szCs w:val="32"/>
        </w:rPr>
        <w:t>（三）其他要求</w:t>
      </w:r>
    </w:p>
    <w:p w14:paraId="22132EC6">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1. 严格按照采购人要求进行制作。</w:t>
      </w:r>
    </w:p>
    <w:p w14:paraId="18A3FDD5">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2. 本合同未尽事宜双方协商解决。</w:t>
      </w:r>
    </w:p>
    <w:p w14:paraId="23310035">
      <w:pPr>
        <w:spacing w:after="0" w:line="600" w:lineRule="exact"/>
        <w:ind w:firstLine="598" w:firstLineChars="200"/>
        <w:jc w:val="both"/>
        <w:rPr>
          <w:rFonts w:ascii="Times New Roman" w:hAnsi="Times New Roman" w:eastAsia="方正楷体_GBK"/>
          <w:sz w:val="32"/>
          <w:szCs w:val="32"/>
        </w:rPr>
      </w:pPr>
      <w:r>
        <w:rPr>
          <w:rFonts w:ascii="Times New Roman" w:hAnsi="Times New Roman" w:eastAsia="方正楷体_GBK"/>
          <w:sz w:val="32"/>
          <w:szCs w:val="32"/>
        </w:rPr>
        <w:t>（四）保密要求</w:t>
      </w:r>
    </w:p>
    <w:p w14:paraId="532F7A80">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中标人在本项目执行过程中应对所获悉的所有项目内容进行保密，未经采购人允许不得随意公布、不得转交给第三方。中标人在签订合同时与采购人签订保密协议，若有违反按保密协议规定进行处理，情节严重的，采购人将有权追究其相关法律责任。</w:t>
      </w:r>
    </w:p>
    <w:p w14:paraId="736719E5">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采购人在中华人民共和国境内使用投标人提供的服务时免受第三方提出的侵犯其专利权或</w:t>
      </w:r>
      <w:r>
        <w:rPr>
          <w:rFonts w:hint="eastAsia" w:ascii="Times New Roman" w:hAnsi="Times New Roman" w:eastAsia="方正仿宋_GBK"/>
          <w:sz w:val="32"/>
          <w:szCs w:val="32"/>
          <w:lang w:eastAsia="zh-CN"/>
        </w:rPr>
        <w:t>其他</w:t>
      </w:r>
      <w:r>
        <w:rPr>
          <w:rFonts w:ascii="Times New Roman" w:hAnsi="Times New Roman" w:eastAsia="方正仿宋_GBK"/>
          <w:sz w:val="32"/>
          <w:szCs w:val="32"/>
        </w:rPr>
        <w:t>知识产权的起诉。如果第三方提出侵权指控，中标人应承担由此而引起的一切法律责任和费用。</w:t>
      </w:r>
    </w:p>
    <w:p w14:paraId="573A31EA">
      <w:pPr>
        <w:spacing w:after="0" w:line="600" w:lineRule="exact"/>
        <w:ind w:firstLine="598" w:firstLineChars="200"/>
        <w:jc w:val="both"/>
        <w:rPr>
          <w:rFonts w:ascii="Times New Roman" w:hAnsi="Times New Roman" w:eastAsia="方正楷体_GBK"/>
          <w:sz w:val="32"/>
          <w:szCs w:val="32"/>
        </w:rPr>
      </w:pPr>
      <w:r>
        <w:rPr>
          <w:rFonts w:ascii="Times New Roman" w:hAnsi="Times New Roman" w:eastAsia="方正楷体_GBK"/>
          <w:sz w:val="32"/>
          <w:szCs w:val="32"/>
        </w:rPr>
        <w:t>（五）知识产权要求</w:t>
      </w:r>
    </w:p>
    <w:p w14:paraId="08F14E83">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本项目知识产权归采购人所有，中标人需配合采购人对本项目知识产权进行保护。</w:t>
      </w:r>
    </w:p>
    <w:p w14:paraId="656F54FD">
      <w:pPr>
        <w:spacing w:after="0" w:line="600" w:lineRule="exact"/>
        <w:ind w:firstLine="598" w:firstLineChars="200"/>
        <w:jc w:val="both"/>
        <w:rPr>
          <w:rFonts w:hint="eastAsia" w:ascii="Times New Roman" w:hAnsi="Times New Roman" w:eastAsia="方正仿宋_GBK"/>
          <w:sz w:val="32"/>
          <w:szCs w:val="32"/>
          <w:lang w:eastAsia="zh-CN"/>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供应商须自行承诺项目服务内容的设计、制作、采用的所有画面、照片等未侵犯他人的著作权，如有侵犯他人著作权，由投标人承担所有法律责任</w:t>
      </w:r>
      <w:r>
        <w:rPr>
          <w:rFonts w:hint="eastAsia" w:ascii="Times New Roman" w:hAnsi="Times New Roman" w:eastAsia="方正仿宋_GBK"/>
          <w:sz w:val="32"/>
          <w:szCs w:val="32"/>
          <w:lang w:eastAsia="zh-CN"/>
        </w:rPr>
        <w:t>。</w:t>
      </w:r>
    </w:p>
    <w:p w14:paraId="6BB88915">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四、</w:t>
      </w:r>
      <w:r>
        <w:rPr>
          <w:rFonts w:hint="eastAsia" w:ascii="Times New Roman" w:hAnsi="Times New Roman" w:eastAsia="方正黑体_GBK"/>
          <w:sz w:val="32"/>
          <w:szCs w:val="32"/>
        </w:rPr>
        <w:t>服务期、服务地点及验收方式</w:t>
      </w:r>
    </w:p>
    <w:p w14:paraId="6DE8092A">
      <w:pPr>
        <w:spacing w:after="0" w:line="600" w:lineRule="exact"/>
        <w:ind w:firstLine="598"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（一）服务期</w:t>
      </w:r>
    </w:p>
    <w:p w14:paraId="20B5674D">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服务期自</w:t>
      </w:r>
      <w:r>
        <w:rPr>
          <w:rFonts w:hint="eastAsia" w:ascii="Times New Roman" w:hAnsi="Times New Roman" w:eastAsia="方正仿宋_GBK"/>
          <w:sz w:val="32"/>
          <w:szCs w:val="32"/>
        </w:rPr>
        <w:t>合同签订之日起至项目最终验收完成。</w:t>
      </w:r>
    </w:p>
    <w:p w14:paraId="517CF3F8">
      <w:pPr>
        <w:spacing w:after="0" w:line="600" w:lineRule="exact"/>
        <w:ind w:firstLine="598"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（二）服务地点</w:t>
      </w:r>
    </w:p>
    <w:p w14:paraId="51922CE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采购人指定地点。</w:t>
      </w:r>
    </w:p>
    <w:p w14:paraId="0BE18C77">
      <w:pPr>
        <w:spacing w:after="0" w:line="600" w:lineRule="exact"/>
        <w:ind w:firstLine="598"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（三）验收方式</w:t>
      </w:r>
    </w:p>
    <w:p w14:paraId="12E062F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1.验收组织单位：大渡口区招商投资促进局。</w:t>
      </w:r>
    </w:p>
    <w:p w14:paraId="6BE4F82F">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验收标准：按照国家及行业相关标准、招标文件规定、经确认的方案、效果、实施方案、合同及采购人的需求，对中标人完成情况进行验收。如验收达不到相关规定要求的，中标人应立即进行整改，整改后仍不合格的，则视为验收不合格，采购人有权立即终止合同。由此对采购人造成一切损失，中标人应承担一切责任，并赔偿所造成的损失。</w:t>
      </w:r>
    </w:p>
    <w:p w14:paraId="149C0B95">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五、付款方式</w:t>
      </w:r>
    </w:p>
    <w:p w14:paraId="15FB9CC3">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投标报价即为结算价。如拍摄过程中因不可抗力因素导致费用增加，需双方协商后解决。</w:t>
      </w:r>
    </w:p>
    <w:p w14:paraId="5004F90F">
      <w:pPr>
        <w:spacing w:after="0" w:line="600" w:lineRule="exact"/>
        <w:ind w:firstLine="598" w:firstLineChars="200"/>
        <w:jc w:val="both"/>
        <w:rPr>
          <w:rFonts w:ascii="Times New Roman" w:hAnsi="Times New Roman" w:eastAsia="方正仿宋_GBK"/>
          <w:b/>
          <w:bCs/>
          <w:color w:val="0000FF"/>
          <w:sz w:val="32"/>
          <w:szCs w:val="32"/>
        </w:rPr>
      </w:pPr>
      <w:r>
        <w:rPr>
          <w:rFonts w:hint="eastAsia" w:ascii="Times New Roman" w:hAnsi="Times New Roman" w:eastAsia="方正仿宋_GBK"/>
          <w:sz w:val="32"/>
          <w:szCs w:val="32"/>
        </w:rPr>
        <w:t>第一次：合同签订后五个工作日内由中标人提供足额增值税发票，采购人</w:t>
      </w:r>
      <w:r>
        <w:rPr>
          <w:rFonts w:hint="eastAsia" w:ascii="Times New Roman" w:hAnsi="Times New Roman" w:eastAsia="方正仿宋_GBK"/>
          <w:bCs/>
          <w:color w:val="000000" w:themeColor="text1"/>
          <w:sz w:val="32"/>
          <w:szCs w:val="32"/>
          <w14:textFill>
            <w14:solidFill>
              <w14:schemeClr w14:val="tx1"/>
            </w14:solidFill>
          </w14:textFill>
        </w:rPr>
        <w:t>按资金审批流程支付合同金额的</w:t>
      </w:r>
      <w:r>
        <w:rPr>
          <w:rFonts w:hint="eastAsia" w:ascii="Times New Roman" w:hAnsi="Times New Roman" w:eastAsia="方正仿宋_GBK"/>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bCs/>
          <w:color w:val="000000" w:themeColor="text1"/>
          <w:sz w:val="32"/>
          <w:szCs w:val="32"/>
          <w14:textFill>
            <w14:solidFill>
              <w14:schemeClr w14:val="tx1"/>
            </w14:solidFill>
          </w14:textFill>
        </w:rPr>
        <w:t>0%。</w:t>
      </w:r>
    </w:p>
    <w:p w14:paraId="26B7DEF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第二次：中标人按采购合同完成所有工作内容、提交项目成果资料（包括但不限于文字资料、图片资料、影像资料、授权资料等），项目成果经采购方全面审核、修改、定稿后，十个工作日内由中标人提供足额增值税发票，采购方支付剩余尾款。</w:t>
      </w:r>
    </w:p>
    <w:p w14:paraId="4C2A641F">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六、评选方法及报价要求</w:t>
      </w:r>
    </w:p>
    <w:p w14:paraId="59AE7C3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（一）评选方法：</w:t>
      </w:r>
      <w:r>
        <w:rPr>
          <w:rFonts w:ascii="Times New Roman" w:hAnsi="Times New Roman" w:eastAsia="方正仿宋_GBK"/>
          <w:sz w:val="32"/>
          <w:szCs w:val="32"/>
        </w:rPr>
        <w:t>综合评分法。满分100分，采购人对供应商的响应文件进行评分，得分排名</w:t>
      </w:r>
      <w:r>
        <w:rPr>
          <w:rFonts w:hint="eastAsia" w:ascii="Times New Roman" w:hAnsi="Times New Roman" w:eastAsia="方正仿宋_GBK"/>
          <w:sz w:val="32"/>
          <w:szCs w:val="32"/>
        </w:rPr>
        <w:t>第一的</w:t>
      </w:r>
      <w:r>
        <w:rPr>
          <w:rFonts w:ascii="Times New Roman" w:hAnsi="Times New Roman" w:eastAsia="方正仿宋_GBK"/>
          <w:sz w:val="32"/>
          <w:szCs w:val="32"/>
        </w:rPr>
        <w:t>供应商为成交供应商。</w:t>
      </w:r>
    </w:p>
    <w:p w14:paraId="6B5F534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本项目为人民币报价，包括（但不限于）组织协调费、策划设计费、拍摄费、执行费、材料费、办公费、人工费、保险费、税费等一切费用。因中标人自身原因造成漏报、少报皆由其自行承担责任，采购人不再补偿。</w:t>
      </w:r>
    </w:p>
    <w:p w14:paraId="33F58BB5">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供应商须综合考虑本项目相关活动流程所产</w:t>
      </w:r>
      <w:r>
        <w:rPr>
          <w:rFonts w:hint="eastAsia" w:ascii="Times New Roman" w:hAnsi="Times New Roman" w:eastAsia="方正仿宋_GBK"/>
          <w:sz w:val="32"/>
          <w:szCs w:val="32"/>
          <w:lang w:eastAsia="zh-CN"/>
        </w:rPr>
        <w:t>生的</w:t>
      </w:r>
      <w:r>
        <w:rPr>
          <w:rFonts w:hint="eastAsia" w:ascii="Times New Roman" w:hAnsi="Times New Roman" w:eastAsia="方正仿宋_GBK"/>
          <w:sz w:val="32"/>
          <w:szCs w:val="32"/>
        </w:rPr>
        <w:t>所有费用，应充分衡量和估计本项目履行中可能发生的其他潜在导致价格变</w:t>
      </w:r>
      <w:r>
        <w:rPr>
          <w:rFonts w:hint="eastAsia" w:ascii="Times New Roman" w:hAnsi="Times New Roman" w:eastAsia="方正仿宋_GBK"/>
          <w:sz w:val="32"/>
          <w:szCs w:val="32"/>
          <w:lang w:eastAsia="zh-CN"/>
        </w:rPr>
        <w:t>动的</w:t>
      </w:r>
      <w:r>
        <w:rPr>
          <w:rFonts w:hint="eastAsia" w:ascii="Times New Roman" w:hAnsi="Times New Roman" w:eastAsia="方正仿宋_GBK"/>
          <w:sz w:val="32"/>
          <w:szCs w:val="32"/>
        </w:rPr>
        <w:t>风险因素，报价接受后视为就本项目所有所需服务及所需相应设施、设备、材料、人员、耗材等已经包含在该价格中，且不做任何调整。服务要求中所产生的一切费用均由投标人支付，活动期间如因对项目理解及活动规模不充足导致活动延期或出现服务停滞情况所产生的一切损失均由投标人负责。</w:t>
      </w:r>
    </w:p>
    <w:p w14:paraId="776A6262">
      <w:pPr>
        <w:spacing w:after="0" w:line="600" w:lineRule="exact"/>
        <w:ind w:firstLine="598"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七、违约条款</w:t>
      </w:r>
    </w:p>
    <w:p w14:paraId="0BDD5FF5">
      <w:pPr>
        <w:spacing w:after="0" w:line="600" w:lineRule="exact"/>
        <w:ind w:firstLine="598" w:firstLineChars="200"/>
        <w:jc w:val="both"/>
        <w:rPr>
          <w:rFonts w:ascii="方正仿宋_GBK" w:hAnsi="Times New Roman" w:eastAsia="方正仿宋_GBK"/>
          <w:sz w:val="32"/>
          <w:szCs w:val="32"/>
        </w:rPr>
      </w:pPr>
      <w:r>
        <w:rPr>
          <w:rFonts w:hint="eastAsia" w:ascii="方正仿宋_GBK" w:hAnsi="Times New Roman" w:eastAsia="方正仿宋_GBK"/>
          <w:sz w:val="32"/>
          <w:szCs w:val="32"/>
          <w:lang w:eastAsia="zh-CN"/>
        </w:rPr>
        <w:t>以</w:t>
      </w:r>
      <w:r>
        <w:rPr>
          <w:rFonts w:hint="eastAsia" w:ascii="方正仿宋_GBK" w:hAnsi="Times New Roman" w:eastAsia="方正仿宋_GBK"/>
          <w:sz w:val="32"/>
          <w:szCs w:val="32"/>
        </w:rPr>
        <w:t>合同约定为准。</w:t>
      </w:r>
    </w:p>
    <w:p w14:paraId="1BCEFC30">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八、其他约定</w:t>
      </w:r>
    </w:p>
    <w:p w14:paraId="30000BCF">
      <w:pPr>
        <w:spacing w:after="0" w:line="600" w:lineRule="exact"/>
        <w:ind w:firstLine="598" w:firstLineChars="200"/>
        <w:jc w:val="both"/>
        <w:rPr>
          <w:rStyle w:val="16"/>
          <w:rFonts w:hint="default" w:ascii="Times New Roman" w:hAnsi="Times New Roman" w:eastAsia="方正仿宋_GBK"/>
          <w:sz w:val="32"/>
          <w:szCs w:val="32"/>
        </w:rPr>
      </w:pPr>
      <w:r>
        <w:rPr>
          <w:rStyle w:val="16"/>
          <w:rFonts w:hint="default" w:ascii="Times New Roman" w:hAnsi="Times New Roman" w:eastAsia="方正仿宋_GBK"/>
          <w:sz w:val="32"/>
          <w:szCs w:val="32"/>
        </w:rPr>
        <w:t>（一）凡有意参加竞标的供应商，请于公告发布之日起至报名截止时间之前，在重庆市大渡口区政府门户网（http://www.ddk.gov.cn/）上下载查看本项目需求文件以及变更公告等竞标前公布的所有项目资料，无论供应商下载查看与否，均视为已知晓所有竞标实质性要求内容。</w:t>
      </w:r>
    </w:p>
    <w:p w14:paraId="3011B57A">
      <w:pPr>
        <w:spacing w:after="0" w:line="600" w:lineRule="exact"/>
        <w:ind w:firstLine="598" w:firstLineChars="200"/>
        <w:jc w:val="both"/>
        <w:rPr>
          <w:rStyle w:val="16"/>
          <w:rFonts w:hint="default" w:ascii="Times New Roman" w:hAnsi="Times New Roman" w:eastAsia="方正仿宋_GBK"/>
          <w:sz w:val="32"/>
          <w:szCs w:val="32"/>
        </w:rPr>
      </w:pPr>
      <w:r>
        <w:rPr>
          <w:rStyle w:val="16"/>
          <w:rFonts w:hint="default" w:ascii="Times New Roman" w:hAnsi="Times New Roman" w:eastAsia="方正仿宋_GBK"/>
          <w:sz w:val="32"/>
          <w:szCs w:val="32"/>
        </w:rPr>
        <w:t>（二）供应商必须对以上条款和服务承诺明确列出，承诺内容必须达到要求。</w:t>
      </w:r>
    </w:p>
    <w:p w14:paraId="07BA341B">
      <w:pPr>
        <w:spacing w:after="0" w:line="600" w:lineRule="exact"/>
        <w:ind w:firstLine="598" w:firstLineChars="200"/>
        <w:jc w:val="both"/>
        <w:rPr>
          <w:rStyle w:val="16"/>
          <w:rFonts w:hint="default" w:ascii="Times New Roman" w:hAnsi="Times New Roman" w:eastAsia="方正仿宋_GBK"/>
          <w:sz w:val="32"/>
          <w:szCs w:val="32"/>
        </w:rPr>
      </w:pPr>
      <w:r>
        <w:rPr>
          <w:rStyle w:val="16"/>
          <w:rFonts w:hint="default" w:ascii="Times New Roman" w:hAnsi="Times New Roman" w:eastAsia="方正仿宋_GBK"/>
          <w:sz w:val="32"/>
          <w:szCs w:val="32"/>
        </w:rPr>
        <w:t>（三）其他未尽事宜由供需双方在采购合同中详细约定。</w:t>
      </w:r>
    </w:p>
    <w:p w14:paraId="72CE1659">
      <w:pPr>
        <w:spacing w:after="0" w:line="600" w:lineRule="exact"/>
        <w:ind w:firstLine="598" w:firstLineChars="200"/>
        <w:jc w:val="both"/>
        <w:rPr>
          <w:rFonts w:ascii="Times New Roman" w:hAnsi="Times New Roman" w:eastAsia="方正仿宋_GBK"/>
          <w:color w:val="000000"/>
          <w:sz w:val="32"/>
          <w:szCs w:val="32"/>
        </w:rPr>
      </w:pPr>
      <w:r>
        <w:rPr>
          <w:rStyle w:val="16"/>
          <w:rFonts w:hint="default" w:ascii="Times New Roman" w:hAnsi="Times New Roman" w:eastAsia="方正仿宋_GBK"/>
          <w:sz w:val="32"/>
          <w:szCs w:val="32"/>
        </w:rPr>
        <w:t>（四）无论结果如何，供应商参与本项目的所有费用均自行承担。</w:t>
      </w:r>
    </w:p>
    <w:p w14:paraId="6E0AD3E6">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九、供应商提交响应文件</w:t>
      </w:r>
    </w:p>
    <w:p w14:paraId="54E1731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（一）参与竞标的供应商请在投标前通过联系电话报名。联系人及联系电话：</w:t>
      </w:r>
      <w:r>
        <w:rPr>
          <w:rFonts w:hint="eastAsia" w:ascii="Times New Roman" w:hAnsi="Times New Roman" w:eastAsia="方正仿宋_GBK"/>
          <w:sz w:val="32"/>
          <w:szCs w:val="32"/>
          <w:lang w:val="en-US" w:eastAsia="zh-CN"/>
        </w:rPr>
        <w:t>张</w:t>
      </w:r>
      <w:r>
        <w:rPr>
          <w:rFonts w:hint="eastAsia" w:ascii="Times New Roman" w:hAnsi="Times New Roman" w:eastAsia="方正仿宋_GBK"/>
          <w:sz w:val="32"/>
          <w:szCs w:val="32"/>
        </w:rPr>
        <w:t>老师，</w:t>
      </w:r>
      <w:r>
        <w:rPr>
          <w:rFonts w:hint="eastAsia" w:ascii="Times New Roman" w:hAnsi="Times New Roman" w:eastAsia="方正仿宋_GBK"/>
          <w:sz w:val="32"/>
          <w:szCs w:val="32"/>
          <w:lang w:val="en-US" w:eastAsia="zh-CN"/>
        </w:rPr>
        <w:t>13368080809</w:t>
      </w:r>
      <w:r>
        <w:rPr>
          <w:rFonts w:hint="eastAsia" w:ascii="Times New Roman" w:hAnsi="Times New Roman" w:eastAsia="方正仿宋_GBK"/>
          <w:sz w:val="32"/>
          <w:szCs w:val="32"/>
        </w:rPr>
        <w:t>。</w:t>
      </w:r>
    </w:p>
    <w:p w14:paraId="3D12F06F">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供应商报名时间：2024年</w:t>
      </w:r>
      <w:r>
        <w:rPr>
          <w:rFonts w:hint="eastAsia" w:ascii="Times New Roman" w:hAnsi="Times New Roman" w:eastAsia="方正仿宋_GBK"/>
          <w:sz w:val="32"/>
          <w:szCs w:val="32"/>
          <w:lang w:val="en-US" w:eastAsia="zh-CN"/>
        </w:rPr>
        <w:t>11</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29</w:t>
      </w:r>
      <w:r>
        <w:rPr>
          <w:rFonts w:hint="eastAsia" w:ascii="Times New Roman" w:hAnsi="Times New Roman" w:eastAsia="方正仿宋_GBK"/>
          <w:sz w:val="32"/>
          <w:szCs w:val="32"/>
        </w:rPr>
        <w:t>日北京时间18:00至2024年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日北京时间18:00。</w:t>
      </w:r>
    </w:p>
    <w:p w14:paraId="6AF196C7">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（三）提交响应文件时间：2024年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日北京时间10:</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0。</w:t>
      </w:r>
    </w:p>
    <w:p w14:paraId="4D00B9B3">
      <w:pPr>
        <w:spacing w:after="0" w:line="600" w:lineRule="exact"/>
        <w:ind w:firstLine="598"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提交响应文件内容：竞标文件、法定代表人身份证明书和法定代表人授权委托书原件（法定代表人参加投标只需提供法定代表人身份证明书原件）。</w:t>
      </w:r>
    </w:p>
    <w:p w14:paraId="60634F99">
      <w:pPr>
        <w:spacing w:after="0" w:line="600" w:lineRule="exact"/>
        <w:ind w:firstLine="598"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w:t>
      </w:r>
      <w:r>
        <w:rPr>
          <w:rFonts w:ascii="Times New Roman" w:hAnsi="Times New Roman" w:eastAsia="方正仿宋_GBK"/>
          <w:color w:val="000000"/>
          <w:sz w:val="32"/>
          <w:szCs w:val="32"/>
        </w:rPr>
        <w:t>供应商响应文件正本、副本各壹份，</w:t>
      </w:r>
      <w:r>
        <w:rPr>
          <w:rFonts w:hint="eastAsia" w:ascii="Times New Roman" w:hAnsi="Times New Roman" w:eastAsia="方正仿宋_GBK"/>
          <w:color w:val="000000"/>
          <w:sz w:val="32"/>
          <w:szCs w:val="32"/>
        </w:rPr>
        <w:t>响应文件的正本、副本均应密封送达递交响应文件地点，应在封套上注明项目名称、采购项目号、供应商名称。若正本、副本分别进行密封的，还应在封套上注明“正本”、“副本”字样</w:t>
      </w:r>
      <w:r>
        <w:rPr>
          <w:rFonts w:ascii="Times New Roman" w:hAnsi="Times New Roman" w:eastAsia="方正仿宋_GBK"/>
          <w:color w:val="000000"/>
          <w:sz w:val="32"/>
          <w:szCs w:val="32"/>
        </w:rPr>
        <w:t>。</w:t>
      </w:r>
    </w:p>
    <w:p w14:paraId="7E2A01CD">
      <w:pPr>
        <w:spacing w:after="0" w:line="600" w:lineRule="exact"/>
        <w:ind w:firstLine="598"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w:t>
      </w:r>
      <w:r>
        <w:rPr>
          <w:rFonts w:ascii="Times New Roman" w:hAnsi="Times New Roman" w:eastAsia="方正仿宋_GBK"/>
          <w:color w:val="000000"/>
          <w:sz w:val="32"/>
          <w:szCs w:val="32"/>
        </w:rPr>
        <w:t>提交响应文件地址：大渡口</w:t>
      </w:r>
      <w:r>
        <w:rPr>
          <w:rFonts w:hint="eastAsia" w:ascii="Times New Roman" w:hAnsi="Times New Roman" w:eastAsia="方正仿宋_GBK"/>
          <w:color w:val="000000"/>
          <w:sz w:val="32"/>
          <w:szCs w:val="32"/>
        </w:rPr>
        <w:t>区招商投资促进局</w:t>
      </w:r>
      <w:r>
        <w:rPr>
          <w:rFonts w:hint="eastAsia" w:ascii="Times New Roman" w:hAnsi="Times New Roman" w:eastAsia="方正仿宋_GBK"/>
          <w:sz w:val="32"/>
          <w:szCs w:val="32"/>
        </w:rPr>
        <w:t>（</w:t>
      </w:r>
      <w:r>
        <w:rPr>
          <w:rFonts w:ascii="Times New Roman" w:hAnsi="Times New Roman" w:eastAsia="方正仿宋_GBK"/>
          <w:color w:val="000000"/>
          <w:sz w:val="32"/>
          <w:szCs w:val="32"/>
        </w:rPr>
        <w:t>大渡口区</w:t>
      </w:r>
      <w:r>
        <w:rPr>
          <w:rFonts w:hint="eastAsia" w:ascii="Times New Roman" w:hAnsi="Times New Roman" w:eastAsia="方正仿宋_GBK"/>
          <w:color w:val="000000"/>
          <w:sz w:val="32"/>
          <w:szCs w:val="32"/>
        </w:rPr>
        <w:t>翠柏路101号天安数码城1栋B座7楼</w:t>
      </w:r>
      <w:r>
        <w:rPr>
          <w:rFonts w:hint="eastAsia" w:ascii="Times New Roman" w:hAnsi="Times New Roman" w:eastAsia="方正仿宋_GBK"/>
          <w:color w:val="000000"/>
          <w:sz w:val="32"/>
          <w:szCs w:val="32"/>
          <w:lang w:val="en-US" w:eastAsia="zh-CN"/>
        </w:rPr>
        <w:t>720</w:t>
      </w:r>
      <w:r>
        <w:rPr>
          <w:rFonts w:hint="eastAsia" w:ascii="Times New Roman" w:hAnsi="Times New Roman" w:eastAsia="方正仿宋_GBK"/>
          <w:color w:val="000000"/>
          <w:sz w:val="32"/>
          <w:szCs w:val="32"/>
        </w:rPr>
        <w:t>）</w:t>
      </w:r>
    </w:p>
    <w:p w14:paraId="12F15ED4">
      <w:pPr>
        <w:spacing w:after="0" w:line="600" w:lineRule="exact"/>
        <w:ind w:firstLine="598"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w:t>
      </w:r>
      <w:r>
        <w:rPr>
          <w:rFonts w:ascii="Times New Roman" w:hAnsi="Times New Roman" w:eastAsia="方正黑体_GBK"/>
          <w:sz w:val="32"/>
          <w:szCs w:val="32"/>
        </w:rPr>
        <w:t>评标事宜</w:t>
      </w:r>
    </w:p>
    <w:p w14:paraId="023E4968">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评标时间：</w:t>
      </w:r>
      <w:r>
        <w:rPr>
          <w:rFonts w:hint="eastAsia" w:ascii="Times New Roman" w:hAnsi="Times New Roman" w:eastAsia="方正仿宋_GBK"/>
          <w:sz w:val="32"/>
          <w:szCs w:val="32"/>
        </w:rPr>
        <w:t>2024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日北京时间</w:t>
      </w: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0</w:t>
      </w:r>
      <w:r>
        <w:rPr>
          <w:rFonts w:hint="eastAsia" w:ascii="Times New Roman" w:hAnsi="Times New Roman" w:eastAsia="方正仿宋_GBK"/>
          <w:sz w:val="32"/>
          <w:szCs w:val="32"/>
        </w:rPr>
        <w:t>开始</w:t>
      </w:r>
      <w:bookmarkStart w:id="16" w:name="_GoBack"/>
      <w:bookmarkEnd w:id="16"/>
      <w:r>
        <w:rPr>
          <w:rFonts w:hint="eastAsia" w:ascii="Times New Roman" w:hAnsi="Times New Roman" w:eastAsia="方正仿宋_GBK"/>
          <w:sz w:val="32"/>
          <w:szCs w:val="32"/>
        </w:rPr>
        <w:t>。</w:t>
      </w:r>
    </w:p>
    <w:p w14:paraId="29FF260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评标地点：大渡口区</w:t>
      </w:r>
      <w:r>
        <w:rPr>
          <w:rFonts w:hint="eastAsia" w:ascii="Times New Roman" w:hAnsi="Times New Roman" w:eastAsia="方正仿宋_GBK"/>
          <w:sz w:val="32"/>
          <w:szCs w:val="32"/>
        </w:rPr>
        <w:t>招商投资促进局（</w:t>
      </w:r>
      <w:r>
        <w:rPr>
          <w:rFonts w:ascii="Times New Roman" w:hAnsi="Times New Roman" w:eastAsia="方正仿宋_GBK"/>
          <w:color w:val="000000"/>
          <w:sz w:val="32"/>
          <w:szCs w:val="32"/>
        </w:rPr>
        <w:t>大渡口区</w:t>
      </w:r>
      <w:r>
        <w:rPr>
          <w:rFonts w:hint="eastAsia" w:ascii="Times New Roman" w:hAnsi="Times New Roman" w:eastAsia="方正仿宋_GBK"/>
          <w:color w:val="000000"/>
          <w:sz w:val="32"/>
          <w:szCs w:val="32"/>
        </w:rPr>
        <w:t>翠柏路101号天安数码城1栋B座7楼)</w:t>
      </w:r>
    </w:p>
    <w:p w14:paraId="0412EFC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经综合评标确定中标结果后，供应商应当按照变动情况提交书面承诺，未提交的供应商作废标处理。</w:t>
      </w:r>
    </w:p>
    <w:p w14:paraId="3FC2F163">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十一、联系方式</w:t>
      </w:r>
    </w:p>
    <w:p w14:paraId="5AA6667B">
      <w:pPr>
        <w:spacing w:after="0" w:line="600" w:lineRule="exact"/>
        <w:ind w:firstLine="598"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采购人：大渡口区招商投资促进局</w:t>
      </w:r>
    </w:p>
    <w:p w14:paraId="5B615FC9">
      <w:pPr>
        <w:spacing w:after="0" w:line="600" w:lineRule="exact"/>
        <w:ind w:firstLine="598"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联系人：</w:t>
      </w:r>
      <w:r>
        <w:rPr>
          <w:rFonts w:hint="eastAsia" w:ascii="Times New Roman" w:hAnsi="Times New Roman" w:eastAsia="方正仿宋_GBK"/>
          <w:color w:val="000000"/>
          <w:sz w:val="32"/>
          <w:szCs w:val="32"/>
          <w:lang w:val="en-US" w:eastAsia="zh-CN"/>
        </w:rPr>
        <w:t>张</w:t>
      </w:r>
      <w:r>
        <w:rPr>
          <w:rFonts w:hint="eastAsia" w:ascii="Times New Roman" w:hAnsi="Times New Roman" w:eastAsia="方正仿宋_GBK"/>
          <w:color w:val="000000"/>
          <w:sz w:val="32"/>
          <w:szCs w:val="32"/>
        </w:rPr>
        <w:t>老师</w:t>
      </w:r>
    </w:p>
    <w:p w14:paraId="2B484B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598" w:firstLineChars="200"/>
        <w:jc w:val="both"/>
        <w:textAlignment w:val="auto"/>
        <w:rPr>
          <w:rFonts w:hint="default" w:ascii="Times New Roman" w:hAnsi="Times New Roman" w:eastAsia="方正仿宋_GBK" w:cs="Times New Roman"/>
          <w:sz w:val="32"/>
          <w:szCs w:val="32"/>
          <w:highlight w:val="none"/>
          <w:lang w:val="en-US" w:eastAsia="zh-CN" w:bidi="ar-SA"/>
        </w:rPr>
      </w:pPr>
      <w:r>
        <w:rPr>
          <w:rFonts w:ascii="Times New Roman" w:hAnsi="Times New Roman" w:eastAsia="方正仿宋_GBK"/>
          <w:color w:val="000000"/>
          <w:sz w:val="32"/>
          <w:szCs w:val="32"/>
        </w:rPr>
        <w:t>电 话：</w:t>
      </w:r>
      <w:r>
        <w:rPr>
          <w:rFonts w:hint="default" w:ascii="Times New Roman" w:hAnsi="Times New Roman" w:eastAsia="方正仿宋_GBK" w:cs="Times New Roman"/>
          <w:sz w:val="32"/>
          <w:szCs w:val="32"/>
          <w:highlight w:val="none"/>
          <w:lang w:val="en-US" w:eastAsia="zh-CN" w:bidi="ar-SA"/>
        </w:rPr>
        <w:t>13368080809</w:t>
      </w:r>
    </w:p>
    <w:p w14:paraId="59A1A4A3">
      <w:pPr>
        <w:spacing w:after="0" w:line="600" w:lineRule="exact"/>
        <w:ind w:firstLine="598"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地 址：大渡口区</w:t>
      </w:r>
      <w:r>
        <w:rPr>
          <w:rFonts w:hint="eastAsia" w:ascii="Times New Roman" w:hAnsi="Times New Roman" w:eastAsia="方正仿宋_GBK"/>
          <w:color w:val="000000"/>
          <w:sz w:val="32"/>
          <w:szCs w:val="32"/>
        </w:rPr>
        <w:t>翠柏路101号天安数码城1栋B座7楼</w:t>
      </w:r>
    </w:p>
    <w:p w14:paraId="7909E1AC">
      <w:pPr>
        <w:spacing w:after="0" w:line="600" w:lineRule="exact"/>
        <w:ind w:firstLine="598"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十二、评审标准</w:t>
      </w:r>
    </w:p>
    <w:tbl>
      <w:tblPr>
        <w:tblStyle w:val="13"/>
        <w:tblW w:w="848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04"/>
        <w:gridCol w:w="905"/>
        <w:gridCol w:w="996"/>
        <w:gridCol w:w="3742"/>
        <w:gridCol w:w="2339"/>
      </w:tblGrid>
      <w:tr w14:paraId="20D20B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28" w:hRule="atLeast"/>
        </w:trPr>
        <w:tc>
          <w:tcPr>
            <w:tcW w:w="50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1538649">
            <w:pPr>
              <w:widowControl/>
              <w:adjustRightInd/>
              <w:snapToGrid/>
              <w:spacing w:after="12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序号</w:t>
            </w:r>
          </w:p>
        </w:tc>
        <w:tc>
          <w:tcPr>
            <w:tcW w:w="90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DD86E28">
            <w:pPr>
              <w:widowControl/>
              <w:adjustRightInd/>
              <w:snapToGrid/>
              <w:spacing w:after="12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评分因素及权重</w:t>
            </w:r>
          </w:p>
        </w:tc>
        <w:tc>
          <w:tcPr>
            <w:tcW w:w="99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911307B">
            <w:pPr>
              <w:widowControl/>
              <w:adjustRightInd/>
              <w:snapToGrid/>
              <w:spacing w:after="12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分值</w:t>
            </w:r>
          </w:p>
        </w:tc>
        <w:tc>
          <w:tcPr>
            <w:tcW w:w="3742"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ABAD323">
            <w:pPr>
              <w:widowControl/>
              <w:adjustRightInd/>
              <w:snapToGrid/>
              <w:spacing w:after="12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评分标准</w:t>
            </w:r>
          </w:p>
        </w:tc>
        <w:tc>
          <w:tcPr>
            <w:tcW w:w="233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12E8B0E">
            <w:pPr>
              <w:widowControl/>
              <w:adjustRightInd/>
              <w:snapToGrid/>
              <w:spacing w:after="12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说明</w:t>
            </w:r>
          </w:p>
        </w:tc>
      </w:tr>
      <w:tr w14:paraId="1CC96B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4"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7175710">
            <w:pPr>
              <w:widowControl/>
              <w:adjustRightInd/>
              <w:snapToGrid/>
              <w:spacing w:after="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1</w:t>
            </w:r>
          </w:p>
        </w:tc>
        <w:tc>
          <w:tcPr>
            <w:tcW w:w="905"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0FA6065">
            <w:pPr>
              <w:widowControl/>
              <w:adjustRightInd/>
              <w:snapToGrid/>
              <w:spacing w:after="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投标报价</w:t>
            </w:r>
          </w:p>
          <w:p w14:paraId="792A17BB">
            <w:pPr>
              <w:widowControl/>
              <w:adjustRightInd/>
              <w:snapToGrid/>
              <w:spacing w:after="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（15%）</w:t>
            </w:r>
          </w:p>
        </w:tc>
        <w:tc>
          <w:tcPr>
            <w:tcW w:w="996"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DDAF019">
            <w:pPr>
              <w:widowControl/>
              <w:adjustRightInd/>
              <w:snapToGrid/>
              <w:spacing w:after="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15分</w:t>
            </w:r>
          </w:p>
        </w:tc>
        <w:tc>
          <w:tcPr>
            <w:tcW w:w="374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037EF9E">
            <w:pPr>
              <w:widowControl/>
              <w:adjustRightInd/>
              <w:snapToGrid/>
              <w:spacing w:after="0" w:line="240" w:lineRule="exact"/>
              <w:jc w:val="both"/>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有效的投标报价中的最低价为评标基准价，按照下列公式计算每个投标人的投标价格得分</w:t>
            </w:r>
            <w:r>
              <w:rPr>
                <w:rFonts w:ascii="Times New Roman" w:hAnsi="Times New Roman" w:eastAsia="方正仿宋_GBK" w:cs="Times New Roman"/>
                <w:color w:val="333333"/>
                <w:kern w:val="2"/>
                <w:sz w:val="18"/>
                <w:szCs w:val="18"/>
              </w:rPr>
              <w:br w:type="textWrapping"/>
            </w:r>
            <w:r>
              <w:rPr>
                <w:rFonts w:ascii="Times New Roman" w:hAnsi="Times New Roman" w:eastAsia="方正仿宋_GBK" w:cs="Times New Roman"/>
                <w:color w:val="333333"/>
                <w:kern w:val="2"/>
                <w:sz w:val="18"/>
                <w:szCs w:val="18"/>
              </w:rPr>
              <w:t>投标报价得分＝（ 评标基准价/投标报价）×价格权重× 100。</w:t>
            </w:r>
          </w:p>
        </w:tc>
        <w:tc>
          <w:tcPr>
            <w:tcW w:w="2339"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75C4380">
            <w:pPr>
              <w:widowControl/>
              <w:adjustRightInd/>
              <w:snapToGrid/>
              <w:spacing w:after="0" w:line="240" w:lineRule="exact"/>
              <w:jc w:val="both"/>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高于预算限价为无效报价</w:t>
            </w:r>
          </w:p>
        </w:tc>
      </w:tr>
      <w:tr w14:paraId="6D73FA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18" w:hRule="atLeast"/>
        </w:trPr>
        <w:tc>
          <w:tcPr>
            <w:tcW w:w="504"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7192F6D">
            <w:pPr>
              <w:widowControl/>
              <w:adjustRightInd/>
              <w:snapToGrid/>
              <w:spacing w:after="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2</w:t>
            </w:r>
          </w:p>
        </w:tc>
        <w:tc>
          <w:tcPr>
            <w:tcW w:w="905"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795FE7A">
            <w:pPr>
              <w:widowControl/>
              <w:adjustRightInd/>
              <w:snapToGrid/>
              <w:spacing w:after="0" w:line="240" w:lineRule="exact"/>
              <w:jc w:val="both"/>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技术部分（</w:t>
            </w:r>
            <w:r>
              <w:rPr>
                <w:rFonts w:hint="eastAsia" w:ascii="Times New Roman" w:hAnsi="Times New Roman" w:eastAsia="方正仿宋_GBK" w:cs="Times New Roman"/>
                <w:color w:val="333333"/>
                <w:kern w:val="2"/>
                <w:sz w:val="18"/>
                <w:szCs w:val="18"/>
              </w:rPr>
              <w:t>6</w:t>
            </w:r>
            <w:r>
              <w:rPr>
                <w:rFonts w:ascii="Times New Roman" w:hAnsi="Times New Roman" w:eastAsia="方正仿宋_GBK" w:cs="Times New Roman"/>
                <w:color w:val="333333"/>
                <w:kern w:val="2"/>
                <w:sz w:val="18"/>
                <w:szCs w:val="18"/>
              </w:rPr>
              <w:t>0%）</w:t>
            </w:r>
          </w:p>
        </w:tc>
        <w:tc>
          <w:tcPr>
            <w:tcW w:w="996" w:type="dxa"/>
            <w:vMerge w:val="restart"/>
            <w:tcBorders>
              <w:top w:val="nil"/>
              <w:left w:val="single" w:color="auto" w:sz="4" w:space="0"/>
              <w:right w:val="single" w:color="auto" w:sz="4" w:space="0"/>
            </w:tcBorders>
            <w:shd w:val="clear" w:color="auto" w:fill="FFFFFF"/>
            <w:tcMar>
              <w:left w:w="70" w:type="dxa"/>
              <w:right w:w="70" w:type="dxa"/>
            </w:tcMar>
            <w:vAlign w:val="center"/>
          </w:tcPr>
          <w:p w14:paraId="7E635C0C">
            <w:pPr>
              <w:widowControl/>
              <w:adjustRightInd/>
              <w:snapToGrid/>
              <w:spacing w:after="0" w:line="240" w:lineRule="exact"/>
              <w:jc w:val="center"/>
              <w:rPr>
                <w:rFonts w:ascii="Times New Roman" w:hAnsi="Times New Roman" w:eastAsia="方正仿宋_GBK" w:cs="Times New Roman"/>
                <w:kern w:val="2"/>
                <w:sz w:val="18"/>
                <w:szCs w:val="18"/>
              </w:rPr>
            </w:pPr>
            <w:r>
              <w:rPr>
                <w:rFonts w:hint="eastAsia" w:ascii="Times New Roman" w:hAnsi="Times New Roman" w:eastAsia="方正仿宋_GBK" w:cs="Times New Roman"/>
                <w:color w:val="333333"/>
                <w:kern w:val="2"/>
                <w:sz w:val="18"/>
                <w:szCs w:val="18"/>
              </w:rPr>
              <w:t>60</w:t>
            </w:r>
            <w:r>
              <w:rPr>
                <w:rFonts w:ascii="Times New Roman" w:hAnsi="Times New Roman" w:eastAsia="方正仿宋_GBK" w:cs="Times New Roman"/>
                <w:color w:val="333333"/>
                <w:kern w:val="2"/>
                <w:sz w:val="18"/>
                <w:szCs w:val="18"/>
              </w:rPr>
              <w:t>分</w:t>
            </w:r>
          </w:p>
        </w:tc>
        <w:tc>
          <w:tcPr>
            <w:tcW w:w="374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ADC7B04">
            <w:pPr>
              <w:widowControl/>
              <w:adjustRightInd/>
              <w:snapToGrid/>
              <w:spacing w:after="0" w:line="240" w:lineRule="exact"/>
              <w:jc w:val="both"/>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（1）</w:t>
            </w:r>
            <w:r>
              <w:rPr>
                <w:rFonts w:hint="eastAsia" w:ascii="Times New Roman" w:hAnsi="Times New Roman" w:eastAsia="方正仿宋_GBK" w:cs="Times New Roman"/>
                <w:color w:val="333333"/>
                <w:kern w:val="2"/>
                <w:sz w:val="18"/>
                <w:szCs w:val="18"/>
              </w:rPr>
              <w:t>项目理解。对机会清单认知到位，对城市机会清单的发布流程和主要特点理解到位和把握准确。（优秀得10分，良好得6分，一般得3分）</w:t>
            </w:r>
          </w:p>
        </w:tc>
        <w:tc>
          <w:tcPr>
            <w:tcW w:w="2339"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F396CAF">
            <w:pPr>
              <w:widowControl/>
              <w:adjustRightInd/>
              <w:snapToGrid/>
              <w:spacing w:after="0" w:line="240" w:lineRule="exact"/>
              <w:jc w:val="both"/>
              <w:rPr>
                <w:rFonts w:ascii="Times New Roman" w:hAnsi="Times New Roman" w:eastAsia="方正仿宋_GBK" w:cs="Times New Roman"/>
                <w:color w:val="333333"/>
                <w:kern w:val="2"/>
                <w:sz w:val="18"/>
                <w:szCs w:val="18"/>
              </w:rPr>
            </w:pPr>
            <w:r>
              <w:rPr>
                <w:rFonts w:ascii="Times New Roman" w:hAnsi="Times New Roman" w:eastAsia="方正仿宋_GBK" w:cs="Times New Roman"/>
                <w:color w:val="333333"/>
                <w:kern w:val="2"/>
                <w:sz w:val="18"/>
                <w:szCs w:val="18"/>
              </w:rPr>
              <w:t>提供</w:t>
            </w:r>
            <w:r>
              <w:rPr>
                <w:rFonts w:hint="eastAsia" w:ascii="Times New Roman" w:hAnsi="Times New Roman" w:eastAsia="方正仿宋_GBK" w:cs="Times New Roman"/>
                <w:color w:val="333333"/>
                <w:kern w:val="2"/>
                <w:sz w:val="18"/>
                <w:szCs w:val="18"/>
              </w:rPr>
              <w:t>投标</w:t>
            </w:r>
            <w:r>
              <w:rPr>
                <w:rFonts w:ascii="Times New Roman" w:hAnsi="Times New Roman" w:eastAsia="方正仿宋_GBK" w:cs="Times New Roman"/>
                <w:color w:val="333333"/>
                <w:kern w:val="2"/>
                <w:sz w:val="18"/>
                <w:szCs w:val="18"/>
              </w:rPr>
              <w:t>服务方案。服务方案要求体现投标人</w:t>
            </w:r>
            <w:r>
              <w:rPr>
                <w:rFonts w:hint="eastAsia" w:ascii="Times New Roman" w:hAnsi="Times New Roman" w:eastAsia="方正仿宋_GBK" w:cs="Times New Roman"/>
                <w:color w:val="333333"/>
                <w:kern w:val="2"/>
                <w:sz w:val="18"/>
                <w:szCs w:val="18"/>
              </w:rPr>
              <w:t>对本项目的充分认识和初步设想</w:t>
            </w:r>
            <w:r>
              <w:rPr>
                <w:rFonts w:ascii="Times New Roman" w:hAnsi="Times New Roman" w:eastAsia="方正仿宋_GBK" w:cs="Times New Roman"/>
                <w:color w:val="333333"/>
                <w:kern w:val="2"/>
                <w:sz w:val="18"/>
                <w:szCs w:val="18"/>
              </w:rPr>
              <w:t>（包含但不限于服务内容、服务能力、执行把控措施、机会清单的初步设计</w:t>
            </w:r>
            <w:r>
              <w:rPr>
                <w:rFonts w:hint="eastAsia" w:ascii="Times New Roman" w:hAnsi="Times New Roman" w:eastAsia="方正仿宋_GBK" w:cs="Times New Roman"/>
                <w:color w:val="333333"/>
                <w:kern w:val="2"/>
                <w:sz w:val="18"/>
                <w:szCs w:val="18"/>
              </w:rPr>
              <w:t>、工作进度安排等</w:t>
            </w:r>
            <w:r>
              <w:rPr>
                <w:rFonts w:ascii="Times New Roman" w:hAnsi="Times New Roman" w:eastAsia="方正仿宋_GBK" w:cs="Times New Roman"/>
                <w:color w:val="333333"/>
                <w:kern w:val="2"/>
                <w:sz w:val="18"/>
                <w:szCs w:val="18"/>
              </w:rPr>
              <w:t>），加盖</w:t>
            </w:r>
            <w:bookmarkStart w:id="0" w:name="OLE_LINK5"/>
            <w:r>
              <w:rPr>
                <w:rFonts w:ascii="Times New Roman" w:hAnsi="Times New Roman" w:eastAsia="方正仿宋_GBK" w:cs="Times New Roman"/>
                <w:color w:val="333333"/>
                <w:kern w:val="2"/>
                <w:sz w:val="18"/>
                <w:szCs w:val="18"/>
              </w:rPr>
              <w:t>投标人</w:t>
            </w:r>
            <w:bookmarkEnd w:id="0"/>
            <w:r>
              <w:rPr>
                <w:rFonts w:ascii="Times New Roman" w:hAnsi="Times New Roman" w:eastAsia="方正仿宋_GBK" w:cs="Times New Roman"/>
                <w:color w:val="333333"/>
                <w:kern w:val="2"/>
                <w:sz w:val="18"/>
                <w:szCs w:val="18"/>
              </w:rPr>
              <w:t>鲜章。</w:t>
            </w:r>
          </w:p>
          <w:p w14:paraId="4851008E">
            <w:pPr>
              <w:widowControl/>
              <w:adjustRightInd/>
              <w:snapToGrid/>
              <w:spacing w:after="0" w:line="240" w:lineRule="exact"/>
              <w:jc w:val="both"/>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采购人根据采购服务需求，对各供应商提供的书面方案进行横向比较评分。</w:t>
            </w:r>
          </w:p>
        </w:tc>
      </w:tr>
      <w:tr w14:paraId="14F56D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7" w:hRule="atLeast"/>
        </w:trPr>
        <w:tc>
          <w:tcPr>
            <w:tcW w:w="50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2C78A6B">
            <w:pPr>
              <w:widowControl/>
              <w:adjustRightInd/>
              <w:snapToGrid/>
              <w:spacing w:after="0" w:line="240" w:lineRule="exact"/>
              <w:jc w:val="center"/>
              <w:rPr>
                <w:rFonts w:ascii="Times New Roman" w:hAnsi="Times New Roman" w:eastAsia="方正仿宋_GBK" w:cs="Times New Roman"/>
                <w:color w:val="333333"/>
                <w:kern w:val="2"/>
                <w:sz w:val="18"/>
                <w:szCs w:val="18"/>
              </w:rPr>
            </w:pPr>
          </w:p>
        </w:tc>
        <w:tc>
          <w:tcPr>
            <w:tcW w:w="905"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4BE4288">
            <w:pPr>
              <w:widowControl/>
              <w:adjustRightInd/>
              <w:snapToGrid/>
              <w:spacing w:after="0" w:line="240" w:lineRule="exact"/>
              <w:jc w:val="both"/>
              <w:rPr>
                <w:rFonts w:ascii="Times New Roman" w:hAnsi="Times New Roman" w:eastAsia="方正仿宋_GBK" w:cs="Times New Roman"/>
                <w:color w:val="333333"/>
                <w:kern w:val="2"/>
                <w:sz w:val="18"/>
                <w:szCs w:val="18"/>
              </w:rPr>
            </w:pPr>
          </w:p>
        </w:tc>
        <w:tc>
          <w:tcPr>
            <w:tcW w:w="996" w:type="dxa"/>
            <w:vMerge w:val="continue"/>
            <w:tcBorders>
              <w:left w:val="single" w:color="auto" w:sz="4" w:space="0"/>
              <w:right w:val="single" w:color="auto" w:sz="4" w:space="0"/>
            </w:tcBorders>
            <w:shd w:val="clear" w:color="auto" w:fill="FFFFFF"/>
            <w:tcMar>
              <w:left w:w="70" w:type="dxa"/>
              <w:right w:w="70" w:type="dxa"/>
            </w:tcMar>
            <w:vAlign w:val="center"/>
          </w:tcPr>
          <w:p w14:paraId="541E2678">
            <w:pPr>
              <w:widowControl/>
              <w:adjustRightInd/>
              <w:snapToGrid/>
              <w:spacing w:after="0" w:line="240" w:lineRule="exact"/>
              <w:jc w:val="center"/>
              <w:rPr>
                <w:rFonts w:ascii="Times New Roman" w:hAnsi="Times New Roman" w:eastAsia="方正仿宋_GBK" w:cs="Times New Roman"/>
                <w:color w:val="333333"/>
                <w:kern w:val="2"/>
                <w:sz w:val="18"/>
                <w:szCs w:val="18"/>
              </w:rPr>
            </w:pPr>
          </w:p>
        </w:tc>
        <w:tc>
          <w:tcPr>
            <w:tcW w:w="374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4EE0F03">
            <w:pPr>
              <w:widowControl/>
              <w:adjustRightInd/>
              <w:snapToGrid/>
              <w:spacing w:after="0" w:line="240" w:lineRule="exact"/>
              <w:jc w:val="both"/>
              <w:rPr>
                <w:rFonts w:hint="eastAsia" w:ascii="Times New Roman" w:hAnsi="Times New Roman" w:eastAsia="方正仿宋_GBK" w:cs="Times New Roman"/>
                <w:color w:val="333333"/>
                <w:kern w:val="2"/>
                <w:sz w:val="18"/>
                <w:szCs w:val="18"/>
              </w:rPr>
            </w:pPr>
            <w:r>
              <w:rPr>
                <w:rFonts w:ascii="Times New Roman" w:hAnsi="Times New Roman" w:eastAsia="方正仿宋_GBK" w:cs="Times New Roman"/>
                <w:kern w:val="2"/>
                <w:sz w:val="18"/>
                <w:szCs w:val="18"/>
              </w:rPr>
              <w:t>（</w:t>
            </w:r>
            <w:r>
              <w:rPr>
                <w:rFonts w:hint="eastAsia" w:ascii="Times New Roman" w:hAnsi="Times New Roman" w:eastAsia="方正仿宋_GBK" w:cs="Times New Roman"/>
                <w:kern w:val="2"/>
                <w:sz w:val="18"/>
                <w:szCs w:val="18"/>
              </w:rPr>
              <w:t>2</w:t>
            </w:r>
            <w:r>
              <w:rPr>
                <w:rFonts w:ascii="Times New Roman" w:hAnsi="Times New Roman" w:eastAsia="方正仿宋_GBK" w:cs="Times New Roman"/>
                <w:kern w:val="2"/>
                <w:sz w:val="18"/>
                <w:szCs w:val="18"/>
              </w:rPr>
              <w:t>）背景</w:t>
            </w:r>
            <w:r>
              <w:rPr>
                <w:rFonts w:hint="eastAsia" w:ascii="Times New Roman" w:hAnsi="Times New Roman" w:eastAsia="方正仿宋_GBK" w:cs="Times New Roman"/>
                <w:kern w:val="2"/>
                <w:sz w:val="18"/>
                <w:szCs w:val="18"/>
              </w:rPr>
              <w:t>认识</w:t>
            </w:r>
            <w:r>
              <w:rPr>
                <w:rFonts w:ascii="Times New Roman" w:hAnsi="Times New Roman" w:eastAsia="方正仿宋_GBK" w:cs="Times New Roman"/>
                <w:kern w:val="2"/>
                <w:sz w:val="18"/>
                <w:szCs w:val="18"/>
              </w:rPr>
              <w:t>分析。对</w:t>
            </w:r>
            <w:r>
              <w:rPr>
                <w:rFonts w:hint="eastAsia" w:ascii="Times New Roman" w:hAnsi="Times New Roman" w:eastAsia="方正仿宋_GBK" w:cs="Times New Roman"/>
                <w:kern w:val="2"/>
                <w:sz w:val="18"/>
                <w:szCs w:val="18"/>
              </w:rPr>
              <w:t>项目</w:t>
            </w:r>
            <w:r>
              <w:rPr>
                <w:rFonts w:ascii="Times New Roman" w:hAnsi="Times New Roman" w:eastAsia="方正仿宋_GBK" w:cs="Times New Roman"/>
                <w:kern w:val="2"/>
                <w:sz w:val="18"/>
                <w:szCs w:val="18"/>
              </w:rPr>
              <w:t>背景认知</w:t>
            </w:r>
            <w:r>
              <w:rPr>
                <w:rFonts w:hint="eastAsia" w:ascii="Times New Roman" w:hAnsi="Times New Roman" w:eastAsia="方正仿宋_GBK" w:cs="Times New Roman"/>
                <w:kern w:val="2"/>
                <w:sz w:val="18"/>
                <w:szCs w:val="18"/>
              </w:rPr>
              <w:t>分析</w:t>
            </w:r>
            <w:r>
              <w:rPr>
                <w:rFonts w:ascii="Times New Roman" w:hAnsi="Times New Roman" w:eastAsia="方正仿宋_GBK" w:cs="Times New Roman"/>
                <w:kern w:val="2"/>
                <w:sz w:val="18"/>
                <w:szCs w:val="18"/>
              </w:rPr>
              <w:t>到位，对</w:t>
            </w:r>
            <w:r>
              <w:rPr>
                <w:rFonts w:hint="eastAsia" w:ascii="Times New Roman" w:hAnsi="Times New Roman" w:eastAsia="方正仿宋_GBK" w:cs="Times New Roman"/>
                <w:kern w:val="2"/>
                <w:sz w:val="18"/>
                <w:szCs w:val="18"/>
              </w:rPr>
              <w:t>国家宏观</w:t>
            </w:r>
            <w:r>
              <w:rPr>
                <w:rFonts w:ascii="Times New Roman" w:hAnsi="Times New Roman" w:eastAsia="方正仿宋_GBK" w:cs="Times New Roman"/>
                <w:kern w:val="2"/>
                <w:sz w:val="18"/>
                <w:szCs w:val="18"/>
              </w:rPr>
              <w:t>规划背景</w:t>
            </w:r>
            <w:r>
              <w:rPr>
                <w:rFonts w:hint="eastAsia" w:ascii="Times New Roman" w:hAnsi="Times New Roman" w:eastAsia="方正仿宋_GBK" w:cs="Times New Roman"/>
                <w:kern w:val="2"/>
                <w:sz w:val="18"/>
                <w:szCs w:val="18"/>
              </w:rPr>
              <w:t>及政策</w:t>
            </w:r>
            <w:r>
              <w:rPr>
                <w:rFonts w:ascii="Times New Roman" w:hAnsi="Times New Roman" w:eastAsia="方正仿宋_GBK" w:cs="Times New Roman"/>
                <w:kern w:val="2"/>
                <w:sz w:val="18"/>
                <w:szCs w:val="18"/>
              </w:rPr>
              <w:t>理解和把握准确。（优得</w:t>
            </w:r>
            <w:r>
              <w:rPr>
                <w:rFonts w:hint="eastAsia" w:ascii="Times New Roman" w:hAnsi="Times New Roman" w:eastAsia="方正仿宋_GBK" w:cs="Times New Roman"/>
                <w:kern w:val="2"/>
                <w:sz w:val="18"/>
                <w:szCs w:val="18"/>
              </w:rPr>
              <w:t>10</w:t>
            </w:r>
            <w:r>
              <w:rPr>
                <w:rFonts w:ascii="Times New Roman" w:hAnsi="Times New Roman" w:eastAsia="方正仿宋_GBK" w:cs="Times New Roman"/>
                <w:kern w:val="2"/>
                <w:sz w:val="18"/>
                <w:szCs w:val="18"/>
              </w:rPr>
              <w:t>分，良得</w:t>
            </w:r>
            <w:r>
              <w:rPr>
                <w:rFonts w:hint="eastAsia" w:ascii="Times New Roman" w:hAnsi="Times New Roman" w:eastAsia="方正仿宋_GBK" w:cs="Times New Roman"/>
                <w:kern w:val="2"/>
                <w:sz w:val="18"/>
                <w:szCs w:val="18"/>
              </w:rPr>
              <w:t>6</w:t>
            </w:r>
            <w:r>
              <w:rPr>
                <w:rFonts w:ascii="Times New Roman" w:hAnsi="Times New Roman" w:eastAsia="方正仿宋_GBK" w:cs="Times New Roman"/>
                <w:kern w:val="2"/>
                <w:sz w:val="18"/>
                <w:szCs w:val="18"/>
              </w:rPr>
              <w:t>分，一般得</w:t>
            </w:r>
            <w:r>
              <w:rPr>
                <w:rFonts w:hint="eastAsia" w:ascii="Times New Roman" w:hAnsi="Times New Roman" w:eastAsia="方正仿宋_GBK" w:cs="Times New Roman"/>
                <w:kern w:val="2"/>
                <w:sz w:val="18"/>
                <w:szCs w:val="18"/>
              </w:rPr>
              <w:t>3</w:t>
            </w:r>
            <w:r>
              <w:rPr>
                <w:rFonts w:ascii="Times New Roman" w:hAnsi="Times New Roman" w:eastAsia="方正仿宋_GBK" w:cs="Times New Roman"/>
                <w:kern w:val="2"/>
                <w:sz w:val="18"/>
                <w:szCs w:val="18"/>
              </w:rPr>
              <w:t>分）</w:t>
            </w:r>
          </w:p>
        </w:tc>
        <w:tc>
          <w:tcPr>
            <w:tcW w:w="2339"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20BA515">
            <w:pPr>
              <w:widowControl/>
              <w:adjustRightInd/>
              <w:snapToGrid/>
              <w:spacing w:after="0" w:line="240" w:lineRule="exact"/>
              <w:jc w:val="both"/>
              <w:rPr>
                <w:rFonts w:ascii="Times New Roman" w:hAnsi="Times New Roman" w:eastAsia="方正仿宋_GBK" w:cs="Times New Roman"/>
                <w:color w:val="333333"/>
                <w:kern w:val="2"/>
                <w:sz w:val="18"/>
                <w:szCs w:val="18"/>
              </w:rPr>
            </w:pPr>
          </w:p>
        </w:tc>
      </w:tr>
      <w:tr w14:paraId="1CB985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1" w:hRule="atLeast"/>
        </w:trPr>
        <w:tc>
          <w:tcPr>
            <w:tcW w:w="50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9C943AD">
            <w:pPr>
              <w:widowControl/>
              <w:adjustRightInd/>
              <w:snapToGrid/>
              <w:spacing w:after="0" w:line="240" w:lineRule="exact"/>
              <w:jc w:val="center"/>
              <w:rPr>
                <w:rFonts w:ascii="Times New Roman" w:hAnsi="Times New Roman" w:eastAsia="方正仿宋_GBK" w:cs="Times New Roman"/>
                <w:color w:val="333333"/>
                <w:kern w:val="2"/>
                <w:sz w:val="18"/>
                <w:szCs w:val="18"/>
              </w:rPr>
            </w:pPr>
          </w:p>
        </w:tc>
        <w:tc>
          <w:tcPr>
            <w:tcW w:w="905"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A2CD4E6">
            <w:pPr>
              <w:widowControl/>
              <w:adjustRightInd/>
              <w:snapToGrid/>
              <w:spacing w:after="0" w:line="240" w:lineRule="exact"/>
              <w:jc w:val="both"/>
              <w:rPr>
                <w:rFonts w:ascii="Times New Roman" w:hAnsi="Times New Roman" w:eastAsia="方正仿宋_GBK" w:cs="Times New Roman"/>
                <w:color w:val="333333"/>
                <w:kern w:val="2"/>
                <w:sz w:val="18"/>
                <w:szCs w:val="18"/>
              </w:rPr>
            </w:pPr>
          </w:p>
        </w:tc>
        <w:tc>
          <w:tcPr>
            <w:tcW w:w="996" w:type="dxa"/>
            <w:vMerge w:val="continue"/>
            <w:tcBorders>
              <w:left w:val="single" w:color="auto" w:sz="4" w:space="0"/>
              <w:right w:val="single" w:color="auto" w:sz="4" w:space="0"/>
            </w:tcBorders>
            <w:shd w:val="clear" w:color="auto" w:fill="FFFFFF"/>
            <w:tcMar>
              <w:left w:w="70" w:type="dxa"/>
              <w:right w:w="70" w:type="dxa"/>
            </w:tcMar>
            <w:vAlign w:val="center"/>
          </w:tcPr>
          <w:p w14:paraId="5F875838">
            <w:pPr>
              <w:widowControl/>
              <w:adjustRightInd/>
              <w:snapToGrid/>
              <w:spacing w:after="0" w:line="240" w:lineRule="exact"/>
              <w:jc w:val="center"/>
              <w:rPr>
                <w:rFonts w:ascii="Times New Roman" w:hAnsi="Times New Roman" w:eastAsia="方正仿宋_GBK" w:cs="Times New Roman"/>
                <w:color w:val="333333"/>
                <w:kern w:val="2"/>
                <w:sz w:val="18"/>
                <w:szCs w:val="18"/>
              </w:rPr>
            </w:pPr>
          </w:p>
        </w:tc>
        <w:tc>
          <w:tcPr>
            <w:tcW w:w="374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68654D9">
            <w:pPr>
              <w:widowControl/>
              <w:adjustRightInd/>
              <w:snapToGrid/>
              <w:spacing w:after="0" w:line="240" w:lineRule="exact"/>
              <w:jc w:val="both"/>
              <w:rPr>
                <w:rFonts w:hint="eastAsia" w:ascii="Times New Roman" w:hAnsi="Times New Roman" w:eastAsia="方正仿宋_GBK" w:cs="Times New Roman"/>
                <w:color w:val="333333"/>
                <w:kern w:val="2"/>
                <w:sz w:val="18"/>
                <w:szCs w:val="18"/>
              </w:rPr>
            </w:pPr>
            <w:r>
              <w:rPr>
                <w:rFonts w:ascii="Times New Roman" w:hAnsi="Times New Roman" w:eastAsia="方正仿宋_GBK" w:cs="Times New Roman"/>
                <w:kern w:val="2"/>
                <w:sz w:val="18"/>
                <w:szCs w:val="18"/>
              </w:rPr>
              <w:t>（</w:t>
            </w:r>
            <w:r>
              <w:rPr>
                <w:rFonts w:hint="eastAsia" w:ascii="Times New Roman" w:hAnsi="Times New Roman" w:eastAsia="方正仿宋_GBK" w:cs="Times New Roman"/>
                <w:kern w:val="2"/>
                <w:sz w:val="18"/>
                <w:szCs w:val="18"/>
              </w:rPr>
              <w:t>3</w:t>
            </w:r>
            <w:r>
              <w:rPr>
                <w:rFonts w:ascii="Times New Roman" w:hAnsi="Times New Roman" w:eastAsia="方正仿宋_GBK" w:cs="Times New Roman"/>
                <w:kern w:val="2"/>
                <w:sz w:val="18"/>
                <w:szCs w:val="18"/>
              </w:rPr>
              <w:t>）现状分析。对</w:t>
            </w:r>
            <w:r>
              <w:rPr>
                <w:rFonts w:hint="eastAsia" w:ascii="Times New Roman" w:hAnsi="Times New Roman" w:eastAsia="方正仿宋_GBK" w:cs="Times New Roman"/>
                <w:kern w:val="2"/>
                <w:sz w:val="18"/>
                <w:szCs w:val="18"/>
              </w:rPr>
              <w:t>大渡口区城市基本情况分析和社会经济发展、对</w:t>
            </w:r>
            <w:r>
              <w:rPr>
                <w:rFonts w:ascii="Times New Roman" w:hAnsi="Times New Roman" w:eastAsia="方正仿宋_GBK" w:cs="Times New Roman"/>
                <w:color w:val="333333"/>
                <w:kern w:val="2"/>
                <w:sz w:val="18"/>
                <w:szCs w:val="18"/>
              </w:rPr>
              <w:t>钓鱼嘴片区产业发展现状、未来发展方向的</w:t>
            </w:r>
            <w:r>
              <w:rPr>
                <w:rFonts w:hint="eastAsia" w:ascii="Times New Roman" w:hAnsi="Times New Roman" w:eastAsia="方正仿宋_GBK" w:cs="Times New Roman"/>
                <w:kern w:val="2"/>
                <w:sz w:val="18"/>
                <w:szCs w:val="18"/>
              </w:rPr>
              <w:t>情况</w:t>
            </w:r>
            <w:r>
              <w:rPr>
                <w:rFonts w:ascii="Times New Roman" w:hAnsi="Times New Roman" w:eastAsia="方正仿宋_GBK" w:cs="Times New Roman"/>
                <w:color w:val="333333"/>
                <w:kern w:val="2"/>
                <w:sz w:val="18"/>
                <w:szCs w:val="18"/>
              </w:rPr>
              <w:t>了解</w:t>
            </w:r>
            <w:r>
              <w:rPr>
                <w:rFonts w:hint="eastAsia" w:ascii="Times New Roman" w:hAnsi="Times New Roman" w:eastAsia="方正仿宋_GBK" w:cs="Times New Roman"/>
                <w:kern w:val="2"/>
                <w:sz w:val="18"/>
                <w:szCs w:val="18"/>
              </w:rPr>
              <w:t>、</w:t>
            </w:r>
            <w:r>
              <w:rPr>
                <w:rFonts w:ascii="Times New Roman" w:hAnsi="Times New Roman" w:eastAsia="方正仿宋_GBK" w:cs="Times New Roman"/>
                <w:kern w:val="2"/>
                <w:sz w:val="18"/>
                <w:szCs w:val="18"/>
              </w:rPr>
              <w:t>分析准确、有深度。</w:t>
            </w:r>
            <w:bookmarkStart w:id="1" w:name="OLE_LINK4"/>
            <w:r>
              <w:rPr>
                <w:rFonts w:ascii="Times New Roman" w:hAnsi="Times New Roman" w:eastAsia="方正仿宋_GBK" w:cs="Times New Roman"/>
                <w:kern w:val="2"/>
                <w:sz w:val="18"/>
                <w:szCs w:val="18"/>
              </w:rPr>
              <w:t>（优得</w:t>
            </w:r>
            <w:r>
              <w:rPr>
                <w:rFonts w:hint="eastAsia" w:ascii="Times New Roman" w:hAnsi="Times New Roman" w:eastAsia="方正仿宋_GBK" w:cs="Times New Roman"/>
                <w:kern w:val="2"/>
                <w:sz w:val="18"/>
                <w:szCs w:val="18"/>
              </w:rPr>
              <w:t>15</w:t>
            </w:r>
            <w:r>
              <w:rPr>
                <w:rFonts w:ascii="Times New Roman" w:hAnsi="Times New Roman" w:eastAsia="方正仿宋_GBK" w:cs="Times New Roman"/>
                <w:kern w:val="2"/>
                <w:sz w:val="18"/>
                <w:szCs w:val="18"/>
              </w:rPr>
              <w:t>分，良得</w:t>
            </w:r>
            <w:r>
              <w:rPr>
                <w:rFonts w:hint="eastAsia" w:ascii="Times New Roman" w:hAnsi="Times New Roman" w:eastAsia="方正仿宋_GBK" w:cs="Times New Roman"/>
                <w:kern w:val="2"/>
                <w:sz w:val="18"/>
                <w:szCs w:val="18"/>
              </w:rPr>
              <w:t>10</w:t>
            </w:r>
            <w:r>
              <w:rPr>
                <w:rFonts w:ascii="Times New Roman" w:hAnsi="Times New Roman" w:eastAsia="方正仿宋_GBK" w:cs="Times New Roman"/>
                <w:kern w:val="2"/>
                <w:sz w:val="18"/>
                <w:szCs w:val="18"/>
              </w:rPr>
              <w:t>分，一般得</w:t>
            </w:r>
            <w:r>
              <w:rPr>
                <w:rFonts w:hint="eastAsia" w:ascii="Times New Roman" w:hAnsi="Times New Roman" w:eastAsia="方正仿宋_GBK" w:cs="Times New Roman"/>
                <w:kern w:val="2"/>
                <w:sz w:val="18"/>
                <w:szCs w:val="18"/>
              </w:rPr>
              <w:t>5</w:t>
            </w:r>
            <w:r>
              <w:rPr>
                <w:rFonts w:ascii="Times New Roman" w:hAnsi="Times New Roman" w:eastAsia="方正仿宋_GBK" w:cs="Times New Roman"/>
                <w:kern w:val="2"/>
                <w:sz w:val="18"/>
                <w:szCs w:val="18"/>
              </w:rPr>
              <w:t>分）</w:t>
            </w:r>
            <w:bookmarkEnd w:id="1"/>
          </w:p>
        </w:tc>
        <w:tc>
          <w:tcPr>
            <w:tcW w:w="2339"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68241F0">
            <w:pPr>
              <w:widowControl/>
              <w:adjustRightInd/>
              <w:snapToGrid/>
              <w:spacing w:after="0" w:line="240" w:lineRule="exact"/>
              <w:jc w:val="both"/>
              <w:rPr>
                <w:rFonts w:ascii="Times New Roman" w:hAnsi="Times New Roman" w:eastAsia="方正仿宋_GBK" w:cs="Times New Roman"/>
                <w:color w:val="333333"/>
                <w:kern w:val="2"/>
                <w:sz w:val="18"/>
                <w:szCs w:val="18"/>
              </w:rPr>
            </w:pPr>
          </w:p>
        </w:tc>
      </w:tr>
      <w:tr w14:paraId="5CE229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77" w:hRule="atLeast"/>
        </w:trPr>
        <w:tc>
          <w:tcPr>
            <w:tcW w:w="50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ADA04A2">
            <w:pPr>
              <w:widowControl/>
              <w:adjustRightInd/>
              <w:snapToGrid/>
              <w:spacing w:after="0" w:line="240" w:lineRule="exact"/>
              <w:jc w:val="center"/>
              <w:rPr>
                <w:rFonts w:ascii="Times New Roman" w:hAnsi="Times New Roman" w:eastAsia="方正仿宋_GBK" w:cs="Times New Roman"/>
                <w:color w:val="333333"/>
                <w:kern w:val="2"/>
                <w:sz w:val="18"/>
                <w:szCs w:val="18"/>
              </w:rPr>
            </w:pPr>
          </w:p>
        </w:tc>
        <w:tc>
          <w:tcPr>
            <w:tcW w:w="905"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6946D43">
            <w:pPr>
              <w:widowControl/>
              <w:adjustRightInd/>
              <w:snapToGrid/>
              <w:spacing w:after="0" w:line="240" w:lineRule="exact"/>
              <w:jc w:val="both"/>
              <w:rPr>
                <w:rFonts w:ascii="Times New Roman" w:hAnsi="Times New Roman" w:eastAsia="方正仿宋_GBK" w:cs="Times New Roman"/>
                <w:color w:val="333333"/>
                <w:kern w:val="2"/>
                <w:sz w:val="18"/>
                <w:szCs w:val="18"/>
              </w:rPr>
            </w:pPr>
          </w:p>
        </w:tc>
        <w:tc>
          <w:tcPr>
            <w:tcW w:w="996" w:type="dxa"/>
            <w:vMerge w:val="continue"/>
            <w:tcBorders>
              <w:left w:val="single" w:color="auto" w:sz="4" w:space="0"/>
              <w:right w:val="single" w:color="auto" w:sz="4" w:space="0"/>
            </w:tcBorders>
            <w:shd w:val="clear" w:color="auto" w:fill="FFFFFF"/>
            <w:tcMar>
              <w:left w:w="70" w:type="dxa"/>
              <w:right w:w="70" w:type="dxa"/>
            </w:tcMar>
            <w:vAlign w:val="center"/>
          </w:tcPr>
          <w:p w14:paraId="3149270E">
            <w:pPr>
              <w:widowControl/>
              <w:adjustRightInd/>
              <w:snapToGrid/>
              <w:spacing w:after="0" w:line="240" w:lineRule="exact"/>
              <w:jc w:val="center"/>
              <w:rPr>
                <w:rFonts w:ascii="Times New Roman" w:hAnsi="Times New Roman" w:eastAsia="方正仿宋_GBK" w:cs="Times New Roman"/>
                <w:color w:val="333333"/>
                <w:kern w:val="2"/>
                <w:sz w:val="18"/>
                <w:szCs w:val="18"/>
              </w:rPr>
            </w:pPr>
          </w:p>
        </w:tc>
        <w:tc>
          <w:tcPr>
            <w:tcW w:w="374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9309417">
            <w:pPr>
              <w:widowControl/>
              <w:adjustRightInd/>
              <w:snapToGrid/>
              <w:spacing w:after="0" w:line="240" w:lineRule="exact"/>
              <w:jc w:val="both"/>
              <w:rPr>
                <w:rFonts w:hint="eastAsia" w:ascii="Times New Roman" w:hAnsi="Times New Roman" w:eastAsia="方正仿宋_GBK" w:cs="Times New Roman"/>
                <w:kern w:val="2"/>
                <w:sz w:val="18"/>
                <w:szCs w:val="18"/>
              </w:rPr>
            </w:pPr>
            <w:r>
              <w:rPr>
                <w:rFonts w:ascii="Times New Roman" w:hAnsi="Times New Roman" w:eastAsia="方正仿宋_GBK" w:cs="Times New Roman"/>
                <w:kern w:val="2"/>
                <w:sz w:val="18"/>
                <w:szCs w:val="18"/>
              </w:rPr>
              <w:t>（4）</w:t>
            </w:r>
            <w:r>
              <w:rPr>
                <w:rFonts w:hint="eastAsia" w:ascii="Times New Roman" w:hAnsi="Times New Roman" w:eastAsia="方正仿宋_GBK" w:cs="Times New Roman"/>
                <w:kern w:val="2"/>
                <w:sz w:val="18"/>
                <w:szCs w:val="18"/>
              </w:rPr>
              <w:t>工作实施方案</w:t>
            </w:r>
            <w:r>
              <w:rPr>
                <w:rFonts w:ascii="Times New Roman" w:hAnsi="Times New Roman" w:eastAsia="方正仿宋_GBK" w:cs="Times New Roman"/>
                <w:kern w:val="2"/>
                <w:sz w:val="18"/>
                <w:szCs w:val="18"/>
              </w:rPr>
              <w:t>。</w:t>
            </w:r>
            <w:r>
              <w:rPr>
                <w:rFonts w:hint="eastAsia" w:ascii="Times New Roman" w:hAnsi="Times New Roman" w:eastAsia="方正仿宋_GBK" w:cs="Times New Roman"/>
                <w:kern w:val="2"/>
                <w:sz w:val="18"/>
                <w:szCs w:val="18"/>
              </w:rPr>
              <w:t>城市机会清单编制工作方案架构</w:t>
            </w:r>
            <w:r>
              <w:rPr>
                <w:rFonts w:ascii="Times New Roman" w:hAnsi="Times New Roman" w:eastAsia="方正仿宋_GBK" w:cs="Times New Roman"/>
                <w:kern w:val="2"/>
                <w:sz w:val="18"/>
                <w:szCs w:val="18"/>
              </w:rPr>
              <w:t>完整，思路清晰、合理可行</w:t>
            </w:r>
            <w:r>
              <w:rPr>
                <w:rFonts w:hint="eastAsia" w:ascii="Times New Roman" w:hAnsi="Times New Roman" w:eastAsia="方正仿宋_GBK" w:cs="Times New Roman"/>
                <w:kern w:val="2"/>
                <w:sz w:val="18"/>
                <w:szCs w:val="18"/>
              </w:rPr>
              <w:t>策划服务方案新颖、具有前瞻性的，得高分；评估策划服务方案的可行性，包括是否符合钓鱼嘴地区的实际情况、是否具备可操作性等。（优得</w:t>
            </w:r>
            <w:r>
              <w:rPr>
                <w:rFonts w:ascii="Times New Roman" w:hAnsi="Times New Roman" w:eastAsia="方正仿宋_GBK" w:cs="Times New Roman"/>
                <w:kern w:val="2"/>
                <w:sz w:val="18"/>
                <w:szCs w:val="18"/>
              </w:rPr>
              <w:t>1</w:t>
            </w:r>
            <w:r>
              <w:rPr>
                <w:rFonts w:hint="eastAsia" w:ascii="Times New Roman" w:hAnsi="Times New Roman" w:eastAsia="方正仿宋_GBK" w:cs="Times New Roman"/>
                <w:kern w:val="2"/>
                <w:sz w:val="18"/>
                <w:szCs w:val="18"/>
              </w:rPr>
              <w:t>5分，良得10分，一般得5分）</w:t>
            </w:r>
          </w:p>
        </w:tc>
        <w:tc>
          <w:tcPr>
            <w:tcW w:w="2339"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68A276A">
            <w:pPr>
              <w:widowControl/>
              <w:adjustRightInd/>
              <w:snapToGrid/>
              <w:spacing w:after="0" w:line="240" w:lineRule="exact"/>
              <w:jc w:val="both"/>
              <w:rPr>
                <w:rFonts w:ascii="Times New Roman" w:hAnsi="Times New Roman" w:eastAsia="方正仿宋_GBK" w:cs="Times New Roman"/>
                <w:color w:val="333333"/>
                <w:kern w:val="2"/>
                <w:sz w:val="18"/>
                <w:szCs w:val="18"/>
              </w:rPr>
            </w:pPr>
          </w:p>
        </w:tc>
      </w:tr>
      <w:tr w14:paraId="3CE0E2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0" w:hRule="atLeast"/>
        </w:trPr>
        <w:tc>
          <w:tcPr>
            <w:tcW w:w="50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0B9E30B">
            <w:pPr>
              <w:widowControl w:val="0"/>
              <w:adjustRightInd/>
              <w:snapToGrid/>
              <w:spacing w:after="0" w:line="240" w:lineRule="exact"/>
              <w:jc w:val="both"/>
              <w:rPr>
                <w:rFonts w:ascii="Times New Roman" w:hAnsi="Times New Roman" w:eastAsia="方正仿宋_GBK" w:cs="Times New Roman"/>
                <w:color w:val="333333"/>
                <w:kern w:val="2"/>
                <w:sz w:val="18"/>
                <w:szCs w:val="18"/>
              </w:rPr>
            </w:pPr>
          </w:p>
        </w:tc>
        <w:tc>
          <w:tcPr>
            <w:tcW w:w="905"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5DBB6F5">
            <w:pPr>
              <w:widowControl w:val="0"/>
              <w:adjustRightInd/>
              <w:snapToGrid/>
              <w:spacing w:after="0" w:line="240" w:lineRule="exact"/>
              <w:jc w:val="both"/>
              <w:rPr>
                <w:rFonts w:ascii="Times New Roman" w:hAnsi="Times New Roman" w:eastAsia="方正仿宋_GBK" w:cs="Times New Roman"/>
                <w:color w:val="333333"/>
                <w:kern w:val="2"/>
                <w:sz w:val="18"/>
                <w:szCs w:val="18"/>
              </w:rPr>
            </w:pPr>
          </w:p>
        </w:tc>
        <w:tc>
          <w:tcPr>
            <w:tcW w:w="996" w:type="dxa"/>
            <w:vMerge w:val="continue"/>
            <w:tcBorders>
              <w:left w:val="single" w:color="auto" w:sz="4" w:space="0"/>
              <w:bottom w:val="single" w:color="auto" w:sz="4" w:space="0"/>
              <w:right w:val="single" w:color="auto" w:sz="4" w:space="0"/>
            </w:tcBorders>
            <w:shd w:val="clear" w:color="auto" w:fill="FFFFFF"/>
            <w:tcMar>
              <w:left w:w="70" w:type="dxa"/>
              <w:right w:w="70" w:type="dxa"/>
            </w:tcMar>
            <w:vAlign w:val="center"/>
          </w:tcPr>
          <w:p w14:paraId="414E7F05">
            <w:pPr>
              <w:widowControl/>
              <w:adjustRightInd/>
              <w:snapToGrid/>
              <w:spacing w:after="0" w:line="240" w:lineRule="exact"/>
              <w:jc w:val="center"/>
              <w:rPr>
                <w:rFonts w:ascii="Times New Roman" w:hAnsi="Times New Roman" w:eastAsia="方正仿宋_GBK" w:cs="Times New Roman"/>
                <w:kern w:val="2"/>
                <w:sz w:val="18"/>
                <w:szCs w:val="18"/>
              </w:rPr>
            </w:pPr>
          </w:p>
        </w:tc>
        <w:tc>
          <w:tcPr>
            <w:tcW w:w="374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998FA9B">
            <w:pPr>
              <w:widowControl/>
              <w:adjustRightInd/>
              <w:snapToGrid/>
              <w:spacing w:after="0" w:line="240" w:lineRule="exact"/>
              <w:jc w:val="both"/>
              <w:rPr>
                <w:rFonts w:hint="eastAsia" w:ascii="Times New Roman" w:hAnsi="Times New Roman" w:eastAsia="方正仿宋_GBK" w:cs="Times New Roman"/>
                <w:kern w:val="2"/>
                <w:sz w:val="18"/>
                <w:szCs w:val="18"/>
              </w:rPr>
            </w:pPr>
            <w:r>
              <w:rPr>
                <w:rFonts w:ascii="Times New Roman" w:hAnsi="Times New Roman" w:eastAsia="方正仿宋_GBK" w:cs="Times New Roman"/>
                <w:kern w:val="2"/>
                <w:sz w:val="18"/>
                <w:szCs w:val="18"/>
              </w:rPr>
              <w:t>（5）工作进度安排。工作进度安排合理并承诺能够在规定的时间内完成本项目工作并通过政府评审，并在每个工作阶段有详细的工作重点和目标。（优得</w:t>
            </w:r>
            <w:r>
              <w:rPr>
                <w:rFonts w:hint="eastAsia" w:ascii="Times New Roman" w:hAnsi="Times New Roman" w:eastAsia="方正仿宋_GBK" w:cs="Times New Roman"/>
                <w:kern w:val="2"/>
                <w:sz w:val="18"/>
                <w:szCs w:val="18"/>
              </w:rPr>
              <w:t>10</w:t>
            </w:r>
            <w:r>
              <w:rPr>
                <w:rFonts w:ascii="Times New Roman" w:hAnsi="Times New Roman" w:eastAsia="方正仿宋_GBK" w:cs="Times New Roman"/>
                <w:kern w:val="2"/>
                <w:sz w:val="18"/>
                <w:szCs w:val="18"/>
              </w:rPr>
              <w:t>分，良得</w:t>
            </w:r>
            <w:r>
              <w:rPr>
                <w:rFonts w:hint="eastAsia" w:ascii="Times New Roman" w:hAnsi="Times New Roman" w:eastAsia="方正仿宋_GBK" w:cs="Times New Roman"/>
                <w:kern w:val="2"/>
                <w:sz w:val="18"/>
                <w:szCs w:val="18"/>
              </w:rPr>
              <w:t>6</w:t>
            </w:r>
            <w:r>
              <w:rPr>
                <w:rFonts w:ascii="Times New Roman" w:hAnsi="Times New Roman" w:eastAsia="方正仿宋_GBK" w:cs="Times New Roman"/>
                <w:kern w:val="2"/>
                <w:sz w:val="18"/>
                <w:szCs w:val="18"/>
              </w:rPr>
              <w:t>分，一般得</w:t>
            </w:r>
            <w:r>
              <w:rPr>
                <w:rFonts w:hint="eastAsia" w:ascii="Times New Roman" w:hAnsi="Times New Roman" w:eastAsia="方正仿宋_GBK" w:cs="Times New Roman"/>
                <w:kern w:val="2"/>
                <w:sz w:val="18"/>
                <w:szCs w:val="18"/>
              </w:rPr>
              <w:t>3</w:t>
            </w:r>
            <w:r>
              <w:rPr>
                <w:rFonts w:ascii="Times New Roman" w:hAnsi="Times New Roman" w:eastAsia="方正仿宋_GBK" w:cs="Times New Roman"/>
                <w:kern w:val="2"/>
                <w:sz w:val="18"/>
                <w:szCs w:val="18"/>
              </w:rPr>
              <w:t>分）</w:t>
            </w:r>
          </w:p>
        </w:tc>
        <w:tc>
          <w:tcPr>
            <w:tcW w:w="2339"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33944DC">
            <w:pPr>
              <w:widowControl w:val="0"/>
              <w:adjustRightInd/>
              <w:snapToGrid/>
              <w:spacing w:after="0" w:line="240" w:lineRule="exact"/>
              <w:jc w:val="both"/>
              <w:rPr>
                <w:rFonts w:ascii="Times New Roman" w:hAnsi="Times New Roman" w:eastAsia="方正仿宋_GBK" w:cs="Times New Roman"/>
                <w:color w:val="333333"/>
                <w:kern w:val="2"/>
                <w:sz w:val="18"/>
                <w:szCs w:val="18"/>
              </w:rPr>
            </w:pPr>
          </w:p>
        </w:tc>
      </w:tr>
      <w:tr w14:paraId="76ECBF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4" w:hRule="atLeast"/>
        </w:trPr>
        <w:tc>
          <w:tcPr>
            <w:tcW w:w="504" w:type="dxa"/>
            <w:vMerge w:val="restart"/>
            <w:tcBorders>
              <w:top w:val="single" w:color="auto" w:sz="4" w:space="0"/>
              <w:left w:val="single" w:color="auto" w:sz="4" w:space="0"/>
              <w:right w:val="single" w:color="auto" w:sz="4" w:space="0"/>
            </w:tcBorders>
            <w:shd w:val="clear" w:color="auto" w:fill="FFFFFF"/>
            <w:tcMar>
              <w:left w:w="70" w:type="dxa"/>
              <w:right w:w="70" w:type="dxa"/>
            </w:tcMar>
            <w:vAlign w:val="center"/>
          </w:tcPr>
          <w:p w14:paraId="315F4D17">
            <w:pPr>
              <w:widowControl/>
              <w:adjustRightInd/>
              <w:snapToGrid/>
              <w:spacing w:after="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3</w:t>
            </w:r>
          </w:p>
        </w:tc>
        <w:tc>
          <w:tcPr>
            <w:tcW w:w="905" w:type="dxa"/>
            <w:vMerge w:val="restart"/>
            <w:tcBorders>
              <w:top w:val="single" w:color="auto" w:sz="4" w:space="0"/>
              <w:left w:val="single" w:color="auto" w:sz="4" w:space="0"/>
              <w:right w:val="single" w:color="auto" w:sz="4" w:space="0"/>
            </w:tcBorders>
            <w:shd w:val="clear" w:color="auto" w:fill="FFFFFF"/>
            <w:tcMar>
              <w:left w:w="70" w:type="dxa"/>
              <w:right w:w="70" w:type="dxa"/>
            </w:tcMar>
            <w:vAlign w:val="center"/>
          </w:tcPr>
          <w:p w14:paraId="54C53EB9">
            <w:pPr>
              <w:widowControl/>
              <w:adjustRightInd/>
              <w:snapToGrid/>
              <w:spacing w:after="0" w:line="240" w:lineRule="exact"/>
              <w:jc w:val="both"/>
              <w:rPr>
                <w:rFonts w:ascii="Times New Roman" w:hAnsi="Times New Roman" w:eastAsia="方正仿宋_GBK" w:cs="Times New Roman"/>
                <w:kern w:val="2"/>
                <w:sz w:val="18"/>
                <w:szCs w:val="18"/>
              </w:rPr>
            </w:pPr>
            <w:r>
              <w:rPr>
                <w:rFonts w:hint="eastAsia" w:ascii="Times New Roman" w:hAnsi="Times New Roman" w:eastAsia="方正仿宋_GBK" w:cs="Times New Roman"/>
                <w:color w:val="333333"/>
                <w:kern w:val="2"/>
                <w:sz w:val="18"/>
                <w:szCs w:val="18"/>
              </w:rPr>
              <w:t>商务部分</w:t>
            </w:r>
            <w:r>
              <w:rPr>
                <w:rFonts w:ascii="Times New Roman" w:hAnsi="Times New Roman" w:eastAsia="方正仿宋_GBK" w:cs="Times New Roman"/>
                <w:color w:val="333333"/>
                <w:kern w:val="2"/>
                <w:sz w:val="18"/>
                <w:szCs w:val="18"/>
              </w:rPr>
              <w:t>（</w:t>
            </w:r>
            <w:r>
              <w:rPr>
                <w:rFonts w:hint="eastAsia" w:ascii="Times New Roman" w:hAnsi="Times New Roman" w:eastAsia="方正仿宋_GBK" w:cs="Times New Roman"/>
                <w:color w:val="333333"/>
                <w:kern w:val="2"/>
                <w:sz w:val="18"/>
                <w:szCs w:val="18"/>
              </w:rPr>
              <w:t>2</w:t>
            </w:r>
            <w:r>
              <w:rPr>
                <w:rFonts w:ascii="Times New Roman" w:hAnsi="Times New Roman" w:eastAsia="方正仿宋_GBK" w:cs="Times New Roman"/>
                <w:color w:val="333333"/>
                <w:kern w:val="2"/>
                <w:sz w:val="18"/>
                <w:szCs w:val="18"/>
              </w:rPr>
              <w:t>5%）</w:t>
            </w:r>
          </w:p>
        </w:tc>
        <w:tc>
          <w:tcPr>
            <w:tcW w:w="99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6DB9CD8">
            <w:pPr>
              <w:widowControl/>
              <w:adjustRightInd/>
              <w:snapToGrid/>
              <w:spacing w:after="0" w:line="240" w:lineRule="exact"/>
              <w:jc w:val="center"/>
              <w:rPr>
                <w:rFonts w:ascii="Times New Roman" w:hAnsi="Times New Roman" w:eastAsia="方正仿宋_GBK" w:cs="Times New Roman"/>
                <w:kern w:val="2"/>
                <w:sz w:val="18"/>
                <w:szCs w:val="18"/>
              </w:rPr>
            </w:pPr>
            <w:r>
              <w:rPr>
                <w:rFonts w:ascii="Times New Roman" w:hAnsi="Times New Roman" w:eastAsia="方正仿宋_GBK" w:cs="Times New Roman"/>
                <w:color w:val="333333"/>
                <w:kern w:val="2"/>
                <w:sz w:val="18"/>
                <w:szCs w:val="18"/>
              </w:rPr>
              <w:t>团队要求</w:t>
            </w:r>
          </w:p>
          <w:p w14:paraId="75B38271">
            <w:pPr>
              <w:widowControl/>
              <w:adjustRightInd/>
              <w:snapToGrid/>
              <w:spacing w:after="0" w:line="240" w:lineRule="exact"/>
              <w:jc w:val="center"/>
              <w:rPr>
                <w:rFonts w:ascii="Times New Roman" w:hAnsi="Times New Roman" w:eastAsia="方正仿宋_GBK" w:cs="Times New Roman"/>
                <w:kern w:val="2"/>
                <w:sz w:val="18"/>
                <w:szCs w:val="18"/>
              </w:rPr>
            </w:pPr>
            <w:bookmarkStart w:id="2" w:name="OLE_LINK6"/>
            <w:r>
              <w:rPr>
                <w:rFonts w:ascii="Times New Roman" w:hAnsi="Times New Roman" w:eastAsia="方正仿宋_GBK" w:cs="Times New Roman"/>
                <w:color w:val="333333"/>
                <w:kern w:val="2"/>
                <w:sz w:val="18"/>
                <w:szCs w:val="18"/>
              </w:rPr>
              <w:t>（1</w:t>
            </w:r>
            <w:r>
              <w:rPr>
                <w:rFonts w:hint="eastAsia" w:ascii="Times New Roman" w:hAnsi="Times New Roman" w:eastAsia="方正仿宋_GBK" w:cs="Times New Roman"/>
                <w:color w:val="333333"/>
                <w:kern w:val="2"/>
                <w:sz w:val="18"/>
                <w:szCs w:val="18"/>
              </w:rPr>
              <w:t>0</w:t>
            </w:r>
            <w:r>
              <w:rPr>
                <w:rFonts w:ascii="Times New Roman" w:hAnsi="Times New Roman" w:eastAsia="方正仿宋_GBK" w:cs="Times New Roman"/>
                <w:color w:val="333333"/>
                <w:kern w:val="2"/>
                <w:sz w:val="18"/>
                <w:szCs w:val="18"/>
              </w:rPr>
              <w:t>分）</w:t>
            </w:r>
            <w:bookmarkEnd w:id="2"/>
          </w:p>
        </w:tc>
        <w:tc>
          <w:tcPr>
            <w:tcW w:w="3742"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680F8B5">
            <w:pPr>
              <w:widowControl/>
              <w:adjustRightInd/>
              <w:snapToGrid/>
              <w:spacing w:after="0" w:line="240" w:lineRule="exact"/>
              <w:jc w:val="both"/>
              <w:rPr>
                <w:rFonts w:ascii="Times New Roman" w:hAnsi="Times New Roman" w:eastAsia="方正仿宋_GBK" w:cs="Times New Roman"/>
                <w:kern w:val="2"/>
                <w:sz w:val="18"/>
                <w:szCs w:val="18"/>
              </w:rPr>
            </w:pPr>
            <w:r>
              <w:rPr>
                <w:rFonts w:hint="eastAsia" w:ascii="Times New Roman" w:hAnsi="Times New Roman" w:eastAsia="方正仿宋_GBK" w:cs="Times New Roman"/>
                <w:color w:val="333333"/>
                <w:kern w:val="2"/>
                <w:sz w:val="18"/>
                <w:szCs w:val="18"/>
              </w:rPr>
              <w:t>投标人</w:t>
            </w:r>
            <w:r>
              <w:rPr>
                <w:rFonts w:ascii="Times New Roman" w:hAnsi="Times New Roman" w:eastAsia="方正仿宋_GBK" w:cs="Times New Roman"/>
                <w:color w:val="333333"/>
                <w:kern w:val="2"/>
                <w:sz w:val="18"/>
                <w:szCs w:val="18"/>
              </w:rPr>
              <w:t>为本项目服务的专业团队</w:t>
            </w:r>
            <w:r>
              <w:rPr>
                <w:rFonts w:hint="eastAsia" w:ascii="Times New Roman" w:hAnsi="Times New Roman" w:eastAsia="方正仿宋_GBK" w:cs="Times New Roman"/>
                <w:color w:val="333333"/>
                <w:kern w:val="2"/>
                <w:sz w:val="18"/>
                <w:szCs w:val="18"/>
              </w:rPr>
              <w:t>中每拥有一名咨询工程师（投资）证书的人员得2分，最高得10分。</w:t>
            </w:r>
          </w:p>
        </w:tc>
        <w:tc>
          <w:tcPr>
            <w:tcW w:w="233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E53CC5E">
            <w:pPr>
              <w:widowControl/>
              <w:adjustRightInd/>
              <w:snapToGrid/>
              <w:spacing w:after="0" w:line="240" w:lineRule="exact"/>
              <w:jc w:val="both"/>
              <w:rPr>
                <w:rFonts w:ascii="Times New Roman" w:hAnsi="Times New Roman" w:eastAsia="方正仿宋_GBK" w:cs="Times New Roman"/>
                <w:kern w:val="2"/>
                <w:sz w:val="18"/>
                <w:szCs w:val="18"/>
              </w:rPr>
            </w:pPr>
            <w:r>
              <w:rPr>
                <w:rFonts w:hint="eastAsia" w:ascii="Times New Roman" w:hAnsi="Times New Roman" w:eastAsia="方正仿宋_GBK" w:cs="Times New Roman"/>
                <w:color w:val="333333"/>
                <w:kern w:val="2"/>
                <w:sz w:val="18"/>
                <w:szCs w:val="18"/>
              </w:rPr>
              <w:t>需提供咨询证书并加盖</w:t>
            </w:r>
            <w:r>
              <w:rPr>
                <w:rFonts w:ascii="Times New Roman" w:hAnsi="Times New Roman" w:eastAsia="方正仿宋_GBK" w:cs="Times New Roman"/>
                <w:color w:val="333333"/>
                <w:kern w:val="2"/>
                <w:sz w:val="18"/>
                <w:szCs w:val="18"/>
              </w:rPr>
              <w:t>投标人</w:t>
            </w:r>
            <w:r>
              <w:rPr>
                <w:rFonts w:hint="eastAsia" w:ascii="Times New Roman" w:hAnsi="Times New Roman" w:eastAsia="方正仿宋_GBK" w:cs="Times New Roman"/>
                <w:color w:val="333333"/>
                <w:kern w:val="2"/>
                <w:sz w:val="18"/>
                <w:szCs w:val="18"/>
              </w:rPr>
              <w:t>鲜章</w:t>
            </w:r>
            <w:r>
              <w:rPr>
                <w:rFonts w:ascii="Times New Roman" w:hAnsi="Times New Roman" w:eastAsia="方正仿宋_GBK" w:cs="Times New Roman"/>
                <w:color w:val="333333"/>
                <w:kern w:val="2"/>
                <w:sz w:val="18"/>
                <w:szCs w:val="18"/>
              </w:rPr>
              <w:t>。</w:t>
            </w:r>
          </w:p>
        </w:tc>
      </w:tr>
      <w:tr w14:paraId="7E329E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1" w:hRule="atLeast"/>
        </w:trPr>
        <w:tc>
          <w:tcPr>
            <w:tcW w:w="504" w:type="dxa"/>
            <w:vMerge w:val="continue"/>
            <w:tcBorders>
              <w:left w:val="single" w:color="auto" w:sz="4" w:space="0"/>
              <w:bottom w:val="single" w:color="auto" w:sz="4" w:space="0"/>
              <w:right w:val="single" w:color="auto" w:sz="4" w:space="0"/>
            </w:tcBorders>
            <w:shd w:val="clear" w:color="auto" w:fill="FFFFFF"/>
            <w:tcMar>
              <w:left w:w="70" w:type="dxa"/>
              <w:right w:w="70" w:type="dxa"/>
            </w:tcMar>
            <w:vAlign w:val="center"/>
          </w:tcPr>
          <w:p w14:paraId="74C29103">
            <w:pPr>
              <w:widowControl/>
              <w:adjustRightInd/>
              <w:snapToGrid/>
              <w:spacing w:after="0" w:line="240" w:lineRule="exact"/>
              <w:jc w:val="center"/>
              <w:rPr>
                <w:rFonts w:ascii="Times New Roman" w:hAnsi="Times New Roman" w:eastAsia="方正仿宋_GBK" w:cs="Times New Roman"/>
                <w:color w:val="333333"/>
                <w:kern w:val="2"/>
                <w:sz w:val="18"/>
                <w:szCs w:val="18"/>
              </w:rPr>
            </w:pPr>
          </w:p>
        </w:tc>
        <w:tc>
          <w:tcPr>
            <w:tcW w:w="905" w:type="dxa"/>
            <w:vMerge w:val="continue"/>
            <w:tcBorders>
              <w:left w:val="single" w:color="auto" w:sz="4" w:space="0"/>
              <w:bottom w:val="single" w:color="auto" w:sz="4" w:space="0"/>
              <w:right w:val="single" w:color="auto" w:sz="4" w:space="0"/>
            </w:tcBorders>
            <w:shd w:val="clear" w:color="auto" w:fill="FFFFFF"/>
            <w:tcMar>
              <w:left w:w="70" w:type="dxa"/>
              <w:right w:w="70" w:type="dxa"/>
            </w:tcMar>
            <w:vAlign w:val="center"/>
          </w:tcPr>
          <w:p w14:paraId="612962EB">
            <w:pPr>
              <w:widowControl/>
              <w:adjustRightInd/>
              <w:snapToGrid/>
              <w:spacing w:after="0" w:line="240" w:lineRule="exact"/>
              <w:jc w:val="both"/>
              <w:rPr>
                <w:rFonts w:hint="eastAsia" w:ascii="Times New Roman" w:hAnsi="Times New Roman" w:eastAsia="方正仿宋_GBK" w:cs="Times New Roman"/>
                <w:color w:val="333333"/>
                <w:kern w:val="2"/>
                <w:sz w:val="18"/>
                <w:szCs w:val="18"/>
              </w:rPr>
            </w:pPr>
          </w:p>
        </w:tc>
        <w:tc>
          <w:tcPr>
            <w:tcW w:w="99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272ECFF">
            <w:pPr>
              <w:widowControl/>
              <w:adjustRightInd/>
              <w:snapToGrid/>
              <w:spacing w:after="0" w:line="240" w:lineRule="exact"/>
              <w:jc w:val="center"/>
              <w:rPr>
                <w:rFonts w:ascii="Times New Roman" w:hAnsi="Times New Roman" w:eastAsia="方正仿宋_GBK" w:cs="Times New Roman"/>
                <w:color w:val="333333"/>
                <w:kern w:val="2"/>
                <w:sz w:val="18"/>
                <w:szCs w:val="18"/>
              </w:rPr>
            </w:pPr>
            <w:r>
              <w:rPr>
                <w:rFonts w:hint="eastAsia" w:ascii="Times New Roman" w:hAnsi="Times New Roman" w:eastAsia="方正仿宋_GBK" w:cs="Times New Roman"/>
                <w:color w:val="333333"/>
                <w:kern w:val="2"/>
                <w:sz w:val="18"/>
                <w:szCs w:val="18"/>
              </w:rPr>
              <w:t>业绩要求</w:t>
            </w:r>
            <w:r>
              <w:rPr>
                <w:rFonts w:ascii="Times New Roman" w:hAnsi="Times New Roman" w:eastAsia="方正仿宋_GBK" w:cs="Times New Roman"/>
                <w:color w:val="333333"/>
                <w:kern w:val="2"/>
                <w:sz w:val="18"/>
                <w:szCs w:val="18"/>
              </w:rPr>
              <w:t>（1</w:t>
            </w:r>
            <w:r>
              <w:rPr>
                <w:rFonts w:hint="eastAsia" w:ascii="Times New Roman" w:hAnsi="Times New Roman" w:eastAsia="方正仿宋_GBK" w:cs="Times New Roman"/>
                <w:color w:val="333333"/>
                <w:kern w:val="2"/>
                <w:sz w:val="18"/>
                <w:szCs w:val="18"/>
              </w:rPr>
              <w:t>5</w:t>
            </w:r>
            <w:r>
              <w:rPr>
                <w:rFonts w:ascii="Times New Roman" w:hAnsi="Times New Roman" w:eastAsia="方正仿宋_GBK" w:cs="Times New Roman"/>
                <w:color w:val="333333"/>
                <w:kern w:val="2"/>
                <w:sz w:val="18"/>
                <w:szCs w:val="18"/>
              </w:rPr>
              <w:t>分）</w:t>
            </w:r>
          </w:p>
        </w:tc>
        <w:tc>
          <w:tcPr>
            <w:tcW w:w="3742"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67710F5">
            <w:pPr>
              <w:widowControl/>
              <w:adjustRightInd/>
              <w:snapToGrid/>
              <w:spacing w:after="0" w:line="240" w:lineRule="exact"/>
              <w:jc w:val="both"/>
              <w:rPr>
                <w:rFonts w:hint="eastAsia" w:ascii="Times New Roman" w:hAnsi="Times New Roman" w:eastAsia="方正仿宋_GBK" w:cs="Times New Roman"/>
                <w:color w:val="333333"/>
                <w:kern w:val="2"/>
                <w:sz w:val="18"/>
                <w:szCs w:val="18"/>
              </w:rPr>
            </w:pPr>
            <w:r>
              <w:rPr>
                <w:rFonts w:hint="eastAsia" w:ascii="Times New Roman" w:hAnsi="Times New Roman" w:eastAsia="方正仿宋_GBK" w:cs="Times New Roman"/>
                <w:color w:val="333333"/>
                <w:kern w:val="2"/>
                <w:sz w:val="18"/>
                <w:szCs w:val="18"/>
              </w:rPr>
              <w:t>投标人独立承担过机会清单、项目策划类咨询业绩的每有一个得5分，承担过其他规划咨询类业绩的每有一个得3分，本项最多为15分</w:t>
            </w:r>
          </w:p>
        </w:tc>
        <w:tc>
          <w:tcPr>
            <w:tcW w:w="233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5124DC8">
            <w:pPr>
              <w:widowControl/>
              <w:adjustRightInd/>
              <w:snapToGrid/>
              <w:spacing w:after="0" w:line="240" w:lineRule="exact"/>
              <w:jc w:val="both"/>
              <w:rPr>
                <w:rFonts w:ascii="Times New Roman" w:hAnsi="Times New Roman" w:eastAsia="方正仿宋_GBK" w:cs="Times New Roman"/>
                <w:color w:val="333333"/>
                <w:kern w:val="2"/>
                <w:sz w:val="18"/>
                <w:szCs w:val="18"/>
              </w:rPr>
            </w:pPr>
            <w:r>
              <w:rPr>
                <w:rFonts w:hint="eastAsia" w:ascii="Times New Roman" w:hAnsi="Times New Roman" w:eastAsia="方正仿宋_GBK" w:cs="Times New Roman"/>
                <w:color w:val="333333"/>
                <w:kern w:val="2"/>
                <w:sz w:val="18"/>
                <w:szCs w:val="18"/>
              </w:rPr>
              <w:t>需提供业绩合同、委托证明等材料并加盖</w:t>
            </w:r>
            <w:r>
              <w:rPr>
                <w:rFonts w:ascii="Times New Roman" w:hAnsi="Times New Roman" w:eastAsia="方正仿宋_GBK" w:cs="Times New Roman"/>
                <w:color w:val="333333"/>
                <w:kern w:val="2"/>
                <w:sz w:val="18"/>
                <w:szCs w:val="18"/>
              </w:rPr>
              <w:t>投标人</w:t>
            </w:r>
            <w:r>
              <w:rPr>
                <w:rFonts w:hint="eastAsia" w:ascii="Times New Roman" w:hAnsi="Times New Roman" w:eastAsia="方正仿宋_GBK" w:cs="Times New Roman"/>
                <w:color w:val="333333"/>
                <w:kern w:val="2"/>
                <w:sz w:val="18"/>
                <w:szCs w:val="18"/>
              </w:rPr>
              <w:t>鲜章。</w:t>
            </w:r>
          </w:p>
        </w:tc>
      </w:tr>
    </w:tbl>
    <w:p w14:paraId="6082D6DC">
      <w:pPr>
        <w:spacing w:after="0" w:line="600" w:lineRule="exact"/>
        <w:ind w:firstLine="598" w:firstLineChars="200"/>
        <w:jc w:val="both"/>
        <w:rPr>
          <w:rFonts w:ascii="Times New Roman" w:hAnsi="Times New Roman" w:eastAsia="方正黑体_GBK"/>
          <w:sz w:val="32"/>
          <w:szCs w:val="32"/>
        </w:rPr>
      </w:pPr>
    </w:p>
    <w:p w14:paraId="64968855">
      <w:pPr>
        <w:spacing w:after="0" w:line="600" w:lineRule="exact"/>
        <w:ind w:firstLine="598"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十三、</w:t>
      </w:r>
      <w:r>
        <w:rPr>
          <w:rFonts w:hint="eastAsia" w:ascii="Times New Roman" w:hAnsi="Times New Roman" w:eastAsia="方正黑体_GBK"/>
          <w:sz w:val="32"/>
          <w:szCs w:val="32"/>
          <w:lang w:val="en-US" w:eastAsia="zh-CN"/>
        </w:rPr>
        <w:t>成</w:t>
      </w:r>
      <w:r>
        <w:rPr>
          <w:rFonts w:hint="eastAsia" w:ascii="Times New Roman" w:hAnsi="Times New Roman" w:eastAsia="方正黑体_GBK"/>
          <w:sz w:val="32"/>
          <w:szCs w:val="32"/>
        </w:rPr>
        <w:t>交供应商的确认和变更</w:t>
      </w:r>
    </w:p>
    <w:p w14:paraId="3398B3C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（一）成交供应商的确认</w:t>
      </w:r>
    </w:p>
    <w:p w14:paraId="043E68BC">
      <w:pPr>
        <w:spacing w:after="0" w:line="600" w:lineRule="exact"/>
        <w:ind w:firstLine="598"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采购人对供应商的响应文件进行评分，得分排名第一的供应商为成交供应商</w:t>
      </w:r>
      <w:r>
        <w:rPr>
          <w:rFonts w:hint="eastAsia" w:ascii="Times New Roman" w:hAnsi="Times New Roman" w:eastAsia="方正仿宋_GBK"/>
          <w:sz w:val="32"/>
          <w:szCs w:val="32"/>
          <w:lang w:eastAsia="zh-CN"/>
        </w:rPr>
        <w:t>。未入围的报名供应商不参与评审。</w:t>
      </w:r>
    </w:p>
    <w:p w14:paraId="456A90E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（二）成交供应商的变更</w:t>
      </w:r>
    </w:p>
    <w:p w14:paraId="255AA17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除不可抗力等因素外，成交通知书发出后，采购人改变成交结果，或者成交供应商拒绝签订政府采购合同的，应当承担相应的法律责任。</w:t>
      </w:r>
    </w:p>
    <w:p w14:paraId="3D4DF9A9">
      <w:pPr>
        <w:spacing w:after="0" w:line="600" w:lineRule="exact"/>
        <w:ind w:firstLine="598" w:firstLineChars="200"/>
        <w:jc w:val="both"/>
        <w:rPr>
          <w:rFonts w:ascii="Times New Roman" w:hAnsi="Times New Roman" w:eastAsia="方正小标宋_GBK"/>
          <w:color w:val="000000"/>
          <w:sz w:val="44"/>
          <w:szCs w:val="44"/>
        </w:rPr>
      </w:pPr>
      <w:r>
        <w:rPr>
          <w:rFonts w:hint="eastAsia" w:ascii="Times New Roman" w:hAnsi="Times New Roman" w:eastAsia="方正仿宋_GBK"/>
          <w:sz w:val="32"/>
          <w:szCs w:val="32"/>
        </w:rPr>
        <w:t>成交供应商拒绝签订政府采购合同的，采购人可以按照《政府采购竞争性磋商采购方式管理暂行办法》第三十三条、第二十八条第二款规定的原则确定其他供应商作为成交供应商并签订政府采购合同，也可以重新开展采购活动。拒绝签订政府采购合同的成交供应商不得参加对该项目重新开展的采购活动</w:t>
      </w:r>
      <w:r>
        <w:rPr>
          <w:rFonts w:hint="eastAsia" w:ascii="Times New Roman" w:hAnsi="Times New Roman" w:eastAsia="方正小标宋_GBK"/>
          <w:color w:val="000000"/>
          <w:sz w:val="44"/>
          <w:szCs w:val="44"/>
        </w:rPr>
        <w:t>。</w:t>
      </w:r>
    </w:p>
    <w:p w14:paraId="46E1D9CB">
      <w:pPr>
        <w:spacing w:after="0" w:line="600" w:lineRule="exact"/>
        <w:jc w:val="both"/>
        <w:rPr>
          <w:rFonts w:ascii="Times New Roman" w:hAnsi="Times New Roman" w:eastAsia="方正黑体_GBK"/>
          <w:sz w:val="32"/>
          <w:szCs w:val="32"/>
        </w:rPr>
      </w:pPr>
      <w:r>
        <w:rPr>
          <w:rFonts w:hint="eastAsia" w:ascii="Times New Roman" w:hAnsi="Times New Roman" w:eastAsia="方正黑体_GBK"/>
          <w:sz w:val="32"/>
          <w:szCs w:val="32"/>
        </w:rPr>
        <w:t>十四、成交通知</w:t>
      </w:r>
    </w:p>
    <w:p w14:paraId="66AE064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（一）成交供应商确定后，将在大渡口区政府门户网站上发布成交结果公告。</w:t>
      </w:r>
    </w:p>
    <w:p w14:paraId="43E41063">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（二）结果公告发出同时，采购人将以书面形式发出《成交通知书》。《成交通知书》一经发出即发生法律效力。</w:t>
      </w:r>
    </w:p>
    <w:p w14:paraId="0E90103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（三）《成交通知书》将作为签订合同的依据。</w:t>
      </w:r>
    </w:p>
    <w:p w14:paraId="4ED5C7F8">
      <w:pPr>
        <w:spacing w:after="0" w:line="594" w:lineRule="exact"/>
        <w:ind w:firstLine="838"/>
        <w:jc w:val="center"/>
        <w:rPr>
          <w:rFonts w:ascii="Times New Roman" w:hAnsi="Times New Roman" w:eastAsia="方正小标宋_GBK"/>
          <w:color w:val="000000"/>
          <w:sz w:val="44"/>
          <w:szCs w:val="44"/>
        </w:rPr>
      </w:pPr>
    </w:p>
    <w:p w14:paraId="0F1F9EEC">
      <w:pPr>
        <w:pStyle w:val="4"/>
        <w:tabs>
          <w:tab w:val="clear" w:pos="3360"/>
        </w:tabs>
        <w:spacing w:before="196" w:after="196" w:line="600" w:lineRule="exact"/>
        <w:ind w:firstLine="838"/>
        <w:rPr>
          <w:rFonts w:ascii="宋体" w:hAnsi="宋体" w:eastAsia="宋体" w:cs="宋体"/>
          <w:sz w:val="24"/>
          <w:szCs w:val="24"/>
        </w:rPr>
      </w:pPr>
      <w:r>
        <w:rPr>
          <w:rFonts w:eastAsia="方正小标宋_GBK"/>
          <w:color w:val="000000"/>
          <w:szCs w:val="44"/>
        </w:rPr>
        <w:br w:type="page"/>
      </w:r>
      <w:r>
        <w:rPr>
          <w:rFonts w:hint="eastAsia" w:eastAsia="方正小标宋_GBK"/>
          <w:color w:val="000000"/>
          <w:kern w:val="0"/>
          <w:szCs w:val="44"/>
        </w:rPr>
        <w:t>合同主要条款和格式合同（样本）</w:t>
      </w:r>
    </w:p>
    <w:p w14:paraId="1E750E6C">
      <w:pPr>
        <w:spacing w:after="0" w:line="600" w:lineRule="exact"/>
        <w:jc w:val="both"/>
        <w:rPr>
          <w:rFonts w:ascii="Times New Roman" w:hAnsi="Times New Roman" w:eastAsia="方正黑体_GBK"/>
          <w:sz w:val="32"/>
          <w:szCs w:val="32"/>
        </w:rPr>
      </w:pPr>
      <w:bookmarkStart w:id="3" w:name="_Toc10399"/>
      <w:r>
        <w:rPr>
          <w:rFonts w:hint="eastAsia" w:ascii="Times New Roman" w:hAnsi="Times New Roman" w:eastAsia="方正黑体_GBK"/>
          <w:sz w:val="32"/>
          <w:szCs w:val="32"/>
        </w:rPr>
        <w:t>一、合同主要条款</w:t>
      </w:r>
      <w:bookmarkEnd w:id="3"/>
    </w:p>
    <w:p w14:paraId="0C028EC5">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1.定义</w:t>
      </w:r>
    </w:p>
    <w:p w14:paraId="35AA4FA3">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（1）甲方（需方）即采购人，是指通过招标采购，接受合同服务的各级国家机关、事业单位和团体组织。</w:t>
      </w:r>
    </w:p>
    <w:p w14:paraId="36AD763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（2）乙方（供方）即中标人，是指中标后提供合同服务的自然人、法人及其他组织。</w:t>
      </w:r>
    </w:p>
    <w:p w14:paraId="218DDFC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（3）合同是指由甲乙双方按照招标文件和投标文件的实质性内容，通过协商一致达成的书面协议。</w:t>
      </w:r>
    </w:p>
    <w:p w14:paraId="09EC56E3">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（4）合同价格指以中标价格为依据，在供方全面履行合同义务后，需方（或财政部门）应支付给供方的金额。</w:t>
      </w:r>
    </w:p>
    <w:p w14:paraId="636DAA5F">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2.服务内容</w:t>
      </w:r>
    </w:p>
    <w:p w14:paraId="6062189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合同包括以下内容：服务名称、实施方式、服务期限、服务成果等内容。</w:t>
      </w:r>
    </w:p>
    <w:p w14:paraId="044EC2E8">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3.合同价格</w:t>
      </w:r>
    </w:p>
    <w:p w14:paraId="76F7CF4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（1）合同价格即合同总价。</w:t>
      </w:r>
    </w:p>
    <w:p w14:paraId="57F2ABCC">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（2）合同价格包括提供服务所需提供的所有人、财、物、税费等一切费用，所有税费由乙方负担。</w:t>
      </w:r>
    </w:p>
    <w:p w14:paraId="7E0F188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（3）合同价格为不变价。</w:t>
      </w:r>
    </w:p>
    <w:p w14:paraId="1C7E4C2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4.转包或分包</w:t>
      </w:r>
    </w:p>
    <w:p w14:paraId="0F3F1B4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（1）本合同范围的服务，应由乙方直接供应，不得转让他人供应；</w:t>
      </w:r>
    </w:p>
    <w:p w14:paraId="3A1725E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（2）如有转让和未经甲方同意的分包行为，甲方有权解除合同，没收履约保证金并追究乙方的违约责任。</w:t>
      </w:r>
    </w:p>
    <w:p w14:paraId="4D78885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5.质量保证及售后服务</w:t>
      </w:r>
    </w:p>
    <w:p w14:paraId="29CD7E6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5.1乙方应按招标文件规定的服务要求、质量标准向甲方保质保量</w:t>
      </w:r>
      <w:r>
        <w:rPr>
          <w:rFonts w:hint="eastAsia" w:ascii="Times New Roman" w:hAnsi="Times New Roman" w:eastAsia="方正仿宋_GBK"/>
          <w:sz w:val="32"/>
          <w:szCs w:val="32"/>
          <w:lang w:eastAsia="zh-CN"/>
        </w:rPr>
        <w:t>地</w:t>
      </w:r>
      <w:r>
        <w:rPr>
          <w:rFonts w:hint="eastAsia" w:ascii="Times New Roman" w:hAnsi="Times New Roman" w:eastAsia="方正仿宋_GBK"/>
          <w:sz w:val="32"/>
          <w:szCs w:val="32"/>
        </w:rPr>
        <w:t>提供服务。</w:t>
      </w:r>
    </w:p>
    <w:p w14:paraId="0E376CAF">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5.2乙方提供的服务如果存在质量问题，乙方应负责更正。对达不到服务要求者，根据实际情况，经双方协商，可按以下办法处理：</w:t>
      </w:r>
    </w:p>
    <w:p w14:paraId="3177665C">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5.2.1重做：由乙方承担所发生的全部费用。</w:t>
      </w:r>
    </w:p>
    <w:p w14:paraId="2B5FA14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5.2.2贬值处理：由甲乙双方合议定价。</w:t>
      </w:r>
    </w:p>
    <w:p w14:paraId="28BD8F0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5.2.3退款处理：乙方应退还甲方支付的合同款。</w:t>
      </w:r>
    </w:p>
    <w:p w14:paraId="118EF1B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5.3乙方应对服务过程中出现的安全问题负责处理解决并承担一切费用。</w:t>
      </w:r>
    </w:p>
    <w:p w14:paraId="556A0B9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6.付款</w:t>
      </w:r>
    </w:p>
    <w:p w14:paraId="228289C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6.1本合同使用货币币制如未作特别说明均为人民币。</w:t>
      </w:r>
    </w:p>
    <w:p w14:paraId="07DFD78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6.2付款方式：银行转账、现金支票。</w:t>
      </w:r>
    </w:p>
    <w:p w14:paraId="7CB9B7C7">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6.3付款方法：同本项目“第三篇 商务条款”中关于付款方式的约定。</w:t>
      </w:r>
    </w:p>
    <w:p w14:paraId="380911F5">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7.检查验收</w:t>
      </w:r>
    </w:p>
    <w:p w14:paraId="26C0178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（1）服务验收</w:t>
      </w:r>
    </w:p>
    <w:p w14:paraId="53980E9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供方所供服务的各种指标不得低于招标文件和投标文件的约定，服务质量要求按照招标文件和投标文件的内容执行。</w:t>
      </w:r>
    </w:p>
    <w:p w14:paraId="0A0887B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（2）货物验收报告应由需方、供方经办人签字，并加盖双方公章，以此作为支付凭据。</w:t>
      </w:r>
    </w:p>
    <w:p w14:paraId="22FE731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8.索赔</w:t>
      </w:r>
    </w:p>
    <w:p w14:paraId="703133E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供方对所提供服务与合同要求不符负有责任，并且需方提出索赔，供方应按需方同意的下述一种或多种方法解决索赔事宜。</w:t>
      </w:r>
    </w:p>
    <w:p w14:paraId="4DE7C0BC">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（1）供方同意需方拒绝服务并把拒绝部分的金额以合同规定的同类货币付给需方，供方负担发生的一切损失和费用。</w:t>
      </w:r>
    </w:p>
    <w:p w14:paraId="375DC34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（2）根据服务的疵劣和受损程度以及需方遭受损失的金额，经双方同意降低服务价格。</w:t>
      </w:r>
    </w:p>
    <w:p w14:paraId="77AEA42F">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9.知识产权</w:t>
      </w:r>
    </w:p>
    <w:p w14:paraId="2148611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甲方在中华人民共和国境内使用乙方提供的服务时免受第三方提出的侵犯其专利权或</w:t>
      </w:r>
      <w:r>
        <w:rPr>
          <w:rFonts w:hint="eastAsia" w:ascii="Times New Roman" w:hAnsi="Times New Roman" w:eastAsia="方正仿宋_GBK"/>
          <w:sz w:val="32"/>
          <w:szCs w:val="32"/>
          <w:lang w:eastAsia="zh-CN"/>
        </w:rPr>
        <w:t>其他</w:t>
      </w:r>
      <w:r>
        <w:rPr>
          <w:rFonts w:hint="eastAsia" w:ascii="Times New Roman" w:hAnsi="Times New Roman" w:eastAsia="方正仿宋_GBK"/>
          <w:sz w:val="32"/>
          <w:szCs w:val="32"/>
        </w:rPr>
        <w:t>知识产权的起诉。如果第三方提出侵权指控，乙方应承担由此而引起的一切法律责任和费用。</w:t>
      </w:r>
    </w:p>
    <w:p w14:paraId="0F30DBF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10.合同争议的解决</w:t>
      </w:r>
    </w:p>
    <w:p w14:paraId="5C131EE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（1）当事人友好协商达成一致</w:t>
      </w:r>
    </w:p>
    <w:p w14:paraId="4B96CA1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（2）在60天内当事人协商不能达成协议的，可提请采购人当地仲裁机构仲裁。</w:t>
      </w:r>
    </w:p>
    <w:p w14:paraId="6BF6D1C7">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11.违约责任</w:t>
      </w:r>
    </w:p>
    <w:p w14:paraId="5B0CEBB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按《中华人民共和国合同法》、《中华人民共和国政府采购法》有关条款，或由供需双方约定。</w:t>
      </w:r>
    </w:p>
    <w:p w14:paraId="748483C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12.合同生效及其</w:t>
      </w:r>
      <w:r>
        <w:rPr>
          <w:rFonts w:hint="eastAsia" w:ascii="Times New Roman" w:hAnsi="Times New Roman" w:eastAsia="方正仿宋_GBK"/>
          <w:sz w:val="32"/>
          <w:szCs w:val="32"/>
          <w:lang w:eastAsia="zh-CN"/>
        </w:rPr>
        <w:t>他</w:t>
      </w:r>
    </w:p>
    <w:p w14:paraId="442DD6F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（1）合同生效及其效力应符合《中华人民共和国合同法》有关规定。</w:t>
      </w:r>
    </w:p>
    <w:p w14:paraId="670A878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（2）合同应经当事人法定代表人或委托代理人签字，加盖双方合同专用章或公章。</w:t>
      </w:r>
    </w:p>
    <w:p w14:paraId="1A2576C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（3）合同所包括附件，是合同不可分割的一部分，具有</w:t>
      </w:r>
      <w:r>
        <w:rPr>
          <w:rFonts w:hint="eastAsia" w:ascii="Times New Roman" w:hAnsi="Times New Roman" w:eastAsia="方正仿宋_GBK"/>
          <w:sz w:val="32"/>
          <w:szCs w:val="32"/>
          <w:lang w:eastAsia="zh-CN"/>
        </w:rPr>
        <w:t>同等</w:t>
      </w:r>
      <w:r>
        <w:rPr>
          <w:rFonts w:hint="eastAsia" w:ascii="Times New Roman" w:hAnsi="Times New Roman" w:eastAsia="方正仿宋_GBK"/>
          <w:sz w:val="32"/>
          <w:szCs w:val="32"/>
        </w:rPr>
        <w:t>法律效力。</w:t>
      </w:r>
    </w:p>
    <w:p w14:paraId="1CD93A8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（4）合同需提供担保的，按《中华人民共和国担保法》规定执行。</w:t>
      </w:r>
    </w:p>
    <w:p w14:paraId="1593DD6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（5）本合同条件未尽事宜依照《中华人民共和国合同法》，由供需双方共同协商确定。</w:t>
      </w:r>
    </w:p>
    <w:p w14:paraId="1BBBA490">
      <w:pPr>
        <w:spacing w:line="520" w:lineRule="exact"/>
        <w:ind w:firstLine="598"/>
        <w:rPr>
          <w:rFonts w:ascii="宋体" w:hAnsi="宋体" w:cs="宋体"/>
          <w:szCs w:val="28"/>
        </w:rPr>
        <w:sectPr>
          <w:pgSz w:w="11907" w:h="16840"/>
          <w:pgMar w:top="1134" w:right="1191" w:bottom="1134" w:left="1304" w:header="794" w:footer="992" w:gutter="0"/>
          <w:cols w:space="720" w:num="1"/>
          <w:docGrid w:type="linesAndChars" w:linePitch="393" w:charSpace="-4325"/>
        </w:sectPr>
      </w:pPr>
    </w:p>
    <w:p w14:paraId="23FF8DA1">
      <w:pPr>
        <w:spacing w:after="0" w:line="600" w:lineRule="exact"/>
        <w:ind w:firstLine="640"/>
        <w:jc w:val="both"/>
        <w:rPr>
          <w:rFonts w:ascii="Times New Roman" w:hAnsi="Times New Roman" w:eastAsia="方正黑体_GBK"/>
          <w:sz w:val="32"/>
          <w:szCs w:val="32"/>
        </w:rPr>
      </w:pPr>
      <w:bookmarkStart w:id="4" w:name="_Toc26946"/>
      <w:bookmarkStart w:id="5" w:name="_Toc2515"/>
      <w:bookmarkStart w:id="6" w:name="_Toc19161"/>
      <w:bookmarkStart w:id="7" w:name="_Toc22133"/>
      <w:bookmarkStart w:id="8" w:name="_Toc17142"/>
      <w:bookmarkStart w:id="9" w:name="_Toc14544"/>
      <w:bookmarkStart w:id="10" w:name="_Toc2161"/>
      <w:bookmarkStart w:id="11" w:name="_Toc10988"/>
      <w:bookmarkStart w:id="12" w:name="_Toc10662"/>
      <w:bookmarkStart w:id="13" w:name="_Toc26229"/>
      <w:bookmarkStart w:id="14" w:name="_Toc14573"/>
      <w:bookmarkStart w:id="15" w:name="_Toc14371"/>
      <w:r>
        <w:rPr>
          <w:rFonts w:hint="eastAsia" w:ascii="Times New Roman" w:hAnsi="Times New Roman" w:eastAsia="方正黑体_GBK"/>
          <w:sz w:val="32"/>
          <w:szCs w:val="32"/>
        </w:rPr>
        <w:t>二、政府采购合同（格式）</w:t>
      </w:r>
    </w:p>
    <w:p w14:paraId="778BD920">
      <w:pPr>
        <w:spacing w:beforeLines="100" w:line="500" w:lineRule="exact"/>
        <w:ind w:firstLine="880"/>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重庆市政府采购合同</w:t>
      </w:r>
      <w:bookmarkEnd w:id="4"/>
      <w:bookmarkEnd w:id="5"/>
      <w:bookmarkEnd w:id="6"/>
      <w:bookmarkEnd w:id="7"/>
      <w:bookmarkEnd w:id="8"/>
      <w:bookmarkEnd w:id="9"/>
      <w:bookmarkEnd w:id="10"/>
      <w:bookmarkEnd w:id="11"/>
      <w:bookmarkEnd w:id="12"/>
      <w:bookmarkEnd w:id="13"/>
      <w:bookmarkEnd w:id="14"/>
      <w:bookmarkEnd w:id="15"/>
      <w:r>
        <w:rPr>
          <w:rFonts w:hint="eastAsia" w:ascii="Times New Roman" w:hAnsi="Times New Roman" w:eastAsia="方正小标宋_GBK"/>
          <w:color w:val="000000"/>
          <w:sz w:val="44"/>
          <w:szCs w:val="44"/>
        </w:rPr>
        <w:t>（样本）</w:t>
      </w:r>
    </w:p>
    <w:p w14:paraId="28681A8D">
      <w:pPr>
        <w:spacing w:after="0" w:line="594" w:lineRule="exact"/>
        <w:ind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rPr>
        <w:t>（项目号：     ）</w:t>
      </w:r>
    </w:p>
    <w:p w14:paraId="46BD58D6">
      <w:pP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甲方（需方）：___________________________      计价单位：____________</w:t>
      </w:r>
    </w:p>
    <w:p w14:paraId="584F45E9">
      <w:pP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乙方（供方）：___________________________      计量单位：_____________</w:t>
      </w:r>
    </w:p>
    <w:p w14:paraId="297C3D56">
      <w:pPr>
        <w:spacing w:after="0" w:line="594" w:lineRule="exact"/>
        <w:ind w:firstLine="640" w:firstLineChars="200"/>
        <w:jc w:val="both"/>
        <w:rPr>
          <w:rFonts w:ascii="Times New Roman" w:hAnsi="Times New Roman" w:eastAsia="方正仿宋_GBK"/>
          <w:sz w:val="32"/>
          <w:szCs w:val="32"/>
        </w:rPr>
      </w:pPr>
    </w:p>
    <w:p w14:paraId="58A6F246">
      <w:pP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经双方协商一致，达成以下购销合同：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3C67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2BEFB93E">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28"/>
                <w:szCs w:val="32"/>
              </w:rPr>
              <w:t>商品名称</w:t>
            </w:r>
          </w:p>
        </w:tc>
        <w:tc>
          <w:tcPr>
            <w:tcW w:w="1741" w:type="dxa"/>
            <w:vAlign w:val="center"/>
          </w:tcPr>
          <w:p w14:paraId="3896AA29">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规格型号</w:t>
            </w:r>
          </w:p>
        </w:tc>
        <w:tc>
          <w:tcPr>
            <w:tcW w:w="984" w:type="dxa"/>
            <w:vAlign w:val="center"/>
          </w:tcPr>
          <w:p w14:paraId="4214784E">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数量</w:t>
            </w:r>
          </w:p>
        </w:tc>
        <w:tc>
          <w:tcPr>
            <w:tcW w:w="1298" w:type="dxa"/>
            <w:gridSpan w:val="2"/>
            <w:vAlign w:val="center"/>
          </w:tcPr>
          <w:p w14:paraId="73BE50C2">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综合单价</w:t>
            </w:r>
          </w:p>
        </w:tc>
        <w:tc>
          <w:tcPr>
            <w:tcW w:w="1134" w:type="dxa"/>
            <w:vAlign w:val="center"/>
          </w:tcPr>
          <w:p w14:paraId="7A05CF5C">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总价</w:t>
            </w:r>
          </w:p>
        </w:tc>
        <w:tc>
          <w:tcPr>
            <w:tcW w:w="1559" w:type="dxa"/>
            <w:vAlign w:val="center"/>
          </w:tcPr>
          <w:p w14:paraId="759A92D2">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交货时间</w:t>
            </w:r>
          </w:p>
        </w:tc>
        <w:tc>
          <w:tcPr>
            <w:tcW w:w="1567" w:type="dxa"/>
            <w:vAlign w:val="center"/>
          </w:tcPr>
          <w:p w14:paraId="647C7F93">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交货地点</w:t>
            </w:r>
          </w:p>
        </w:tc>
      </w:tr>
      <w:tr w14:paraId="42D4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52873C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6A5EFEB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6363F843">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2EB7209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5F82384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558C63B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4B87794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122D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BAB8A4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65A10E2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52C64213">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6ED396A5">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1BDD28B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3ECF33CD">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36308E0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1E2D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8F368B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209FCB8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7742546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47A29C4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354E45C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35B066FD">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638C70F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619F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D905CF5">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46BF46D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16DEA44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31C6E14E">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188E3C2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7E097CFE">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107661E5">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7C12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79A10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0CE8E7B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09A2669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6259425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0A392AF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13A689F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159095A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6E7E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DF60F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511AEE8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285E312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1966E02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330C3C1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069DCF1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0159C51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31D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546D3A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1C5CC90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68B47DE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3147EBE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7B21B21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1C20EDB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05D54BF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2F25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50B0D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550E591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6A76F3A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40D8E24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7D07C85F">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23C4EED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36FDCCB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58ED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1734FB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合计人民币（小写）：</w:t>
            </w:r>
          </w:p>
        </w:tc>
      </w:tr>
      <w:tr w14:paraId="4F87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6396BDD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合计人民币（大写）：</w:t>
            </w:r>
          </w:p>
        </w:tc>
      </w:tr>
      <w:tr w14:paraId="321D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1560857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一、质量要求和技术标准。供方提供的商品必须是全新的，完全符合国家有关技术标准，供方的质量保证及售后服务承诺如下：</w:t>
            </w:r>
          </w:p>
          <w:p w14:paraId="58851FCF">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1、质保期限：</w:t>
            </w:r>
          </w:p>
          <w:p w14:paraId="0640355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2、保修范围：</w:t>
            </w:r>
          </w:p>
          <w:p w14:paraId="40A59CB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3、服务措施：</w:t>
            </w:r>
          </w:p>
          <w:p w14:paraId="58A50233">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4、质保期后服务：</w:t>
            </w:r>
          </w:p>
        </w:tc>
      </w:tr>
      <w:tr w14:paraId="6A9F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7FC6890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二、随机备品、附件、工具数量及供应方法：</w:t>
            </w:r>
          </w:p>
        </w:tc>
      </w:tr>
      <w:tr w14:paraId="6D6C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52647E93">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三、交提货方式：</w:t>
            </w:r>
          </w:p>
        </w:tc>
      </w:tr>
      <w:tr w14:paraId="17BC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77F73A8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四、验收标准、方法：</w:t>
            </w:r>
          </w:p>
          <w:p w14:paraId="06692A1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如有异议，请于      日内提出。</w:t>
            </w:r>
          </w:p>
        </w:tc>
      </w:tr>
      <w:tr w14:paraId="049A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0C012FE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五、付款方式：</w:t>
            </w:r>
          </w:p>
          <w:p w14:paraId="6526B73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3870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37C99AF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六、违约责任：</w:t>
            </w:r>
          </w:p>
          <w:p w14:paraId="787C104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按《中华人民共和国民法典》、《中华人民共和国政府采购法》执行，或按双方约定。（采购人应按项目实际情况完整填写）</w:t>
            </w:r>
          </w:p>
        </w:tc>
      </w:tr>
      <w:tr w14:paraId="61A5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7DE7C2C5">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七、其他约定事项：</w:t>
            </w:r>
          </w:p>
          <w:p w14:paraId="66CAF90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1.招标文件及其澄清文件、投标文件和承诺是本合同不可分割的部分。</w:t>
            </w:r>
          </w:p>
          <w:p w14:paraId="48F2A06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2.本合同如发生争议由双方协商解决，协商不成向需方所在地仲裁机构提请仲裁。</w:t>
            </w:r>
          </w:p>
          <w:p w14:paraId="5B24E4C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3.本合同一式__份， 需方__份，供方__份，具备同等法律效力。</w:t>
            </w:r>
          </w:p>
          <w:p w14:paraId="5B9AF0B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4.其他：</w:t>
            </w:r>
          </w:p>
        </w:tc>
      </w:tr>
      <w:tr w14:paraId="055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60B504B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需方：</w:t>
            </w:r>
          </w:p>
          <w:p w14:paraId="656B9F4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地址：</w:t>
            </w:r>
          </w:p>
          <w:p w14:paraId="3BE7123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联系电话：</w:t>
            </w:r>
          </w:p>
          <w:p w14:paraId="1FF3FCF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授权代表：</w:t>
            </w:r>
          </w:p>
        </w:tc>
        <w:tc>
          <w:tcPr>
            <w:tcW w:w="5125" w:type="dxa"/>
            <w:gridSpan w:val="5"/>
          </w:tcPr>
          <w:p w14:paraId="068A0A3E">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供方：</w:t>
            </w:r>
          </w:p>
          <w:p w14:paraId="385A1AC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地址：</w:t>
            </w:r>
          </w:p>
          <w:p w14:paraId="1E52D1E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电话：</w:t>
            </w:r>
          </w:p>
          <w:p w14:paraId="44DAD98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传真：</w:t>
            </w:r>
          </w:p>
          <w:p w14:paraId="1E25F96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开户银行：</w:t>
            </w:r>
          </w:p>
          <w:p w14:paraId="202618B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账号：</w:t>
            </w:r>
          </w:p>
          <w:p w14:paraId="4081FE2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授权代表：</w:t>
            </w:r>
          </w:p>
          <w:p w14:paraId="782869F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（本栏请用计算机打印以便于准确付款）</w:t>
            </w:r>
          </w:p>
        </w:tc>
      </w:tr>
      <w:tr w14:paraId="4DFE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572DD7A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备注：</w:t>
            </w:r>
          </w:p>
          <w:p w14:paraId="3863902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p w14:paraId="26B1E89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bl>
    <w:p w14:paraId="3E34D6A3">
      <w:pP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签约时间：           年   月   日      签约地点：</w:t>
      </w:r>
    </w:p>
    <w:p w14:paraId="44C68566">
      <w:pPr>
        <w:spacing w:after="0" w:line="594" w:lineRule="exact"/>
        <w:ind w:firstLine="88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r>
        <w:rPr>
          <w:rFonts w:ascii="Times New Roman" w:hAnsi="Times New Roman" w:eastAsia="方正小标宋_GBK"/>
          <w:color w:val="000000"/>
          <w:sz w:val="44"/>
          <w:szCs w:val="44"/>
        </w:rPr>
        <w:t>供应商编制响应文件要求</w:t>
      </w:r>
    </w:p>
    <w:p w14:paraId="11DA8C78">
      <w:pPr>
        <w:spacing w:after="0" w:line="594" w:lineRule="exact"/>
        <w:ind w:firstLine="640" w:firstLineChars="200"/>
        <w:jc w:val="both"/>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 报价</w:t>
      </w:r>
    </w:p>
    <w:p w14:paraId="59A076C2">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一） 报价函</w:t>
      </w:r>
    </w:p>
    <w:p w14:paraId="218E00BB">
      <w:pPr>
        <w:spacing w:after="0" w:line="594" w:lineRule="exact"/>
        <w:ind w:firstLine="640"/>
        <w:jc w:val="center"/>
        <w:rPr>
          <w:rFonts w:ascii="Times New Roman" w:hAnsi="Times New Roman" w:eastAsia="方正小标宋_GBK"/>
          <w:color w:val="000000"/>
          <w:sz w:val="32"/>
          <w:szCs w:val="44"/>
        </w:rPr>
      </w:pPr>
      <w:r>
        <w:rPr>
          <w:rFonts w:ascii="Times New Roman" w:hAnsi="Times New Roman" w:eastAsia="方正小标宋_GBK"/>
          <w:color w:val="000000"/>
          <w:sz w:val="32"/>
          <w:szCs w:val="44"/>
        </w:rPr>
        <w:t>报价函</w:t>
      </w:r>
    </w:p>
    <w:p w14:paraId="2FF02670">
      <w:pPr>
        <w:spacing w:after="0" w:line="594" w:lineRule="exact"/>
        <w:ind w:firstLine="640"/>
        <w:jc w:val="both"/>
        <w:rPr>
          <w:rFonts w:ascii="Times New Roman" w:hAnsi="Times New Roman" w:eastAsia="方正仿宋_GBK"/>
          <w:color w:val="000000"/>
          <w:sz w:val="32"/>
          <w:szCs w:val="32"/>
          <w:u w:val="single"/>
        </w:rPr>
      </w:pPr>
      <w:r>
        <w:rPr>
          <w:rFonts w:ascii="Times New Roman" w:hAnsi="Times New Roman" w:eastAsia="方正仿宋_GBK"/>
          <w:color w:val="000000"/>
          <w:sz w:val="32"/>
          <w:szCs w:val="32"/>
          <w:u w:val="single"/>
        </w:rPr>
        <w:t>（采购人名称）</w:t>
      </w:r>
      <w:r>
        <w:rPr>
          <w:rFonts w:ascii="Times New Roman" w:hAnsi="Times New Roman" w:eastAsia="方正仿宋_GBK"/>
          <w:color w:val="000000"/>
          <w:sz w:val="32"/>
          <w:szCs w:val="32"/>
        </w:rPr>
        <w:t>：</w:t>
      </w:r>
    </w:p>
    <w:p w14:paraId="2B019C4E">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我方收到_________________________（ 项目名称）的采购文件， 经详细研究，决定参加该项目的采购。</w:t>
      </w:r>
    </w:p>
    <w:p w14:paraId="41568627">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愿意按照谈判采购文件中的一切要求，提供本项目的技术服务，报价为人民币</w:t>
      </w:r>
      <w:r>
        <w:rPr>
          <w:rFonts w:ascii="Times New Roman" w:hAnsi="Times New Roman" w:eastAsia="方正仿宋_GBK"/>
          <w:color w:val="000000"/>
          <w:sz w:val="32"/>
          <w:szCs w:val="32"/>
          <w:u w:val="single"/>
        </w:rPr>
        <w:t xml:space="preserve">大写：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元整</w:t>
      </w:r>
      <w:r>
        <w:rPr>
          <w:rFonts w:ascii="Times New Roman" w:hAnsi="Times New Roman" w:eastAsia="方正仿宋_GBK"/>
          <w:color w:val="000000"/>
          <w:sz w:val="32"/>
          <w:szCs w:val="32"/>
        </w:rPr>
        <w:t>； 人民币</w:t>
      </w:r>
      <w:r>
        <w:rPr>
          <w:rFonts w:ascii="Times New Roman" w:hAnsi="Times New Roman" w:eastAsia="方正仿宋_GBK"/>
          <w:color w:val="000000"/>
          <w:sz w:val="32"/>
          <w:szCs w:val="32"/>
          <w:u w:val="single"/>
        </w:rPr>
        <w:t>小写：</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元</w:t>
      </w:r>
      <w:r>
        <w:rPr>
          <w:rFonts w:ascii="Times New Roman" w:hAnsi="Times New Roman" w:eastAsia="方正仿宋_GBK"/>
          <w:color w:val="000000"/>
          <w:sz w:val="32"/>
          <w:szCs w:val="32"/>
        </w:rPr>
        <w:t>。</w:t>
      </w:r>
    </w:p>
    <w:p w14:paraId="7846BE6F">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我方现提交的响应文件为：响应文件纸质文档正本、 副本各壹份。</w:t>
      </w:r>
    </w:p>
    <w:p w14:paraId="32965CF8">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我方完全理解和接受贵方采购文件的一切规定和要求及评审办法。</w:t>
      </w:r>
    </w:p>
    <w:p w14:paraId="1FE6ADDC">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在整个采购评标过程中，我方若有违规行为，根据有关规定纳入信用体系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失信记录</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实施联合惩戒，并向社会公告等给予惩罚。</w:t>
      </w:r>
    </w:p>
    <w:p w14:paraId="63ADC3C5">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我方若中选，将按照采购结果签订合同，并且严格履行合同义务。本承诺函将成为合同不可分割的一部分，与合同具有同等的法律效力。</w:t>
      </w:r>
    </w:p>
    <w:p w14:paraId="03F18A22">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我方理解，最低报价不是成交的唯一条件。</w:t>
      </w:r>
    </w:p>
    <w:p w14:paraId="64E54C35">
      <w:pPr>
        <w:spacing w:after="0" w:line="594" w:lineRule="exact"/>
        <w:ind w:firstLine="640" w:firstLineChars="200"/>
        <w:jc w:val="both"/>
        <w:rPr>
          <w:rFonts w:ascii="Times New Roman" w:hAnsi="Times New Roman" w:eastAsia="方正仿宋_GBK"/>
          <w:color w:val="000000"/>
          <w:sz w:val="32"/>
          <w:szCs w:val="32"/>
        </w:rPr>
      </w:pPr>
    </w:p>
    <w:p w14:paraId="30CA4E7B">
      <w:pPr>
        <w:spacing w:after="0" w:line="594" w:lineRule="exact"/>
        <w:ind w:firstLine="640" w:firstLineChars="200"/>
        <w:jc w:val="both"/>
        <w:rPr>
          <w:rFonts w:ascii="Times New Roman" w:hAnsi="Times New Roman" w:eastAsia="方正仿宋_GBK"/>
          <w:color w:val="000000"/>
          <w:sz w:val="32"/>
          <w:szCs w:val="32"/>
        </w:rPr>
      </w:pPr>
    </w:p>
    <w:p w14:paraId="4BE561CA">
      <w:pPr>
        <w:spacing w:after="0" w:line="594" w:lineRule="exact"/>
        <w:ind w:firstLine="640" w:firstLineChars="200"/>
        <w:jc w:val="both"/>
        <w:rPr>
          <w:rFonts w:ascii="Times New Roman" w:hAnsi="Times New Roman" w:eastAsia="方正仿宋_GBK"/>
          <w:color w:val="000000"/>
          <w:sz w:val="32"/>
          <w:szCs w:val="32"/>
        </w:rPr>
      </w:pPr>
    </w:p>
    <w:p w14:paraId="00FC91B5">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供应商名称（ 公章） ：     </w:t>
      </w:r>
    </w:p>
    <w:p w14:paraId="3E5A60DF">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年  月  日           </w:t>
      </w:r>
    </w:p>
    <w:p w14:paraId="70983445">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二、 服务方案</w:t>
      </w:r>
      <w:r>
        <w:rPr>
          <w:rFonts w:hint="eastAsia" w:ascii="Times New Roman" w:hAnsi="Times New Roman" w:eastAsia="方正黑体_GBK"/>
          <w:color w:val="000000"/>
          <w:sz w:val="32"/>
          <w:szCs w:val="32"/>
        </w:rPr>
        <w:t>及项目实施方案</w:t>
      </w:r>
    </w:p>
    <w:p w14:paraId="375832F5">
      <w:pPr>
        <w:spacing w:after="0" w:line="594" w:lineRule="exact"/>
        <w:ind w:firstLine="640" w:firstLineChars="200"/>
        <w:jc w:val="both"/>
        <w:rPr>
          <w:rFonts w:ascii="Times New Roman" w:hAnsi="Times New Roman" w:eastAsia="方正黑体_GBK"/>
          <w:color w:val="000000"/>
          <w:sz w:val="32"/>
          <w:szCs w:val="32"/>
        </w:rPr>
      </w:pPr>
    </w:p>
    <w:p w14:paraId="1BA47B58">
      <w:pPr>
        <w:spacing w:after="0" w:line="594" w:lineRule="exact"/>
        <w:ind w:firstLine="640" w:firstLineChars="200"/>
        <w:jc w:val="center"/>
        <w:rPr>
          <w:rFonts w:ascii="Times New Roman" w:hAnsi="Times New Roman" w:eastAsia="方正仿宋_GBK"/>
          <w:i/>
          <w:color w:val="000000"/>
          <w:sz w:val="32"/>
          <w:szCs w:val="32"/>
          <w:u w:val="single"/>
        </w:rPr>
      </w:pPr>
      <w:r>
        <w:rPr>
          <w:rFonts w:ascii="Times New Roman" w:hAnsi="Times New Roman" w:eastAsia="方正仿宋_GBK"/>
          <w:i/>
          <w:color w:val="000000"/>
          <w:sz w:val="32"/>
          <w:szCs w:val="32"/>
          <w:u w:val="single"/>
        </w:rPr>
        <w:t>服务方案</w:t>
      </w:r>
      <w:r>
        <w:rPr>
          <w:rFonts w:hint="eastAsia" w:ascii="Times New Roman" w:hAnsi="Times New Roman" w:eastAsia="方正仿宋_GBK"/>
          <w:i/>
          <w:color w:val="000000"/>
          <w:sz w:val="32"/>
          <w:szCs w:val="32"/>
          <w:u w:val="single"/>
        </w:rPr>
        <w:t>及项目实施方案</w:t>
      </w:r>
      <w:r>
        <w:rPr>
          <w:rFonts w:ascii="Times New Roman" w:hAnsi="Times New Roman" w:eastAsia="方正仿宋_GBK"/>
          <w:i/>
          <w:color w:val="000000"/>
          <w:sz w:val="32"/>
          <w:szCs w:val="32"/>
          <w:u w:val="single"/>
        </w:rPr>
        <w:t>（格式自定）</w:t>
      </w:r>
    </w:p>
    <w:p w14:paraId="3DFC8A8A">
      <w:pPr>
        <w:spacing w:after="0" w:line="594" w:lineRule="exact"/>
        <w:ind w:firstLine="640" w:firstLineChars="200"/>
        <w:jc w:val="center"/>
        <w:rPr>
          <w:rFonts w:ascii="Times New Roman" w:hAnsi="Times New Roman" w:eastAsia="方正仿宋_GBK"/>
          <w:i/>
          <w:color w:val="000000"/>
          <w:sz w:val="32"/>
          <w:szCs w:val="32"/>
          <w:u w:val="single"/>
        </w:rPr>
      </w:pPr>
    </w:p>
    <w:p w14:paraId="7948ACF7">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三、 资格条件及其他</w:t>
      </w:r>
    </w:p>
    <w:p w14:paraId="02CD6B7C">
      <w:pPr>
        <w:spacing w:after="0" w:line="594" w:lineRule="exact"/>
        <w:ind w:firstLine="640" w:firstLineChars="200"/>
        <w:jc w:val="both"/>
        <w:rPr>
          <w:rFonts w:ascii="Times New Roman" w:hAnsi="Times New Roman" w:eastAsia="方正黑体_GBK"/>
          <w:color w:val="000000"/>
          <w:sz w:val="32"/>
          <w:szCs w:val="32"/>
        </w:rPr>
      </w:pPr>
    </w:p>
    <w:p w14:paraId="700A4447">
      <w:pPr>
        <w:spacing w:after="0" w:line="594" w:lineRule="exact"/>
        <w:ind w:firstLine="640" w:firstLineChars="200"/>
        <w:jc w:val="center"/>
        <w:rPr>
          <w:rFonts w:ascii="Times New Roman" w:hAnsi="Times New Roman" w:eastAsia="方正仿宋_GBK"/>
          <w:i/>
          <w:color w:val="000000"/>
          <w:sz w:val="32"/>
          <w:szCs w:val="32"/>
          <w:u w:val="single"/>
        </w:rPr>
      </w:pPr>
      <w:r>
        <w:rPr>
          <w:rFonts w:ascii="Times New Roman" w:hAnsi="Times New Roman" w:eastAsia="方正仿宋_GBK"/>
          <w:i/>
          <w:color w:val="000000"/>
          <w:sz w:val="32"/>
          <w:szCs w:val="32"/>
          <w:u w:val="single"/>
        </w:rPr>
        <w:t>按照采购文件要求提供扫描件</w:t>
      </w:r>
    </w:p>
    <w:p w14:paraId="0B8A1CE4">
      <w:pPr>
        <w:spacing w:after="0" w:line="594" w:lineRule="exact"/>
        <w:ind w:firstLine="640" w:firstLineChars="200"/>
        <w:jc w:val="center"/>
        <w:rPr>
          <w:rFonts w:ascii="Times New Roman" w:hAnsi="Times New Roman" w:eastAsia="方正仿宋_GBK"/>
          <w:i/>
          <w:color w:val="000000"/>
          <w:sz w:val="32"/>
          <w:szCs w:val="32"/>
          <w:u w:val="single"/>
        </w:rPr>
      </w:pPr>
    </w:p>
    <w:p w14:paraId="182185F1">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四、其他应提供的资料</w:t>
      </w:r>
    </w:p>
    <w:p w14:paraId="7CB30FEF">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其他与项目有关的资料（自附）：供应商总体情况介绍、 其他与本项目有关的资料等。</w:t>
      </w:r>
    </w:p>
    <w:p w14:paraId="151E22FF">
      <w:pPr>
        <w:adjustRightInd/>
        <w:snapToGrid/>
        <w:spacing w:line="594" w:lineRule="exact"/>
        <w:ind w:firstLine="640"/>
        <w:rPr>
          <w:rFonts w:ascii="Times New Roman" w:hAnsi="Times New Roman" w:eastAsia="方正仿宋_GBK"/>
          <w:color w:val="000000"/>
          <w:sz w:val="32"/>
          <w:szCs w:val="32"/>
        </w:rPr>
      </w:pPr>
    </w:p>
    <w:p w14:paraId="05F97A2C">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五、 法定代表人授权委托书（格式）</w:t>
      </w:r>
    </w:p>
    <w:p w14:paraId="01FF44BD">
      <w:pPr>
        <w:spacing w:after="0" w:line="594" w:lineRule="exact"/>
        <w:ind w:firstLine="640" w:firstLineChars="200"/>
        <w:jc w:val="center"/>
        <w:rPr>
          <w:rFonts w:ascii="Times New Roman" w:hAnsi="Times New Roman" w:eastAsia="方正仿宋_GBK"/>
          <w:color w:val="000000"/>
          <w:sz w:val="32"/>
          <w:szCs w:val="32"/>
        </w:rPr>
      </w:pPr>
    </w:p>
    <w:p w14:paraId="4FABE61B">
      <w:pPr>
        <w:spacing w:after="0" w:line="594" w:lineRule="exact"/>
        <w:ind w:firstLine="640" w:firstLineChars="200"/>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法定代表人授权委托书</w:t>
      </w:r>
    </w:p>
    <w:p w14:paraId="4819893E">
      <w:pPr>
        <w:spacing w:after="0" w:line="594" w:lineRule="exact"/>
        <w:ind w:firstLine="64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致：</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（采购人名称） ：</w:t>
      </w:r>
    </w:p>
    <w:p w14:paraId="6CEE74F0">
      <w:pPr>
        <w:spacing w:after="0" w:line="594" w:lineRule="exact"/>
        <w:ind w:firstLine="707" w:firstLineChars="221"/>
        <w:jc w:val="both"/>
        <w:rPr>
          <w:rFonts w:ascii="Times New Roman" w:hAnsi="Times New Roman" w:eastAsia="方正仿宋_GBK"/>
          <w:color w:val="000000"/>
          <w:sz w:val="32"/>
          <w:szCs w:val="32"/>
        </w:rPr>
      </w:pP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（法定代表人名称）是</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（供应商名称）的法定代表人， 特授权</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（被授权人姓名及身份证代码）电话</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代表我单位全权办理上述项目的谈判、签约等具体工作，并签署全部有关文件、协议及合同。</w:t>
      </w:r>
    </w:p>
    <w:p w14:paraId="0167CA1B">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我单位对被授权人的签字负全部责任。</w:t>
      </w:r>
    </w:p>
    <w:p w14:paraId="46503C48">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在</w:t>
      </w:r>
      <w:r>
        <w:rPr>
          <w:rFonts w:hint="eastAsia" w:ascii="Times New Roman" w:hAnsi="Times New Roman" w:eastAsia="方正仿宋_GBK"/>
          <w:color w:val="000000"/>
          <w:sz w:val="32"/>
          <w:szCs w:val="32"/>
          <w:lang w:eastAsia="zh-CN"/>
        </w:rPr>
        <w:t>撤销</w:t>
      </w:r>
      <w:r>
        <w:rPr>
          <w:rFonts w:ascii="Times New Roman" w:hAnsi="Times New Roman" w:eastAsia="方正仿宋_GBK"/>
          <w:color w:val="000000"/>
          <w:sz w:val="32"/>
          <w:szCs w:val="32"/>
        </w:rPr>
        <w:t>授权的书面通知以前，本授权书一直有效。被授权人在授权书有效期内签署的所有文件不因授权</w:t>
      </w:r>
      <w:r>
        <w:rPr>
          <w:rFonts w:hint="eastAsia" w:ascii="Times New Roman" w:hAnsi="Times New Roman" w:eastAsia="方正仿宋_GBK"/>
          <w:color w:val="000000"/>
          <w:sz w:val="32"/>
          <w:szCs w:val="32"/>
          <w:lang w:eastAsia="zh-CN"/>
        </w:rPr>
        <w:t>的撤销</w:t>
      </w:r>
      <w:r>
        <w:rPr>
          <w:rFonts w:ascii="Times New Roman" w:hAnsi="Times New Roman" w:eastAsia="方正仿宋_GBK"/>
          <w:color w:val="000000"/>
          <w:sz w:val="32"/>
          <w:szCs w:val="32"/>
        </w:rPr>
        <w:t>而失效。</w:t>
      </w:r>
    </w:p>
    <w:p w14:paraId="7B4D5A0A">
      <w:pPr>
        <w:spacing w:after="0" w:line="594" w:lineRule="exact"/>
        <w:ind w:firstLine="640" w:firstLineChars="200"/>
        <w:jc w:val="both"/>
        <w:rPr>
          <w:rFonts w:ascii="Times New Roman" w:hAnsi="Times New Roman" w:eastAsia="方正仿宋_GBK"/>
          <w:color w:val="000000"/>
          <w:sz w:val="32"/>
          <w:szCs w:val="32"/>
        </w:rPr>
      </w:pPr>
    </w:p>
    <w:p w14:paraId="4C1E7D30">
      <w:pPr>
        <w:spacing w:after="0" w:line="594" w:lineRule="exact"/>
        <w:ind w:firstLine="640" w:firstLineChars="200"/>
        <w:jc w:val="both"/>
        <w:rPr>
          <w:rFonts w:ascii="Times New Roman" w:hAnsi="Times New Roman" w:eastAsia="方正仿宋_GBK"/>
          <w:color w:val="000000"/>
          <w:sz w:val="32"/>
          <w:szCs w:val="32"/>
        </w:rPr>
      </w:pPr>
    </w:p>
    <w:p w14:paraId="0DBF73A9">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被授权人：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法定代表人：</w:t>
      </w:r>
    </w:p>
    <w:p w14:paraId="6432A214">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（签字或盖章）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（签字或盖章）</w:t>
      </w:r>
    </w:p>
    <w:p w14:paraId="5DB174C6">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（附： 被授权人身份证正反面复印件）</w:t>
      </w:r>
    </w:p>
    <w:p w14:paraId="38906710">
      <w:pPr>
        <w:spacing w:after="0" w:line="594" w:lineRule="exact"/>
        <w:ind w:firstLine="640" w:firstLineChars="200"/>
        <w:jc w:val="both"/>
        <w:rPr>
          <w:rFonts w:ascii="Times New Roman" w:hAnsi="Times New Roman" w:eastAsia="方正仿宋_GBK"/>
          <w:color w:val="000000"/>
          <w:sz w:val="32"/>
          <w:szCs w:val="32"/>
        </w:rPr>
      </w:pPr>
    </w:p>
    <w:p w14:paraId="438D46B8">
      <w:pPr>
        <w:spacing w:after="0" w:line="594" w:lineRule="exact"/>
        <w:ind w:firstLine="640"/>
        <w:jc w:val="both"/>
        <w:rPr>
          <w:rFonts w:ascii="Times New Roman" w:hAnsi="Times New Roman" w:eastAsia="方正仿宋_GBK"/>
          <w:color w:val="000000"/>
          <w:sz w:val="32"/>
          <w:szCs w:val="32"/>
        </w:rPr>
      </w:pPr>
    </w:p>
    <w:p w14:paraId="401A0BEA">
      <w:pPr>
        <w:spacing w:after="0" w:line="594" w:lineRule="exact"/>
        <w:ind w:firstLine="640" w:firstLineChars="200"/>
        <w:jc w:val="both"/>
        <w:rPr>
          <w:rFonts w:ascii="Times New Roman" w:hAnsi="Times New Roman" w:eastAsia="方正仿宋_GBK"/>
          <w:color w:val="000000"/>
          <w:sz w:val="32"/>
          <w:szCs w:val="32"/>
        </w:rPr>
      </w:pPr>
    </w:p>
    <w:p w14:paraId="40EC788A">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（供应商公章）</w:t>
      </w:r>
      <w:r>
        <w:rPr>
          <w:rFonts w:hint="eastAsia" w:ascii="Times New Roman" w:hAnsi="Times New Roman" w:eastAsia="方正仿宋_GBK"/>
          <w:color w:val="000000"/>
          <w:sz w:val="32"/>
          <w:szCs w:val="32"/>
        </w:rPr>
        <w:t xml:space="preserve">         </w:t>
      </w:r>
    </w:p>
    <w:p w14:paraId="51197434">
      <w:pPr>
        <w:spacing w:after="0" w:line="594" w:lineRule="exact"/>
        <w:ind w:firstLine="640" w:firstLineChars="200"/>
        <w:jc w:val="righ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年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日</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p>
    <w:p w14:paraId="59E71A91">
      <w:pPr>
        <w:spacing w:after="0" w:line="594" w:lineRule="exact"/>
        <w:ind w:firstLine="640"/>
        <w:jc w:val="center"/>
        <w:rPr>
          <w:rFonts w:ascii="Times New Roman" w:hAnsi="Times New Roman" w:eastAsia="方正仿宋_GBK"/>
          <w:color w:val="000000"/>
          <w:sz w:val="32"/>
          <w:szCs w:val="32"/>
        </w:rPr>
      </w:pPr>
    </w:p>
    <w:p w14:paraId="4910688D">
      <w:pPr>
        <w:spacing w:after="0" w:line="594" w:lineRule="exact"/>
        <w:ind w:firstLine="640"/>
        <w:jc w:val="center"/>
        <w:rPr>
          <w:rFonts w:ascii="Times New Roman" w:hAnsi="Times New Roman" w:eastAsia="方正仿宋_GBK"/>
          <w:color w:val="000000"/>
          <w:sz w:val="32"/>
          <w:szCs w:val="32"/>
        </w:rPr>
      </w:pPr>
    </w:p>
    <w:p w14:paraId="7BA21230">
      <w:pPr>
        <w:spacing w:after="0" w:line="594" w:lineRule="exact"/>
        <w:ind w:firstLine="640"/>
        <w:rPr>
          <w:rFonts w:ascii="Times New Roman" w:hAnsi="Times New Roman" w:eastAsia="方正仿宋_GBK"/>
          <w:color w:val="000000"/>
          <w:sz w:val="32"/>
          <w:szCs w:val="32"/>
        </w:rPr>
      </w:pPr>
    </w:p>
    <w:p w14:paraId="0E144983">
      <w:pPr>
        <w:spacing w:after="0" w:line="594" w:lineRule="exact"/>
        <w:ind w:firstLine="640"/>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 结束）</w:t>
      </w:r>
    </w:p>
    <w:sectPr>
      <w:footerReference r:id="rId4" w:type="default"/>
      <w:footerReference r:id="rId5" w:type="even"/>
      <w:pgSz w:w="11906" w:h="16838"/>
      <w:pgMar w:top="1985" w:right="1474" w:bottom="1985" w:left="1474"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A9527D3-E7F6-43CB-AD09-E6082A4C204F}"/>
  </w:font>
  <w:font w:name="微软雅黑">
    <w:panose1 w:val="020B0503020204020204"/>
    <w:charset w:val="86"/>
    <w:family w:val="swiss"/>
    <w:pitch w:val="default"/>
    <w:sig w:usb0="80000287" w:usb1="2ACF3C50" w:usb2="00000016" w:usb3="00000000" w:csb0="0004001F" w:csb1="00000000"/>
    <w:embedRegular r:id="rId2" w:fontKey="{FD6E8E09-9AE3-43FE-A2BE-C68B6405EBB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7D23F20E-7C9E-49BA-9719-21FC28382D38}"/>
  </w:font>
  <w:font w:name="方正黑体_GBK">
    <w:panose1 w:val="02010600010101010101"/>
    <w:charset w:val="86"/>
    <w:family w:val="script"/>
    <w:pitch w:val="default"/>
    <w:sig w:usb0="00000001" w:usb1="080E0000" w:usb2="00000000" w:usb3="00000000" w:csb0="00040000" w:csb1="00000000"/>
    <w:embedRegular r:id="rId4" w:fontKey="{3F5583B1-2FA1-46CE-BF2B-A3B494F4FDD8}"/>
  </w:font>
  <w:font w:name="方正仿宋_GBK">
    <w:panose1 w:val="02000000000000000000"/>
    <w:charset w:val="86"/>
    <w:family w:val="script"/>
    <w:pitch w:val="default"/>
    <w:sig w:usb0="A00002BF" w:usb1="38CF7CFA" w:usb2="00082016" w:usb3="00000000" w:csb0="00040001" w:csb1="00000000"/>
    <w:embedRegular r:id="rId5" w:fontKey="{6C805250-58E0-4CF2-9A9D-9E4DF1797FE6}"/>
  </w:font>
  <w:font w:name="方正楷体_GBK">
    <w:panose1 w:val="02000000000000000000"/>
    <w:charset w:val="86"/>
    <w:family w:val="script"/>
    <w:pitch w:val="default"/>
    <w:sig w:usb0="800002BF" w:usb1="38CF7CFA" w:usb2="00000016" w:usb3="00000000" w:csb0="00040000" w:csb1="00000000"/>
    <w:embedRegular r:id="rId6" w:fontKey="{84663067-892A-4111-A1EA-CF3647AD36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9C6F">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E7E5">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2E1Yjc4YzcxMWE0OWJiMTkzZWNkYzQ3MzE5MjUifQ=="/>
  </w:docVars>
  <w:rsids>
    <w:rsidRoot w:val="00D31D50"/>
    <w:rsid w:val="0000374E"/>
    <w:rsid w:val="0001633D"/>
    <w:rsid w:val="00030A8D"/>
    <w:rsid w:val="0004564F"/>
    <w:rsid w:val="00055158"/>
    <w:rsid w:val="00066CCC"/>
    <w:rsid w:val="00085352"/>
    <w:rsid w:val="00090C0F"/>
    <w:rsid w:val="000932D8"/>
    <w:rsid w:val="000A0DFF"/>
    <w:rsid w:val="000D4919"/>
    <w:rsid w:val="000F01F0"/>
    <w:rsid w:val="00106833"/>
    <w:rsid w:val="00116376"/>
    <w:rsid w:val="00123FF2"/>
    <w:rsid w:val="00126AC6"/>
    <w:rsid w:val="00152998"/>
    <w:rsid w:val="00162F32"/>
    <w:rsid w:val="001B553B"/>
    <w:rsid w:val="001C77D9"/>
    <w:rsid w:val="001D41D7"/>
    <w:rsid w:val="001E15AD"/>
    <w:rsid w:val="001E20CB"/>
    <w:rsid w:val="001F6264"/>
    <w:rsid w:val="0020657E"/>
    <w:rsid w:val="00207375"/>
    <w:rsid w:val="00214704"/>
    <w:rsid w:val="00223020"/>
    <w:rsid w:val="00241C0E"/>
    <w:rsid w:val="00283945"/>
    <w:rsid w:val="00286833"/>
    <w:rsid w:val="002A7DD2"/>
    <w:rsid w:val="002E5076"/>
    <w:rsid w:val="00305C65"/>
    <w:rsid w:val="0032035E"/>
    <w:rsid w:val="00320E05"/>
    <w:rsid w:val="00323B43"/>
    <w:rsid w:val="0034406A"/>
    <w:rsid w:val="003454EA"/>
    <w:rsid w:val="003561E4"/>
    <w:rsid w:val="00362750"/>
    <w:rsid w:val="00363140"/>
    <w:rsid w:val="003A0685"/>
    <w:rsid w:val="003B3A98"/>
    <w:rsid w:val="003C5D58"/>
    <w:rsid w:val="003D0864"/>
    <w:rsid w:val="003D1C34"/>
    <w:rsid w:val="003D37D8"/>
    <w:rsid w:val="003D658C"/>
    <w:rsid w:val="003F551B"/>
    <w:rsid w:val="004054E5"/>
    <w:rsid w:val="00406D5C"/>
    <w:rsid w:val="00413ABE"/>
    <w:rsid w:val="00416484"/>
    <w:rsid w:val="00426133"/>
    <w:rsid w:val="004358AB"/>
    <w:rsid w:val="004434F5"/>
    <w:rsid w:val="004515F0"/>
    <w:rsid w:val="00453590"/>
    <w:rsid w:val="00476FAC"/>
    <w:rsid w:val="004808D3"/>
    <w:rsid w:val="00483229"/>
    <w:rsid w:val="0049436F"/>
    <w:rsid w:val="004A5733"/>
    <w:rsid w:val="004B09E2"/>
    <w:rsid w:val="004C5DCC"/>
    <w:rsid w:val="004D43BF"/>
    <w:rsid w:val="004E03C5"/>
    <w:rsid w:val="004E1A6F"/>
    <w:rsid w:val="004F594C"/>
    <w:rsid w:val="00524417"/>
    <w:rsid w:val="00526CB5"/>
    <w:rsid w:val="005318FC"/>
    <w:rsid w:val="0054039E"/>
    <w:rsid w:val="005471D9"/>
    <w:rsid w:val="00557444"/>
    <w:rsid w:val="00561F1E"/>
    <w:rsid w:val="005A0B2B"/>
    <w:rsid w:val="005A546A"/>
    <w:rsid w:val="005B7B8C"/>
    <w:rsid w:val="005D0689"/>
    <w:rsid w:val="005D0BE0"/>
    <w:rsid w:val="005E2BC1"/>
    <w:rsid w:val="00602592"/>
    <w:rsid w:val="00647FAA"/>
    <w:rsid w:val="00674095"/>
    <w:rsid w:val="00676883"/>
    <w:rsid w:val="006924C0"/>
    <w:rsid w:val="006943FF"/>
    <w:rsid w:val="00694695"/>
    <w:rsid w:val="006A31CF"/>
    <w:rsid w:val="006B298D"/>
    <w:rsid w:val="006C578B"/>
    <w:rsid w:val="007118A4"/>
    <w:rsid w:val="00735B80"/>
    <w:rsid w:val="00747690"/>
    <w:rsid w:val="00764625"/>
    <w:rsid w:val="0076578C"/>
    <w:rsid w:val="007A1B27"/>
    <w:rsid w:val="007D2129"/>
    <w:rsid w:val="007D23B3"/>
    <w:rsid w:val="007E2AB7"/>
    <w:rsid w:val="007E5457"/>
    <w:rsid w:val="00804AD3"/>
    <w:rsid w:val="00826F1C"/>
    <w:rsid w:val="00837206"/>
    <w:rsid w:val="00844EFC"/>
    <w:rsid w:val="00855A8D"/>
    <w:rsid w:val="0085678F"/>
    <w:rsid w:val="008650B5"/>
    <w:rsid w:val="008829C3"/>
    <w:rsid w:val="00892FC7"/>
    <w:rsid w:val="008B7726"/>
    <w:rsid w:val="008D0C01"/>
    <w:rsid w:val="008D285B"/>
    <w:rsid w:val="008F1A7D"/>
    <w:rsid w:val="009036A6"/>
    <w:rsid w:val="0092466F"/>
    <w:rsid w:val="00925C31"/>
    <w:rsid w:val="0093020A"/>
    <w:rsid w:val="009303FC"/>
    <w:rsid w:val="0095540B"/>
    <w:rsid w:val="0096684A"/>
    <w:rsid w:val="00980794"/>
    <w:rsid w:val="009A7AE4"/>
    <w:rsid w:val="009B56DE"/>
    <w:rsid w:val="009B7612"/>
    <w:rsid w:val="009D2E5B"/>
    <w:rsid w:val="009D69F3"/>
    <w:rsid w:val="009F05E9"/>
    <w:rsid w:val="009F2755"/>
    <w:rsid w:val="00A02395"/>
    <w:rsid w:val="00A54FB3"/>
    <w:rsid w:val="00A60416"/>
    <w:rsid w:val="00AB5FA1"/>
    <w:rsid w:val="00AC62E3"/>
    <w:rsid w:val="00AD78BD"/>
    <w:rsid w:val="00AF316B"/>
    <w:rsid w:val="00AF4E57"/>
    <w:rsid w:val="00B31F47"/>
    <w:rsid w:val="00B36EC2"/>
    <w:rsid w:val="00B37AEB"/>
    <w:rsid w:val="00B53ADF"/>
    <w:rsid w:val="00B60F35"/>
    <w:rsid w:val="00B81F64"/>
    <w:rsid w:val="00BA2788"/>
    <w:rsid w:val="00BC4293"/>
    <w:rsid w:val="00BD7270"/>
    <w:rsid w:val="00BD7911"/>
    <w:rsid w:val="00BF008B"/>
    <w:rsid w:val="00BF1D66"/>
    <w:rsid w:val="00BF2F7D"/>
    <w:rsid w:val="00C0045E"/>
    <w:rsid w:val="00C10570"/>
    <w:rsid w:val="00C26B6A"/>
    <w:rsid w:val="00C37DDE"/>
    <w:rsid w:val="00C47A66"/>
    <w:rsid w:val="00C8275F"/>
    <w:rsid w:val="00C829C3"/>
    <w:rsid w:val="00CA0422"/>
    <w:rsid w:val="00CA3C00"/>
    <w:rsid w:val="00D01571"/>
    <w:rsid w:val="00D0220B"/>
    <w:rsid w:val="00D31D50"/>
    <w:rsid w:val="00D33DC2"/>
    <w:rsid w:val="00D47F8C"/>
    <w:rsid w:val="00D74DC7"/>
    <w:rsid w:val="00D81483"/>
    <w:rsid w:val="00D939AF"/>
    <w:rsid w:val="00DA0B0A"/>
    <w:rsid w:val="00DD3FE7"/>
    <w:rsid w:val="00DF1A63"/>
    <w:rsid w:val="00E00B16"/>
    <w:rsid w:val="00E013B0"/>
    <w:rsid w:val="00E15BB3"/>
    <w:rsid w:val="00E21814"/>
    <w:rsid w:val="00E2251C"/>
    <w:rsid w:val="00E26451"/>
    <w:rsid w:val="00E420FA"/>
    <w:rsid w:val="00E56BA5"/>
    <w:rsid w:val="00E57006"/>
    <w:rsid w:val="00E628D4"/>
    <w:rsid w:val="00E915C3"/>
    <w:rsid w:val="00E9625B"/>
    <w:rsid w:val="00EA5D62"/>
    <w:rsid w:val="00EA7C58"/>
    <w:rsid w:val="00EC15DA"/>
    <w:rsid w:val="00EC5B9D"/>
    <w:rsid w:val="00ED7989"/>
    <w:rsid w:val="00EE109F"/>
    <w:rsid w:val="00F0101A"/>
    <w:rsid w:val="00F05C41"/>
    <w:rsid w:val="00F257AE"/>
    <w:rsid w:val="00F4467C"/>
    <w:rsid w:val="00F44B2C"/>
    <w:rsid w:val="00F80C4C"/>
    <w:rsid w:val="00F86FFB"/>
    <w:rsid w:val="00FB38B1"/>
    <w:rsid w:val="00FC24A1"/>
    <w:rsid w:val="00FC362F"/>
    <w:rsid w:val="00FE660F"/>
    <w:rsid w:val="00FF242E"/>
    <w:rsid w:val="00FF6BCB"/>
    <w:rsid w:val="011C787C"/>
    <w:rsid w:val="01934780"/>
    <w:rsid w:val="02C65375"/>
    <w:rsid w:val="0360693D"/>
    <w:rsid w:val="0D770B24"/>
    <w:rsid w:val="0FB40C0F"/>
    <w:rsid w:val="126001AF"/>
    <w:rsid w:val="15DD47F7"/>
    <w:rsid w:val="196F7429"/>
    <w:rsid w:val="1A0E2F63"/>
    <w:rsid w:val="1B9649BB"/>
    <w:rsid w:val="1C3656BC"/>
    <w:rsid w:val="1C642260"/>
    <w:rsid w:val="1DB45D52"/>
    <w:rsid w:val="2A1D2BD7"/>
    <w:rsid w:val="2A9A4392"/>
    <w:rsid w:val="2AF23A16"/>
    <w:rsid w:val="2B167636"/>
    <w:rsid w:val="2FE46BAD"/>
    <w:rsid w:val="32794B6A"/>
    <w:rsid w:val="335C14C5"/>
    <w:rsid w:val="465C5E67"/>
    <w:rsid w:val="54DC7D79"/>
    <w:rsid w:val="582A32E8"/>
    <w:rsid w:val="5AE461BE"/>
    <w:rsid w:val="623E5801"/>
    <w:rsid w:val="632523A8"/>
    <w:rsid w:val="657F2BC8"/>
    <w:rsid w:val="65C34BB6"/>
    <w:rsid w:val="66BC011A"/>
    <w:rsid w:val="68964442"/>
    <w:rsid w:val="73BC418E"/>
    <w:rsid w:val="777CDB35"/>
    <w:rsid w:val="79100735"/>
    <w:rsid w:val="7A2D047E"/>
    <w:rsid w:val="7E44098C"/>
    <w:rsid w:val="7EDE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link w:val="20"/>
    <w:autoRedefine/>
    <w:qFormat/>
    <w:uiPriority w:val="0"/>
    <w:pPr>
      <w:keepNext/>
      <w:widowControl w:val="0"/>
      <w:tabs>
        <w:tab w:val="left" w:pos="3360"/>
      </w:tabs>
      <w:adjustRightInd/>
      <w:spacing w:beforeLines="50" w:afterLines="50" w:line="800" w:lineRule="atLeast"/>
      <w:jc w:val="center"/>
      <w:outlineLvl w:val="0"/>
    </w:pPr>
    <w:rPr>
      <w:rFonts w:ascii="Times New Roman" w:hAnsi="Times New Roman" w:eastAsia="方正小标宋简体"/>
      <w:kern w:val="2"/>
      <w:sz w:val="44"/>
      <w:szCs w:val="20"/>
    </w:rPr>
  </w:style>
  <w:style w:type="paragraph" w:styleId="5">
    <w:name w:val="heading 2"/>
    <w:basedOn w:val="1"/>
    <w:next w:val="1"/>
    <w:link w:val="21"/>
    <w:autoRedefine/>
    <w:qFormat/>
    <w:uiPriority w:val="0"/>
    <w:pPr>
      <w:keepNext/>
      <w:keepLines/>
      <w:widowControl w:val="0"/>
      <w:spacing w:beforeLines="50" w:after="0" w:line="240" w:lineRule="exact"/>
      <w:ind w:firstLine="2320" w:firstLineChars="200"/>
      <w:jc w:val="both"/>
      <w:outlineLvl w:val="1"/>
    </w:pPr>
    <w:rPr>
      <w:rFonts w:ascii="宋体" w:hAnsi="宋体" w:eastAsia="宋体"/>
      <w:b/>
      <w:sz w:val="20"/>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widowControl w:val="0"/>
      <w:adjustRightInd/>
      <w:snapToGrid/>
      <w:spacing w:after="120"/>
      <w:jc w:val="both"/>
    </w:pPr>
    <w:rPr>
      <w:rFonts w:ascii="Times New Roman" w:hAnsi="Times New Roman" w:eastAsia="宋体"/>
      <w:kern w:val="2"/>
      <w:sz w:val="24"/>
      <w:szCs w:val="20"/>
    </w:rPr>
  </w:style>
  <w:style w:type="paragraph" w:styleId="3">
    <w:name w:val="index 7"/>
    <w:basedOn w:val="1"/>
    <w:next w:val="1"/>
    <w:qFormat/>
    <w:uiPriority w:val="0"/>
    <w:pPr>
      <w:ind w:left="2520"/>
    </w:pPr>
  </w:style>
  <w:style w:type="paragraph" w:styleId="6">
    <w:name w:val="Body Text Indent"/>
    <w:basedOn w:val="1"/>
    <w:link w:val="23"/>
    <w:semiHidden/>
    <w:unhideWhenUsed/>
    <w:qFormat/>
    <w:uiPriority w:val="99"/>
    <w:pPr>
      <w:spacing w:after="120"/>
      <w:ind w:left="420" w:leftChars="200"/>
    </w:pPr>
  </w:style>
  <w:style w:type="paragraph" w:styleId="7">
    <w:name w:val="Date"/>
    <w:basedOn w:val="1"/>
    <w:next w:val="1"/>
    <w:link w:val="22"/>
    <w:autoRedefine/>
    <w:qFormat/>
    <w:uiPriority w:val="0"/>
    <w:pPr>
      <w:widowControl w:val="0"/>
      <w:adjustRightInd/>
      <w:snapToGrid/>
      <w:spacing w:after="0"/>
      <w:jc w:val="both"/>
    </w:pPr>
    <w:rPr>
      <w:rFonts w:ascii="Times New Roman" w:hAnsi="Times New Roman" w:eastAsia="宋体"/>
      <w:kern w:val="2"/>
      <w:sz w:val="24"/>
      <w:szCs w:val="20"/>
    </w:rPr>
  </w:style>
  <w:style w:type="paragraph" w:styleId="8">
    <w:name w:val="Balloon Text"/>
    <w:basedOn w:val="1"/>
    <w:link w:val="25"/>
    <w:semiHidden/>
    <w:unhideWhenUsed/>
    <w:qFormat/>
    <w:uiPriority w:val="99"/>
    <w:pPr>
      <w:spacing w:after="0"/>
    </w:pPr>
    <w:rPr>
      <w:sz w:val="18"/>
      <w:szCs w:val="18"/>
    </w:rPr>
  </w:style>
  <w:style w:type="paragraph" w:styleId="9">
    <w:name w:val="footer"/>
    <w:basedOn w:val="1"/>
    <w:link w:val="18"/>
    <w:autoRedefine/>
    <w:unhideWhenUsed/>
    <w:qFormat/>
    <w:uiPriority w:val="99"/>
    <w:pPr>
      <w:tabs>
        <w:tab w:val="center" w:pos="4153"/>
        <w:tab w:val="right" w:pos="8306"/>
      </w:tabs>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0"/>
    <w:pPr>
      <w:widowControl w:val="0"/>
      <w:adjustRightInd/>
      <w:snapToGrid/>
      <w:spacing w:beforeAutospacing="1" w:after="100" w:afterAutospacing="1"/>
    </w:pPr>
    <w:rPr>
      <w:rFonts w:ascii="Calibri" w:hAnsi="Calibri" w:eastAsia="宋体" w:cs="宋体"/>
      <w:sz w:val="24"/>
      <w:szCs w:val="24"/>
    </w:rPr>
  </w:style>
  <w:style w:type="paragraph" w:styleId="12">
    <w:name w:val="Body Text First Indent 2"/>
    <w:basedOn w:val="6"/>
    <w:link w:val="24"/>
    <w:autoRedefine/>
    <w:qFormat/>
    <w:uiPriority w:val="0"/>
    <w:pPr>
      <w:widowControl w:val="0"/>
      <w:adjustRightInd/>
      <w:snapToGrid/>
      <w:ind w:firstLine="420" w:firstLineChars="200"/>
      <w:jc w:val="both"/>
    </w:pPr>
    <w:rPr>
      <w:rFonts w:ascii="Times New Roman" w:hAnsi="Times New Roman" w:eastAsia="宋体"/>
      <w:kern w:val="2"/>
      <w:sz w:val="21"/>
      <w:szCs w:val="20"/>
    </w:rPr>
  </w:style>
  <w:style w:type="table" w:styleId="14">
    <w:name w:val="Table Grid"/>
    <w:basedOn w:val="13"/>
    <w:autoRedefine/>
    <w:qFormat/>
    <w:uiPriority w:val="5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fontstyle01"/>
    <w:autoRedefine/>
    <w:qFormat/>
    <w:uiPriority w:val="0"/>
    <w:rPr>
      <w:rFonts w:hint="eastAsia" w:ascii="宋体" w:hAnsi="宋体" w:eastAsia="宋体"/>
      <w:color w:val="000000"/>
      <w:sz w:val="24"/>
      <w:szCs w:val="24"/>
    </w:rPr>
  </w:style>
  <w:style w:type="character" w:customStyle="1" w:styleId="17">
    <w:name w:val="页眉 Char"/>
    <w:link w:val="10"/>
    <w:autoRedefine/>
    <w:qFormat/>
    <w:uiPriority w:val="99"/>
    <w:rPr>
      <w:rFonts w:ascii="Tahoma" w:hAnsi="Tahoma"/>
      <w:sz w:val="18"/>
      <w:szCs w:val="18"/>
    </w:rPr>
  </w:style>
  <w:style w:type="character" w:customStyle="1" w:styleId="18">
    <w:name w:val="页脚 Char"/>
    <w:link w:val="9"/>
    <w:qFormat/>
    <w:uiPriority w:val="99"/>
    <w:rPr>
      <w:rFonts w:ascii="Tahoma" w:hAnsi="Tahoma"/>
      <w:sz w:val="18"/>
      <w:szCs w:val="18"/>
    </w:rPr>
  </w:style>
  <w:style w:type="character" w:customStyle="1" w:styleId="19">
    <w:name w:val="NormalCharacter"/>
    <w:autoRedefine/>
    <w:qFormat/>
    <w:uiPriority w:val="99"/>
  </w:style>
  <w:style w:type="character" w:customStyle="1" w:styleId="20">
    <w:name w:val="标题 1 Char"/>
    <w:link w:val="4"/>
    <w:autoRedefine/>
    <w:qFormat/>
    <w:uiPriority w:val="0"/>
    <w:rPr>
      <w:rFonts w:ascii="Times New Roman" w:hAnsi="Times New Roman" w:eastAsia="方正小标宋简体"/>
      <w:kern w:val="2"/>
      <w:sz w:val="44"/>
    </w:rPr>
  </w:style>
  <w:style w:type="character" w:customStyle="1" w:styleId="21">
    <w:name w:val="标题 2 Char"/>
    <w:link w:val="5"/>
    <w:qFormat/>
    <w:uiPriority w:val="0"/>
    <w:rPr>
      <w:rFonts w:ascii="宋体" w:hAnsi="宋体" w:eastAsia="宋体"/>
      <w:b/>
    </w:rPr>
  </w:style>
  <w:style w:type="character" w:customStyle="1" w:styleId="22">
    <w:name w:val="日期 Char"/>
    <w:link w:val="7"/>
    <w:autoRedefine/>
    <w:qFormat/>
    <w:uiPriority w:val="0"/>
    <w:rPr>
      <w:rFonts w:ascii="Times New Roman" w:hAnsi="Times New Roman" w:eastAsia="宋体"/>
      <w:kern w:val="2"/>
      <w:sz w:val="24"/>
    </w:rPr>
  </w:style>
  <w:style w:type="character" w:customStyle="1" w:styleId="23">
    <w:name w:val="正文文本缩进 Char"/>
    <w:link w:val="6"/>
    <w:autoRedefine/>
    <w:semiHidden/>
    <w:qFormat/>
    <w:uiPriority w:val="99"/>
    <w:rPr>
      <w:rFonts w:ascii="Tahoma" w:hAnsi="Tahoma"/>
      <w:sz w:val="22"/>
      <w:szCs w:val="22"/>
    </w:rPr>
  </w:style>
  <w:style w:type="character" w:customStyle="1" w:styleId="24">
    <w:name w:val="正文首行缩进 2 Char"/>
    <w:link w:val="12"/>
    <w:autoRedefine/>
    <w:qFormat/>
    <w:uiPriority w:val="0"/>
    <w:rPr>
      <w:rFonts w:ascii="Times New Roman" w:hAnsi="Times New Roman" w:eastAsia="宋体"/>
      <w:kern w:val="2"/>
      <w:sz w:val="21"/>
      <w:szCs w:val="22"/>
    </w:rPr>
  </w:style>
  <w:style w:type="character" w:customStyle="1" w:styleId="25">
    <w:name w:val="批注框文本 Char"/>
    <w:link w:val="8"/>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4631</Words>
  <Characters>4805</Characters>
  <Lines>53</Lines>
  <Paragraphs>14</Paragraphs>
  <TotalTime>1</TotalTime>
  <ScaleCrop>false</ScaleCrop>
  <LinksUpToDate>false</LinksUpToDate>
  <CharactersWithSpaces>4829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2023-03-06T18:43:00Z</dcterms:created>
  <dc:creator>Administrator</dc:creator>
  <cp:lastModifiedBy>free</cp:lastModifiedBy>
  <cp:lastPrinted>2024-11-28T09:19:00Z</cp:lastPrinted>
  <dcterms:modified xsi:type="dcterms:W3CDTF">2024-11-29T06:29:08Z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144889E11F2C43F983453B03C5D6020C_13</vt:lpwstr>
  </property>
</Properties>
</file>