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AFEFB">
      <w:pPr>
        <w:spacing w:after="0" w:line="594"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重庆市大渡口区招商投资促进局</w:t>
      </w:r>
    </w:p>
    <w:p w14:paraId="0125D324">
      <w:pPr>
        <w:spacing w:after="0" w:line="594"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钓鱼嘴音乐半岛招商宣传片制作服务</w:t>
      </w:r>
      <w:r>
        <w:rPr>
          <w:rFonts w:ascii="Times New Roman" w:hAnsi="Times New Roman" w:eastAsia="方正小标宋_GBK"/>
          <w:sz w:val="44"/>
          <w:szCs w:val="44"/>
        </w:rPr>
        <w:t>采购文件</w:t>
      </w:r>
    </w:p>
    <w:p w14:paraId="4345FD16">
      <w:pPr>
        <w:spacing w:after="0" w:line="594" w:lineRule="exact"/>
        <w:jc w:val="both"/>
        <w:rPr>
          <w:rFonts w:ascii="Times New Roman" w:hAnsi="Times New Roman" w:eastAsia="方正黑体_GBK"/>
          <w:sz w:val="32"/>
          <w:szCs w:val="32"/>
        </w:rPr>
      </w:pPr>
    </w:p>
    <w:p w14:paraId="5A204240">
      <w:pPr>
        <w:spacing w:after="0" w:line="600" w:lineRule="exact"/>
        <w:ind w:firstLine="598" w:firstLineChars="200"/>
        <w:jc w:val="both"/>
        <w:rPr>
          <w:rFonts w:ascii="Times New Roman" w:hAnsi="Times New Roman" w:eastAsia="方正黑体_GBK"/>
          <w:sz w:val="32"/>
          <w:szCs w:val="32"/>
        </w:rPr>
      </w:pPr>
      <w:r>
        <w:rPr>
          <w:rFonts w:ascii="Times New Roman" w:hAnsi="Times New Roman" w:eastAsia="方正黑体_GBK"/>
          <w:sz w:val="32"/>
          <w:szCs w:val="32"/>
        </w:rPr>
        <w:t>一、采购内容</w:t>
      </w:r>
    </w:p>
    <w:tbl>
      <w:tblPr>
        <w:tblStyle w:val="15"/>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8"/>
        <w:gridCol w:w="1418"/>
        <w:gridCol w:w="1701"/>
        <w:gridCol w:w="2551"/>
      </w:tblGrid>
      <w:tr w14:paraId="2CA6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118" w:type="dxa"/>
            <w:vAlign w:val="center"/>
          </w:tcPr>
          <w:p w14:paraId="3BF903EC">
            <w:pPr>
              <w:spacing w:after="0" w:line="600" w:lineRule="exact"/>
              <w:jc w:val="center"/>
              <w:rPr>
                <w:rFonts w:ascii="方正黑体_GBK" w:hAnsi="Times New Roman" w:eastAsia="方正黑体_GBK"/>
                <w:sz w:val="24"/>
                <w:szCs w:val="32"/>
              </w:rPr>
            </w:pPr>
            <w:r>
              <w:rPr>
                <w:rFonts w:hint="eastAsia" w:ascii="方正黑体_GBK" w:hAnsi="Times New Roman" w:eastAsia="方正黑体_GBK"/>
                <w:sz w:val="24"/>
                <w:szCs w:val="32"/>
              </w:rPr>
              <w:t>项目名称</w:t>
            </w:r>
          </w:p>
        </w:tc>
        <w:tc>
          <w:tcPr>
            <w:tcW w:w="1418" w:type="dxa"/>
            <w:vAlign w:val="center"/>
          </w:tcPr>
          <w:p w14:paraId="2E4A3E0A">
            <w:pPr>
              <w:spacing w:after="0" w:line="600" w:lineRule="exact"/>
              <w:jc w:val="center"/>
              <w:rPr>
                <w:rFonts w:ascii="方正黑体_GBK" w:hAnsi="Times New Roman" w:eastAsia="方正黑体_GBK"/>
                <w:sz w:val="24"/>
                <w:szCs w:val="32"/>
              </w:rPr>
            </w:pPr>
            <w:r>
              <w:rPr>
                <w:rFonts w:hint="eastAsia" w:ascii="方正黑体_GBK" w:hAnsi="Times New Roman" w:eastAsia="方正黑体_GBK"/>
                <w:sz w:val="24"/>
                <w:szCs w:val="32"/>
              </w:rPr>
              <w:t>采购预算（万元）</w:t>
            </w:r>
          </w:p>
        </w:tc>
        <w:tc>
          <w:tcPr>
            <w:tcW w:w="1701" w:type="dxa"/>
            <w:vAlign w:val="center"/>
          </w:tcPr>
          <w:p w14:paraId="7390A709">
            <w:pPr>
              <w:spacing w:after="0" w:line="600" w:lineRule="exact"/>
              <w:jc w:val="center"/>
              <w:rPr>
                <w:rFonts w:ascii="方正黑体_GBK" w:hAnsi="Times New Roman" w:eastAsia="方正黑体_GBK"/>
                <w:sz w:val="24"/>
                <w:szCs w:val="32"/>
              </w:rPr>
            </w:pPr>
            <w:r>
              <w:rPr>
                <w:rFonts w:hint="eastAsia" w:ascii="方正黑体_GBK" w:hAnsi="Times New Roman" w:eastAsia="方正黑体_GBK"/>
                <w:sz w:val="24"/>
                <w:szCs w:val="32"/>
              </w:rPr>
              <w:t>资金来源</w:t>
            </w:r>
          </w:p>
        </w:tc>
        <w:tc>
          <w:tcPr>
            <w:tcW w:w="2551" w:type="dxa"/>
            <w:vAlign w:val="center"/>
          </w:tcPr>
          <w:p w14:paraId="1CF49D11">
            <w:pPr>
              <w:spacing w:after="0" w:line="600" w:lineRule="exact"/>
              <w:jc w:val="center"/>
              <w:rPr>
                <w:rFonts w:ascii="方正黑体_GBK" w:hAnsi="Times New Roman" w:eastAsia="方正黑体_GBK"/>
                <w:sz w:val="24"/>
                <w:szCs w:val="32"/>
              </w:rPr>
            </w:pPr>
            <w:r>
              <w:rPr>
                <w:rFonts w:hint="eastAsia" w:ascii="方正黑体_GBK" w:hAnsi="Times New Roman" w:eastAsia="方正黑体_GBK"/>
                <w:sz w:val="24"/>
                <w:szCs w:val="32"/>
              </w:rPr>
              <w:t>备注</w:t>
            </w:r>
          </w:p>
        </w:tc>
      </w:tr>
      <w:tr w14:paraId="4E58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3118" w:type="dxa"/>
            <w:vAlign w:val="center"/>
          </w:tcPr>
          <w:p w14:paraId="35A539DA">
            <w:pPr>
              <w:spacing w:after="0" w:line="600" w:lineRule="exact"/>
              <w:jc w:val="center"/>
              <w:rPr>
                <w:rFonts w:ascii="Times New Roman" w:hAnsi="Times New Roman" w:eastAsia="方正仿宋_GBK"/>
                <w:sz w:val="28"/>
                <w:szCs w:val="32"/>
              </w:rPr>
            </w:pPr>
            <w:r>
              <w:rPr>
                <w:rFonts w:hint="eastAsia" w:ascii="方正仿宋_GBK" w:hAnsi="方正仿宋_GBK" w:eastAsia="方正仿宋_GBK" w:cs="方正仿宋_GBK"/>
                <w:b w:val="0"/>
                <w:bCs w:val="0"/>
                <w:sz w:val="24"/>
                <w:szCs w:val="32"/>
                <w:highlight w:val="none"/>
                <w:lang w:eastAsia="zh-CN"/>
              </w:rPr>
              <w:t>钓鱼嘴音乐半岛招商宣传片制作服务</w:t>
            </w:r>
          </w:p>
        </w:tc>
        <w:tc>
          <w:tcPr>
            <w:tcW w:w="1418" w:type="dxa"/>
            <w:vAlign w:val="center"/>
          </w:tcPr>
          <w:p w14:paraId="779589AD">
            <w:pPr>
              <w:spacing w:after="0" w:line="600" w:lineRule="exact"/>
              <w:jc w:val="center"/>
              <w:rPr>
                <w:rFonts w:hint="default" w:ascii="Times New Roman" w:hAnsi="Times New Roman" w:eastAsia="方正仿宋_GBK"/>
                <w:sz w:val="28"/>
                <w:szCs w:val="32"/>
                <w:lang w:val="en-US" w:eastAsia="zh-CN"/>
              </w:rPr>
            </w:pPr>
            <w:r>
              <w:rPr>
                <w:rFonts w:hint="eastAsia" w:ascii="Times New Roman" w:hAnsi="Times New Roman" w:eastAsia="方正仿宋_GBK"/>
                <w:sz w:val="24"/>
                <w:szCs w:val="32"/>
                <w:lang w:val="en-US" w:eastAsia="zh-CN"/>
              </w:rPr>
              <w:t>18</w:t>
            </w:r>
          </w:p>
        </w:tc>
        <w:tc>
          <w:tcPr>
            <w:tcW w:w="1701" w:type="dxa"/>
            <w:vAlign w:val="center"/>
          </w:tcPr>
          <w:p w14:paraId="1B685AFD">
            <w:pPr>
              <w:spacing w:after="0" w:line="500" w:lineRule="exact"/>
              <w:jc w:val="center"/>
              <w:rPr>
                <w:rFonts w:hint="default" w:ascii="Times New Roman" w:hAnsi="Times New Roman" w:eastAsia="方正仿宋_GBK"/>
                <w:sz w:val="28"/>
                <w:szCs w:val="32"/>
                <w:lang w:val="en-US" w:eastAsia="zh-CN"/>
              </w:rPr>
            </w:pPr>
            <w:r>
              <w:rPr>
                <w:rFonts w:hint="eastAsia" w:ascii="方正仿宋_GBK" w:hAnsi="方正仿宋_GBK" w:eastAsia="方正仿宋_GBK" w:cs="方正仿宋_GBK"/>
                <w:color w:val="000000" w:themeColor="text1"/>
                <w:sz w:val="24"/>
                <w:szCs w:val="32"/>
                <w:highlight w:val="none"/>
                <w:lang w:val="en-US" w:eastAsia="zh-CN"/>
                <w14:textFill>
                  <w14:solidFill>
                    <w14:schemeClr w14:val="tx1"/>
                  </w14:solidFill>
                </w14:textFill>
              </w:rPr>
              <w:t>招商引资相关经费</w:t>
            </w:r>
          </w:p>
        </w:tc>
        <w:tc>
          <w:tcPr>
            <w:tcW w:w="2551" w:type="dxa"/>
            <w:vAlign w:val="center"/>
          </w:tcPr>
          <w:p w14:paraId="201B33D8">
            <w:pPr>
              <w:spacing w:after="0" w:line="600" w:lineRule="exact"/>
              <w:jc w:val="center"/>
              <w:rPr>
                <w:rFonts w:ascii="Times New Roman" w:hAnsi="Times New Roman" w:eastAsia="方正仿宋_GBK"/>
                <w:sz w:val="24"/>
                <w:szCs w:val="24"/>
              </w:rPr>
            </w:pPr>
            <w:r>
              <w:rPr>
                <w:rStyle w:val="18"/>
                <w:rFonts w:hint="default" w:ascii="Times New Roman" w:hAnsi="Times New Roman" w:eastAsia="方正仿宋_GBK" w:cs="Times New Roman"/>
                <w:color w:val="auto"/>
                <w:highlight w:val="none"/>
              </w:rPr>
              <w:t>采购预算金额为投标总限价，报价不得超过</w:t>
            </w:r>
            <w:r>
              <w:rPr>
                <w:rStyle w:val="18"/>
                <w:rFonts w:hint="eastAsia" w:ascii="Times New Roman" w:hAnsi="Times New Roman" w:cs="Times New Roman"/>
                <w:color w:val="auto"/>
                <w:highlight w:val="none"/>
                <w:lang w:val="en-US" w:eastAsia="zh-CN"/>
              </w:rPr>
              <w:t>18</w:t>
            </w:r>
            <w:r>
              <w:rPr>
                <w:rStyle w:val="18"/>
                <w:rFonts w:hint="default" w:ascii="Times New Roman" w:hAnsi="Times New Roman" w:eastAsia="方正仿宋_GBK" w:cs="Times New Roman"/>
                <w:color w:val="auto"/>
                <w:highlight w:val="none"/>
              </w:rPr>
              <w:t>万元</w:t>
            </w:r>
          </w:p>
        </w:tc>
      </w:tr>
    </w:tbl>
    <w:p w14:paraId="7E5653C2">
      <w:pPr>
        <w:spacing w:after="0" w:line="600" w:lineRule="exact"/>
        <w:ind w:firstLine="598" w:firstLineChars="200"/>
        <w:jc w:val="both"/>
        <w:rPr>
          <w:rFonts w:ascii="Times New Roman" w:hAnsi="Times New Roman" w:eastAsia="方正黑体_GBK"/>
          <w:sz w:val="32"/>
          <w:szCs w:val="32"/>
        </w:rPr>
      </w:pPr>
      <w:r>
        <w:rPr>
          <w:rFonts w:ascii="Times New Roman" w:hAnsi="Times New Roman" w:eastAsia="方正黑体_GBK"/>
          <w:sz w:val="32"/>
          <w:szCs w:val="32"/>
        </w:rPr>
        <w:t>二、投标资格</w:t>
      </w:r>
    </w:p>
    <w:p w14:paraId="1193D72C">
      <w:pPr>
        <w:spacing w:after="0" w:line="600" w:lineRule="exact"/>
        <w:ind w:firstLine="598" w:firstLineChars="200"/>
        <w:jc w:val="both"/>
        <w:rPr>
          <w:rFonts w:ascii="Times New Roman" w:hAnsi="Times New Roman" w:eastAsia="方正仿宋_GBK"/>
          <w:sz w:val="32"/>
          <w:szCs w:val="32"/>
        </w:rPr>
      </w:pPr>
      <w:r>
        <w:rPr>
          <w:rFonts w:ascii="Times New Roman" w:hAnsi="Times New Roman" w:eastAsia="方正仿宋_GBK"/>
          <w:sz w:val="32"/>
          <w:szCs w:val="32"/>
        </w:rPr>
        <w:t xml:space="preserve">（一）资质条件 </w:t>
      </w:r>
    </w:p>
    <w:p w14:paraId="2BFE9A66">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具有独立承担民事责任的能力； </w:t>
      </w:r>
    </w:p>
    <w:p w14:paraId="60D9F967">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w:t>
      </w:r>
      <w:r>
        <w:rPr>
          <w:rFonts w:hint="eastAsia" w:ascii="Times New Roman" w:hAnsi="Times New Roman" w:eastAsia="方正仿宋_GBK"/>
          <w:sz w:val="32"/>
          <w:szCs w:val="32"/>
        </w:rPr>
        <w:t xml:space="preserve"> </w:t>
      </w:r>
      <w:r>
        <w:rPr>
          <w:rFonts w:ascii="Times New Roman" w:hAnsi="Times New Roman" w:eastAsia="方正仿宋_GBK"/>
          <w:sz w:val="32"/>
          <w:szCs w:val="32"/>
        </w:rPr>
        <w:t>具有良好的商业信誉和健全的财务会计制度；</w:t>
      </w:r>
    </w:p>
    <w:p w14:paraId="7AA28252">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w:t>
      </w:r>
      <w:r>
        <w:rPr>
          <w:rFonts w:hint="eastAsia" w:ascii="Times New Roman" w:hAnsi="Times New Roman" w:eastAsia="方正仿宋_GBK"/>
          <w:sz w:val="32"/>
          <w:szCs w:val="32"/>
        </w:rPr>
        <w:t xml:space="preserve"> </w:t>
      </w:r>
      <w:r>
        <w:rPr>
          <w:rFonts w:ascii="Times New Roman" w:hAnsi="Times New Roman" w:eastAsia="方正仿宋_GBK"/>
          <w:sz w:val="32"/>
          <w:szCs w:val="32"/>
        </w:rPr>
        <w:t>具有履行合同所必需的办公设备和专业技术能力；</w:t>
      </w:r>
    </w:p>
    <w:p w14:paraId="07347D7E">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w:t>
      </w:r>
      <w:r>
        <w:rPr>
          <w:rFonts w:hint="eastAsia" w:ascii="Times New Roman" w:hAnsi="Times New Roman" w:eastAsia="方正仿宋_GBK"/>
          <w:sz w:val="32"/>
          <w:szCs w:val="32"/>
        </w:rPr>
        <w:t xml:space="preserve"> </w:t>
      </w:r>
      <w:r>
        <w:rPr>
          <w:rFonts w:ascii="Times New Roman" w:hAnsi="Times New Roman" w:eastAsia="方正仿宋_GBK"/>
          <w:sz w:val="32"/>
          <w:szCs w:val="32"/>
        </w:rPr>
        <w:t>有依法缴纳税收和社会保障资金的良好记录；</w:t>
      </w:r>
    </w:p>
    <w:p w14:paraId="55D1469B">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5</w:t>
      </w:r>
      <w:r>
        <w:rPr>
          <w:rFonts w:ascii="Times New Roman" w:hAnsi="Times New Roman" w:eastAsia="方正仿宋_GBK"/>
          <w:sz w:val="32"/>
          <w:szCs w:val="32"/>
        </w:rPr>
        <w:t>.</w:t>
      </w:r>
      <w:r>
        <w:rPr>
          <w:rFonts w:hint="eastAsia" w:ascii="Times New Roman" w:hAnsi="Times New Roman" w:eastAsia="方正仿宋_GBK"/>
          <w:sz w:val="32"/>
          <w:szCs w:val="32"/>
        </w:rPr>
        <w:t xml:space="preserve"> </w:t>
      </w:r>
      <w:r>
        <w:rPr>
          <w:rFonts w:ascii="Times New Roman" w:hAnsi="Times New Roman" w:eastAsia="方正仿宋_GBK"/>
          <w:sz w:val="32"/>
          <w:szCs w:val="32"/>
        </w:rPr>
        <w:t>在社会信用体系中无严重失信记录；</w:t>
      </w:r>
    </w:p>
    <w:p w14:paraId="243F6C55">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 xml:space="preserve">6. </w:t>
      </w:r>
      <w:r>
        <w:rPr>
          <w:rFonts w:ascii="Times New Roman" w:hAnsi="Times New Roman" w:eastAsia="方正仿宋_GBK"/>
          <w:sz w:val="32"/>
          <w:szCs w:val="32"/>
        </w:rPr>
        <w:t>法律、行政法规规定的其他条件</w:t>
      </w:r>
      <w:r>
        <w:rPr>
          <w:rFonts w:hint="eastAsia" w:ascii="Times New Roman" w:hAnsi="Times New Roman" w:eastAsia="方正仿宋_GBK"/>
          <w:sz w:val="32"/>
          <w:szCs w:val="32"/>
        </w:rPr>
        <w:t>；</w:t>
      </w:r>
    </w:p>
    <w:p w14:paraId="568C4E0A">
      <w:pPr>
        <w:spacing w:after="0" w:line="600" w:lineRule="exact"/>
        <w:ind w:firstLine="598"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 xml:space="preserve">7. </w:t>
      </w:r>
      <w:r>
        <w:rPr>
          <w:rFonts w:hint="eastAsia" w:ascii="Times New Roman" w:hAnsi="Times New Roman" w:eastAsia="方正仿宋_GBK"/>
          <w:color w:val="000000" w:themeColor="text1"/>
          <w:sz w:val="32"/>
          <w:szCs w:val="32"/>
          <w14:textFill>
            <w14:solidFill>
              <w14:schemeClr w14:val="tx1"/>
            </w14:solidFill>
          </w14:textFill>
        </w:rPr>
        <w:t>有参与过宣传视频制作，且能提供相关成果证明</w:t>
      </w:r>
      <w:r>
        <w:rPr>
          <w:rFonts w:hint="eastAsia" w:ascii="Times New Roman" w:hAnsi="Times New Roman" w:eastAsia="方正仿宋_GBK"/>
          <w:color w:val="000000" w:themeColor="text1"/>
          <w:sz w:val="32"/>
          <w:szCs w:val="32"/>
          <w:lang w:eastAsia="zh-CN"/>
          <w14:textFill>
            <w14:solidFill>
              <w14:schemeClr w14:val="tx1"/>
            </w14:solidFill>
          </w14:textFill>
        </w:rPr>
        <w:t>。</w:t>
      </w:r>
    </w:p>
    <w:p w14:paraId="6161FE1E">
      <w:pPr>
        <w:spacing w:after="0" w:line="600" w:lineRule="exact"/>
        <w:ind w:firstLine="598" w:firstLineChars="200"/>
        <w:jc w:val="both"/>
        <w:rPr>
          <w:rFonts w:ascii="Times New Roman" w:hAnsi="Times New Roman" w:eastAsia="方正仿宋_GBK"/>
          <w:sz w:val="32"/>
          <w:szCs w:val="32"/>
        </w:rPr>
      </w:pPr>
      <w:r>
        <w:rPr>
          <w:rFonts w:ascii="Times New Roman" w:hAnsi="Times New Roman" w:eastAsia="方正仿宋_GBK"/>
          <w:sz w:val="32"/>
          <w:szCs w:val="32"/>
        </w:rPr>
        <w:t>（二）本项目不接受联合体投标。</w:t>
      </w:r>
    </w:p>
    <w:p w14:paraId="36936EAC">
      <w:pPr>
        <w:spacing w:after="0" w:line="600" w:lineRule="exact"/>
        <w:ind w:firstLine="598" w:firstLineChars="200"/>
        <w:jc w:val="both"/>
        <w:rPr>
          <w:rFonts w:ascii="Times New Roman" w:hAnsi="Times New Roman" w:eastAsia="方正黑体_GBK"/>
          <w:sz w:val="32"/>
          <w:szCs w:val="32"/>
        </w:rPr>
      </w:pPr>
      <w:r>
        <w:rPr>
          <w:rFonts w:ascii="Times New Roman" w:hAnsi="Times New Roman" w:eastAsia="方正黑体_GBK"/>
          <w:sz w:val="32"/>
          <w:szCs w:val="32"/>
        </w:rPr>
        <w:t>三、采购服务内容</w:t>
      </w:r>
    </w:p>
    <w:p w14:paraId="7765CC02">
      <w:pPr>
        <w:spacing w:after="0" w:line="600" w:lineRule="exact"/>
        <w:ind w:firstLine="598" w:firstLineChars="200"/>
        <w:jc w:val="both"/>
        <w:rPr>
          <w:rFonts w:hint="eastAsia" w:ascii="方正楷体_GBK" w:hAnsi="Times New Roman" w:eastAsia="方正楷体_GBK"/>
          <w:sz w:val="32"/>
          <w:szCs w:val="32"/>
        </w:rPr>
      </w:pPr>
      <w:r>
        <w:rPr>
          <w:rFonts w:hint="eastAsia" w:ascii="方正楷体_GBK" w:hAnsi="Times New Roman" w:eastAsia="方正楷体_GBK"/>
          <w:sz w:val="32"/>
          <w:szCs w:val="32"/>
        </w:rPr>
        <w:t>（一）服务内容</w:t>
      </w:r>
    </w:p>
    <w:p w14:paraId="34C1D9FD">
      <w:pPr>
        <w:keepNext w:val="0"/>
        <w:keepLines w:val="0"/>
        <w:pageBreakBefore w:val="0"/>
        <w:widowControl/>
        <w:kinsoku/>
        <w:wordWrap/>
        <w:overflowPunct/>
        <w:topLinePunct w:val="0"/>
        <w:autoSpaceDE/>
        <w:autoSpaceDN/>
        <w:bidi w:val="0"/>
        <w:adjustRightInd w:val="0"/>
        <w:snapToGrid w:val="0"/>
        <w:spacing w:after="0" w:line="600" w:lineRule="exact"/>
        <w:ind w:left="288" w:leftChars="145" w:firstLine="299" w:firstLineChars="1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 钓鱼嘴音乐半岛招商宣传片制作服务项目，采购预算</w:t>
      </w:r>
      <w:r>
        <w:rPr>
          <w:rFonts w:hint="eastAsia" w:ascii="Times New Roman" w:hAnsi="Times New Roman" w:eastAsia="方正仿宋_GBK"/>
          <w:sz w:val="32"/>
          <w:szCs w:val="32"/>
          <w:lang w:eastAsia="zh-CN"/>
        </w:rPr>
        <w:t>18</w:t>
      </w:r>
      <w:r>
        <w:rPr>
          <w:rFonts w:hint="eastAsia" w:ascii="Times New Roman" w:hAnsi="Times New Roman" w:eastAsia="方正仿宋_GBK"/>
          <w:sz w:val="32"/>
          <w:szCs w:val="32"/>
        </w:rPr>
        <w:t>万元，购</w:t>
      </w:r>
    </w:p>
    <w:p w14:paraId="64F95064">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买</w:t>
      </w:r>
      <w:r>
        <w:rPr>
          <w:rFonts w:hint="eastAsia" w:ascii="Times New Roman" w:hAnsi="Times New Roman" w:eastAsia="方正仿宋_GBK"/>
          <w:color w:val="000000" w:themeColor="text1"/>
          <w:sz w:val="32"/>
          <w:szCs w:val="32"/>
          <w:lang w:val="en-US" w:eastAsia="zh-CN"/>
          <w14:textFill>
            <w14:solidFill>
              <w14:schemeClr w14:val="tx1"/>
            </w14:solidFill>
          </w14:textFill>
        </w:rPr>
        <w:t>5-6分钟</w:t>
      </w:r>
      <w:r>
        <w:rPr>
          <w:rFonts w:hint="eastAsia" w:ascii="Times New Roman" w:hAnsi="Times New Roman" w:eastAsia="方正仿宋_GBK"/>
          <w:color w:val="000000" w:themeColor="text1"/>
          <w:sz w:val="32"/>
          <w:szCs w:val="32"/>
          <w14:textFill>
            <w14:solidFill>
              <w14:schemeClr w14:val="tx1"/>
            </w14:solidFill>
          </w14:textFill>
        </w:rPr>
        <w:t>的钓鱼</w:t>
      </w:r>
      <w:r>
        <w:rPr>
          <w:rFonts w:hint="eastAsia" w:ascii="Times New Roman" w:hAnsi="Times New Roman" w:eastAsia="方正仿宋_GBK"/>
          <w:sz w:val="32"/>
          <w:szCs w:val="32"/>
        </w:rPr>
        <w:t>嘴音乐半岛招商宣传片制作服务内容，包括但不限于对钓鱼嘴音乐半岛招商宣传片的策划、视频拍摄、后期制作等。</w:t>
      </w:r>
    </w:p>
    <w:p w14:paraId="76F57843">
      <w:pPr>
        <w:spacing w:after="0" w:line="600" w:lineRule="exact"/>
        <w:ind w:firstLine="598"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2. 相关机构接受委托任务后，若中途有临时追加任务，按照本项目成交价格为基础双方友好协商。</w:t>
      </w:r>
    </w:p>
    <w:p w14:paraId="6BEA5E77">
      <w:pPr>
        <w:spacing w:after="0" w:line="600" w:lineRule="exact"/>
        <w:ind w:firstLine="598" w:firstLineChars="200"/>
        <w:jc w:val="both"/>
        <w:rPr>
          <w:rFonts w:ascii="方正楷体_GBK" w:hAnsi="Times New Roman" w:eastAsia="方正楷体_GBK"/>
          <w:sz w:val="32"/>
          <w:szCs w:val="32"/>
        </w:rPr>
      </w:pPr>
      <w:r>
        <w:rPr>
          <w:rFonts w:ascii="方正楷体_GBK" w:hAnsi="Times New Roman" w:eastAsia="方正楷体_GBK"/>
          <w:sz w:val="32"/>
          <w:szCs w:val="32"/>
        </w:rPr>
        <w:t>（</w:t>
      </w:r>
      <w:r>
        <w:rPr>
          <w:rFonts w:hint="eastAsia" w:ascii="方正楷体_GBK" w:hAnsi="Times New Roman" w:eastAsia="方正楷体_GBK"/>
          <w:sz w:val="32"/>
          <w:szCs w:val="32"/>
        </w:rPr>
        <w:t>二</w:t>
      </w:r>
      <w:r>
        <w:rPr>
          <w:rFonts w:ascii="方正楷体_GBK" w:hAnsi="Times New Roman" w:eastAsia="方正楷体_GBK"/>
          <w:sz w:val="32"/>
          <w:szCs w:val="32"/>
        </w:rPr>
        <w:t>）</w:t>
      </w:r>
      <w:r>
        <w:rPr>
          <w:rFonts w:hint="eastAsia" w:ascii="方正楷体_GBK" w:hAnsi="Times New Roman" w:eastAsia="方正楷体_GBK"/>
          <w:sz w:val="32"/>
          <w:szCs w:val="32"/>
        </w:rPr>
        <w:t>服务要求</w:t>
      </w:r>
    </w:p>
    <w:p w14:paraId="1E2919B0">
      <w:pPr>
        <w:spacing w:after="0" w:line="600" w:lineRule="exact"/>
        <w:ind w:firstLine="598"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1. 视频制作要求：要求根据钓鱼嘴半岛产业发展规划，策划并制作一部高质量的宣传视频。视频需展现钓鱼嘴区域的投资潜力、发展前景及独特优势，通过生动的画面和精准的解说，吸引潜在投资者的关注。视频需展现钓鱼嘴区域的投资潜力、发展前景及独特优势，通过生动的画面和精准的解说，吸引潜在投资者的关注，重点围绕音乐产业、国际贸易、公共服务配套这三个方面进行行业研究及拍摄策划等。</w:t>
      </w:r>
    </w:p>
    <w:p w14:paraId="13057698">
      <w:pPr>
        <w:spacing w:after="0" w:line="600" w:lineRule="exact"/>
        <w:ind w:firstLine="598"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2. 视频制作服务及拍摄保障工作：完成钓鱼嘴音乐半岛招商宣传片的策划、脚本撰写、视频拍摄、后期制作等；拍摄外景做好安全保障、处理好突发应急事件等。</w:t>
      </w:r>
    </w:p>
    <w:p w14:paraId="31E09107">
      <w:pPr>
        <w:spacing w:after="0" w:line="600" w:lineRule="exact"/>
        <w:ind w:firstLine="598" w:firstLineChars="200"/>
        <w:jc w:val="both"/>
        <w:rPr>
          <w:rFonts w:ascii="Times New Roman" w:hAnsi="Times New Roman" w:eastAsia="方正楷体_GBK"/>
          <w:sz w:val="32"/>
          <w:szCs w:val="32"/>
        </w:rPr>
      </w:pPr>
      <w:r>
        <w:rPr>
          <w:rFonts w:ascii="Times New Roman" w:hAnsi="Times New Roman" w:eastAsia="方正楷体_GBK"/>
          <w:sz w:val="32"/>
          <w:szCs w:val="32"/>
        </w:rPr>
        <w:t>（三）其他要求</w:t>
      </w:r>
    </w:p>
    <w:p w14:paraId="22132EC6">
      <w:pPr>
        <w:spacing w:after="0" w:line="600" w:lineRule="exact"/>
        <w:ind w:firstLine="598"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1. 严格按照采购人要求进行制作。</w:t>
      </w:r>
    </w:p>
    <w:p w14:paraId="18A3FDD5">
      <w:pPr>
        <w:spacing w:after="0" w:line="600" w:lineRule="exact"/>
        <w:ind w:firstLine="598"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2. 本合同未尽事宜双方协商解决。</w:t>
      </w:r>
    </w:p>
    <w:p w14:paraId="23310035">
      <w:pPr>
        <w:spacing w:after="0" w:line="600" w:lineRule="exact"/>
        <w:ind w:firstLine="598" w:firstLineChars="200"/>
        <w:jc w:val="both"/>
        <w:rPr>
          <w:rFonts w:ascii="Times New Roman" w:hAnsi="Times New Roman" w:eastAsia="方正楷体_GBK"/>
          <w:sz w:val="32"/>
          <w:szCs w:val="32"/>
        </w:rPr>
      </w:pPr>
      <w:r>
        <w:rPr>
          <w:rFonts w:ascii="Times New Roman" w:hAnsi="Times New Roman" w:eastAsia="方正楷体_GBK"/>
          <w:sz w:val="32"/>
          <w:szCs w:val="32"/>
        </w:rPr>
        <w:t>（四）保密要求</w:t>
      </w:r>
    </w:p>
    <w:p w14:paraId="532F7A80">
      <w:pPr>
        <w:spacing w:after="0" w:line="600" w:lineRule="exact"/>
        <w:ind w:firstLine="598" w:firstLineChars="200"/>
        <w:jc w:val="both"/>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中标人在本项目执行过程中应对所获悉的所有项目内容进行保密，未经采购人允许不得随意公布、不得转交给第三方。中标人在签订合同时与采购人签订保密协议，若有违反按保密协议规定进行处理，情节严重的，采购人将有权追究其相关法律责任。</w:t>
      </w:r>
    </w:p>
    <w:p w14:paraId="736719E5">
      <w:pPr>
        <w:spacing w:after="0" w:line="600" w:lineRule="exact"/>
        <w:ind w:firstLine="598" w:firstLineChars="200"/>
        <w:jc w:val="both"/>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采购人在中华人民共和国境内使用投标人提供的服务时免受第三方提出的侵犯其专利权或</w:t>
      </w:r>
      <w:r>
        <w:rPr>
          <w:rFonts w:hint="eastAsia" w:ascii="Times New Roman" w:hAnsi="Times New Roman" w:eastAsia="方正仿宋_GBK"/>
          <w:sz w:val="32"/>
          <w:szCs w:val="32"/>
          <w:lang w:eastAsia="zh-CN"/>
        </w:rPr>
        <w:t>其他</w:t>
      </w:r>
      <w:r>
        <w:rPr>
          <w:rFonts w:ascii="Times New Roman" w:hAnsi="Times New Roman" w:eastAsia="方正仿宋_GBK"/>
          <w:sz w:val="32"/>
          <w:szCs w:val="32"/>
        </w:rPr>
        <w:t>知识产权的起诉。如果第三方提出侵权指控，中标人应承担由此而引起的一切法律责任和费用。</w:t>
      </w:r>
    </w:p>
    <w:p w14:paraId="573A31EA">
      <w:pPr>
        <w:spacing w:after="0" w:line="600" w:lineRule="exact"/>
        <w:ind w:firstLine="598" w:firstLineChars="200"/>
        <w:jc w:val="both"/>
        <w:rPr>
          <w:rFonts w:ascii="Times New Roman" w:hAnsi="Times New Roman" w:eastAsia="方正楷体_GBK"/>
          <w:sz w:val="32"/>
          <w:szCs w:val="32"/>
        </w:rPr>
      </w:pPr>
      <w:r>
        <w:rPr>
          <w:rFonts w:ascii="Times New Roman" w:hAnsi="Times New Roman" w:eastAsia="方正楷体_GBK"/>
          <w:sz w:val="32"/>
          <w:szCs w:val="32"/>
        </w:rPr>
        <w:t>（五）知识产权要求</w:t>
      </w:r>
    </w:p>
    <w:p w14:paraId="08F14E83">
      <w:pPr>
        <w:spacing w:after="0" w:line="600" w:lineRule="exact"/>
        <w:ind w:firstLine="598" w:firstLineChars="200"/>
        <w:jc w:val="both"/>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本项目知识产权归采购人所有，中标人需配合采购人对本项目知识产权进行保护。</w:t>
      </w:r>
    </w:p>
    <w:p w14:paraId="656F54FD">
      <w:pPr>
        <w:spacing w:after="0" w:line="600" w:lineRule="exact"/>
        <w:ind w:firstLine="598" w:firstLineChars="200"/>
        <w:jc w:val="both"/>
        <w:rPr>
          <w:rFonts w:hint="eastAsia" w:ascii="Times New Roman" w:hAnsi="Times New Roman" w:eastAsia="方正仿宋_GBK"/>
          <w:sz w:val="32"/>
          <w:szCs w:val="32"/>
          <w:lang w:eastAsia="zh-CN"/>
        </w:rPr>
      </w:pPr>
      <w:r>
        <w:rPr>
          <w:rFonts w:ascii="Times New Roman" w:hAnsi="Times New Roman" w:eastAsia="方正仿宋_GBK"/>
          <w:sz w:val="32"/>
          <w:szCs w:val="32"/>
        </w:rPr>
        <w:t>2.</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供应商须自行承诺项目服务内容的设计、制作、采用的所有画面、照片等未侵犯他人的著作权，如有侵犯他人著作权，由投标人承担所有法律责任</w:t>
      </w:r>
      <w:r>
        <w:rPr>
          <w:rFonts w:hint="eastAsia" w:ascii="Times New Roman" w:hAnsi="Times New Roman" w:eastAsia="方正仿宋_GBK"/>
          <w:sz w:val="32"/>
          <w:szCs w:val="32"/>
          <w:lang w:eastAsia="zh-CN"/>
        </w:rPr>
        <w:t>。</w:t>
      </w:r>
    </w:p>
    <w:p w14:paraId="6BB88915">
      <w:pPr>
        <w:spacing w:after="0" w:line="600" w:lineRule="exact"/>
        <w:ind w:firstLine="598" w:firstLineChars="200"/>
        <w:jc w:val="both"/>
        <w:rPr>
          <w:rFonts w:ascii="Times New Roman" w:hAnsi="Times New Roman" w:eastAsia="方正黑体_GBK"/>
          <w:sz w:val="32"/>
          <w:szCs w:val="32"/>
        </w:rPr>
      </w:pPr>
      <w:r>
        <w:rPr>
          <w:rFonts w:ascii="Times New Roman" w:hAnsi="Times New Roman" w:eastAsia="方正黑体_GBK"/>
          <w:sz w:val="32"/>
          <w:szCs w:val="32"/>
        </w:rPr>
        <w:t>四、</w:t>
      </w:r>
      <w:r>
        <w:rPr>
          <w:rFonts w:hint="eastAsia" w:ascii="Times New Roman" w:hAnsi="Times New Roman" w:eastAsia="方正黑体_GBK"/>
          <w:sz w:val="32"/>
          <w:szCs w:val="32"/>
        </w:rPr>
        <w:t>服务期、服务地点及验收方式</w:t>
      </w:r>
    </w:p>
    <w:p w14:paraId="6DE8092A">
      <w:pPr>
        <w:spacing w:after="0" w:line="600" w:lineRule="exact"/>
        <w:ind w:firstLine="598" w:firstLineChars="200"/>
        <w:jc w:val="both"/>
        <w:rPr>
          <w:rFonts w:ascii="方正楷体_GBK" w:hAnsi="Times New Roman" w:eastAsia="方正楷体_GBK"/>
          <w:sz w:val="32"/>
          <w:szCs w:val="32"/>
        </w:rPr>
      </w:pPr>
      <w:r>
        <w:rPr>
          <w:rFonts w:hint="eastAsia" w:ascii="方正楷体_GBK" w:hAnsi="Times New Roman" w:eastAsia="方正楷体_GBK"/>
          <w:sz w:val="32"/>
          <w:szCs w:val="32"/>
        </w:rPr>
        <w:t>（一）服务期</w:t>
      </w:r>
    </w:p>
    <w:p w14:paraId="20B5674D">
      <w:pPr>
        <w:spacing w:after="0" w:line="600" w:lineRule="exact"/>
        <w:ind w:firstLine="598" w:firstLineChars="200"/>
        <w:jc w:val="both"/>
        <w:rPr>
          <w:rFonts w:ascii="Times New Roman" w:hAnsi="Times New Roman" w:eastAsia="方正仿宋_GBK"/>
          <w:sz w:val="32"/>
          <w:szCs w:val="32"/>
        </w:rPr>
      </w:pPr>
      <w:r>
        <w:rPr>
          <w:rFonts w:ascii="Times New Roman" w:hAnsi="Times New Roman" w:eastAsia="方正仿宋_GBK"/>
          <w:sz w:val="32"/>
          <w:szCs w:val="32"/>
        </w:rPr>
        <w:t>服务期自</w:t>
      </w:r>
      <w:r>
        <w:rPr>
          <w:rFonts w:hint="eastAsia" w:ascii="Times New Roman" w:hAnsi="Times New Roman" w:eastAsia="方正仿宋_GBK"/>
          <w:sz w:val="32"/>
          <w:szCs w:val="32"/>
        </w:rPr>
        <w:t>合同签订之日起至项目最终验收完成。</w:t>
      </w:r>
    </w:p>
    <w:p w14:paraId="517CF3F8">
      <w:pPr>
        <w:spacing w:after="0" w:line="600" w:lineRule="exact"/>
        <w:ind w:firstLine="598" w:firstLineChars="200"/>
        <w:jc w:val="both"/>
        <w:rPr>
          <w:rFonts w:ascii="方正楷体_GBK" w:hAnsi="Times New Roman" w:eastAsia="方正楷体_GBK"/>
          <w:sz w:val="32"/>
          <w:szCs w:val="32"/>
        </w:rPr>
      </w:pPr>
      <w:r>
        <w:rPr>
          <w:rFonts w:hint="eastAsia" w:ascii="方正楷体_GBK" w:hAnsi="Times New Roman" w:eastAsia="方正楷体_GBK"/>
          <w:sz w:val="32"/>
          <w:szCs w:val="32"/>
        </w:rPr>
        <w:t>（二）服务地点</w:t>
      </w:r>
    </w:p>
    <w:p w14:paraId="51922CED">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采购人指定地点。</w:t>
      </w:r>
    </w:p>
    <w:p w14:paraId="0BE18C77">
      <w:pPr>
        <w:spacing w:after="0" w:line="600" w:lineRule="exact"/>
        <w:ind w:firstLine="598" w:firstLineChars="200"/>
        <w:jc w:val="both"/>
        <w:rPr>
          <w:rFonts w:ascii="方正楷体_GBK" w:hAnsi="Times New Roman" w:eastAsia="方正楷体_GBK"/>
          <w:sz w:val="32"/>
          <w:szCs w:val="32"/>
        </w:rPr>
      </w:pPr>
      <w:r>
        <w:rPr>
          <w:rFonts w:hint="eastAsia" w:ascii="方正楷体_GBK" w:hAnsi="Times New Roman" w:eastAsia="方正楷体_GBK"/>
          <w:sz w:val="32"/>
          <w:szCs w:val="32"/>
        </w:rPr>
        <w:t>（三）验收方式</w:t>
      </w:r>
    </w:p>
    <w:p w14:paraId="12E062F2">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1.验收组织单位：大渡口区招商投资促进局。</w:t>
      </w:r>
    </w:p>
    <w:p w14:paraId="6BE4F82F">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验收标准：按照国家及行业相关标准、招标文件规定、经确认的方案、效果、实施方案、合同及采购人的需求，对中标人完成情况进行验收。如验收达不到相关规定要求的，中标人应立即进行整改，整改后仍不合格的，则视为验收不合格，采购人有权立即终止合同。由此对采购人造成一切损失，中标人应承担一切责任，并赔偿所造成的损失。</w:t>
      </w:r>
    </w:p>
    <w:p w14:paraId="149C0B95">
      <w:pPr>
        <w:spacing w:after="0" w:line="600" w:lineRule="exact"/>
        <w:ind w:firstLine="598" w:firstLineChars="200"/>
        <w:jc w:val="both"/>
        <w:rPr>
          <w:rFonts w:ascii="Times New Roman" w:hAnsi="Times New Roman" w:eastAsia="方正黑体_GBK"/>
          <w:sz w:val="32"/>
          <w:szCs w:val="32"/>
        </w:rPr>
      </w:pPr>
      <w:r>
        <w:rPr>
          <w:rFonts w:ascii="Times New Roman" w:hAnsi="Times New Roman" w:eastAsia="方正黑体_GBK"/>
          <w:sz w:val="32"/>
          <w:szCs w:val="32"/>
        </w:rPr>
        <w:t>五、付款方式</w:t>
      </w:r>
    </w:p>
    <w:p w14:paraId="15FB9CC3">
      <w:pPr>
        <w:spacing w:after="0" w:line="600" w:lineRule="exact"/>
        <w:ind w:firstLine="598"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投标报价即为结算价。如拍摄过程中因不可抗力因素导致费用增加，需双方协商后解决。</w:t>
      </w:r>
    </w:p>
    <w:p w14:paraId="5004F90F">
      <w:pPr>
        <w:spacing w:after="0" w:line="600" w:lineRule="exact"/>
        <w:ind w:firstLine="598" w:firstLineChars="200"/>
        <w:jc w:val="both"/>
        <w:rPr>
          <w:rFonts w:ascii="Times New Roman" w:hAnsi="Times New Roman" w:eastAsia="方正仿宋_GBK"/>
          <w:b/>
          <w:bCs/>
          <w:color w:val="0000FF"/>
          <w:sz w:val="32"/>
          <w:szCs w:val="32"/>
        </w:rPr>
      </w:pPr>
      <w:r>
        <w:rPr>
          <w:rFonts w:hint="eastAsia" w:ascii="Times New Roman" w:hAnsi="Times New Roman" w:eastAsia="方正仿宋_GBK"/>
          <w:sz w:val="32"/>
          <w:szCs w:val="32"/>
        </w:rPr>
        <w:t>第一次：合同签订后五个工作日内由中标人提供足额增值税发票，采购人</w:t>
      </w:r>
      <w:r>
        <w:rPr>
          <w:rFonts w:hint="eastAsia" w:ascii="Times New Roman" w:hAnsi="Times New Roman" w:eastAsia="方正仿宋_GBK"/>
          <w:bCs/>
          <w:color w:val="000000" w:themeColor="text1"/>
          <w:sz w:val="32"/>
          <w:szCs w:val="32"/>
          <w14:textFill>
            <w14:solidFill>
              <w14:schemeClr w14:val="tx1"/>
            </w14:solidFill>
          </w14:textFill>
        </w:rPr>
        <w:t>按资金审批流程支付合同金额的</w:t>
      </w:r>
      <w:r>
        <w:rPr>
          <w:rFonts w:hint="eastAsia" w:ascii="Times New Roman" w:hAnsi="Times New Roman" w:eastAsia="方正仿宋_GBK"/>
          <w:bCs/>
          <w:color w:val="000000" w:themeColor="text1"/>
          <w:sz w:val="32"/>
          <w:szCs w:val="32"/>
          <w:lang w:val="en-US" w:eastAsia="zh-CN"/>
          <w14:textFill>
            <w14:solidFill>
              <w14:schemeClr w14:val="tx1"/>
            </w14:solidFill>
          </w14:textFill>
        </w:rPr>
        <w:t>5</w:t>
      </w:r>
      <w:r>
        <w:rPr>
          <w:rFonts w:hint="eastAsia" w:ascii="Times New Roman" w:hAnsi="Times New Roman" w:eastAsia="方正仿宋_GBK"/>
          <w:bCs/>
          <w:color w:val="000000" w:themeColor="text1"/>
          <w:sz w:val="32"/>
          <w:szCs w:val="32"/>
          <w14:textFill>
            <w14:solidFill>
              <w14:schemeClr w14:val="tx1"/>
            </w14:solidFill>
          </w14:textFill>
        </w:rPr>
        <w:t>0%。</w:t>
      </w:r>
    </w:p>
    <w:p w14:paraId="26B7DEF2">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第二次：中标人按采购合同完成所有工作内容、提交项目成果资料（包括但不限于文字资料、图片资料、影像资料、授权资料等），项目成果经采购方全面审核、修改、定稿后，十个工作日内由中标人提供足额增值税发票，采购方支付剩余尾款。</w:t>
      </w:r>
    </w:p>
    <w:p w14:paraId="4C2A641F">
      <w:pPr>
        <w:spacing w:after="0" w:line="600" w:lineRule="exact"/>
        <w:ind w:firstLine="598" w:firstLineChars="200"/>
        <w:jc w:val="both"/>
        <w:rPr>
          <w:rFonts w:ascii="Times New Roman" w:hAnsi="Times New Roman" w:eastAsia="方正黑体_GBK"/>
          <w:sz w:val="32"/>
          <w:szCs w:val="32"/>
        </w:rPr>
      </w:pPr>
      <w:r>
        <w:rPr>
          <w:rFonts w:ascii="Times New Roman" w:hAnsi="Times New Roman" w:eastAsia="方正黑体_GBK"/>
          <w:sz w:val="32"/>
          <w:szCs w:val="32"/>
        </w:rPr>
        <w:t>六、评选方法及报价要求</w:t>
      </w:r>
    </w:p>
    <w:p w14:paraId="59AE7C32">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（一）评选方法：</w:t>
      </w:r>
      <w:r>
        <w:rPr>
          <w:rFonts w:ascii="Times New Roman" w:hAnsi="Times New Roman" w:eastAsia="方正仿宋_GBK"/>
          <w:sz w:val="32"/>
          <w:szCs w:val="32"/>
        </w:rPr>
        <w:t>综合评分法。满分100分，采购人对供应商的响应文件进行评分，得分排名</w:t>
      </w:r>
      <w:r>
        <w:rPr>
          <w:rFonts w:hint="eastAsia" w:ascii="Times New Roman" w:hAnsi="Times New Roman" w:eastAsia="方正仿宋_GBK"/>
          <w:sz w:val="32"/>
          <w:szCs w:val="32"/>
        </w:rPr>
        <w:t>第一的</w:t>
      </w:r>
      <w:r>
        <w:rPr>
          <w:rFonts w:ascii="Times New Roman" w:hAnsi="Times New Roman" w:eastAsia="方正仿宋_GBK"/>
          <w:sz w:val="32"/>
          <w:szCs w:val="32"/>
        </w:rPr>
        <w:t>供应商为成交供应商。</w:t>
      </w:r>
    </w:p>
    <w:p w14:paraId="6B5F5341">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二）本项目为人民币报价，包括（但不限于）组织协调费、策划设计费、拍摄费、执行费、材料费、办公费、人工费、保险费、税费等一切费用。因中标人自身原因造成漏报、少报皆由其自行承担责任，采购人不再补偿。</w:t>
      </w:r>
    </w:p>
    <w:p w14:paraId="33F58BB5">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供应商须综合考虑本项目相关活动流程所产</w:t>
      </w:r>
      <w:r>
        <w:rPr>
          <w:rFonts w:hint="eastAsia" w:ascii="Times New Roman" w:hAnsi="Times New Roman" w:eastAsia="方正仿宋_GBK"/>
          <w:sz w:val="32"/>
          <w:szCs w:val="32"/>
          <w:lang w:eastAsia="zh-CN"/>
        </w:rPr>
        <w:t>生的</w:t>
      </w:r>
      <w:r>
        <w:rPr>
          <w:rFonts w:hint="eastAsia" w:ascii="Times New Roman" w:hAnsi="Times New Roman" w:eastAsia="方正仿宋_GBK"/>
          <w:sz w:val="32"/>
          <w:szCs w:val="32"/>
        </w:rPr>
        <w:t>所有费用，应充分衡量和估计本项目履行中可能发生的其他潜在导致价格变</w:t>
      </w:r>
      <w:r>
        <w:rPr>
          <w:rFonts w:hint="eastAsia" w:ascii="Times New Roman" w:hAnsi="Times New Roman" w:eastAsia="方正仿宋_GBK"/>
          <w:sz w:val="32"/>
          <w:szCs w:val="32"/>
          <w:lang w:eastAsia="zh-CN"/>
        </w:rPr>
        <w:t>动的</w:t>
      </w:r>
      <w:r>
        <w:rPr>
          <w:rFonts w:hint="eastAsia" w:ascii="Times New Roman" w:hAnsi="Times New Roman" w:eastAsia="方正仿宋_GBK"/>
          <w:sz w:val="32"/>
          <w:szCs w:val="32"/>
        </w:rPr>
        <w:t>风险因素，报价接受后视为就本项目所有所需服务及所需相应设施、设备、材料、人员、耗材等已经包含在该价格中，且不做任何调整。服务要求中所产生的一切费用均由投标人支付，活动期间如因对项目理解及活动规模不充足导致活动延期或出现服务停滞情况所产生的一切损失均由投标人负责。</w:t>
      </w:r>
    </w:p>
    <w:p w14:paraId="776A6262">
      <w:pPr>
        <w:spacing w:after="0" w:line="600" w:lineRule="exact"/>
        <w:ind w:firstLine="598" w:firstLineChars="200"/>
        <w:jc w:val="both"/>
        <w:rPr>
          <w:rFonts w:ascii="Times New Roman" w:hAnsi="Times New Roman" w:eastAsia="方正黑体_GBK"/>
          <w:sz w:val="32"/>
          <w:szCs w:val="32"/>
        </w:rPr>
      </w:pPr>
      <w:r>
        <w:rPr>
          <w:rFonts w:hint="eastAsia" w:ascii="Times New Roman" w:hAnsi="Times New Roman" w:eastAsia="方正黑体_GBK"/>
          <w:sz w:val="32"/>
          <w:szCs w:val="32"/>
        </w:rPr>
        <w:t>七、违约条款</w:t>
      </w:r>
    </w:p>
    <w:p w14:paraId="0BDD5FF5">
      <w:pPr>
        <w:spacing w:after="0" w:line="600" w:lineRule="exact"/>
        <w:ind w:firstLine="598" w:firstLineChars="200"/>
        <w:jc w:val="both"/>
        <w:rPr>
          <w:rFonts w:ascii="方正仿宋_GBK" w:hAnsi="Times New Roman" w:eastAsia="方正仿宋_GBK"/>
          <w:sz w:val="32"/>
          <w:szCs w:val="32"/>
        </w:rPr>
      </w:pPr>
      <w:r>
        <w:rPr>
          <w:rFonts w:hint="eastAsia" w:ascii="方正仿宋_GBK" w:hAnsi="Times New Roman" w:eastAsia="方正仿宋_GBK"/>
          <w:sz w:val="32"/>
          <w:szCs w:val="32"/>
          <w:lang w:eastAsia="zh-CN"/>
        </w:rPr>
        <w:t>以</w:t>
      </w:r>
      <w:r>
        <w:rPr>
          <w:rFonts w:hint="eastAsia" w:ascii="方正仿宋_GBK" w:hAnsi="Times New Roman" w:eastAsia="方正仿宋_GBK"/>
          <w:sz w:val="32"/>
          <w:szCs w:val="32"/>
        </w:rPr>
        <w:t>合同约定为准。</w:t>
      </w:r>
    </w:p>
    <w:p w14:paraId="1BCEFC30">
      <w:pPr>
        <w:spacing w:after="0" w:line="600" w:lineRule="exact"/>
        <w:ind w:firstLine="598" w:firstLineChars="200"/>
        <w:jc w:val="both"/>
        <w:rPr>
          <w:rFonts w:ascii="Times New Roman" w:hAnsi="Times New Roman" w:eastAsia="方正黑体_GBK"/>
          <w:sz w:val="32"/>
          <w:szCs w:val="32"/>
        </w:rPr>
      </w:pPr>
      <w:r>
        <w:rPr>
          <w:rFonts w:ascii="Times New Roman" w:hAnsi="Times New Roman" w:eastAsia="方正黑体_GBK"/>
          <w:sz w:val="32"/>
          <w:szCs w:val="32"/>
        </w:rPr>
        <w:t>八、其他约定</w:t>
      </w:r>
    </w:p>
    <w:p w14:paraId="30000BCF">
      <w:pPr>
        <w:spacing w:after="0" w:line="600" w:lineRule="exact"/>
        <w:ind w:firstLine="598" w:firstLineChars="200"/>
        <w:jc w:val="both"/>
        <w:rPr>
          <w:rStyle w:val="18"/>
          <w:rFonts w:hint="default" w:ascii="Times New Roman" w:hAnsi="Times New Roman" w:eastAsia="方正仿宋_GBK"/>
          <w:sz w:val="32"/>
          <w:szCs w:val="32"/>
        </w:rPr>
      </w:pPr>
      <w:r>
        <w:rPr>
          <w:rStyle w:val="18"/>
          <w:rFonts w:hint="default" w:ascii="Times New Roman" w:hAnsi="Times New Roman" w:eastAsia="方正仿宋_GBK"/>
          <w:sz w:val="32"/>
          <w:szCs w:val="32"/>
        </w:rPr>
        <w:t>（一）凡有意参加竞标的供应商，请于公告发布之日起至报名截止时间之前，在重庆市大渡口区政府门户网（http://www.ddk.gov.cn/）上下载查看本项目需求文件以及变更公告等竞标前公布的所有项目资料，无论供应商下载查看与否，均视为已知晓所有竞标实质性要求内容。</w:t>
      </w:r>
    </w:p>
    <w:p w14:paraId="3011B57A">
      <w:pPr>
        <w:spacing w:after="0" w:line="600" w:lineRule="exact"/>
        <w:ind w:firstLine="598" w:firstLineChars="200"/>
        <w:jc w:val="both"/>
        <w:rPr>
          <w:rStyle w:val="18"/>
          <w:rFonts w:hint="default" w:ascii="Times New Roman" w:hAnsi="Times New Roman" w:eastAsia="方正仿宋_GBK"/>
          <w:sz w:val="32"/>
          <w:szCs w:val="32"/>
        </w:rPr>
      </w:pPr>
      <w:r>
        <w:rPr>
          <w:rStyle w:val="18"/>
          <w:rFonts w:hint="default" w:ascii="Times New Roman" w:hAnsi="Times New Roman" w:eastAsia="方正仿宋_GBK"/>
          <w:sz w:val="32"/>
          <w:szCs w:val="32"/>
        </w:rPr>
        <w:t>（二）供应商必须对以上条款和服务承诺明确列出，承诺内容必须达到要求。</w:t>
      </w:r>
    </w:p>
    <w:p w14:paraId="07BA341B">
      <w:pPr>
        <w:spacing w:after="0" w:line="600" w:lineRule="exact"/>
        <w:ind w:firstLine="598" w:firstLineChars="200"/>
        <w:jc w:val="both"/>
        <w:rPr>
          <w:rStyle w:val="18"/>
          <w:rFonts w:hint="default" w:ascii="Times New Roman" w:hAnsi="Times New Roman" w:eastAsia="方正仿宋_GBK"/>
          <w:sz w:val="32"/>
          <w:szCs w:val="32"/>
        </w:rPr>
      </w:pPr>
      <w:r>
        <w:rPr>
          <w:rStyle w:val="18"/>
          <w:rFonts w:hint="default" w:ascii="Times New Roman" w:hAnsi="Times New Roman" w:eastAsia="方正仿宋_GBK"/>
          <w:sz w:val="32"/>
          <w:szCs w:val="32"/>
        </w:rPr>
        <w:t>（三）其他未尽事宜由供需双方在采购合同中详细约定。</w:t>
      </w:r>
    </w:p>
    <w:p w14:paraId="72CE1659">
      <w:pPr>
        <w:spacing w:after="0" w:line="600" w:lineRule="exact"/>
        <w:ind w:firstLine="598" w:firstLineChars="200"/>
        <w:jc w:val="both"/>
        <w:rPr>
          <w:rFonts w:ascii="Times New Roman" w:hAnsi="Times New Roman" w:eastAsia="方正仿宋_GBK"/>
          <w:color w:val="000000"/>
          <w:sz w:val="32"/>
          <w:szCs w:val="32"/>
        </w:rPr>
      </w:pPr>
      <w:r>
        <w:rPr>
          <w:rStyle w:val="18"/>
          <w:rFonts w:hint="default" w:ascii="Times New Roman" w:hAnsi="Times New Roman" w:eastAsia="方正仿宋_GBK"/>
          <w:sz w:val="32"/>
          <w:szCs w:val="32"/>
        </w:rPr>
        <w:t>（四）无论结果如何，供应商参与本项目的所有费用均自行承担。</w:t>
      </w:r>
    </w:p>
    <w:p w14:paraId="6E0AD3E6">
      <w:pPr>
        <w:spacing w:after="0" w:line="600" w:lineRule="exact"/>
        <w:ind w:firstLine="598" w:firstLineChars="200"/>
        <w:jc w:val="both"/>
        <w:rPr>
          <w:rFonts w:ascii="Times New Roman" w:hAnsi="Times New Roman" w:eastAsia="方正黑体_GBK"/>
          <w:sz w:val="32"/>
          <w:szCs w:val="32"/>
        </w:rPr>
      </w:pPr>
      <w:r>
        <w:rPr>
          <w:rFonts w:ascii="Times New Roman" w:hAnsi="Times New Roman" w:eastAsia="方正黑体_GBK"/>
          <w:sz w:val="32"/>
          <w:szCs w:val="32"/>
        </w:rPr>
        <w:t>九、供应商提交响应文件</w:t>
      </w:r>
    </w:p>
    <w:p w14:paraId="54E1731E">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（一）参与竞标的供应商请在投标前通过联系电话报名。联系人及联系电话：</w:t>
      </w:r>
      <w:r>
        <w:rPr>
          <w:rFonts w:hint="eastAsia" w:ascii="Times New Roman" w:hAnsi="Times New Roman" w:eastAsia="方正仿宋_GBK"/>
          <w:sz w:val="32"/>
          <w:szCs w:val="32"/>
          <w:lang w:val="en-US" w:eastAsia="zh-CN"/>
        </w:rPr>
        <w:t>张</w:t>
      </w:r>
      <w:r>
        <w:rPr>
          <w:rFonts w:hint="eastAsia" w:ascii="Times New Roman" w:hAnsi="Times New Roman" w:eastAsia="方正仿宋_GBK"/>
          <w:sz w:val="32"/>
          <w:szCs w:val="32"/>
        </w:rPr>
        <w:t>老师，</w:t>
      </w:r>
      <w:r>
        <w:rPr>
          <w:rFonts w:hint="default" w:ascii="Times New Roman" w:hAnsi="Times New Roman" w:eastAsia="方正仿宋_GBK" w:cs="Times New Roman"/>
          <w:sz w:val="32"/>
          <w:szCs w:val="32"/>
          <w:highlight w:val="none"/>
          <w:lang w:val="en-US" w:eastAsia="zh-CN" w:bidi="ar-SA"/>
        </w:rPr>
        <w:t>13368080809</w:t>
      </w:r>
      <w:r>
        <w:rPr>
          <w:rFonts w:hint="eastAsia" w:ascii="Times New Roman" w:hAnsi="Times New Roman" w:eastAsia="方正仿宋_GBK"/>
          <w:sz w:val="32"/>
          <w:szCs w:val="32"/>
        </w:rPr>
        <w:t>。</w:t>
      </w:r>
    </w:p>
    <w:p w14:paraId="3D12F06F">
      <w:pPr>
        <w:spacing w:after="0" w:line="600" w:lineRule="exact"/>
        <w:ind w:firstLine="598" w:firstLineChars="200"/>
        <w:jc w:val="both"/>
        <w:rPr>
          <w:rFonts w:ascii="Times New Roman" w:hAnsi="Times New Roman" w:eastAsia="方正仿宋_GBK"/>
          <w:sz w:val="32"/>
          <w:szCs w:val="32"/>
        </w:rPr>
      </w:pPr>
      <w:r>
        <w:rPr>
          <w:rFonts w:ascii="Times New Roman" w:hAnsi="Times New Roman" w:eastAsia="方正仿宋_GBK"/>
          <w:sz w:val="32"/>
          <w:szCs w:val="32"/>
        </w:rPr>
        <w:t>（二）</w:t>
      </w:r>
      <w:r>
        <w:rPr>
          <w:rFonts w:hint="eastAsia" w:ascii="Times New Roman" w:hAnsi="Times New Roman" w:eastAsia="方正仿宋_GBK"/>
          <w:sz w:val="32"/>
          <w:szCs w:val="32"/>
        </w:rPr>
        <w:t>供应商报名时间：2024年</w:t>
      </w:r>
      <w:r>
        <w:rPr>
          <w:rFonts w:hint="eastAsia" w:ascii="Times New Roman" w:hAnsi="Times New Roman" w:eastAsia="方正仿宋_GBK"/>
          <w:sz w:val="32"/>
          <w:szCs w:val="32"/>
          <w:lang w:val="en-US" w:eastAsia="zh-CN"/>
        </w:rPr>
        <w:t>11</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29</w:t>
      </w:r>
      <w:r>
        <w:rPr>
          <w:rFonts w:hint="eastAsia" w:ascii="Times New Roman" w:hAnsi="Times New Roman" w:eastAsia="方正仿宋_GBK"/>
          <w:sz w:val="32"/>
          <w:szCs w:val="32"/>
        </w:rPr>
        <w:t>日北京时间18:00至2024年</w:t>
      </w:r>
      <w:r>
        <w:rPr>
          <w:rFonts w:hint="eastAsia" w:ascii="Times New Roman" w:hAnsi="Times New Roman" w:eastAsia="方正仿宋_GBK"/>
          <w:sz w:val="32"/>
          <w:szCs w:val="32"/>
          <w:lang w:val="en-US" w:eastAsia="zh-CN"/>
        </w:rPr>
        <w:t>12</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日北京时间18:00。</w:t>
      </w:r>
    </w:p>
    <w:p w14:paraId="6AF196C7">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（三）提交响应文件时间：2024年</w:t>
      </w:r>
      <w:r>
        <w:rPr>
          <w:rFonts w:hint="eastAsia" w:ascii="Times New Roman" w:hAnsi="Times New Roman" w:eastAsia="方正仿宋_GBK"/>
          <w:sz w:val="32"/>
          <w:szCs w:val="32"/>
          <w:lang w:val="en-US" w:eastAsia="zh-CN"/>
        </w:rPr>
        <w:t>12</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日北京时间</w:t>
      </w:r>
      <w:r>
        <w:rPr>
          <w:rFonts w:hint="eastAsia" w:ascii="Times New Roman" w:hAnsi="Times New Roman" w:eastAsia="方正仿宋_GBK"/>
          <w:sz w:val="32"/>
          <w:szCs w:val="32"/>
          <w:lang w:val="en-US" w:eastAsia="zh-CN"/>
        </w:rPr>
        <w:t>9</w:t>
      </w:r>
      <w:r>
        <w:rPr>
          <w:rFonts w:hint="eastAsia" w:ascii="Times New Roman" w:hAnsi="Times New Roman" w:eastAsia="方正仿宋_GBK"/>
          <w:sz w:val="32"/>
          <w:szCs w:val="32"/>
        </w:rPr>
        <w:t>:00。</w:t>
      </w:r>
    </w:p>
    <w:p w14:paraId="4D00B9B3">
      <w:pPr>
        <w:spacing w:after="0" w:line="600" w:lineRule="exact"/>
        <w:ind w:firstLine="598"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（四）</w:t>
      </w:r>
      <w:r>
        <w:rPr>
          <w:rFonts w:ascii="Times New Roman" w:hAnsi="Times New Roman" w:eastAsia="方正仿宋_GBK"/>
          <w:color w:val="000000"/>
          <w:sz w:val="32"/>
          <w:szCs w:val="32"/>
        </w:rPr>
        <w:t>提交响应文件内容：竞标文件、法定代表人身份证明书和法定代表人授权委托书原件（法定代表人参加投标只需提供法定代表人身份证明书原件）。</w:t>
      </w:r>
    </w:p>
    <w:p w14:paraId="60634F99">
      <w:pPr>
        <w:spacing w:after="0" w:line="600" w:lineRule="exact"/>
        <w:ind w:firstLine="598"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（五）</w:t>
      </w:r>
      <w:r>
        <w:rPr>
          <w:rFonts w:ascii="Times New Roman" w:hAnsi="Times New Roman" w:eastAsia="方正仿宋_GBK"/>
          <w:color w:val="000000"/>
          <w:sz w:val="32"/>
          <w:szCs w:val="32"/>
        </w:rPr>
        <w:t>供应商响应文件正本、副本各壹份，</w:t>
      </w:r>
      <w:r>
        <w:rPr>
          <w:rFonts w:hint="eastAsia" w:ascii="Times New Roman" w:hAnsi="Times New Roman" w:eastAsia="方正仿宋_GBK"/>
          <w:color w:val="000000"/>
          <w:sz w:val="32"/>
          <w:szCs w:val="32"/>
        </w:rPr>
        <w:t>响应文件的正本、副本均应密封送达递交响应文件地点，应在封套上注明项目名称、采购项目号、供应商名称。若正本、副本分别进行密封的，还应在封套上注明“正本”、“副本”字样</w:t>
      </w:r>
      <w:r>
        <w:rPr>
          <w:rFonts w:ascii="Times New Roman" w:hAnsi="Times New Roman" w:eastAsia="方正仿宋_GBK"/>
          <w:color w:val="000000"/>
          <w:sz w:val="32"/>
          <w:szCs w:val="32"/>
        </w:rPr>
        <w:t>。</w:t>
      </w:r>
    </w:p>
    <w:p w14:paraId="7E2A01CD">
      <w:pPr>
        <w:spacing w:after="0" w:line="600" w:lineRule="exact"/>
        <w:ind w:firstLine="598"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（六）</w:t>
      </w:r>
      <w:r>
        <w:rPr>
          <w:rFonts w:ascii="Times New Roman" w:hAnsi="Times New Roman" w:eastAsia="方正仿宋_GBK"/>
          <w:color w:val="000000"/>
          <w:sz w:val="32"/>
          <w:szCs w:val="32"/>
        </w:rPr>
        <w:t>提交响应文件地址：大渡口</w:t>
      </w:r>
      <w:r>
        <w:rPr>
          <w:rFonts w:hint="eastAsia" w:ascii="Times New Roman" w:hAnsi="Times New Roman" w:eastAsia="方正仿宋_GBK"/>
          <w:color w:val="000000"/>
          <w:sz w:val="32"/>
          <w:szCs w:val="32"/>
        </w:rPr>
        <w:t>区招商投资促进局</w:t>
      </w:r>
      <w:r>
        <w:rPr>
          <w:rFonts w:hint="eastAsia" w:ascii="Times New Roman" w:hAnsi="Times New Roman" w:eastAsia="方正仿宋_GBK"/>
          <w:sz w:val="32"/>
          <w:szCs w:val="32"/>
        </w:rPr>
        <w:t>（</w:t>
      </w:r>
      <w:r>
        <w:rPr>
          <w:rFonts w:ascii="Times New Roman" w:hAnsi="Times New Roman" w:eastAsia="方正仿宋_GBK"/>
          <w:color w:val="000000"/>
          <w:sz w:val="32"/>
          <w:szCs w:val="32"/>
        </w:rPr>
        <w:t>大渡口区</w:t>
      </w:r>
      <w:r>
        <w:rPr>
          <w:rFonts w:hint="eastAsia" w:ascii="Times New Roman" w:hAnsi="Times New Roman" w:eastAsia="方正仿宋_GBK"/>
          <w:color w:val="000000"/>
          <w:sz w:val="32"/>
          <w:szCs w:val="32"/>
        </w:rPr>
        <w:t>翠柏路101号天安数码城1栋B座7楼）</w:t>
      </w:r>
    </w:p>
    <w:p w14:paraId="12F15ED4">
      <w:pPr>
        <w:spacing w:after="0" w:line="600" w:lineRule="exact"/>
        <w:ind w:firstLine="598" w:firstLineChars="200"/>
        <w:jc w:val="both"/>
        <w:rPr>
          <w:rFonts w:ascii="Times New Roman" w:hAnsi="Times New Roman" w:eastAsia="方正黑体_GBK"/>
          <w:sz w:val="32"/>
          <w:szCs w:val="32"/>
        </w:rPr>
      </w:pPr>
      <w:r>
        <w:rPr>
          <w:rFonts w:hint="eastAsia" w:ascii="Times New Roman" w:hAnsi="Times New Roman" w:eastAsia="方正黑体_GBK"/>
          <w:sz w:val="32"/>
          <w:szCs w:val="32"/>
        </w:rPr>
        <w:t>十、</w:t>
      </w:r>
      <w:r>
        <w:rPr>
          <w:rFonts w:ascii="Times New Roman" w:hAnsi="Times New Roman" w:eastAsia="方正黑体_GBK"/>
          <w:sz w:val="32"/>
          <w:szCs w:val="32"/>
        </w:rPr>
        <w:t>评标事宜</w:t>
      </w:r>
    </w:p>
    <w:p w14:paraId="023E4968">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（一）</w:t>
      </w:r>
      <w:r>
        <w:rPr>
          <w:rFonts w:ascii="Times New Roman" w:hAnsi="Times New Roman" w:eastAsia="方正仿宋_GBK"/>
          <w:sz w:val="32"/>
          <w:szCs w:val="32"/>
        </w:rPr>
        <w:t>评标时间：</w:t>
      </w:r>
      <w:r>
        <w:rPr>
          <w:rFonts w:hint="eastAsia" w:ascii="Times New Roman" w:hAnsi="Times New Roman" w:eastAsia="方正仿宋_GBK"/>
          <w:sz w:val="32"/>
          <w:szCs w:val="32"/>
        </w:rPr>
        <w:t>2024</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12</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日北京时间</w:t>
      </w:r>
      <w:r>
        <w:rPr>
          <w:rFonts w:hint="eastAsia" w:ascii="Times New Roman" w:hAnsi="Times New Roman" w:eastAsia="方正仿宋_GBK"/>
          <w:sz w:val="32"/>
          <w:szCs w:val="32"/>
          <w:lang w:val="en-US" w:eastAsia="zh-CN"/>
        </w:rPr>
        <w:t>9</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3</w:t>
      </w:r>
      <w:bookmarkStart w:id="13" w:name="_GoBack"/>
      <w:bookmarkEnd w:id="13"/>
      <w:r>
        <w:rPr>
          <w:rFonts w:ascii="Times New Roman" w:hAnsi="Times New Roman" w:eastAsia="方正仿宋_GBK"/>
          <w:sz w:val="32"/>
          <w:szCs w:val="32"/>
        </w:rPr>
        <w:t>0</w:t>
      </w:r>
      <w:r>
        <w:rPr>
          <w:rFonts w:hint="eastAsia" w:ascii="Times New Roman" w:hAnsi="Times New Roman" w:eastAsia="方正仿宋_GBK"/>
          <w:sz w:val="32"/>
          <w:szCs w:val="32"/>
        </w:rPr>
        <w:t>开始。</w:t>
      </w:r>
    </w:p>
    <w:p w14:paraId="29FF2600">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（二）</w:t>
      </w:r>
      <w:r>
        <w:rPr>
          <w:rFonts w:ascii="Times New Roman" w:hAnsi="Times New Roman" w:eastAsia="方正仿宋_GBK"/>
          <w:sz w:val="32"/>
          <w:szCs w:val="32"/>
        </w:rPr>
        <w:t>评标地点：大渡口区</w:t>
      </w:r>
      <w:r>
        <w:rPr>
          <w:rFonts w:hint="eastAsia" w:ascii="Times New Roman" w:hAnsi="Times New Roman" w:eastAsia="方正仿宋_GBK"/>
          <w:sz w:val="32"/>
          <w:szCs w:val="32"/>
        </w:rPr>
        <w:t>招商投资促进局（</w:t>
      </w:r>
      <w:r>
        <w:rPr>
          <w:rFonts w:ascii="Times New Roman" w:hAnsi="Times New Roman" w:eastAsia="方正仿宋_GBK"/>
          <w:color w:val="000000"/>
          <w:sz w:val="32"/>
          <w:szCs w:val="32"/>
        </w:rPr>
        <w:t>大渡口区</w:t>
      </w:r>
      <w:r>
        <w:rPr>
          <w:rFonts w:hint="eastAsia" w:ascii="Times New Roman" w:hAnsi="Times New Roman" w:eastAsia="方正仿宋_GBK"/>
          <w:color w:val="000000"/>
          <w:sz w:val="32"/>
          <w:szCs w:val="32"/>
        </w:rPr>
        <w:t>翠柏路101号天安数码城1栋B座7楼)</w:t>
      </w:r>
    </w:p>
    <w:p w14:paraId="0412EFCA">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（三）</w:t>
      </w:r>
      <w:r>
        <w:rPr>
          <w:rFonts w:ascii="Times New Roman" w:hAnsi="Times New Roman" w:eastAsia="方正仿宋_GBK"/>
          <w:sz w:val="32"/>
          <w:szCs w:val="32"/>
        </w:rPr>
        <w:t>经综合评标确定中标结果后，供应商应当按照变动情况提交书面承诺，未提交的供应商作废标处理。</w:t>
      </w:r>
    </w:p>
    <w:p w14:paraId="3FC2F163">
      <w:pPr>
        <w:spacing w:after="0" w:line="600" w:lineRule="exact"/>
        <w:ind w:firstLine="598" w:firstLineChars="200"/>
        <w:jc w:val="both"/>
        <w:rPr>
          <w:rFonts w:ascii="Times New Roman" w:hAnsi="Times New Roman" w:eastAsia="方正黑体_GBK"/>
          <w:sz w:val="32"/>
          <w:szCs w:val="32"/>
        </w:rPr>
      </w:pPr>
      <w:r>
        <w:rPr>
          <w:rFonts w:ascii="Times New Roman" w:hAnsi="Times New Roman" w:eastAsia="方正黑体_GBK"/>
          <w:sz w:val="32"/>
          <w:szCs w:val="32"/>
        </w:rPr>
        <w:t>十一、联系方式</w:t>
      </w:r>
    </w:p>
    <w:p w14:paraId="5AA6667B">
      <w:pPr>
        <w:spacing w:after="0" w:line="600" w:lineRule="exact"/>
        <w:ind w:firstLine="598"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采购人：大渡口区招商投资促进局</w:t>
      </w:r>
    </w:p>
    <w:p w14:paraId="5B615FC9">
      <w:pPr>
        <w:spacing w:after="0" w:line="600" w:lineRule="exact"/>
        <w:ind w:firstLine="598"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联系人：</w:t>
      </w:r>
      <w:r>
        <w:rPr>
          <w:rFonts w:hint="eastAsia" w:ascii="Times New Roman" w:hAnsi="Times New Roman" w:eastAsia="方正仿宋_GBK"/>
          <w:color w:val="000000"/>
          <w:sz w:val="32"/>
          <w:szCs w:val="32"/>
          <w:lang w:val="en-US" w:eastAsia="zh-CN"/>
        </w:rPr>
        <w:t>张</w:t>
      </w:r>
      <w:r>
        <w:rPr>
          <w:rFonts w:hint="eastAsia" w:ascii="Times New Roman" w:hAnsi="Times New Roman" w:eastAsia="方正仿宋_GBK"/>
          <w:color w:val="000000"/>
          <w:sz w:val="32"/>
          <w:szCs w:val="32"/>
        </w:rPr>
        <w:t>老师</w:t>
      </w:r>
    </w:p>
    <w:p w14:paraId="2B484B9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right="0" w:firstLine="598" w:firstLineChars="200"/>
        <w:jc w:val="both"/>
        <w:textAlignment w:val="auto"/>
        <w:rPr>
          <w:rFonts w:hint="default" w:ascii="Times New Roman" w:hAnsi="Times New Roman" w:eastAsia="方正仿宋_GBK" w:cs="Times New Roman"/>
          <w:sz w:val="32"/>
          <w:szCs w:val="32"/>
          <w:highlight w:val="none"/>
          <w:lang w:val="en-US" w:eastAsia="zh-CN" w:bidi="ar-SA"/>
        </w:rPr>
      </w:pPr>
      <w:r>
        <w:rPr>
          <w:rFonts w:ascii="Times New Roman" w:hAnsi="Times New Roman" w:eastAsia="方正仿宋_GBK"/>
          <w:color w:val="000000"/>
          <w:sz w:val="32"/>
          <w:szCs w:val="32"/>
        </w:rPr>
        <w:t>电 话：</w:t>
      </w:r>
      <w:r>
        <w:rPr>
          <w:rFonts w:hint="default" w:ascii="Times New Roman" w:hAnsi="Times New Roman" w:eastAsia="方正仿宋_GBK" w:cs="Times New Roman"/>
          <w:sz w:val="32"/>
          <w:szCs w:val="32"/>
          <w:highlight w:val="none"/>
          <w:lang w:val="en-US" w:eastAsia="zh-CN" w:bidi="ar-SA"/>
        </w:rPr>
        <w:t>13368080809</w:t>
      </w:r>
    </w:p>
    <w:p w14:paraId="59A1A4A3">
      <w:pPr>
        <w:spacing w:after="0" w:line="600" w:lineRule="exact"/>
        <w:ind w:firstLine="598"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地 址：大渡口区</w:t>
      </w:r>
      <w:r>
        <w:rPr>
          <w:rFonts w:hint="eastAsia" w:ascii="Times New Roman" w:hAnsi="Times New Roman" w:eastAsia="方正仿宋_GBK"/>
          <w:color w:val="000000"/>
          <w:sz w:val="32"/>
          <w:szCs w:val="32"/>
        </w:rPr>
        <w:t>翠柏路101号天安数码城1栋B座7楼</w:t>
      </w:r>
    </w:p>
    <w:p w14:paraId="7909E1AC">
      <w:pPr>
        <w:spacing w:after="0" w:line="600" w:lineRule="exact"/>
        <w:ind w:firstLine="598" w:firstLineChars="200"/>
        <w:jc w:val="both"/>
        <w:rPr>
          <w:rFonts w:ascii="Times New Roman" w:hAnsi="Times New Roman" w:eastAsia="方正黑体_GBK"/>
          <w:sz w:val="32"/>
          <w:szCs w:val="32"/>
        </w:rPr>
      </w:pPr>
      <w:r>
        <w:rPr>
          <w:rFonts w:hint="eastAsia" w:ascii="Times New Roman" w:hAnsi="Times New Roman" w:eastAsia="方正黑体_GBK"/>
          <w:sz w:val="32"/>
          <w:szCs w:val="32"/>
        </w:rPr>
        <w:t>十二、评审标准</w:t>
      </w:r>
    </w:p>
    <w:tbl>
      <w:tblPr>
        <w:tblStyle w:val="15"/>
        <w:tblW w:w="10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294"/>
        <w:gridCol w:w="746"/>
        <w:gridCol w:w="5227"/>
        <w:gridCol w:w="2447"/>
      </w:tblGrid>
      <w:tr w14:paraId="435A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7F19C4C9">
            <w:pPr>
              <w:widowControl w:val="0"/>
              <w:adjustRightInd/>
              <w:snapToGrid/>
              <w:spacing w:after="0" w:line="240" w:lineRule="atLeast"/>
              <w:ind w:firstLine="28"/>
              <w:jc w:val="both"/>
              <w:rPr>
                <w:rFonts w:ascii="仿宋" w:hAnsi="仿宋" w:eastAsia="仿宋" w:cs="仿宋"/>
                <w:b/>
                <w:bCs/>
                <w:kern w:val="2"/>
                <w:sz w:val="24"/>
                <w:szCs w:val="24"/>
              </w:rPr>
            </w:pPr>
            <w:r>
              <w:rPr>
                <w:rFonts w:hint="eastAsia" w:ascii="仿宋" w:hAnsi="仿宋" w:eastAsia="仿宋" w:cs="仿宋"/>
                <w:b/>
                <w:bCs/>
                <w:kern w:val="2"/>
                <w:sz w:val="24"/>
                <w:szCs w:val="24"/>
              </w:rPr>
              <w:t>序号</w:t>
            </w:r>
          </w:p>
        </w:tc>
        <w:tc>
          <w:tcPr>
            <w:tcW w:w="1294" w:type="dxa"/>
            <w:tcBorders>
              <w:top w:val="single" w:color="auto" w:sz="4" w:space="0"/>
              <w:left w:val="single" w:color="auto" w:sz="4" w:space="0"/>
              <w:bottom w:val="single" w:color="auto" w:sz="4" w:space="0"/>
              <w:right w:val="single" w:color="auto" w:sz="4" w:space="0"/>
            </w:tcBorders>
            <w:vAlign w:val="center"/>
          </w:tcPr>
          <w:p w14:paraId="01D63F68">
            <w:pPr>
              <w:widowControl w:val="0"/>
              <w:adjustRightInd/>
              <w:snapToGrid/>
              <w:spacing w:after="0" w:line="240" w:lineRule="atLeast"/>
              <w:ind w:firstLine="28"/>
              <w:jc w:val="center"/>
              <w:rPr>
                <w:rFonts w:ascii="仿宋" w:hAnsi="仿宋" w:eastAsia="仿宋" w:cs="仿宋"/>
                <w:b/>
                <w:bCs/>
                <w:kern w:val="2"/>
                <w:sz w:val="24"/>
                <w:szCs w:val="24"/>
              </w:rPr>
            </w:pPr>
            <w:r>
              <w:rPr>
                <w:rFonts w:hint="eastAsia" w:ascii="仿宋" w:hAnsi="仿宋" w:eastAsia="仿宋" w:cs="仿宋"/>
                <w:b/>
                <w:bCs/>
                <w:kern w:val="2"/>
                <w:sz w:val="24"/>
                <w:szCs w:val="24"/>
              </w:rPr>
              <w:t>评分因素</w:t>
            </w:r>
          </w:p>
          <w:p w14:paraId="7700204F">
            <w:pPr>
              <w:widowControl w:val="0"/>
              <w:adjustRightInd/>
              <w:snapToGrid/>
              <w:spacing w:after="0" w:line="240" w:lineRule="atLeast"/>
              <w:ind w:firstLine="28"/>
              <w:jc w:val="center"/>
              <w:rPr>
                <w:rFonts w:ascii="仿宋" w:hAnsi="仿宋" w:eastAsia="仿宋" w:cs="仿宋"/>
                <w:b/>
                <w:bCs/>
                <w:kern w:val="2"/>
                <w:sz w:val="24"/>
                <w:szCs w:val="24"/>
              </w:rPr>
            </w:pPr>
            <w:r>
              <w:rPr>
                <w:rFonts w:hint="eastAsia" w:ascii="仿宋" w:hAnsi="仿宋" w:eastAsia="仿宋" w:cs="仿宋"/>
                <w:b/>
                <w:bCs/>
                <w:kern w:val="2"/>
                <w:sz w:val="24"/>
                <w:szCs w:val="24"/>
              </w:rPr>
              <w:t>及权重</w:t>
            </w:r>
          </w:p>
        </w:tc>
        <w:tc>
          <w:tcPr>
            <w:tcW w:w="746" w:type="dxa"/>
            <w:tcBorders>
              <w:top w:val="single" w:color="auto" w:sz="4" w:space="0"/>
              <w:left w:val="single" w:color="auto" w:sz="4" w:space="0"/>
              <w:bottom w:val="single" w:color="auto" w:sz="4" w:space="0"/>
              <w:right w:val="single" w:color="auto" w:sz="4" w:space="0"/>
            </w:tcBorders>
            <w:vAlign w:val="center"/>
          </w:tcPr>
          <w:p w14:paraId="451B020A">
            <w:pPr>
              <w:widowControl w:val="0"/>
              <w:adjustRightInd/>
              <w:snapToGrid/>
              <w:spacing w:after="0" w:line="240" w:lineRule="atLeast"/>
              <w:ind w:firstLine="28"/>
              <w:jc w:val="center"/>
              <w:rPr>
                <w:rFonts w:ascii="仿宋" w:hAnsi="仿宋" w:eastAsia="仿宋" w:cs="仿宋"/>
                <w:b/>
                <w:bCs/>
                <w:kern w:val="2"/>
                <w:sz w:val="24"/>
                <w:szCs w:val="24"/>
              </w:rPr>
            </w:pPr>
            <w:r>
              <w:rPr>
                <w:rFonts w:hint="eastAsia" w:ascii="仿宋" w:hAnsi="仿宋" w:eastAsia="仿宋" w:cs="仿宋"/>
                <w:b/>
                <w:bCs/>
                <w:kern w:val="2"/>
                <w:sz w:val="24"/>
                <w:szCs w:val="24"/>
              </w:rPr>
              <w:t>分值</w:t>
            </w:r>
          </w:p>
        </w:tc>
        <w:tc>
          <w:tcPr>
            <w:tcW w:w="5227" w:type="dxa"/>
            <w:tcBorders>
              <w:top w:val="single" w:color="auto" w:sz="4" w:space="0"/>
              <w:left w:val="single" w:color="auto" w:sz="4" w:space="0"/>
              <w:bottom w:val="single" w:color="auto" w:sz="4" w:space="0"/>
              <w:right w:val="single" w:color="auto" w:sz="4" w:space="0"/>
            </w:tcBorders>
            <w:vAlign w:val="center"/>
          </w:tcPr>
          <w:p w14:paraId="10F8BE70">
            <w:pPr>
              <w:widowControl w:val="0"/>
              <w:adjustRightInd/>
              <w:snapToGrid/>
              <w:spacing w:after="0" w:line="240" w:lineRule="atLeast"/>
              <w:ind w:firstLine="28"/>
              <w:jc w:val="center"/>
              <w:rPr>
                <w:rFonts w:ascii="仿宋" w:hAnsi="仿宋" w:eastAsia="仿宋" w:cs="仿宋"/>
                <w:b/>
                <w:bCs/>
                <w:kern w:val="2"/>
                <w:sz w:val="24"/>
                <w:szCs w:val="24"/>
              </w:rPr>
            </w:pPr>
            <w:r>
              <w:rPr>
                <w:rFonts w:hint="eastAsia" w:ascii="仿宋" w:hAnsi="仿宋" w:eastAsia="仿宋" w:cs="仿宋"/>
                <w:b/>
                <w:bCs/>
                <w:kern w:val="2"/>
                <w:sz w:val="24"/>
                <w:szCs w:val="24"/>
              </w:rPr>
              <w:t>评分标准</w:t>
            </w:r>
          </w:p>
        </w:tc>
        <w:tc>
          <w:tcPr>
            <w:tcW w:w="2447" w:type="dxa"/>
            <w:tcBorders>
              <w:top w:val="single" w:color="auto" w:sz="4" w:space="0"/>
              <w:left w:val="single" w:color="auto" w:sz="4" w:space="0"/>
              <w:bottom w:val="single" w:color="auto" w:sz="4" w:space="0"/>
              <w:right w:val="single" w:color="auto" w:sz="4" w:space="0"/>
            </w:tcBorders>
            <w:vAlign w:val="center"/>
          </w:tcPr>
          <w:p w14:paraId="14428330">
            <w:pPr>
              <w:widowControl w:val="0"/>
              <w:adjustRightInd/>
              <w:snapToGrid/>
              <w:spacing w:after="0"/>
              <w:jc w:val="center"/>
              <w:rPr>
                <w:rFonts w:ascii="仿宋" w:hAnsi="仿宋" w:eastAsia="仿宋" w:cs="仿宋"/>
                <w:b/>
                <w:bCs/>
                <w:kern w:val="2"/>
                <w:sz w:val="24"/>
                <w:szCs w:val="24"/>
              </w:rPr>
            </w:pPr>
            <w:r>
              <w:rPr>
                <w:rFonts w:hint="eastAsia" w:ascii="仿宋" w:hAnsi="仿宋" w:eastAsia="仿宋" w:cs="仿宋"/>
                <w:b/>
                <w:bCs/>
                <w:kern w:val="2"/>
                <w:sz w:val="24"/>
                <w:szCs w:val="24"/>
              </w:rPr>
              <w:t>说明</w:t>
            </w:r>
          </w:p>
        </w:tc>
      </w:tr>
      <w:tr w14:paraId="1696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2045C6E2">
            <w:pPr>
              <w:widowControl w:val="0"/>
              <w:adjustRightInd/>
              <w:snapToGrid/>
              <w:spacing w:after="0" w:line="240" w:lineRule="atLeast"/>
              <w:ind w:firstLine="28"/>
              <w:jc w:val="center"/>
              <w:rPr>
                <w:rFonts w:ascii="仿宋" w:hAnsi="仿宋" w:eastAsia="仿宋" w:cs="仿宋"/>
                <w:kern w:val="2"/>
                <w:sz w:val="24"/>
                <w:szCs w:val="24"/>
              </w:rPr>
            </w:pPr>
            <w:r>
              <w:rPr>
                <w:rFonts w:hint="eastAsia" w:ascii="仿宋" w:hAnsi="仿宋" w:eastAsia="仿宋" w:cs="仿宋"/>
                <w:kern w:val="2"/>
                <w:sz w:val="24"/>
                <w:szCs w:val="24"/>
              </w:rPr>
              <w:t>1</w:t>
            </w:r>
          </w:p>
        </w:tc>
        <w:tc>
          <w:tcPr>
            <w:tcW w:w="1294" w:type="dxa"/>
            <w:tcBorders>
              <w:top w:val="single" w:color="auto" w:sz="4" w:space="0"/>
              <w:left w:val="single" w:color="auto" w:sz="4" w:space="0"/>
              <w:bottom w:val="single" w:color="auto" w:sz="4" w:space="0"/>
              <w:right w:val="single" w:color="auto" w:sz="4" w:space="0"/>
            </w:tcBorders>
            <w:vAlign w:val="center"/>
          </w:tcPr>
          <w:p w14:paraId="1BDC3A88">
            <w:pPr>
              <w:widowControl w:val="0"/>
              <w:adjustRightInd/>
              <w:snapToGrid/>
              <w:spacing w:after="0" w:line="240" w:lineRule="atLeast"/>
              <w:jc w:val="center"/>
              <w:rPr>
                <w:rFonts w:ascii="仿宋" w:hAnsi="仿宋" w:eastAsia="仿宋" w:cs="仿宋"/>
                <w:kern w:val="2"/>
                <w:sz w:val="24"/>
                <w:szCs w:val="24"/>
              </w:rPr>
            </w:pPr>
            <w:r>
              <w:rPr>
                <w:rFonts w:hint="eastAsia" w:ascii="仿宋" w:hAnsi="仿宋" w:eastAsia="仿宋" w:cs="仿宋"/>
                <w:kern w:val="2"/>
                <w:sz w:val="24"/>
                <w:szCs w:val="24"/>
              </w:rPr>
              <w:t>竞采</w:t>
            </w:r>
          </w:p>
          <w:p w14:paraId="6FA80831">
            <w:pPr>
              <w:widowControl w:val="0"/>
              <w:adjustRightInd/>
              <w:snapToGrid/>
              <w:spacing w:after="0" w:line="240" w:lineRule="atLeast"/>
              <w:jc w:val="center"/>
              <w:rPr>
                <w:rFonts w:ascii="仿宋" w:hAnsi="仿宋" w:eastAsia="仿宋" w:cs="仿宋"/>
                <w:kern w:val="2"/>
                <w:sz w:val="24"/>
                <w:szCs w:val="24"/>
              </w:rPr>
            </w:pPr>
            <w:r>
              <w:rPr>
                <w:rFonts w:hint="eastAsia" w:ascii="仿宋" w:hAnsi="仿宋" w:eastAsia="仿宋" w:cs="仿宋"/>
                <w:kern w:val="2"/>
                <w:sz w:val="24"/>
                <w:szCs w:val="24"/>
              </w:rPr>
              <w:t>报价</w:t>
            </w:r>
          </w:p>
          <w:p w14:paraId="58C74859">
            <w:pPr>
              <w:widowControl w:val="0"/>
              <w:adjustRightInd/>
              <w:snapToGrid/>
              <w:spacing w:after="0" w:line="240" w:lineRule="atLeast"/>
              <w:jc w:val="center"/>
              <w:rPr>
                <w:rFonts w:ascii="仿宋" w:hAnsi="仿宋" w:eastAsia="仿宋" w:cs="仿宋"/>
                <w:kern w:val="2"/>
                <w:sz w:val="24"/>
                <w:szCs w:val="24"/>
              </w:rPr>
            </w:pPr>
            <w:r>
              <w:rPr>
                <w:rFonts w:hint="eastAsia" w:ascii="仿宋" w:hAnsi="仿宋" w:eastAsia="仿宋" w:cs="仿宋"/>
                <w:kern w:val="2"/>
                <w:sz w:val="24"/>
                <w:szCs w:val="24"/>
              </w:rPr>
              <w:t>（</w:t>
            </w:r>
            <w:r>
              <w:rPr>
                <w:rFonts w:hint="eastAsia" w:ascii="仿宋" w:hAnsi="仿宋" w:eastAsia="仿宋" w:cs="仿宋"/>
                <w:kern w:val="2"/>
                <w:sz w:val="24"/>
                <w:szCs w:val="24"/>
                <w:lang w:val="en-US" w:eastAsia="zh-CN"/>
              </w:rPr>
              <w:t>30</w:t>
            </w:r>
            <w:r>
              <w:rPr>
                <w:rFonts w:hint="eastAsia" w:ascii="仿宋" w:hAnsi="仿宋" w:eastAsia="仿宋" w:cs="仿宋"/>
                <w:kern w:val="2"/>
                <w:sz w:val="24"/>
                <w:szCs w:val="24"/>
              </w:rPr>
              <w:t>%）</w:t>
            </w:r>
          </w:p>
        </w:tc>
        <w:tc>
          <w:tcPr>
            <w:tcW w:w="746" w:type="dxa"/>
            <w:tcBorders>
              <w:top w:val="single" w:color="auto" w:sz="4" w:space="0"/>
              <w:left w:val="single" w:color="auto" w:sz="4" w:space="0"/>
              <w:bottom w:val="single" w:color="auto" w:sz="4" w:space="0"/>
              <w:right w:val="single" w:color="auto" w:sz="4" w:space="0"/>
            </w:tcBorders>
            <w:vAlign w:val="center"/>
          </w:tcPr>
          <w:p w14:paraId="023FB008">
            <w:pPr>
              <w:widowControl w:val="0"/>
              <w:adjustRightInd/>
              <w:snapToGrid/>
              <w:spacing w:after="0" w:line="240" w:lineRule="atLeast"/>
              <w:jc w:val="center"/>
              <w:rPr>
                <w:rFonts w:ascii="仿宋" w:hAnsi="仿宋" w:eastAsia="仿宋" w:cs="仿宋"/>
                <w:kern w:val="2"/>
                <w:sz w:val="24"/>
                <w:szCs w:val="24"/>
              </w:rPr>
            </w:pPr>
            <w:r>
              <w:rPr>
                <w:rFonts w:hint="eastAsia" w:ascii="仿宋" w:hAnsi="仿宋" w:eastAsia="仿宋" w:cs="仿宋"/>
                <w:kern w:val="2"/>
                <w:sz w:val="24"/>
                <w:szCs w:val="24"/>
                <w:lang w:val="en-US" w:eastAsia="zh-CN"/>
              </w:rPr>
              <w:t>30</w:t>
            </w:r>
            <w:r>
              <w:rPr>
                <w:rFonts w:hint="eastAsia" w:ascii="仿宋" w:hAnsi="仿宋" w:eastAsia="仿宋" w:cs="仿宋"/>
                <w:kern w:val="2"/>
                <w:sz w:val="24"/>
                <w:szCs w:val="24"/>
              </w:rPr>
              <w:t>分</w:t>
            </w:r>
          </w:p>
        </w:tc>
        <w:tc>
          <w:tcPr>
            <w:tcW w:w="5227" w:type="dxa"/>
            <w:tcBorders>
              <w:top w:val="single" w:color="auto" w:sz="4" w:space="0"/>
              <w:left w:val="single" w:color="auto" w:sz="4" w:space="0"/>
              <w:bottom w:val="single" w:color="auto" w:sz="4" w:space="0"/>
              <w:right w:val="single" w:color="auto" w:sz="4" w:space="0"/>
            </w:tcBorders>
            <w:vAlign w:val="center"/>
          </w:tcPr>
          <w:p w14:paraId="077FABE2">
            <w:pPr>
              <w:widowControl w:val="0"/>
              <w:adjustRightInd/>
              <w:snapToGrid/>
              <w:spacing w:after="0" w:line="240" w:lineRule="atLeast"/>
              <w:ind w:firstLine="438" w:firstLineChars="200"/>
              <w:jc w:val="both"/>
              <w:rPr>
                <w:rFonts w:ascii="仿宋" w:hAnsi="仿宋" w:eastAsia="仿宋" w:cs="仿宋"/>
                <w:kern w:val="2"/>
                <w:sz w:val="24"/>
                <w:szCs w:val="24"/>
              </w:rPr>
            </w:pPr>
            <w:r>
              <w:rPr>
                <w:rFonts w:hint="eastAsia" w:ascii="仿宋" w:hAnsi="仿宋" w:eastAsia="仿宋" w:cs="仿宋"/>
                <w:kern w:val="2"/>
                <w:sz w:val="24"/>
                <w:szCs w:val="24"/>
              </w:rPr>
              <w:t>价格分采用低价优先法计算，即满足网上竞采文件要求且最后报价最低的供应商的价格为竞采基准价，其价格分为</w:t>
            </w:r>
            <w:r>
              <w:rPr>
                <w:rFonts w:hint="eastAsia" w:ascii="仿宋" w:hAnsi="仿宋" w:eastAsia="仿宋" w:cs="仿宋"/>
                <w:kern w:val="2"/>
                <w:sz w:val="24"/>
                <w:szCs w:val="24"/>
                <w:lang w:val="en-US" w:eastAsia="zh-CN"/>
              </w:rPr>
              <w:t>30</w:t>
            </w:r>
            <w:r>
              <w:rPr>
                <w:rFonts w:hint="eastAsia" w:ascii="仿宋" w:hAnsi="仿宋" w:eastAsia="仿宋" w:cs="仿宋"/>
                <w:kern w:val="2"/>
                <w:sz w:val="24"/>
                <w:szCs w:val="24"/>
              </w:rPr>
              <w:t>分。</w:t>
            </w:r>
          </w:p>
          <w:p w14:paraId="64240643">
            <w:pPr>
              <w:widowControl w:val="0"/>
              <w:adjustRightInd/>
              <w:snapToGrid/>
              <w:spacing w:after="0" w:line="240" w:lineRule="atLeast"/>
              <w:ind w:firstLine="438" w:firstLineChars="200"/>
              <w:jc w:val="both"/>
              <w:rPr>
                <w:rFonts w:ascii="仿宋" w:hAnsi="仿宋" w:eastAsia="仿宋" w:cs="仿宋"/>
                <w:kern w:val="2"/>
                <w:sz w:val="24"/>
                <w:szCs w:val="24"/>
              </w:rPr>
            </w:pPr>
            <w:r>
              <w:rPr>
                <w:rFonts w:hint="eastAsia" w:ascii="仿宋" w:hAnsi="仿宋" w:eastAsia="仿宋" w:cs="仿宋"/>
                <w:kern w:val="2"/>
                <w:sz w:val="24"/>
                <w:szCs w:val="24"/>
              </w:rPr>
              <w:t>竞采报价得分＝（竞采基准价/竞采报价）×</w:t>
            </w:r>
            <w:r>
              <w:rPr>
                <w:rFonts w:hint="eastAsia" w:ascii="仿宋" w:hAnsi="仿宋" w:eastAsia="仿宋" w:cs="仿宋"/>
                <w:kern w:val="2"/>
                <w:sz w:val="24"/>
                <w:szCs w:val="24"/>
                <w:lang w:val="en-US" w:eastAsia="zh-CN"/>
              </w:rPr>
              <w:t>30</w:t>
            </w:r>
            <w:r>
              <w:rPr>
                <w:rFonts w:hint="eastAsia" w:ascii="仿宋" w:hAnsi="仿宋" w:eastAsia="仿宋" w:cs="仿宋"/>
                <w:kern w:val="2"/>
                <w:sz w:val="24"/>
                <w:szCs w:val="24"/>
              </w:rPr>
              <w:t>（按四舍五入法保留两2位小数）</w:t>
            </w:r>
          </w:p>
        </w:tc>
        <w:tc>
          <w:tcPr>
            <w:tcW w:w="2447" w:type="dxa"/>
            <w:tcBorders>
              <w:top w:val="single" w:color="auto" w:sz="4" w:space="0"/>
              <w:left w:val="single" w:color="auto" w:sz="4" w:space="0"/>
              <w:bottom w:val="single" w:color="auto" w:sz="4" w:space="0"/>
              <w:right w:val="single" w:color="auto" w:sz="4" w:space="0"/>
            </w:tcBorders>
            <w:vAlign w:val="center"/>
          </w:tcPr>
          <w:p w14:paraId="68E28086">
            <w:pPr>
              <w:widowControl w:val="0"/>
              <w:adjustRightInd/>
              <w:snapToGrid/>
              <w:spacing w:after="0" w:line="240" w:lineRule="atLeast"/>
              <w:jc w:val="both"/>
              <w:rPr>
                <w:rFonts w:hint="eastAsia" w:ascii="仿宋" w:hAnsi="仿宋" w:eastAsia="仿宋" w:cs="仿宋"/>
                <w:kern w:val="2"/>
                <w:sz w:val="24"/>
                <w:szCs w:val="24"/>
                <w:lang w:eastAsia="zh-CN"/>
              </w:rPr>
            </w:pPr>
            <w:r>
              <w:rPr>
                <w:rFonts w:hint="eastAsia" w:ascii="仿宋" w:hAnsi="仿宋" w:eastAsia="仿宋" w:cs="仿宋"/>
                <w:b/>
                <w:bCs/>
                <w:kern w:val="2"/>
                <w:sz w:val="24"/>
                <w:szCs w:val="24"/>
                <w:lang w:eastAsia="zh-CN"/>
              </w:rPr>
              <w:t>高于预算限价为无效报价</w:t>
            </w:r>
          </w:p>
        </w:tc>
      </w:tr>
      <w:tr w14:paraId="5AB6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604" w:type="dxa"/>
            <w:vMerge w:val="restart"/>
            <w:tcBorders>
              <w:top w:val="single" w:color="auto" w:sz="4" w:space="0"/>
              <w:left w:val="single" w:color="auto" w:sz="4" w:space="0"/>
              <w:right w:val="single" w:color="auto" w:sz="4" w:space="0"/>
            </w:tcBorders>
            <w:vAlign w:val="center"/>
          </w:tcPr>
          <w:p w14:paraId="206DAE9F">
            <w:pPr>
              <w:widowControl w:val="0"/>
              <w:adjustRightInd/>
              <w:snapToGrid/>
              <w:spacing w:after="0" w:line="240" w:lineRule="atLeast"/>
              <w:ind w:firstLine="28"/>
              <w:jc w:val="center"/>
              <w:rPr>
                <w:rFonts w:ascii="仿宋" w:hAnsi="仿宋" w:eastAsia="仿宋" w:cs="仿宋"/>
                <w:kern w:val="2"/>
                <w:sz w:val="24"/>
                <w:szCs w:val="24"/>
              </w:rPr>
            </w:pPr>
            <w:r>
              <w:rPr>
                <w:rFonts w:hint="eastAsia" w:ascii="仿宋" w:hAnsi="仿宋" w:eastAsia="仿宋" w:cs="仿宋"/>
                <w:kern w:val="2"/>
                <w:sz w:val="24"/>
                <w:szCs w:val="24"/>
              </w:rPr>
              <w:t>2</w:t>
            </w:r>
          </w:p>
        </w:tc>
        <w:tc>
          <w:tcPr>
            <w:tcW w:w="1294" w:type="dxa"/>
            <w:vMerge w:val="restart"/>
            <w:tcBorders>
              <w:top w:val="single" w:color="auto" w:sz="4" w:space="0"/>
              <w:left w:val="single" w:color="auto" w:sz="4" w:space="0"/>
              <w:right w:val="single" w:color="auto" w:sz="4" w:space="0"/>
            </w:tcBorders>
            <w:vAlign w:val="center"/>
          </w:tcPr>
          <w:p w14:paraId="7EB23661">
            <w:pPr>
              <w:widowControl w:val="0"/>
              <w:adjustRightInd/>
              <w:snapToGrid/>
              <w:spacing w:after="0" w:line="240" w:lineRule="atLeast"/>
              <w:ind w:firstLine="28"/>
              <w:jc w:val="center"/>
              <w:rPr>
                <w:rFonts w:ascii="仿宋" w:hAnsi="仿宋" w:eastAsia="仿宋" w:cs="仿宋"/>
                <w:kern w:val="2"/>
                <w:sz w:val="24"/>
                <w:szCs w:val="24"/>
              </w:rPr>
            </w:pPr>
            <w:r>
              <w:rPr>
                <w:rFonts w:hint="eastAsia" w:ascii="仿宋" w:hAnsi="仿宋" w:eastAsia="仿宋" w:cs="仿宋"/>
                <w:kern w:val="2"/>
                <w:sz w:val="24"/>
                <w:szCs w:val="24"/>
              </w:rPr>
              <w:t>技术</w:t>
            </w:r>
          </w:p>
          <w:p w14:paraId="26E80E58">
            <w:pPr>
              <w:widowControl w:val="0"/>
              <w:adjustRightInd/>
              <w:snapToGrid/>
              <w:spacing w:after="0" w:line="240" w:lineRule="atLeast"/>
              <w:ind w:firstLine="28"/>
              <w:jc w:val="center"/>
              <w:rPr>
                <w:rFonts w:ascii="仿宋" w:hAnsi="仿宋" w:eastAsia="仿宋" w:cs="仿宋"/>
                <w:kern w:val="2"/>
                <w:sz w:val="24"/>
                <w:szCs w:val="24"/>
              </w:rPr>
            </w:pPr>
            <w:r>
              <w:rPr>
                <w:rFonts w:hint="eastAsia" w:ascii="仿宋" w:hAnsi="仿宋" w:eastAsia="仿宋" w:cs="仿宋"/>
                <w:kern w:val="2"/>
                <w:sz w:val="24"/>
                <w:szCs w:val="24"/>
              </w:rPr>
              <w:t>部分</w:t>
            </w:r>
          </w:p>
          <w:p w14:paraId="34D5AC83">
            <w:pPr>
              <w:widowControl w:val="0"/>
              <w:adjustRightInd/>
              <w:snapToGrid/>
              <w:spacing w:after="0" w:line="240" w:lineRule="atLeast"/>
              <w:ind w:firstLine="28"/>
              <w:jc w:val="center"/>
              <w:rPr>
                <w:rFonts w:ascii="仿宋" w:hAnsi="仿宋" w:eastAsia="仿宋" w:cs="仿宋"/>
                <w:kern w:val="2"/>
                <w:sz w:val="24"/>
                <w:szCs w:val="24"/>
              </w:rPr>
            </w:pPr>
            <w:r>
              <w:rPr>
                <w:rFonts w:hint="eastAsia" w:ascii="仿宋" w:hAnsi="仿宋" w:eastAsia="仿宋" w:cs="仿宋"/>
                <w:kern w:val="2"/>
                <w:sz w:val="24"/>
                <w:szCs w:val="24"/>
              </w:rPr>
              <w:t>（60%）</w:t>
            </w:r>
          </w:p>
        </w:tc>
        <w:tc>
          <w:tcPr>
            <w:tcW w:w="746" w:type="dxa"/>
            <w:tcBorders>
              <w:top w:val="single" w:color="auto" w:sz="4" w:space="0"/>
              <w:left w:val="single" w:color="auto" w:sz="4" w:space="0"/>
              <w:right w:val="single" w:color="auto" w:sz="4" w:space="0"/>
            </w:tcBorders>
            <w:vAlign w:val="center"/>
          </w:tcPr>
          <w:p w14:paraId="04E62895">
            <w:pPr>
              <w:widowControl/>
              <w:adjustRightInd/>
              <w:snapToGrid/>
              <w:spacing w:after="0"/>
              <w:jc w:val="center"/>
              <w:rPr>
                <w:rFonts w:ascii="仿宋" w:hAnsi="仿宋" w:eastAsia="仿宋" w:cs="仿宋"/>
                <w:kern w:val="0"/>
                <w:sz w:val="24"/>
                <w:szCs w:val="24"/>
              </w:rPr>
            </w:pPr>
            <w:r>
              <w:rPr>
                <w:rFonts w:hint="eastAsia" w:ascii="仿宋" w:hAnsi="仿宋" w:eastAsia="仿宋" w:cs="仿宋"/>
                <w:kern w:val="2"/>
                <w:sz w:val="24"/>
                <w:szCs w:val="24"/>
                <w:lang w:val="en-US" w:eastAsia="zh-CN"/>
              </w:rPr>
              <w:t>12</w:t>
            </w:r>
            <w:r>
              <w:rPr>
                <w:rFonts w:hint="eastAsia" w:ascii="仿宋" w:hAnsi="仿宋" w:eastAsia="仿宋" w:cs="仿宋"/>
                <w:kern w:val="2"/>
                <w:sz w:val="24"/>
                <w:szCs w:val="24"/>
              </w:rPr>
              <w:t>分</w:t>
            </w:r>
          </w:p>
        </w:tc>
        <w:tc>
          <w:tcPr>
            <w:tcW w:w="5227" w:type="dxa"/>
            <w:tcBorders>
              <w:top w:val="single" w:color="auto" w:sz="4" w:space="0"/>
              <w:left w:val="single" w:color="auto" w:sz="4" w:space="0"/>
              <w:right w:val="single" w:color="auto" w:sz="4" w:space="0"/>
            </w:tcBorders>
            <w:vAlign w:val="center"/>
          </w:tcPr>
          <w:p w14:paraId="41CAABFE">
            <w:pPr>
              <w:widowControl w:val="0"/>
              <w:adjustRightInd/>
              <w:snapToGrid/>
              <w:spacing w:after="0" w:line="240" w:lineRule="atLeast"/>
              <w:ind w:firstLine="438" w:firstLineChars="20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val="en-US" w:eastAsia="zh-CN"/>
              </w:rPr>
              <w:t>1.</w:t>
            </w:r>
            <w:r>
              <w:rPr>
                <w:rFonts w:hint="eastAsia" w:ascii="仿宋" w:hAnsi="仿宋" w:eastAsia="仿宋" w:cs="仿宋"/>
                <w:kern w:val="2"/>
                <w:sz w:val="24"/>
                <w:szCs w:val="24"/>
                <w:lang w:eastAsia="zh-CN"/>
              </w:rPr>
              <w:t>对</w:t>
            </w:r>
            <w:r>
              <w:rPr>
                <w:rFonts w:hint="eastAsia" w:ascii="仿宋" w:hAnsi="仿宋" w:eastAsia="仿宋" w:cs="仿宋"/>
                <w:kern w:val="2"/>
                <w:sz w:val="24"/>
                <w:szCs w:val="24"/>
                <w:lang w:val="en-US" w:eastAsia="zh-CN"/>
              </w:rPr>
              <w:t>钓鱼嘴音乐半岛招商宣传片</w:t>
            </w:r>
            <w:r>
              <w:rPr>
                <w:rFonts w:hint="eastAsia" w:ascii="仿宋" w:hAnsi="仿宋" w:eastAsia="仿宋" w:cs="仿宋"/>
                <w:kern w:val="2"/>
                <w:sz w:val="24"/>
                <w:szCs w:val="24"/>
                <w:lang w:val="en-US" w:eastAsia="zh-Hans"/>
              </w:rPr>
              <w:t>制作服务</w:t>
            </w:r>
            <w:r>
              <w:rPr>
                <w:rFonts w:hint="eastAsia" w:ascii="仿宋" w:hAnsi="仿宋" w:eastAsia="仿宋" w:cs="仿宋"/>
                <w:kern w:val="2"/>
                <w:sz w:val="24"/>
                <w:szCs w:val="24"/>
                <w:lang w:eastAsia="zh-CN"/>
              </w:rPr>
              <w:t>工作的理解（1</w:t>
            </w:r>
            <w:r>
              <w:rPr>
                <w:rFonts w:hint="eastAsia" w:ascii="仿宋" w:hAnsi="仿宋" w:eastAsia="仿宋" w:cs="仿宋"/>
                <w:kern w:val="2"/>
                <w:sz w:val="24"/>
                <w:szCs w:val="24"/>
                <w:lang w:val="en-US" w:eastAsia="zh-CN"/>
              </w:rPr>
              <w:t>2</w:t>
            </w:r>
            <w:r>
              <w:rPr>
                <w:rFonts w:hint="eastAsia" w:ascii="仿宋" w:hAnsi="仿宋" w:eastAsia="仿宋" w:cs="仿宋"/>
                <w:kern w:val="2"/>
                <w:sz w:val="24"/>
                <w:szCs w:val="24"/>
                <w:lang w:eastAsia="zh-CN"/>
              </w:rPr>
              <w:t>分）</w:t>
            </w:r>
          </w:p>
          <w:p w14:paraId="16961BBD">
            <w:pPr>
              <w:widowControl w:val="0"/>
              <w:adjustRightInd/>
              <w:snapToGrid/>
              <w:spacing w:after="0" w:line="240" w:lineRule="atLeast"/>
              <w:ind w:firstLine="438"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eastAsia="zh-CN"/>
              </w:rPr>
              <w:t>方案中体现出对</w:t>
            </w:r>
            <w:r>
              <w:rPr>
                <w:rFonts w:hint="eastAsia" w:ascii="仿宋" w:hAnsi="仿宋" w:eastAsia="仿宋" w:cs="仿宋"/>
                <w:kern w:val="2"/>
                <w:sz w:val="24"/>
                <w:szCs w:val="24"/>
                <w:lang w:val="en-US" w:eastAsia="zh-CN"/>
              </w:rPr>
              <w:t>钓鱼嘴音乐半岛招商</w:t>
            </w:r>
            <w:r>
              <w:rPr>
                <w:rFonts w:hint="eastAsia" w:ascii="仿宋" w:hAnsi="仿宋" w:eastAsia="仿宋" w:cs="仿宋"/>
                <w:kern w:val="2"/>
                <w:sz w:val="24"/>
                <w:szCs w:val="24"/>
                <w:lang w:eastAsia="zh-CN"/>
              </w:rPr>
              <w:t>的理解，阐述内容清晰有条理得</w:t>
            </w:r>
            <w:r>
              <w:rPr>
                <w:rFonts w:hint="eastAsia" w:ascii="仿宋" w:hAnsi="仿宋" w:eastAsia="仿宋" w:cs="仿宋"/>
                <w:kern w:val="2"/>
                <w:sz w:val="24"/>
                <w:szCs w:val="24"/>
                <w:lang w:val="en-US" w:eastAsia="zh-CN"/>
              </w:rPr>
              <w:t>12</w:t>
            </w:r>
            <w:r>
              <w:rPr>
                <w:rFonts w:hint="eastAsia" w:ascii="仿宋" w:hAnsi="仿宋" w:eastAsia="仿宋" w:cs="仿宋"/>
                <w:kern w:val="2"/>
                <w:sz w:val="24"/>
                <w:szCs w:val="24"/>
                <w:lang w:eastAsia="zh-CN"/>
              </w:rPr>
              <w:t>分；方案中体现出对工作内容有一定理解，但不熟悉或不深刻得</w:t>
            </w:r>
            <w:r>
              <w:rPr>
                <w:rFonts w:hint="eastAsia" w:ascii="仿宋" w:hAnsi="仿宋" w:eastAsia="仿宋" w:cs="仿宋"/>
                <w:kern w:val="2"/>
                <w:sz w:val="24"/>
                <w:szCs w:val="24"/>
                <w:lang w:val="en-US" w:eastAsia="zh-CN"/>
              </w:rPr>
              <w:t>9</w:t>
            </w:r>
            <w:r>
              <w:rPr>
                <w:rFonts w:hint="eastAsia" w:ascii="仿宋" w:hAnsi="仿宋" w:eastAsia="仿宋" w:cs="仿宋"/>
                <w:kern w:val="2"/>
                <w:sz w:val="24"/>
                <w:szCs w:val="24"/>
                <w:lang w:eastAsia="zh-CN"/>
              </w:rPr>
              <w:t>分；方案中体现出对工作内容有一定理解但内容粗略，得</w:t>
            </w:r>
            <w:r>
              <w:rPr>
                <w:rFonts w:hint="eastAsia" w:ascii="仿宋" w:hAnsi="仿宋" w:eastAsia="仿宋" w:cs="仿宋"/>
                <w:kern w:val="2"/>
                <w:sz w:val="24"/>
                <w:szCs w:val="24"/>
                <w:lang w:val="en-US" w:eastAsia="zh-CN"/>
              </w:rPr>
              <w:t>6</w:t>
            </w:r>
            <w:r>
              <w:rPr>
                <w:rFonts w:hint="eastAsia" w:ascii="仿宋" w:hAnsi="仿宋" w:eastAsia="仿宋" w:cs="仿宋"/>
                <w:kern w:val="2"/>
                <w:sz w:val="24"/>
                <w:szCs w:val="24"/>
                <w:lang w:eastAsia="zh-CN"/>
              </w:rPr>
              <w:t>分；无方案或方案与项目无关得0分。</w:t>
            </w:r>
          </w:p>
        </w:tc>
        <w:tc>
          <w:tcPr>
            <w:tcW w:w="2447" w:type="dxa"/>
            <w:vMerge w:val="restart"/>
            <w:tcBorders>
              <w:top w:val="single" w:color="auto" w:sz="4" w:space="0"/>
              <w:left w:val="single" w:color="auto" w:sz="4" w:space="0"/>
              <w:right w:val="single" w:color="auto" w:sz="4" w:space="0"/>
            </w:tcBorders>
            <w:vAlign w:val="center"/>
          </w:tcPr>
          <w:p w14:paraId="4C1016C0">
            <w:pPr>
              <w:widowControl w:val="0"/>
              <w:spacing w:after="120" w:line="240" w:lineRule="auto"/>
              <w:ind w:left="0" w:leftChars="0" w:firstLine="0" w:firstLineChars="0"/>
              <w:jc w:val="left"/>
              <w:rPr>
                <w:rFonts w:ascii="Calibri" w:hAnsi="Calibri" w:eastAsia="仿宋" w:cs="Times New Roman"/>
                <w:kern w:val="2"/>
                <w:sz w:val="44"/>
                <w:lang w:val="en-US" w:eastAsia="zh-CN" w:bidi="ar-SA"/>
              </w:rPr>
            </w:pPr>
            <w:r>
              <w:rPr>
                <w:rFonts w:hint="eastAsia" w:ascii="仿宋" w:hAnsi="仿宋" w:eastAsia="仿宋" w:cs="仿宋"/>
                <w:b/>
                <w:bCs/>
                <w:kern w:val="2"/>
                <w:sz w:val="24"/>
                <w:szCs w:val="24"/>
                <w:lang w:val="en-US" w:eastAsia="zh-CN" w:bidi="ar-SA"/>
              </w:rPr>
              <w:t>提供对应方案进行评审。</w:t>
            </w:r>
          </w:p>
        </w:tc>
      </w:tr>
      <w:tr w14:paraId="5D9F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jc w:val="center"/>
        </w:trPr>
        <w:tc>
          <w:tcPr>
            <w:tcW w:w="604" w:type="dxa"/>
            <w:vMerge w:val="continue"/>
            <w:tcBorders>
              <w:left w:val="single" w:color="auto" w:sz="4" w:space="0"/>
              <w:right w:val="single" w:color="auto" w:sz="4" w:space="0"/>
            </w:tcBorders>
            <w:vAlign w:val="center"/>
          </w:tcPr>
          <w:p w14:paraId="2F29172C">
            <w:pPr>
              <w:widowControl w:val="0"/>
              <w:adjustRightInd/>
              <w:snapToGrid/>
              <w:spacing w:after="0" w:line="240" w:lineRule="atLeast"/>
              <w:ind w:firstLine="28"/>
              <w:jc w:val="center"/>
              <w:rPr>
                <w:rFonts w:ascii="仿宋" w:hAnsi="仿宋" w:eastAsia="仿宋" w:cs="仿宋"/>
                <w:kern w:val="2"/>
                <w:sz w:val="24"/>
                <w:szCs w:val="24"/>
              </w:rPr>
            </w:pPr>
          </w:p>
        </w:tc>
        <w:tc>
          <w:tcPr>
            <w:tcW w:w="1294" w:type="dxa"/>
            <w:vMerge w:val="continue"/>
            <w:tcBorders>
              <w:left w:val="single" w:color="auto" w:sz="4" w:space="0"/>
              <w:right w:val="single" w:color="auto" w:sz="4" w:space="0"/>
            </w:tcBorders>
            <w:vAlign w:val="center"/>
          </w:tcPr>
          <w:p w14:paraId="33418EEB">
            <w:pPr>
              <w:widowControl w:val="0"/>
              <w:adjustRightInd/>
              <w:snapToGrid/>
              <w:spacing w:after="0" w:line="240" w:lineRule="atLeast"/>
              <w:ind w:firstLine="28"/>
              <w:jc w:val="center"/>
              <w:rPr>
                <w:rFonts w:ascii="仿宋" w:hAnsi="仿宋" w:eastAsia="仿宋" w:cs="仿宋"/>
                <w:kern w:val="2"/>
                <w:sz w:val="24"/>
                <w:szCs w:val="24"/>
              </w:rPr>
            </w:pPr>
          </w:p>
        </w:tc>
        <w:tc>
          <w:tcPr>
            <w:tcW w:w="746" w:type="dxa"/>
            <w:tcBorders>
              <w:left w:val="single" w:color="auto" w:sz="4" w:space="0"/>
              <w:right w:val="single" w:color="auto" w:sz="4" w:space="0"/>
            </w:tcBorders>
            <w:vAlign w:val="center"/>
          </w:tcPr>
          <w:p w14:paraId="43C84E59">
            <w:pPr>
              <w:widowControl/>
              <w:adjustRightInd/>
              <w:snapToGrid/>
              <w:spacing w:after="0"/>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12</w:t>
            </w:r>
            <w:r>
              <w:rPr>
                <w:rFonts w:hint="eastAsia" w:ascii="仿宋" w:hAnsi="仿宋" w:eastAsia="仿宋" w:cs="仿宋"/>
                <w:kern w:val="2"/>
                <w:sz w:val="24"/>
                <w:szCs w:val="24"/>
              </w:rPr>
              <w:t>分</w:t>
            </w:r>
          </w:p>
        </w:tc>
        <w:tc>
          <w:tcPr>
            <w:tcW w:w="5227" w:type="dxa"/>
            <w:tcBorders>
              <w:left w:val="single" w:color="auto" w:sz="4" w:space="0"/>
              <w:bottom w:val="single" w:color="auto" w:sz="4" w:space="0"/>
              <w:right w:val="single" w:color="auto" w:sz="4" w:space="0"/>
            </w:tcBorders>
            <w:vAlign w:val="center"/>
          </w:tcPr>
          <w:p w14:paraId="37F7733A">
            <w:pPr>
              <w:widowControl w:val="0"/>
              <w:adjustRightInd/>
              <w:snapToGrid/>
              <w:spacing w:after="0" w:line="240" w:lineRule="atLeast"/>
              <w:ind w:firstLine="438" w:firstLineChars="20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2.制作钓鱼嘴音乐半岛招商宣传片制作服务</w:t>
            </w:r>
            <w:r>
              <w:rPr>
                <w:rFonts w:hint="eastAsia" w:ascii="仿宋" w:hAnsi="仿宋" w:eastAsia="仿宋" w:cs="仿宋"/>
                <w:kern w:val="2"/>
                <w:sz w:val="24"/>
                <w:szCs w:val="24"/>
                <w:lang w:eastAsia="zh-CN"/>
              </w:rPr>
              <w:t>策划</w:t>
            </w:r>
            <w:r>
              <w:rPr>
                <w:rFonts w:hint="eastAsia" w:ascii="仿宋" w:hAnsi="仿宋" w:eastAsia="仿宋" w:cs="仿宋"/>
                <w:kern w:val="2"/>
                <w:sz w:val="24"/>
                <w:szCs w:val="24"/>
                <w:lang w:val="en-US" w:eastAsia="zh-CN"/>
              </w:rPr>
              <w:t>方案及较为完整的解说词（12分）</w:t>
            </w:r>
          </w:p>
          <w:p w14:paraId="4EA1FFE2">
            <w:pPr>
              <w:widowControl w:val="0"/>
              <w:adjustRightInd/>
              <w:snapToGrid/>
              <w:spacing w:after="0" w:line="240" w:lineRule="atLeast"/>
              <w:ind w:firstLine="438"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方案合理，可行性强得12分；方案较合理，可行性一般得9分；方案内容粗略，可行性差，得6分；无方案或方案与项目无关得0分。</w:t>
            </w:r>
          </w:p>
        </w:tc>
        <w:tc>
          <w:tcPr>
            <w:tcW w:w="2447" w:type="dxa"/>
            <w:vMerge w:val="continue"/>
            <w:tcBorders>
              <w:left w:val="single" w:color="auto" w:sz="4" w:space="0"/>
              <w:right w:val="single" w:color="auto" w:sz="4" w:space="0"/>
            </w:tcBorders>
            <w:vAlign w:val="center"/>
          </w:tcPr>
          <w:p w14:paraId="743C30AD">
            <w:pPr>
              <w:widowControl w:val="0"/>
              <w:spacing w:after="120" w:line="240" w:lineRule="auto"/>
              <w:ind w:left="0" w:leftChars="0" w:firstLine="0" w:firstLineChars="0"/>
              <w:jc w:val="left"/>
              <w:rPr>
                <w:rFonts w:ascii="Calibri" w:hAnsi="Calibri" w:eastAsia="仿宋" w:cs="Times New Roman"/>
                <w:kern w:val="2"/>
                <w:sz w:val="44"/>
                <w:lang w:val="en-US" w:eastAsia="zh-CN" w:bidi="ar-SA"/>
              </w:rPr>
            </w:pPr>
          </w:p>
        </w:tc>
      </w:tr>
      <w:tr w14:paraId="6259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604" w:type="dxa"/>
            <w:vMerge w:val="continue"/>
            <w:tcBorders>
              <w:left w:val="single" w:color="auto" w:sz="4" w:space="0"/>
              <w:right w:val="single" w:color="auto" w:sz="4" w:space="0"/>
            </w:tcBorders>
            <w:vAlign w:val="center"/>
          </w:tcPr>
          <w:p w14:paraId="3BEF1344">
            <w:pPr>
              <w:widowControl w:val="0"/>
              <w:adjustRightInd/>
              <w:snapToGrid/>
              <w:spacing w:after="0" w:line="240" w:lineRule="atLeast"/>
              <w:ind w:firstLine="28"/>
              <w:jc w:val="center"/>
              <w:rPr>
                <w:rFonts w:ascii="仿宋" w:hAnsi="仿宋" w:eastAsia="仿宋" w:cs="仿宋"/>
                <w:kern w:val="2"/>
                <w:sz w:val="24"/>
                <w:szCs w:val="24"/>
              </w:rPr>
            </w:pPr>
          </w:p>
        </w:tc>
        <w:tc>
          <w:tcPr>
            <w:tcW w:w="1294" w:type="dxa"/>
            <w:vMerge w:val="continue"/>
            <w:tcBorders>
              <w:left w:val="single" w:color="auto" w:sz="4" w:space="0"/>
              <w:right w:val="single" w:color="auto" w:sz="4" w:space="0"/>
            </w:tcBorders>
            <w:vAlign w:val="center"/>
          </w:tcPr>
          <w:p w14:paraId="5A2891D1">
            <w:pPr>
              <w:widowControl w:val="0"/>
              <w:adjustRightInd/>
              <w:snapToGrid/>
              <w:spacing w:after="0" w:line="240" w:lineRule="atLeast"/>
              <w:ind w:firstLine="28"/>
              <w:jc w:val="center"/>
              <w:rPr>
                <w:rFonts w:ascii="仿宋" w:hAnsi="仿宋" w:eastAsia="仿宋" w:cs="仿宋"/>
                <w:kern w:val="2"/>
                <w:sz w:val="24"/>
                <w:szCs w:val="24"/>
              </w:rPr>
            </w:pPr>
          </w:p>
        </w:tc>
        <w:tc>
          <w:tcPr>
            <w:tcW w:w="746" w:type="dxa"/>
            <w:tcBorders>
              <w:left w:val="single" w:color="auto" w:sz="4" w:space="0"/>
              <w:right w:val="single" w:color="auto" w:sz="4" w:space="0"/>
            </w:tcBorders>
            <w:vAlign w:val="center"/>
          </w:tcPr>
          <w:p w14:paraId="36730BFA">
            <w:pPr>
              <w:widowControl/>
              <w:adjustRightInd/>
              <w:snapToGrid/>
              <w:spacing w:after="0"/>
              <w:jc w:val="center"/>
              <w:rPr>
                <w:rFonts w:ascii="仿宋" w:hAnsi="仿宋" w:eastAsia="仿宋" w:cs="仿宋"/>
                <w:kern w:val="0"/>
                <w:sz w:val="24"/>
                <w:szCs w:val="24"/>
              </w:rPr>
            </w:pPr>
            <w:r>
              <w:rPr>
                <w:rFonts w:hint="eastAsia" w:ascii="仿宋" w:hAnsi="仿宋" w:eastAsia="仿宋" w:cs="仿宋"/>
                <w:kern w:val="2"/>
                <w:sz w:val="24"/>
                <w:szCs w:val="24"/>
                <w:lang w:val="en-US" w:eastAsia="zh-CN"/>
              </w:rPr>
              <w:t>12</w:t>
            </w:r>
            <w:r>
              <w:rPr>
                <w:rFonts w:hint="eastAsia" w:ascii="仿宋" w:hAnsi="仿宋" w:eastAsia="仿宋" w:cs="仿宋"/>
                <w:kern w:val="2"/>
                <w:sz w:val="24"/>
                <w:szCs w:val="24"/>
              </w:rPr>
              <w:t>分</w:t>
            </w:r>
          </w:p>
        </w:tc>
        <w:tc>
          <w:tcPr>
            <w:tcW w:w="5227" w:type="dxa"/>
            <w:tcBorders>
              <w:left w:val="single" w:color="auto" w:sz="4" w:space="0"/>
              <w:bottom w:val="single" w:color="auto" w:sz="4" w:space="0"/>
              <w:right w:val="single" w:color="auto" w:sz="4" w:space="0"/>
            </w:tcBorders>
            <w:vAlign w:val="center"/>
          </w:tcPr>
          <w:p w14:paraId="27426FF8">
            <w:pPr>
              <w:widowControl w:val="0"/>
              <w:adjustRightInd/>
              <w:snapToGrid/>
              <w:spacing w:after="0" w:line="240" w:lineRule="atLeast"/>
              <w:ind w:firstLine="438" w:firstLineChars="20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eastAsia="zh-CN"/>
              </w:rPr>
              <w:t>3.</w:t>
            </w:r>
            <w:r>
              <w:rPr>
                <w:rFonts w:hint="eastAsia" w:ascii="仿宋" w:hAnsi="仿宋" w:eastAsia="仿宋" w:cs="仿宋"/>
                <w:kern w:val="2"/>
                <w:sz w:val="24"/>
                <w:szCs w:val="24"/>
                <w:lang w:val="en-US" w:eastAsia="zh-CN"/>
              </w:rPr>
              <w:t>制作钓鱼嘴音乐半岛招商宣传片制作服务拍摄执行方案（12分）</w:t>
            </w:r>
          </w:p>
          <w:p w14:paraId="2196E570">
            <w:pPr>
              <w:widowControl w:val="0"/>
              <w:adjustRightInd/>
              <w:snapToGrid/>
              <w:spacing w:after="0" w:line="240" w:lineRule="atLeast"/>
              <w:ind w:firstLine="438"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方案合理，可行性强得12分；方案较合理，可行性一般得9分；方案内容粗略，可行性差，得6分；无方案或方案与项目无关得0分。</w:t>
            </w:r>
          </w:p>
        </w:tc>
        <w:tc>
          <w:tcPr>
            <w:tcW w:w="2447" w:type="dxa"/>
            <w:vMerge w:val="continue"/>
            <w:tcBorders>
              <w:left w:val="single" w:color="auto" w:sz="4" w:space="0"/>
              <w:right w:val="single" w:color="auto" w:sz="4" w:space="0"/>
            </w:tcBorders>
            <w:vAlign w:val="center"/>
          </w:tcPr>
          <w:p w14:paraId="03CFC43E">
            <w:pPr>
              <w:widowControl w:val="0"/>
              <w:spacing w:after="120" w:line="240" w:lineRule="auto"/>
              <w:ind w:left="0" w:leftChars="0" w:firstLine="0" w:firstLineChars="0"/>
              <w:jc w:val="left"/>
              <w:rPr>
                <w:rFonts w:ascii="Calibri" w:hAnsi="Calibri" w:eastAsia="仿宋" w:cs="Times New Roman"/>
                <w:kern w:val="2"/>
                <w:sz w:val="44"/>
                <w:lang w:val="en-US" w:eastAsia="zh-CN" w:bidi="ar-SA"/>
              </w:rPr>
            </w:pPr>
          </w:p>
        </w:tc>
      </w:tr>
      <w:tr w14:paraId="58A3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04" w:type="dxa"/>
            <w:vMerge w:val="continue"/>
            <w:tcBorders>
              <w:left w:val="single" w:color="auto" w:sz="4" w:space="0"/>
              <w:right w:val="single" w:color="auto" w:sz="4" w:space="0"/>
            </w:tcBorders>
            <w:vAlign w:val="center"/>
          </w:tcPr>
          <w:p w14:paraId="3686049A">
            <w:pPr>
              <w:widowControl w:val="0"/>
              <w:adjustRightInd/>
              <w:snapToGrid/>
              <w:spacing w:after="0" w:line="240" w:lineRule="atLeast"/>
              <w:ind w:firstLine="28"/>
              <w:jc w:val="center"/>
              <w:rPr>
                <w:rFonts w:ascii="仿宋" w:hAnsi="仿宋" w:eastAsia="仿宋" w:cs="仿宋"/>
                <w:kern w:val="2"/>
                <w:sz w:val="24"/>
                <w:szCs w:val="24"/>
              </w:rPr>
            </w:pPr>
          </w:p>
        </w:tc>
        <w:tc>
          <w:tcPr>
            <w:tcW w:w="1294" w:type="dxa"/>
            <w:vMerge w:val="continue"/>
            <w:tcBorders>
              <w:left w:val="single" w:color="auto" w:sz="4" w:space="0"/>
              <w:right w:val="single" w:color="auto" w:sz="4" w:space="0"/>
            </w:tcBorders>
            <w:vAlign w:val="center"/>
          </w:tcPr>
          <w:p w14:paraId="3ECBCEAF">
            <w:pPr>
              <w:widowControl w:val="0"/>
              <w:adjustRightInd/>
              <w:snapToGrid/>
              <w:spacing w:after="0" w:line="240" w:lineRule="atLeast"/>
              <w:ind w:firstLine="28"/>
              <w:jc w:val="center"/>
              <w:rPr>
                <w:rFonts w:ascii="仿宋" w:hAnsi="仿宋" w:eastAsia="仿宋" w:cs="仿宋"/>
                <w:kern w:val="2"/>
                <w:sz w:val="24"/>
                <w:szCs w:val="24"/>
              </w:rPr>
            </w:pPr>
          </w:p>
        </w:tc>
        <w:tc>
          <w:tcPr>
            <w:tcW w:w="746" w:type="dxa"/>
            <w:tcBorders>
              <w:left w:val="single" w:color="auto" w:sz="4" w:space="0"/>
              <w:right w:val="single" w:color="auto" w:sz="4" w:space="0"/>
            </w:tcBorders>
            <w:vAlign w:val="center"/>
          </w:tcPr>
          <w:p w14:paraId="2C097801">
            <w:pPr>
              <w:widowControl/>
              <w:adjustRightInd/>
              <w:snapToGrid/>
              <w:spacing w:after="0"/>
              <w:jc w:val="center"/>
              <w:rPr>
                <w:rFonts w:ascii="仿宋" w:hAnsi="仿宋" w:eastAsia="仿宋" w:cs="仿宋"/>
                <w:kern w:val="0"/>
                <w:sz w:val="24"/>
                <w:szCs w:val="24"/>
              </w:rPr>
            </w:pPr>
            <w:r>
              <w:rPr>
                <w:rFonts w:hint="eastAsia" w:ascii="仿宋" w:hAnsi="仿宋" w:eastAsia="仿宋" w:cs="仿宋"/>
                <w:kern w:val="2"/>
                <w:sz w:val="24"/>
                <w:szCs w:val="24"/>
              </w:rPr>
              <w:t>1</w:t>
            </w:r>
            <w:r>
              <w:rPr>
                <w:rFonts w:hint="eastAsia" w:ascii="仿宋" w:hAnsi="仿宋" w:eastAsia="仿宋" w:cs="仿宋"/>
                <w:kern w:val="2"/>
                <w:sz w:val="24"/>
                <w:szCs w:val="24"/>
                <w:lang w:val="en-US" w:eastAsia="zh-CN"/>
              </w:rPr>
              <w:t>2</w:t>
            </w:r>
            <w:r>
              <w:rPr>
                <w:rFonts w:hint="eastAsia" w:ascii="仿宋" w:hAnsi="仿宋" w:eastAsia="仿宋" w:cs="仿宋"/>
                <w:kern w:val="2"/>
                <w:sz w:val="24"/>
                <w:szCs w:val="24"/>
              </w:rPr>
              <w:t>分</w:t>
            </w:r>
          </w:p>
        </w:tc>
        <w:tc>
          <w:tcPr>
            <w:tcW w:w="5227" w:type="dxa"/>
            <w:tcBorders>
              <w:top w:val="single" w:color="auto" w:sz="4" w:space="0"/>
              <w:left w:val="single" w:color="auto" w:sz="4" w:space="0"/>
              <w:bottom w:val="single" w:color="auto" w:sz="4" w:space="0"/>
              <w:right w:val="single" w:color="auto" w:sz="4" w:space="0"/>
            </w:tcBorders>
            <w:vAlign w:val="center"/>
          </w:tcPr>
          <w:p w14:paraId="66DB2547">
            <w:pPr>
              <w:widowControl w:val="0"/>
              <w:adjustRightInd/>
              <w:snapToGrid/>
              <w:spacing w:after="0" w:line="240" w:lineRule="atLeast"/>
              <w:ind w:firstLine="438" w:firstLineChars="20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4、应急情况处理预案（12分）</w:t>
            </w:r>
          </w:p>
          <w:p w14:paraId="4D207EE3">
            <w:pPr>
              <w:widowControl w:val="0"/>
              <w:adjustRightInd/>
              <w:snapToGrid/>
              <w:spacing w:after="0" w:line="240" w:lineRule="atLeast"/>
              <w:ind w:firstLine="438" w:firstLineChars="20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根据供应商的应急情况处理预案的全面性、科学性、可行性等方面进行比较。</w:t>
            </w:r>
          </w:p>
          <w:p w14:paraId="6E452E85">
            <w:pPr>
              <w:widowControl w:val="0"/>
              <w:adjustRightInd/>
              <w:snapToGrid/>
              <w:spacing w:after="0" w:line="240" w:lineRule="atLeast"/>
              <w:ind w:firstLine="438"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方案合理，可行性强得12分；方案较合理，可行性一般得9分；方案内容粗略，可行性差，得6分；无方案或方案与项目无关得0分。</w:t>
            </w:r>
          </w:p>
        </w:tc>
        <w:tc>
          <w:tcPr>
            <w:tcW w:w="2447" w:type="dxa"/>
            <w:vMerge w:val="continue"/>
            <w:tcBorders>
              <w:left w:val="single" w:color="auto" w:sz="4" w:space="0"/>
              <w:right w:val="single" w:color="auto" w:sz="4" w:space="0"/>
            </w:tcBorders>
            <w:vAlign w:val="center"/>
          </w:tcPr>
          <w:p w14:paraId="485ADE54">
            <w:pPr>
              <w:widowControl w:val="0"/>
              <w:spacing w:after="120" w:line="240" w:lineRule="auto"/>
              <w:ind w:left="0" w:leftChars="0" w:firstLine="0" w:firstLineChars="0"/>
              <w:jc w:val="left"/>
              <w:rPr>
                <w:rFonts w:ascii="Calibri" w:hAnsi="Calibri" w:eastAsia="仿宋" w:cs="Times New Roman"/>
                <w:kern w:val="2"/>
                <w:sz w:val="44"/>
                <w:lang w:val="en-US" w:eastAsia="zh-CN" w:bidi="ar-SA"/>
              </w:rPr>
            </w:pPr>
          </w:p>
        </w:tc>
      </w:tr>
      <w:tr w14:paraId="06159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04" w:type="dxa"/>
            <w:vMerge w:val="continue"/>
            <w:tcBorders>
              <w:left w:val="single" w:color="auto" w:sz="4" w:space="0"/>
              <w:right w:val="single" w:color="auto" w:sz="4" w:space="0"/>
            </w:tcBorders>
            <w:vAlign w:val="center"/>
          </w:tcPr>
          <w:p w14:paraId="70E85A78">
            <w:pPr>
              <w:widowControl w:val="0"/>
              <w:adjustRightInd/>
              <w:snapToGrid/>
              <w:spacing w:after="0" w:line="240" w:lineRule="atLeast"/>
              <w:ind w:firstLine="28"/>
              <w:jc w:val="center"/>
              <w:rPr>
                <w:rFonts w:ascii="仿宋" w:hAnsi="仿宋" w:eastAsia="仿宋" w:cs="仿宋"/>
                <w:kern w:val="2"/>
                <w:sz w:val="24"/>
                <w:szCs w:val="24"/>
              </w:rPr>
            </w:pPr>
          </w:p>
        </w:tc>
        <w:tc>
          <w:tcPr>
            <w:tcW w:w="1294" w:type="dxa"/>
            <w:vMerge w:val="continue"/>
            <w:tcBorders>
              <w:left w:val="single" w:color="auto" w:sz="4" w:space="0"/>
              <w:right w:val="single" w:color="auto" w:sz="4" w:space="0"/>
            </w:tcBorders>
            <w:vAlign w:val="center"/>
          </w:tcPr>
          <w:p w14:paraId="4E1F7DE0">
            <w:pPr>
              <w:widowControl w:val="0"/>
              <w:adjustRightInd/>
              <w:snapToGrid/>
              <w:spacing w:after="0" w:line="240" w:lineRule="atLeast"/>
              <w:ind w:firstLine="28"/>
              <w:jc w:val="center"/>
              <w:rPr>
                <w:rFonts w:ascii="仿宋" w:hAnsi="仿宋" w:eastAsia="仿宋" w:cs="仿宋"/>
                <w:kern w:val="2"/>
                <w:sz w:val="24"/>
                <w:szCs w:val="24"/>
              </w:rPr>
            </w:pPr>
          </w:p>
        </w:tc>
        <w:tc>
          <w:tcPr>
            <w:tcW w:w="746" w:type="dxa"/>
            <w:tcBorders>
              <w:left w:val="single" w:color="auto" w:sz="4" w:space="0"/>
              <w:right w:val="single" w:color="auto" w:sz="4" w:space="0"/>
            </w:tcBorders>
            <w:vAlign w:val="center"/>
          </w:tcPr>
          <w:p w14:paraId="4D86BD9B">
            <w:pPr>
              <w:widowControl/>
              <w:adjustRightInd/>
              <w:snapToGrid/>
              <w:spacing w:after="0"/>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12分</w:t>
            </w:r>
          </w:p>
        </w:tc>
        <w:tc>
          <w:tcPr>
            <w:tcW w:w="5227" w:type="dxa"/>
            <w:tcBorders>
              <w:top w:val="single" w:color="auto" w:sz="4" w:space="0"/>
              <w:left w:val="single" w:color="auto" w:sz="4" w:space="0"/>
              <w:bottom w:val="single" w:color="auto" w:sz="4" w:space="0"/>
              <w:right w:val="single" w:color="auto" w:sz="4" w:space="0"/>
            </w:tcBorders>
            <w:vAlign w:val="center"/>
          </w:tcPr>
          <w:p w14:paraId="0EEB9FE4">
            <w:pPr>
              <w:widowControl w:val="0"/>
              <w:adjustRightInd/>
              <w:snapToGrid/>
              <w:spacing w:after="0" w:line="240" w:lineRule="atLeast"/>
              <w:ind w:firstLine="438" w:firstLineChars="20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5.拟投入本项目的设备配置方案（12分）</w:t>
            </w:r>
          </w:p>
          <w:p w14:paraId="427CAD0B">
            <w:pPr>
              <w:widowControl w:val="0"/>
              <w:adjustRightInd/>
              <w:snapToGrid/>
              <w:spacing w:after="0" w:line="240" w:lineRule="atLeast"/>
              <w:ind w:firstLine="438" w:firstLineChars="20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方案中体现出配置的设备机具功能丰富、细节处理能力强、先进、精密程度高得12分；方案中体现出配置的设备机具功能性一般，先进一般得9分；方案中体现出配置的设备机具功能性差，先进差得6分；无方案或方案与项目无关得0分。</w:t>
            </w:r>
          </w:p>
        </w:tc>
        <w:tc>
          <w:tcPr>
            <w:tcW w:w="2447" w:type="dxa"/>
            <w:vMerge w:val="continue"/>
            <w:tcBorders>
              <w:left w:val="single" w:color="auto" w:sz="4" w:space="0"/>
              <w:right w:val="single" w:color="auto" w:sz="4" w:space="0"/>
            </w:tcBorders>
            <w:vAlign w:val="center"/>
          </w:tcPr>
          <w:p w14:paraId="4332C6D8">
            <w:pPr>
              <w:widowControl w:val="0"/>
              <w:spacing w:after="120" w:line="240" w:lineRule="auto"/>
              <w:ind w:left="0" w:leftChars="0" w:firstLine="0" w:firstLineChars="0"/>
              <w:jc w:val="left"/>
              <w:rPr>
                <w:rFonts w:ascii="Calibri" w:hAnsi="Calibri" w:eastAsia="仿宋" w:cs="Times New Roman"/>
                <w:kern w:val="2"/>
                <w:sz w:val="44"/>
                <w:lang w:val="en-US" w:eastAsia="zh-CN" w:bidi="ar-SA"/>
              </w:rPr>
            </w:pPr>
          </w:p>
        </w:tc>
      </w:tr>
      <w:tr w14:paraId="1890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604" w:type="dxa"/>
            <w:tcBorders>
              <w:left w:val="single" w:color="auto" w:sz="4" w:space="0"/>
              <w:right w:val="single" w:color="auto" w:sz="4" w:space="0"/>
            </w:tcBorders>
            <w:vAlign w:val="center"/>
          </w:tcPr>
          <w:p w14:paraId="7D57A2F9">
            <w:pPr>
              <w:widowControl w:val="0"/>
              <w:adjustRightInd/>
              <w:snapToGrid/>
              <w:spacing w:after="0" w:line="240" w:lineRule="atLeast"/>
              <w:ind w:firstLine="28"/>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3</w:t>
            </w:r>
          </w:p>
        </w:tc>
        <w:tc>
          <w:tcPr>
            <w:tcW w:w="1294" w:type="dxa"/>
            <w:tcBorders>
              <w:left w:val="single" w:color="auto" w:sz="4" w:space="0"/>
              <w:right w:val="single" w:color="auto" w:sz="4" w:space="0"/>
            </w:tcBorders>
            <w:vAlign w:val="center"/>
          </w:tcPr>
          <w:p w14:paraId="340C9534">
            <w:pPr>
              <w:widowControl w:val="0"/>
              <w:adjustRightInd/>
              <w:snapToGrid/>
              <w:spacing w:after="0" w:line="240" w:lineRule="atLeast"/>
              <w:ind w:firstLine="28"/>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商务</w:t>
            </w:r>
          </w:p>
          <w:p w14:paraId="040120D1">
            <w:pPr>
              <w:widowControl w:val="0"/>
              <w:adjustRightInd/>
              <w:snapToGrid/>
              <w:spacing w:after="0" w:line="240" w:lineRule="atLeast"/>
              <w:ind w:firstLine="28"/>
              <w:jc w:val="center"/>
              <w:rPr>
                <w:rFonts w:ascii="仿宋" w:hAnsi="仿宋" w:eastAsia="仿宋" w:cs="仿宋"/>
                <w:kern w:val="2"/>
                <w:sz w:val="24"/>
                <w:szCs w:val="24"/>
              </w:rPr>
            </w:pPr>
            <w:r>
              <w:rPr>
                <w:rFonts w:hint="eastAsia" w:ascii="仿宋" w:hAnsi="仿宋" w:eastAsia="仿宋" w:cs="仿宋"/>
                <w:kern w:val="2"/>
                <w:sz w:val="24"/>
                <w:szCs w:val="24"/>
              </w:rPr>
              <w:t>部分</w:t>
            </w:r>
          </w:p>
          <w:p w14:paraId="66AFA418">
            <w:pPr>
              <w:widowControl w:val="0"/>
              <w:adjustRightInd/>
              <w:snapToGrid/>
              <w:spacing w:after="0" w:line="240" w:lineRule="atLeast"/>
              <w:ind w:firstLine="28"/>
              <w:jc w:val="center"/>
              <w:rPr>
                <w:rFonts w:hint="eastAsia" w:ascii="仿宋" w:hAnsi="仿宋" w:eastAsia="仿宋" w:cs="仿宋"/>
                <w:kern w:val="2"/>
                <w:sz w:val="24"/>
                <w:szCs w:val="24"/>
              </w:rPr>
            </w:pPr>
            <w:r>
              <w:rPr>
                <w:rFonts w:hint="eastAsia" w:ascii="仿宋" w:hAnsi="仿宋" w:eastAsia="仿宋" w:cs="仿宋"/>
                <w:kern w:val="2"/>
                <w:sz w:val="24"/>
                <w:szCs w:val="24"/>
              </w:rPr>
              <w:t>（</w:t>
            </w:r>
            <w:r>
              <w:rPr>
                <w:rFonts w:hint="eastAsia" w:ascii="仿宋" w:hAnsi="仿宋" w:eastAsia="仿宋" w:cs="仿宋"/>
                <w:kern w:val="2"/>
                <w:sz w:val="24"/>
                <w:szCs w:val="24"/>
                <w:lang w:val="en-US" w:eastAsia="zh-CN"/>
              </w:rPr>
              <w:t>10</w:t>
            </w:r>
            <w:r>
              <w:rPr>
                <w:rFonts w:hint="eastAsia" w:ascii="仿宋" w:hAnsi="仿宋" w:eastAsia="仿宋" w:cs="仿宋"/>
                <w:kern w:val="2"/>
                <w:sz w:val="24"/>
                <w:szCs w:val="24"/>
              </w:rPr>
              <w:t>%）</w:t>
            </w:r>
          </w:p>
        </w:tc>
        <w:tc>
          <w:tcPr>
            <w:tcW w:w="746" w:type="dxa"/>
            <w:tcBorders>
              <w:left w:val="single" w:color="auto" w:sz="4" w:space="0"/>
              <w:right w:val="single" w:color="auto" w:sz="4" w:space="0"/>
            </w:tcBorders>
            <w:vAlign w:val="center"/>
          </w:tcPr>
          <w:p w14:paraId="093B03C1">
            <w:pPr>
              <w:widowControl/>
              <w:adjustRightInd/>
              <w:snapToGrid/>
              <w:spacing w:after="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10分</w:t>
            </w:r>
          </w:p>
        </w:tc>
        <w:tc>
          <w:tcPr>
            <w:tcW w:w="5227" w:type="dxa"/>
            <w:tcBorders>
              <w:top w:val="single" w:color="auto" w:sz="4" w:space="0"/>
              <w:left w:val="single" w:color="auto" w:sz="4" w:space="0"/>
              <w:bottom w:val="single" w:color="auto" w:sz="4" w:space="0"/>
              <w:right w:val="single" w:color="auto" w:sz="4" w:space="0"/>
            </w:tcBorders>
            <w:vAlign w:val="center"/>
          </w:tcPr>
          <w:p w14:paraId="34471B89">
            <w:pPr>
              <w:widowControl w:val="0"/>
              <w:adjustRightInd/>
              <w:snapToGrid/>
              <w:spacing w:after="0" w:line="240" w:lineRule="atLeast"/>
              <w:ind w:firstLine="438" w:firstLineChars="20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人员配置（10分）</w:t>
            </w:r>
          </w:p>
          <w:p w14:paraId="1D38E5A1">
            <w:pPr>
              <w:keepNext w:val="0"/>
              <w:keepLines w:val="0"/>
              <w:pageBreakBefore w:val="0"/>
              <w:widowControl w:val="0"/>
              <w:kinsoku/>
              <w:wordWrap/>
              <w:overflowPunct/>
              <w:topLinePunct w:val="0"/>
              <w:autoSpaceDE/>
              <w:autoSpaceDN/>
              <w:bidi w:val="0"/>
              <w:adjustRightInd/>
              <w:snapToGrid/>
              <w:spacing w:after="0" w:line="240" w:lineRule="atLeast"/>
              <w:ind w:firstLine="438" w:firstLineChars="200"/>
              <w:jc w:val="left"/>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方案中体现出配置的人员有丰富的工作经验、专业能力强，有明确组织结构得10分；方案中体现出配置的人员有工作经验、专业对口，有组织结构的得6分；方案内容粗略但配置的人员有工作经验的，得3分；无方案或方案与项目无关得0分。</w:t>
            </w:r>
          </w:p>
        </w:tc>
        <w:tc>
          <w:tcPr>
            <w:tcW w:w="2447" w:type="dxa"/>
            <w:tcBorders>
              <w:left w:val="single" w:color="auto" w:sz="4" w:space="0"/>
              <w:right w:val="single" w:color="auto" w:sz="4" w:space="0"/>
            </w:tcBorders>
            <w:vAlign w:val="center"/>
          </w:tcPr>
          <w:p w14:paraId="58D01196">
            <w:pPr>
              <w:widowControl w:val="0"/>
              <w:spacing w:after="120" w:line="240" w:lineRule="auto"/>
              <w:ind w:left="0" w:leftChars="0" w:firstLine="0" w:firstLineChars="0"/>
              <w:jc w:val="left"/>
              <w:rPr>
                <w:rFonts w:hint="eastAsia" w:ascii="仿宋" w:hAnsi="仿宋" w:eastAsia="仿宋" w:cs="仿宋"/>
                <w:kern w:val="2"/>
                <w:sz w:val="24"/>
                <w:highlight w:val="none"/>
                <w:lang w:val="en-US" w:eastAsia="zh-CN" w:bidi="ar-SA"/>
              </w:rPr>
            </w:pPr>
            <w:r>
              <w:rPr>
                <w:rFonts w:hint="eastAsia" w:ascii="仿宋" w:hAnsi="仿宋" w:eastAsia="仿宋" w:cs="仿宋"/>
                <w:b/>
                <w:bCs/>
                <w:kern w:val="2"/>
                <w:sz w:val="24"/>
                <w:highlight w:val="none"/>
                <w:lang w:val="en-US" w:eastAsia="zh-CN" w:bidi="ar-SA"/>
              </w:rPr>
              <w:t>提供人员配置方案及相关证明材料。</w:t>
            </w:r>
          </w:p>
        </w:tc>
      </w:tr>
    </w:tbl>
    <w:p w14:paraId="6D6D8495">
      <w:pPr>
        <w:spacing w:after="0" w:line="600" w:lineRule="exact"/>
        <w:ind w:firstLine="598" w:firstLineChars="200"/>
        <w:jc w:val="both"/>
        <w:rPr>
          <w:rFonts w:ascii="Times New Roman" w:hAnsi="Times New Roman" w:eastAsia="方正黑体_GBK"/>
          <w:sz w:val="32"/>
          <w:szCs w:val="32"/>
        </w:rPr>
      </w:pPr>
    </w:p>
    <w:p w14:paraId="64968855">
      <w:pPr>
        <w:spacing w:after="0" w:line="600" w:lineRule="exact"/>
        <w:ind w:firstLine="598" w:firstLineChars="200"/>
        <w:jc w:val="both"/>
        <w:rPr>
          <w:rFonts w:ascii="Times New Roman" w:hAnsi="Times New Roman" w:eastAsia="方正黑体_GBK"/>
          <w:sz w:val="32"/>
          <w:szCs w:val="32"/>
        </w:rPr>
      </w:pPr>
      <w:r>
        <w:rPr>
          <w:rFonts w:hint="eastAsia" w:ascii="Times New Roman" w:hAnsi="Times New Roman" w:eastAsia="方正黑体_GBK"/>
          <w:sz w:val="32"/>
          <w:szCs w:val="32"/>
        </w:rPr>
        <w:t>十三、</w:t>
      </w:r>
      <w:r>
        <w:rPr>
          <w:rFonts w:hint="eastAsia" w:ascii="Times New Roman" w:hAnsi="Times New Roman" w:eastAsia="方正黑体_GBK"/>
          <w:sz w:val="32"/>
          <w:szCs w:val="32"/>
          <w:lang w:val="en-US" w:eastAsia="zh-CN"/>
        </w:rPr>
        <w:t>成</w:t>
      </w:r>
      <w:r>
        <w:rPr>
          <w:rFonts w:hint="eastAsia" w:ascii="Times New Roman" w:hAnsi="Times New Roman" w:eastAsia="方正黑体_GBK"/>
          <w:sz w:val="32"/>
          <w:szCs w:val="32"/>
        </w:rPr>
        <w:t>交供应商的确认和变更</w:t>
      </w:r>
    </w:p>
    <w:p w14:paraId="3398B3C0">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（一）成交供应商的确认</w:t>
      </w:r>
    </w:p>
    <w:p w14:paraId="355E0CB8">
      <w:pPr>
        <w:spacing w:after="0" w:line="600" w:lineRule="exact"/>
        <w:ind w:firstLine="598"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采购人对供应商的响应文件进行评分，得分排名第一的供应商为成交供应商</w:t>
      </w:r>
      <w:r>
        <w:rPr>
          <w:rFonts w:hint="eastAsia" w:ascii="Times New Roman" w:hAnsi="Times New Roman" w:eastAsia="方正仿宋_GBK"/>
          <w:sz w:val="32"/>
          <w:szCs w:val="32"/>
          <w:lang w:eastAsia="zh-CN"/>
        </w:rPr>
        <w:t>。未入围的报名供应商不参与评审。</w:t>
      </w:r>
    </w:p>
    <w:p w14:paraId="456A90E6">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（二）成交供应商的变更</w:t>
      </w:r>
    </w:p>
    <w:p w14:paraId="255AA174">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除不可抗力等因素外，成交通知书发出后，采购人改变成交结果，或者成交供应商拒绝签订政府采购合同的，应当承担相应的法律责任。</w:t>
      </w:r>
    </w:p>
    <w:p w14:paraId="3D4DF9A9">
      <w:pPr>
        <w:spacing w:after="0" w:line="600" w:lineRule="exact"/>
        <w:ind w:firstLine="598" w:firstLineChars="200"/>
        <w:jc w:val="both"/>
        <w:rPr>
          <w:rFonts w:hint="eastAsia" w:ascii="Times New Roman" w:hAnsi="Times New Roman" w:eastAsia="方正仿宋_GBK"/>
          <w:color w:val="000000"/>
          <w:sz w:val="44"/>
          <w:szCs w:val="44"/>
          <w:lang w:val="en-US" w:eastAsia="zh-CN"/>
        </w:rPr>
      </w:pPr>
      <w:r>
        <w:rPr>
          <w:rFonts w:hint="eastAsia" w:ascii="Times New Roman" w:hAnsi="Times New Roman" w:eastAsia="方正仿宋_GBK"/>
          <w:sz w:val="32"/>
          <w:szCs w:val="32"/>
        </w:rPr>
        <w:t>成交供应商拒绝签订政府采购合同的，采购人可以按照《政府采购竞争性磋商采购方式管理暂行办法》第三十三条、第二十八条第二款规定的原则确定其他供应商作为成交供应商并签订政府采购合同，也可以重新开展采购活动。拒绝签订政府采购合同的成交供应商不得参加对该项目重新开展的采购活动</w:t>
      </w:r>
      <w:r>
        <w:rPr>
          <w:rFonts w:hint="eastAsia" w:ascii="Times New Roman" w:hAnsi="Times New Roman" w:eastAsia="方正仿宋_GBK"/>
          <w:sz w:val="32"/>
          <w:szCs w:val="32"/>
          <w:lang w:eastAsia="zh-CN"/>
        </w:rPr>
        <w:t>。</w:t>
      </w:r>
    </w:p>
    <w:p w14:paraId="46E1D9CB">
      <w:pPr>
        <w:keepNext w:val="0"/>
        <w:keepLines w:val="0"/>
        <w:pageBreakBefore w:val="0"/>
        <w:widowControl/>
        <w:kinsoku/>
        <w:wordWrap/>
        <w:overflowPunct/>
        <w:topLinePunct w:val="0"/>
        <w:autoSpaceDE/>
        <w:autoSpaceDN/>
        <w:bidi w:val="0"/>
        <w:adjustRightInd w:val="0"/>
        <w:snapToGrid w:val="0"/>
        <w:spacing w:after="0" w:line="600" w:lineRule="exact"/>
        <w:ind w:firstLine="598" w:firstLineChars="200"/>
        <w:jc w:val="both"/>
        <w:textAlignment w:val="auto"/>
        <w:rPr>
          <w:rFonts w:ascii="Times New Roman" w:hAnsi="Times New Roman" w:eastAsia="方正黑体_GBK"/>
          <w:sz w:val="32"/>
          <w:szCs w:val="32"/>
        </w:rPr>
      </w:pPr>
      <w:r>
        <w:rPr>
          <w:rFonts w:hint="eastAsia" w:ascii="Times New Roman" w:hAnsi="Times New Roman" w:eastAsia="方正黑体_GBK"/>
          <w:sz w:val="32"/>
          <w:szCs w:val="32"/>
        </w:rPr>
        <w:t>十四、成交通知</w:t>
      </w:r>
    </w:p>
    <w:p w14:paraId="66AE0640">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（一）成交供应商确定后，将在大渡口区政府门户网站上发布成交结果公告。</w:t>
      </w:r>
    </w:p>
    <w:p w14:paraId="43E41063">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（二）结果公告发出同时，采购人将以书面形式发出《成交通知书》。《成交通知书》一经发出即发生法律效力。</w:t>
      </w:r>
    </w:p>
    <w:p w14:paraId="0E90103D">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（三）《成交通知书》将作为签订合同的依据。</w:t>
      </w:r>
    </w:p>
    <w:p w14:paraId="4ED5C7F8">
      <w:pPr>
        <w:spacing w:after="0" w:line="594" w:lineRule="exact"/>
        <w:ind w:firstLine="838"/>
        <w:jc w:val="center"/>
        <w:rPr>
          <w:rFonts w:ascii="Times New Roman" w:hAnsi="Times New Roman" w:eastAsia="方正小标宋_GBK"/>
          <w:color w:val="000000"/>
          <w:sz w:val="44"/>
          <w:szCs w:val="44"/>
        </w:rPr>
      </w:pPr>
    </w:p>
    <w:p w14:paraId="0F1F9EEC">
      <w:pPr>
        <w:pStyle w:val="3"/>
        <w:tabs>
          <w:tab w:val="clear" w:pos="3360"/>
        </w:tabs>
        <w:spacing w:before="196" w:after="196" w:line="600" w:lineRule="exact"/>
        <w:ind w:firstLine="838"/>
        <w:rPr>
          <w:rFonts w:ascii="宋体" w:hAnsi="宋体" w:eastAsia="宋体" w:cs="宋体"/>
          <w:sz w:val="24"/>
          <w:szCs w:val="24"/>
        </w:rPr>
      </w:pPr>
      <w:r>
        <w:rPr>
          <w:rFonts w:eastAsia="方正小标宋_GBK"/>
          <w:color w:val="000000"/>
          <w:szCs w:val="44"/>
        </w:rPr>
        <w:br w:type="page"/>
      </w:r>
      <w:r>
        <w:rPr>
          <w:rFonts w:hint="eastAsia" w:eastAsia="方正小标宋_GBK"/>
          <w:color w:val="000000"/>
          <w:kern w:val="0"/>
          <w:szCs w:val="44"/>
        </w:rPr>
        <w:t>合同主要条款和格式合同（样本）</w:t>
      </w:r>
    </w:p>
    <w:p w14:paraId="1E750E6C">
      <w:pPr>
        <w:spacing w:after="0" w:line="600" w:lineRule="exact"/>
        <w:jc w:val="both"/>
        <w:rPr>
          <w:rFonts w:ascii="Times New Roman" w:hAnsi="Times New Roman" w:eastAsia="方正黑体_GBK"/>
          <w:sz w:val="32"/>
          <w:szCs w:val="32"/>
        </w:rPr>
      </w:pPr>
      <w:bookmarkStart w:id="0" w:name="_Toc10399"/>
      <w:r>
        <w:rPr>
          <w:rFonts w:hint="eastAsia" w:ascii="Times New Roman" w:hAnsi="Times New Roman" w:eastAsia="方正黑体_GBK"/>
          <w:sz w:val="32"/>
          <w:szCs w:val="32"/>
        </w:rPr>
        <w:t>一、合同主要条款</w:t>
      </w:r>
      <w:bookmarkEnd w:id="0"/>
    </w:p>
    <w:p w14:paraId="0C028EC5">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1.定义</w:t>
      </w:r>
    </w:p>
    <w:p w14:paraId="35AA4FA3">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（1）甲方（需方）即采购人，是指通过招标采购，接受合同服务的各级国家机关、事业单位和团体组织。</w:t>
      </w:r>
    </w:p>
    <w:p w14:paraId="36AD7636">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（2）乙方（供方）即中标人，是指中标后提供合同服务的自然人、法人及其他组织。</w:t>
      </w:r>
    </w:p>
    <w:p w14:paraId="218DDFCA">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（3）合同是指由甲乙双方按照招标文件和投标文件的实质性内容，通过协商一致达成的书面协议。</w:t>
      </w:r>
    </w:p>
    <w:p w14:paraId="09EC56E3">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（4）合同价格指以中标价格为依据，在供方全面履行合同义务后，需方（或财政部门）应支付给供方的金额。</w:t>
      </w:r>
    </w:p>
    <w:p w14:paraId="636DAA5F">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2.服务内容</w:t>
      </w:r>
    </w:p>
    <w:p w14:paraId="60621896">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合同包括以下内容：服务名称、实施方式、服务期限、服务成果等内容。</w:t>
      </w:r>
    </w:p>
    <w:p w14:paraId="044EC2E8">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3.合同价格</w:t>
      </w:r>
    </w:p>
    <w:p w14:paraId="76F7CF4D">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（1）合同价格即合同总价。</w:t>
      </w:r>
    </w:p>
    <w:p w14:paraId="57F2ABCC">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（2）合同价格包括提供服务所需提供的所有人、财、物、税费等一切费用，所有税费由乙方负担。</w:t>
      </w:r>
    </w:p>
    <w:p w14:paraId="7E0F188D">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（3）合同价格为不变价。</w:t>
      </w:r>
    </w:p>
    <w:p w14:paraId="1C7E4C2A">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4.转包或分包</w:t>
      </w:r>
    </w:p>
    <w:p w14:paraId="0F3F1B4E">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（1）本合同范围的服务，应由乙方直接供应，不得转让他人供应；</w:t>
      </w:r>
    </w:p>
    <w:p w14:paraId="3A1725E1">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（2）如有转让和未经甲方同意的分包行为，甲方有权解除合同，没收履约保证金并追究乙方的违约责任。</w:t>
      </w:r>
    </w:p>
    <w:p w14:paraId="4D78885D">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5.质量保证及售后服务</w:t>
      </w:r>
    </w:p>
    <w:p w14:paraId="29CD7E6D">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5.1乙方应按招标文件规定的服务要求、质量标准向甲方保质保量</w:t>
      </w:r>
      <w:r>
        <w:rPr>
          <w:rFonts w:hint="eastAsia" w:ascii="Times New Roman" w:hAnsi="Times New Roman" w:eastAsia="方正仿宋_GBK"/>
          <w:sz w:val="32"/>
          <w:szCs w:val="32"/>
          <w:lang w:eastAsia="zh-CN"/>
        </w:rPr>
        <w:t>地</w:t>
      </w:r>
      <w:r>
        <w:rPr>
          <w:rFonts w:hint="eastAsia" w:ascii="Times New Roman" w:hAnsi="Times New Roman" w:eastAsia="方正仿宋_GBK"/>
          <w:sz w:val="32"/>
          <w:szCs w:val="32"/>
        </w:rPr>
        <w:t>提供服务。</w:t>
      </w:r>
    </w:p>
    <w:p w14:paraId="0E376CAF">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5.2乙方提供的服务如果存在质量问题，乙方应负责更正。对达不到服务要求者，根据实际情况，经双方协商，可按以下办法处理：</w:t>
      </w:r>
    </w:p>
    <w:p w14:paraId="3177665C">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5.2.1重做：由乙方承担所发生的全部费用。</w:t>
      </w:r>
    </w:p>
    <w:p w14:paraId="2B5FA144">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5.2.2贬值处理：由甲乙双方合议定价。</w:t>
      </w:r>
    </w:p>
    <w:p w14:paraId="28BD8F06">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5.2.3退款处理：乙方应退还甲方支付的合同款。</w:t>
      </w:r>
    </w:p>
    <w:p w14:paraId="118EF1B4">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5.3乙方应对服务过程中出现的安全问题负责处理解决并承担一切费用。</w:t>
      </w:r>
    </w:p>
    <w:p w14:paraId="556A0B92">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6.付款</w:t>
      </w:r>
    </w:p>
    <w:p w14:paraId="228289C1">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6.1本合同使用货币币制如未作特别说明均为人民币。</w:t>
      </w:r>
    </w:p>
    <w:p w14:paraId="07DFD78D">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6.2付款方式：银行转账、现金支票。</w:t>
      </w:r>
    </w:p>
    <w:p w14:paraId="7CB9B7C7">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6.3付款方法：同本项目“第三篇 商务条款”中关于付款方式的约定。</w:t>
      </w:r>
    </w:p>
    <w:p w14:paraId="380911F5">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7.检查验收</w:t>
      </w:r>
    </w:p>
    <w:p w14:paraId="26C0178A">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（1）服务验收</w:t>
      </w:r>
    </w:p>
    <w:p w14:paraId="53980E90">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供方所供服务的各种指标不得低于招标文件和投标文件的约定，服务质量要求按照招标文件和投标文件的内容执行。</w:t>
      </w:r>
    </w:p>
    <w:p w14:paraId="0A0887B4">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（2）货物验收报告应由需方、供方经办人签字，并加盖双方公章，以此作为支付凭据。</w:t>
      </w:r>
    </w:p>
    <w:p w14:paraId="22FE7310">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8.索赔</w:t>
      </w:r>
    </w:p>
    <w:p w14:paraId="703133EA">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供方对所提供服务与合同要求不符负有责任，并且需方提出索赔，供方应按需方同意的下述一种或多种方法解决索赔事宜。</w:t>
      </w:r>
    </w:p>
    <w:p w14:paraId="4DE7C0BC">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（1）供方同意需方拒绝服务并把拒绝部分的金额以合同规定的同类货币付给需方，供方负担发生的一切损失和费用。</w:t>
      </w:r>
    </w:p>
    <w:p w14:paraId="375DC346">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（2）根据服务的疵劣和受损程度以及需方遭受损失的金额，经双方同意降低服务价格。</w:t>
      </w:r>
    </w:p>
    <w:p w14:paraId="77AEA42F">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9.知识产权</w:t>
      </w:r>
    </w:p>
    <w:p w14:paraId="2148611D">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甲方在中华人民共和国境内使用乙方提供的服务时免受第三方提出的侵犯其专利权或</w:t>
      </w:r>
      <w:r>
        <w:rPr>
          <w:rFonts w:hint="eastAsia" w:ascii="Times New Roman" w:hAnsi="Times New Roman" w:eastAsia="方正仿宋_GBK"/>
          <w:sz w:val="32"/>
          <w:szCs w:val="32"/>
          <w:lang w:eastAsia="zh-CN"/>
        </w:rPr>
        <w:t>其他</w:t>
      </w:r>
      <w:r>
        <w:rPr>
          <w:rFonts w:hint="eastAsia" w:ascii="Times New Roman" w:hAnsi="Times New Roman" w:eastAsia="方正仿宋_GBK"/>
          <w:sz w:val="32"/>
          <w:szCs w:val="32"/>
        </w:rPr>
        <w:t>知识产权的起诉。如果第三方提出侵权指控，乙方应承担由此而引起的一切法律责任和费用。</w:t>
      </w:r>
    </w:p>
    <w:p w14:paraId="0F30DBF1">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10.合同争议的解决</w:t>
      </w:r>
    </w:p>
    <w:p w14:paraId="5C131EE2">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（1）当事人友好协商达成一致</w:t>
      </w:r>
    </w:p>
    <w:p w14:paraId="4B96CA1A">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（2）在60天内当事人协商不能达成协议的，可提请采购人当地仲裁机构仲裁。</w:t>
      </w:r>
    </w:p>
    <w:p w14:paraId="6BF6D1C7">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11.违约责任</w:t>
      </w:r>
    </w:p>
    <w:p w14:paraId="5B0CEBB4">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按《中华人民共和国合同法》、《中华人民共和国政府采购法》有关条款，或由供需双方约定。</w:t>
      </w:r>
    </w:p>
    <w:p w14:paraId="748483CA">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12.合同生效及其</w:t>
      </w:r>
      <w:r>
        <w:rPr>
          <w:rFonts w:hint="eastAsia" w:ascii="Times New Roman" w:hAnsi="Times New Roman" w:eastAsia="方正仿宋_GBK"/>
          <w:sz w:val="32"/>
          <w:szCs w:val="32"/>
          <w:lang w:eastAsia="zh-CN"/>
        </w:rPr>
        <w:t>他</w:t>
      </w:r>
    </w:p>
    <w:p w14:paraId="442DD6F1">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（1）合同生效及其效力应符合《中华人民共和国合同法》有关规定。</w:t>
      </w:r>
    </w:p>
    <w:p w14:paraId="670A878E">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（2）合同应经当事人法定代表人或委托代理人签字，加盖双方合同专用章或公章。</w:t>
      </w:r>
    </w:p>
    <w:p w14:paraId="1A2576C4">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（3）合同所包括附件，是合同不可分割的一部分，具有</w:t>
      </w:r>
      <w:r>
        <w:rPr>
          <w:rFonts w:hint="eastAsia" w:ascii="Times New Roman" w:hAnsi="Times New Roman" w:eastAsia="方正仿宋_GBK"/>
          <w:sz w:val="32"/>
          <w:szCs w:val="32"/>
          <w:lang w:eastAsia="zh-CN"/>
        </w:rPr>
        <w:t>同等</w:t>
      </w:r>
      <w:r>
        <w:rPr>
          <w:rFonts w:hint="eastAsia" w:ascii="Times New Roman" w:hAnsi="Times New Roman" w:eastAsia="方正仿宋_GBK"/>
          <w:sz w:val="32"/>
          <w:szCs w:val="32"/>
        </w:rPr>
        <w:t>法律效力。</w:t>
      </w:r>
    </w:p>
    <w:p w14:paraId="1CD93A8E">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（4）合同需提供担保的，按《中华人民共和国担保法》规定执行。</w:t>
      </w:r>
    </w:p>
    <w:p w14:paraId="1593DD6A">
      <w:pPr>
        <w:spacing w:after="0" w:line="600" w:lineRule="exact"/>
        <w:ind w:firstLine="598"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（5）本合同条件未尽事宜依照《中华人民共和国合同法》，由供需双方共同协商确定。</w:t>
      </w:r>
    </w:p>
    <w:p w14:paraId="1E8822A5">
      <w:pPr>
        <w:spacing w:line="520" w:lineRule="exact"/>
        <w:ind w:firstLine="598"/>
        <w:rPr>
          <w:rFonts w:ascii="宋体" w:hAnsi="宋体" w:cs="宋体"/>
          <w:szCs w:val="28"/>
        </w:rPr>
        <w:sectPr>
          <w:pgSz w:w="11907" w:h="16840"/>
          <w:pgMar w:top="1134" w:right="1191" w:bottom="1134" w:left="1304" w:header="794" w:footer="992" w:gutter="0"/>
          <w:cols w:space="720" w:num="1"/>
          <w:docGrid w:type="linesAndChars" w:linePitch="393" w:charSpace="-4325"/>
        </w:sectPr>
      </w:pPr>
    </w:p>
    <w:p w14:paraId="23FF8DA1">
      <w:pPr>
        <w:spacing w:after="0" w:line="600" w:lineRule="exact"/>
        <w:ind w:firstLine="640"/>
        <w:jc w:val="both"/>
        <w:rPr>
          <w:rFonts w:ascii="Times New Roman" w:hAnsi="Times New Roman" w:eastAsia="方正黑体_GBK"/>
          <w:sz w:val="32"/>
          <w:szCs w:val="32"/>
        </w:rPr>
      </w:pPr>
      <w:bookmarkStart w:id="1" w:name="_Toc14573"/>
      <w:bookmarkStart w:id="2" w:name="_Toc26229"/>
      <w:bookmarkStart w:id="3" w:name="_Toc10662"/>
      <w:bookmarkStart w:id="4" w:name="_Toc2161"/>
      <w:bookmarkStart w:id="5" w:name="_Toc10988"/>
      <w:bookmarkStart w:id="6" w:name="_Toc19161"/>
      <w:bookmarkStart w:id="7" w:name="_Toc26946"/>
      <w:bookmarkStart w:id="8" w:name="_Toc14544"/>
      <w:bookmarkStart w:id="9" w:name="_Toc22133"/>
      <w:bookmarkStart w:id="10" w:name="_Toc2515"/>
      <w:bookmarkStart w:id="11" w:name="_Toc17142"/>
      <w:bookmarkStart w:id="12" w:name="_Toc14371"/>
      <w:r>
        <w:rPr>
          <w:rFonts w:hint="eastAsia" w:ascii="Times New Roman" w:hAnsi="Times New Roman" w:eastAsia="方正黑体_GBK"/>
          <w:sz w:val="32"/>
          <w:szCs w:val="32"/>
        </w:rPr>
        <w:t>二、政府采购合同（格式）</w:t>
      </w:r>
    </w:p>
    <w:p w14:paraId="778BD920">
      <w:pPr>
        <w:spacing w:beforeLines="100" w:line="500" w:lineRule="exact"/>
        <w:ind w:firstLine="880"/>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重庆市政府采购合同</w:t>
      </w:r>
      <w:bookmarkEnd w:id="1"/>
      <w:bookmarkEnd w:id="2"/>
      <w:bookmarkEnd w:id="3"/>
      <w:bookmarkEnd w:id="4"/>
      <w:bookmarkEnd w:id="5"/>
      <w:bookmarkEnd w:id="6"/>
      <w:bookmarkEnd w:id="7"/>
      <w:bookmarkEnd w:id="8"/>
      <w:bookmarkEnd w:id="9"/>
      <w:bookmarkEnd w:id="10"/>
      <w:bookmarkEnd w:id="11"/>
      <w:bookmarkEnd w:id="12"/>
      <w:r>
        <w:rPr>
          <w:rFonts w:hint="eastAsia" w:ascii="Times New Roman" w:hAnsi="Times New Roman" w:eastAsia="方正小标宋_GBK"/>
          <w:color w:val="000000"/>
          <w:sz w:val="44"/>
          <w:szCs w:val="44"/>
        </w:rPr>
        <w:t>（样本）</w:t>
      </w:r>
    </w:p>
    <w:p w14:paraId="28681A8D">
      <w:pPr>
        <w:spacing w:after="0" w:line="594" w:lineRule="exact"/>
        <w:ind w:firstLine="640" w:firstLineChars="200"/>
        <w:jc w:val="center"/>
        <w:rPr>
          <w:rFonts w:ascii="Times New Roman" w:hAnsi="Times New Roman" w:eastAsia="方正仿宋_GBK"/>
          <w:sz w:val="32"/>
          <w:szCs w:val="32"/>
        </w:rPr>
      </w:pPr>
      <w:r>
        <w:rPr>
          <w:rFonts w:hint="eastAsia" w:ascii="Times New Roman" w:hAnsi="Times New Roman" w:eastAsia="方正仿宋_GBK"/>
          <w:sz w:val="32"/>
          <w:szCs w:val="32"/>
        </w:rPr>
        <w:t>（项目号：     ）</w:t>
      </w:r>
    </w:p>
    <w:p w14:paraId="46BD58D6">
      <w:pP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甲方（需方）：___________________________      计价单位：____________</w:t>
      </w:r>
    </w:p>
    <w:p w14:paraId="584F45E9">
      <w:pP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乙方（供方）：___________________________      计量单位：_____________</w:t>
      </w:r>
    </w:p>
    <w:p w14:paraId="297C3D56">
      <w:pPr>
        <w:spacing w:after="0" w:line="594" w:lineRule="exact"/>
        <w:ind w:firstLine="640" w:firstLineChars="200"/>
        <w:jc w:val="both"/>
        <w:rPr>
          <w:rFonts w:ascii="Times New Roman" w:hAnsi="Times New Roman" w:eastAsia="方正仿宋_GBK"/>
          <w:sz w:val="32"/>
          <w:szCs w:val="32"/>
        </w:rPr>
      </w:pPr>
    </w:p>
    <w:p w14:paraId="58A6F246">
      <w:pP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经双方协商一致，达成以下购销合同：</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14:paraId="3C67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2BEFB93E">
            <w:pPr>
              <w:pBdr>
                <w:top w:val="none" w:color="auto" w:sz="0" w:space="1"/>
                <w:left w:val="none" w:color="auto" w:sz="0" w:space="4"/>
                <w:bottom w:val="none" w:color="auto" w:sz="0" w:space="1"/>
                <w:right w:val="none" w:color="auto" w:sz="0" w:space="4"/>
              </w:pBdr>
              <w:spacing w:after="0" w:line="594" w:lineRule="exact"/>
              <w:jc w:val="center"/>
              <w:rPr>
                <w:rFonts w:ascii="Times New Roman" w:hAnsi="Times New Roman" w:eastAsia="方正仿宋_GBK"/>
                <w:sz w:val="32"/>
                <w:szCs w:val="32"/>
              </w:rPr>
            </w:pPr>
            <w:r>
              <w:rPr>
                <w:rFonts w:hint="eastAsia" w:ascii="Times New Roman" w:hAnsi="Times New Roman" w:eastAsia="方正仿宋_GBK"/>
                <w:sz w:val="28"/>
                <w:szCs w:val="32"/>
              </w:rPr>
              <w:t>商品名称</w:t>
            </w:r>
          </w:p>
        </w:tc>
        <w:tc>
          <w:tcPr>
            <w:tcW w:w="1741" w:type="dxa"/>
            <w:vAlign w:val="center"/>
          </w:tcPr>
          <w:p w14:paraId="3896AA29">
            <w:pPr>
              <w:pBdr>
                <w:top w:val="none" w:color="auto" w:sz="0" w:space="1"/>
                <w:left w:val="none" w:color="auto" w:sz="0" w:space="4"/>
                <w:bottom w:val="none" w:color="auto" w:sz="0" w:space="1"/>
                <w:right w:val="none" w:color="auto" w:sz="0" w:space="4"/>
              </w:pBdr>
              <w:spacing w:after="0" w:line="594" w:lineRule="exact"/>
              <w:jc w:val="center"/>
              <w:rPr>
                <w:rFonts w:ascii="Times New Roman" w:hAnsi="Times New Roman" w:eastAsia="方正仿宋_GBK"/>
                <w:sz w:val="32"/>
                <w:szCs w:val="32"/>
              </w:rPr>
            </w:pPr>
            <w:r>
              <w:rPr>
                <w:rFonts w:hint="eastAsia" w:ascii="Times New Roman" w:hAnsi="Times New Roman" w:eastAsia="方正仿宋_GBK"/>
                <w:sz w:val="32"/>
                <w:szCs w:val="32"/>
              </w:rPr>
              <w:t>规格型号</w:t>
            </w:r>
          </w:p>
        </w:tc>
        <w:tc>
          <w:tcPr>
            <w:tcW w:w="984" w:type="dxa"/>
            <w:vAlign w:val="center"/>
          </w:tcPr>
          <w:p w14:paraId="4214784E">
            <w:pPr>
              <w:pBdr>
                <w:top w:val="none" w:color="auto" w:sz="0" w:space="1"/>
                <w:left w:val="none" w:color="auto" w:sz="0" w:space="4"/>
                <w:bottom w:val="none" w:color="auto" w:sz="0" w:space="1"/>
                <w:right w:val="none" w:color="auto" w:sz="0" w:space="4"/>
              </w:pBdr>
              <w:spacing w:after="0" w:line="594" w:lineRule="exact"/>
              <w:jc w:val="center"/>
              <w:rPr>
                <w:rFonts w:ascii="Times New Roman" w:hAnsi="Times New Roman" w:eastAsia="方正仿宋_GBK"/>
                <w:sz w:val="32"/>
                <w:szCs w:val="32"/>
              </w:rPr>
            </w:pPr>
            <w:r>
              <w:rPr>
                <w:rFonts w:hint="eastAsia" w:ascii="Times New Roman" w:hAnsi="Times New Roman" w:eastAsia="方正仿宋_GBK"/>
                <w:sz w:val="32"/>
                <w:szCs w:val="32"/>
              </w:rPr>
              <w:t>数量</w:t>
            </w:r>
          </w:p>
        </w:tc>
        <w:tc>
          <w:tcPr>
            <w:tcW w:w="1298" w:type="dxa"/>
            <w:gridSpan w:val="2"/>
            <w:vAlign w:val="center"/>
          </w:tcPr>
          <w:p w14:paraId="73BE50C2">
            <w:pPr>
              <w:pBdr>
                <w:top w:val="none" w:color="auto" w:sz="0" w:space="1"/>
                <w:left w:val="none" w:color="auto" w:sz="0" w:space="4"/>
                <w:bottom w:val="none" w:color="auto" w:sz="0" w:space="1"/>
                <w:right w:val="none" w:color="auto" w:sz="0" w:space="4"/>
              </w:pBdr>
              <w:spacing w:after="0" w:line="594" w:lineRule="exact"/>
              <w:jc w:val="center"/>
              <w:rPr>
                <w:rFonts w:ascii="Times New Roman" w:hAnsi="Times New Roman" w:eastAsia="方正仿宋_GBK"/>
                <w:sz w:val="32"/>
                <w:szCs w:val="32"/>
              </w:rPr>
            </w:pPr>
            <w:r>
              <w:rPr>
                <w:rFonts w:hint="eastAsia" w:ascii="Times New Roman" w:hAnsi="Times New Roman" w:eastAsia="方正仿宋_GBK"/>
                <w:sz w:val="32"/>
                <w:szCs w:val="32"/>
              </w:rPr>
              <w:t>综合单价</w:t>
            </w:r>
          </w:p>
        </w:tc>
        <w:tc>
          <w:tcPr>
            <w:tcW w:w="1134" w:type="dxa"/>
            <w:vAlign w:val="center"/>
          </w:tcPr>
          <w:p w14:paraId="7A05CF5C">
            <w:pPr>
              <w:pBdr>
                <w:top w:val="none" w:color="auto" w:sz="0" w:space="1"/>
                <w:left w:val="none" w:color="auto" w:sz="0" w:space="4"/>
                <w:bottom w:val="none" w:color="auto" w:sz="0" w:space="1"/>
                <w:right w:val="none" w:color="auto" w:sz="0" w:space="4"/>
              </w:pBdr>
              <w:spacing w:after="0" w:line="594" w:lineRule="exact"/>
              <w:jc w:val="center"/>
              <w:rPr>
                <w:rFonts w:ascii="Times New Roman" w:hAnsi="Times New Roman" w:eastAsia="方正仿宋_GBK"/>
                <w:sz w:val="32"/>
                <w:szCs w:val="32"/>
              </w:rPr>
            </w:pPr>
            <w:r>
              <w:rPr>
                <w:rFonts w:hint="eastAsia" w:ascii="Times New Roman" w:hAnsi="Times New Roman" w:eastAsia="方正仿宋_GBK"/>
                <w:sz w:val="32"/>
                <w:szCs w:val="32"/>
              </w:rPr>
              <w:t>总价</w:t>
            </w:r>
          </w:p>
        </w:tc>
        <w:tc>
          <w:tcPr>
            <w:tcW w:w="1559" w:type="dxa"/>
            <w:vAlign w:val="center"/>
          </w:tcPr>
          <w:p w14:paraId="759A92D2">
            <w:pPr>
              <w:pBdr>
                <w:top w:val="none" w:color="auto" w:sz="0" w:space="1"/>
                <w:left w:val="none" w:color="auto" w:sz="0" w:space="4"/>
                <w:bottom w:val="none" w:color="auto" w:sz="0" w:space="1"/>
                <w:right w:val="none" w:color="auto" w:sz="0" w:space="4"/>
              </w:pBdr>
              <w:spacing w:after="0" w:line="594" w:lineRule="exact"/>
              <w:jc w:val="center"/>
              <w:rPr>
                <w:rFonts w:ascii="Times New Roman" w:hAnsi="Times New Roman" w:eastAsia="方正仿宋_GBK"/>
                <w:sz w:val="32"/>
                <w:szCs w:val="32"/>
              </w:rPr>
            </w:pPr>
            <w:r>
              <w:rPr>
                <w:rFonts w:hint="eastAsia" w:ascii="Times New Roman" w:hAnsi="Times New Roman" w:eastAsia="方正仿宋_GBK"/>
                <w:sz w:val="32"/>
                <w:szCs w:val="32"/>
              </w:rPr>
              <w:t>交货时间</w:t>
            </w:r>
          </w:p>
        </w:tc>
        <w:tc>
          <w:tcPr>
            <w:tcW w:w="1567" w:type="dxa"/>
            <w:vAlign w:val="center"/>
          </w:tcPr>
          <w:p w14:paraId="647C7F93">
            <w:pPr>
              <w:pBdr>
                <w:top w:val="none" w:color="auto" w:sz="0" w:space="1"/>
                <w:left w:val="none" w:color="auto" w:sz="0" w:space="4"/>
                <w:bottom w:val="none" w:color="auto" w:sz="0" w:space="1"/>
                <w:right w:val="none" w:color="auto" w:sz="0" w:space="4"/>
              </w:pBdr>
              <w:spacing w:after="0" w:line="594" w:lineRule="exact"/>
              <w:jc w:val="center"/>
              <w:rPr>
                <w:rFonts w:ascii="Times New Roman" w:hAnsi="Times New Roman" w:eastAsia="方正仿宋_GBK"/>
                <w:sz w:val="32"/>
                <w:szCs w:val="32"/>
              </w:rPr>
            </w:pPr>
            <w:r>
              <w:rPr>
                <w:rFonts w:hint="eastAsia" w:ascii="Times New Roman" w:hAnsi="Times New Roman" w:eastAsia="方正仿宋_GBK"/>
                <w:sz w:val="32"/>
                <w:szCs w:val="32"/>
              </w:rPr>
              <w:t>交货地点</w:t>
            </w:r>
          </w:p>
        </w:tc>
      </w:tr>
      <w:tr w14:paraId="42D4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52873C9">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741" w:type="dxa"/>
            <w:vAlign w:val="center"/>
          </w:tcPr>
          <w:p w14:paraId="6A5EFEB4">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984" w:type="dxa"/>
            <w:vAlign w:val="center"/>
          </w:tcPr>
          <w:p w14:paraId="6363F843">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298" w:type="dxa"/>
            <w:gridSpan w:val="2"/>
            <w:vAlign w:val="center"/>
          </w:tcPr>
          <w:p w14:paraId="2EB72099">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134" w:type="dxa"/>
            <w:vAlign w:val="center"/>
          </w:tcPr>
          <w:p w14:paraId="5F823844">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559" w:type="dxa"/>
            <w:vAlign w:val="center"/>
          </w:tcPr>
          <w:p w14:paraId="558C63B2">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567" w:type="dxa"/>
            <w:vAlign w:val="center"/>
          </w:tcPr>
          <w:p w14:paraId="4B877948">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r>
      <w:tr w14:paraId="122D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BAB8A41">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741" w:type="dxa"/>
            <w:vAlign w:val="center"/>
          </w:tcPr>
          <w:p w14:paraId="65A10E22">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984" w:type="dxa"/>
            <w:vAlign w:val="center"/>
          </w:tcPr>
          <w:p w14:paraId="52C64213">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298" w:type="dxa"/>
            <w:gridSpan w:val="2"/>
            <w:vAlign w:val="center"/>
          </w:tcPr>
          <w:p w14:paraId="6ED396A5">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134" w:type="dxa"/>
            <w:vAlign w:val="center"/>
          </w:tcPr>
          <w:p w14:paraId="1BDD28B0">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559" w:type="dxa"/>
            <w:vAlign w:val="center"/>
          </w:tcPr>
          <w:p w14:paraId="3ECF33CD">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567" w:type="dxa"/>
            <w:vAlign w:val="center"/>
          </w:tcPr>
          <w:p w14:paraId="36308E06">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r>
      <w:tr w14:paraId="1E2D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8F368BA">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741" w:type="dxa"/>
            <w:vAlign w:val="center"/>
          </w:tcPr>
          <w:p w14:paraId="209FCB87">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984" w:type="dxa"/>
            <w:vAlign w:val="center"/>
          </w:tcPr>
          <w:p w14:paraId="77425469">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298" w:type="dxa"/>
            <w:gridSpan w:val="2"/>
            <w:vAlign w:val="center"/>
          </w:tcPr>
          <w:p w14:paraId="47A29C41">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134" w:type="dxa"/>
            <w:vAlign w:val="center"/>
          </w:tcPr>
          <w:p w14:paraId="354E45CA">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559" w:type="dxa"/>
            <w:vAlign w:val="center"/>
          </w:tcPr>
          <w:p w14:paraId="35B066FD">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567" w:type="dxa"/>
            <w:vAlign w:val="center"/>
          </w:tcPr>
          <w:p w14:paraId="638C70FC">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r>
      <w:tr w14:paraId="619F7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D905CF5">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741" w:type="dxa"/>
            <w:vAlign w:val="center"/>
          </w:tcPr>
          <w:p w14:paraId="46BF46D0">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984" w:type="dxa"/>
            <w:vAlign w:val="center"/>
          </w:tcPr>
          <w:p w14:paraId="16DEA444">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298" w:type="dxa"/>
            <w:gridSpan w:val="2"/>
            <w:vAlign w:val="center"/>
          </w:tcPr>
          <w:p w14:paraId="31C6E14E">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134" w:type="dxa"/>
            <w:vAlign w:val="center"/>
          </w:tcPr>
          <w:p w14:paraId="188E3C20">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559" w:type="dxa"/>
            <w:vAlign w:val="center"/>
          </w:tcPr>
          <w:p w14:paraId="7E097CFE">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567" w:type="dxa"/>
            <w:vAlign w:val="center"/>
          </w:tcPr>
          <w:p w14:paraId="107661E5">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r>
      <w:tr w14:paraId="7C12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979A10B">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741" w:type="dxa"/>
            <w:vAlign w:val="center"/>
          </w:tcPr>
          <w:p w14:paraId="0CE8E7B0">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984" w:type="dxa"/>
            <w:vAlign w:val="center"/>
          </w:tcPr>
          <w:p w14:paraId="09A26698">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298" w:type="dxa"/>
            <w:gridSpan w:val="2"/>
            <w:vAlign w:val="center"/>
          </w:tcPr>
          <w:p w14:paraId="62594254">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134" w:type="dxa"/>
            <w:vAlign w:val="center"/>
          </w:tcPr>
          <w:p w14:paraId="0A392AF8">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559" w:type="dxa"/>
            <w:vAlign w:val="center"/>
          </w:tcPr>
          <w:p w14:paraId="13A689F6">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567" w:type="dxa"/>
            <w:vAlign w:val="center"/>
          </w:tcPr>
          <w:p w14:paraId="159095AB">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r>
      <w:tr w14:paraId="6E7E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4DF60F9">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741" w:type="dxa"/>
            <w:vAlign w:val="center"/>
          </w:tcPr>
          <w:p w14:paraId="511AEE88">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984" w:type="dxa"/>
            <w:vAlign w:val="center"/>
          </w:tcPr>
          <w:p w14:paraId="285E3120">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298" w:type="dxa"/>
            <w:gridSpan w:val="2"/>
            <w:vAlign w:val="center"/>
          </w:tcPr>
          <w:p w14:paraId="1966E022">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134" w:type="dxa"/>
            <w:vAlign w:val="center"/>
          </w:tcPr>
          <w:p w14:paraId="330C3C1C">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559" w:type="dxa"/>
            <w:vAlign w:val="center"/>
          </w:tcPr>
          <w:p w14:paraId="069DCF16">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567" w:type="dxa"/>
            <w:vAlign w:val="center"/>
          </w:tcPr>
          <w:p w14:paraId="0159C518">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r>
      <w:tr w14:paraId="31DF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546D3A7">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741" w:type="dxa"/>
            <w:vAlign w:val="center"/>
          </w:tcPr>
          <w:p w14:paraId="1C5CC900">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984" w:type="dxa"/>
            <w:vAlign w:val="center"/>
          </w:tcPr>
          <w:p w14:paraId="68B47DE4">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298" w:type="dxa"/>
            <w:gridSpan w:val="2"/>
            <w:vAlign w:val="center"/>
          </w:tcPr>
          <w:p w14:paraId="3147EBE9">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134" w:type="dxa"/>
            <w:vAlign w:val="center"/>
          </w:tcPr>
          <w:p w14:paraId="7B21B21C">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559" w:type="dxa"/>
            <w:vAlign w:val="center"/>
          </w:tcPr>
          <w:p w14:paraId="1C20EDB7">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567" w:type="dxa"/>
            <w:vAlign w:val="center"/>
          </w:tcPr>
          <w:p w14:paraId="05D54BF2">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r>
      <w:tr w14:paraId="2F25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850B0D4">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741" w:type="dxa"/>
            <w:vAlign w:val="center"/>
          </w:tcPr>
          <w:p w14:paraId="550E5916">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984" w:type="dxa"/>
            <w:vAlign w:val="center"/>
          </w:tcPr>
          <w:p w14:paraId="6A76F3A0">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298" w:type="dxa"/>
            <w:gridSpan w:val="2"/>
            <w:vAlign w:val="center"/>
          </w:tcPr>
          <w:p w14:paraId="40D8E24C">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134" w:type="dxa"/>
            <w:vAlign w:val="center"/>
          </w:tcPr>
          <w:p w14:paraId="7D07C85F">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559" w:type="dxa"/>
            <w:vAlign w:val="center"/>
          </w:tcPr>
          <w:p w14:paraId="23C4EED4">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c>
          <w:tcPr>
            <w:tcW w:w="1567" w:type="dxa"/>
            <w:vAlign w:val="center"/>
          </w:tcPr>
          <w:p w14:paraId="36FDCCBC">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r>
      <w:tr w14:paraId="58ED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11734FB7">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合计人民币（小写）：</w:t>
            </w:r>
          </w:p>
        </w:tc>
      </w:tr>
      <w:tr w14:paraId="4F87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6396BDDA">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合计人民币（大写）：</w:t>
            </w:r>
          </w:p>
        </w:tc>
      </w:tr>
      <w:tr w14:paraId="321D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tcPr>
          <w:p w14:paraId="15608574">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一、质量要求和技术标准。供方提供的商品必须是全新的，完全符合国家有关技术标准，供方的质量保证及售后服务承诺如下：</w:t>
            </w:r>
          </w:p>
          <w:p w14:paraId="58851FCF">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1、质保期限：</w:t>
            </w:r>
          </w:p>
          <w:p w14:paraId="0640355A">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2、保修范围：</w:t>
            </w:r>
          </w:p>
          <w:p w14:paraId="40A59CBC">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3、服务措施：</w:t>
            </w:r>
          </w:p>
          <w:p w14:paraId="58A50233">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4、质保期后服务：</w:t>
            </w:r>
          </w:p>
        </w:tc>
      </w:tr>
      <w:tr w14:paraId="6A9F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tcPr>
          <w:p w14:paraId="7FC68904">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二、随机备品、附件、工具数量及供应方法：</w:t>
            </w:r>
          </w:p>
        </w:tc>
      </w:tr>
      <w:tr w14:paraId="6D6C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tcPr>
          <w:p w14:paraId="52647E93">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三、交提货方式：</w:t>
            </w:r>
          </w:p>
        </w:tc>
      </w:tr>
      <w:tr w14:paraId="17BC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14:paraId="77F73A82">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四、验收标准、方法：</w:t>
            </w:r>
          </w:p>
          <w:p w14:paraId="06692A16">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如有异议，请于      日内提出。</w:t>
            </w:r>
          </w:p>
        </w:tc>
      </w:tr>
      <w:tr w14:paraId="049A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0C012FE6">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五、付款方式：</w:t>
            </w:r>
          </w:p>
          <w:p w14:paraId="6526B732">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r>
      <w:tr w14:paraId="3870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37C99AF1">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六、违约责任：</w:t>
            </w:r>
          </w:p>
          <w:p w14:paraId="787C104C">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按《中华人民共和国民法典》、《中华人民共和国政府采购法》执行，或按双方约定。（采购人应按项目实际情况完整填写）</w:t>
            </w:r>
          </w:p>
        </w:tc>
      </w:tr>
      <w:tr w14:paraId="61A5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7DE7C2C5">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七、其他约定事项：</w:t>
            </w:r>
          </w:p>
          <w:p w14:paraId="66CAF909">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1.招标文件及其澄清文件、投标文件和承诺是本合同不可分割的部分。</w:t>
            </w:r>
          </w:p>
          <w:p w14:paraId="48F2A069">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2.本合同如发生争议由双方协商解决，协商不成向需方所在地仲裁机构提请仲裁。</w:t>
            </w:r>
          </w:p>
          <w:p w14:paraId="5B24E4CA">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3.本合同一式__份， 需方__份，供方__份，具备同等法律效力。</w:t>
            </w:r>
          </w:p>
          <w:p w14:paraId="5B9AF0BC">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4.其他：</w:t>
            </w:r>
          </w:p>
        </w:tc>
      </w:tr>
      <w:tr w14:paraId="0552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tcPr>
          <w:p w14:paraId="60B504B4">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需方：</w:t>
            </w:r>
          </w:p>
          <w:p w14:paraId="656B9F41">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地址：</w:t>
            </w:r>
          </w:p>
          <w:p w14:paraId="3BE7123B">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联系电话：</w:t>
            </w:r>
          </w:p>
          <w:p w14:paraId="1FF3FCF8">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授权代表：</w:t>
            </w:r>
          </w:p>
        </w:tc>
        <w:tc>
          <w:tcPr>
            <w:tcW w:w="5125" w:type="dxa"/>
            <w:gridSpan w:val="5"/>
          </w:tcPr>
          <w:p w14:paraId="068A0A3E">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供方：</w:t>
            </w:r>
          </w:p>
          <w:p w14:paraId="385A1AC7">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地址：</w:t>
            </w:r>
          </w:p>
          <w:p w14:paraId="1E52D1E0">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电话：</w:t>
            </w:r>
          </w:p>
          <w:p w14:paraId="44DAD986">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传真：</w:t>
            </w:r>
          </w:p>
          <w:p w14:paraId="1E25F960">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开户银行：</w:t>
            </w:r>
          </w:p>
          <w:p w14:paraId="202618BB">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账号：</w:t>
            </w:r>
          </w:p>
          <w:p w14:paraId="4081FE2C">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授权代表：</w:t>
            </w:r>
          </w:p>
          <w:p w14:paraId="782869F1">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（本栏请用计算机打印以便于准确付款）</w:t>
            </w:r>
          </w:p>
        </w:tc>
      </w:tr>
      <w:tr w14:paraId="4DFE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14:paraId="572DD7A9">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备注：</w:t>
            </w:r>
          </w:p>
          <w:p w14:paraId="3863902B">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p w14:paraId="26B1E89B">
            <w:pPr>
              <w:pBdr>
                <w:top w:val="none" w:color="auto" w:sz="0" w:space="1"/>
                <w:left w:val="none" w:color="auto" w:sz="0" w:space="4"/>
                <w:bottom w:val="none" w:color="auto" w:sz="0" w:space="1"/>
                <w:right w:val="none" w:color="auto" w:sz="0" w:space="4"/>
              </w:pBdr>
              <w:spacing w:after="0" w:line="594" w:lineRule="exact"/>
              <w:ind w:firstLine="640" w:firstLineChars="200"/>
              <w:jc w:val="both"/>
              <w:rPr>
                <w:rFonts w:ascii="Times New Roman" w:hAnsi="Times New Roman" w:eastAsia="方正仿宋_GBK"/>
                <w:sz w:val="32"/>
                <w:szCs w:val="32"/>
              </w:rPr>
            </w:pPr>
          </w:p>
        </w:tc>
      </w:tr>
    </w:tbl>
    <w:p w14:paraId="3E34D6A3">
      <w:pPr>
        <w:spacing w:after="0" w:line="594"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签约时间：           年   月   日      签约地点：</w:t>
      </w:r>
    </w:p>
    <w:p w14:paraId="44C68566">
      <w:pPr>
        <w:spacing w:after="0" w:line="594" w:lineRule="exact"/>
        <w:ind w:firstLine="880"/>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br w:type="page"/>
      </w:r>
      <w:r>
        <w:rPr>
          <w:rFonts w:ascii="Times New Roman" w:hAnsi="Times New Roman" w:eastAsia="方正小标宋_GBK"/>
          <w:color w:val="000000"/>
          <w:sz w:val="44"/>
          <w:szCs w:val="44"/>
        </w:rPr>
        <w:t>供应商编制响应文件要求</w:t>
      </w:r>
    </w:p>
    <w:p w14:paraId="11DA8C78">
      <w:pPr>
        <w:spacing w:after="0" w:line="594" w:lineRule="exact"/>
        <w:ind w:firstLine="640" w:firstLineChars="200"/>
        <w:jc w:val="both"/>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一、 报价</w:t>
      </w:r>
    </w:p>
    <w:p w14:paraId="59A076C2">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 一） 报价函</w:t>
      </w:r>
    </w:p>
    <w:p w14:paraId="218E00BB">
      <w:pPr>
        <w:spacing w:after="0" w:line="594" w:lineRule="exact"/>
        <w:ind w:firstLine="640"/>
        <w:jc w:val="center"/>
        <w:rPr>
          <w:rFonts w:ascii="Times New Roman" w:hAnsi="Times New Roman" w:eastAsia="方正小标宋_GBK"/>
          <w:color w:val="000000"/>
          <w:sz w:val="32"/>
          <w:szCs w:val="44"/>
        </w:rPr>
      </w:pPr>
      <w:r>
        <w:rPr>
          <w:rFonts w:ascii="Times New Roman" w:hAnsi="Times New Roman" w:eastAsia="方正小标宋_GBK"/>
          <w:color w:val="000000"/>
          <w:sz w:val="32"/>
          <w:szCs w:val="44"/>
        </w:rPr>
        <w:t>报价函</w:t>
      </w:r>
    </w:p>
    <w:p w14:paraId="2FF02670">
      <w:pPr>
        <w:spacing w:after="0" w:line="594" w:lineRule="exact"/>
        <w:ind w:firstLine="640"/>
        <w:jc w:val="both"/>
        <w:rPr>
          <w:rFonts w:ascii="Times New Roman" w:hAnsi="Times New Roman" w:eastAsia="方正仿宋_GBK"/>
          <w:color w:val="000000"/>
          <w:sz w:val="32"/>
          <w:szCs w:val="32"/>
          <w:u w:val="single"/>
        </w:rPr>
      </w:pPr>
      <w:r>
        <w:rPr>
          <w:rFonts w:ascii="Times New Roman" w:hAnsi="Times New Roman" w:eastAsia="方正仿宋_GBK"/>
          <w:color w:val="000000"/>
          <w:sz w:val="32"/>
          <w:szCs w:val="32"/>
          <w:u w:val="single"/>
        </w:rPr>
        <w:t>（采购人名称）</w:t>
      </w:r>
      <w:r>
        <w:rPr>
          <w:rFonts w:ascii="Times New Roman" w:hAnsi="Times New Roman" w:eastAsia="方正仿宋_GBK"/>
          <w:color w:val="000000"/>
          <w:sz w:val="32"/>
          <w:szCs w:val="32"/>
        </w:rPr>
        <w:t>：</w:t>
      </w:r>
    </w:p>
    <w:p w14:paraId="2B019C4E">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我方收到_________________________（ 项目名称）的采购文件， 经详细研究，决定参加该项目的采购。</w:t>
      </w:r>
    </w:p>
    <w:p w14:paraId="41568627">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愿意按照谈判采购文件中的一切要求，提供本项目的技术服务，报价为人民币</w:t>
      </w:r>
      <w:r>
        <w:rPr>
          <w:rFonts w:ascii="Times New Roman" w:hAnsi="Times New Roman" w:eastAsia="方正仿宋_GBK"/>
          <w:color w:val="000000"/>
          <w:sz w:val="32"/>
          <w:szCs w:val="32"/>
          <w:u w:val="single"/>
        </w:rPr>
        <w:t xml:space="preserve">大写： </w:t>
      </w:r>
      <w:r>
        <w:rPr>
          <w:rFonts w:hint="eastAsia" w:ascii="Times New Roman" w:hAnsi="Times New Roman" w:eastAsia="方正仿宋_GBK"/>
          <w:color w:val="000000"/>
          <w:sz w:val="32"/>
          <w:szCs w:val="32"/>
          <w:u w:val="single"/>
        </w:rPr>
        <w:t xml:space="preserve">      </w:t>
      </w:r>
      <w:r>
        <w:rPr>
          <w:rFonts w:ascii="Times New Roman" w:hAnsi="Times New Roman" w:eastAsia="方正仿宋_GBK"/>
          <w:color w:val="000000"/>
          <w:sz w:val="32"/>
          <w:szCs w:val="32"/>
          <w:u w:val="single"/>
        </w:rPr>
        <w:t xml:space="preserve">  元整</w:t>
      </w:r>
      <w:r>
        <w:rPr>
          <w:rFonts w:ascii="Times New Roman" w:hAnsi="Times New Roman" w:eastAsia="方正仿宋_GBK"/>
          <w:color w:val="000000"/>
          <w:sz w:val="32"/>
          <w:szCs w:val="32"/>
        </w:rPr>
        <w:t>； 人民币</w:t>
      </w:r>
      <w:r>
        <w:rPr>
          <w:rFonts w:ascii="Times New Roman" w:hAnsi="Times New Roman" w:eastAsia="方正仿宋_GBK"/>
          <w:color w:val="000000"/>
          <w:sz w:val="32"/>
          <w:szCs w:val="32"/>
          <w:u w:val="single"/>
        </w:rPr>
        <w:t>小写：</w:t>
      </w:r>
      <w:r>
        <w:rPr>
          <w:rFonts w:hint="eastAsia" w:ascii="Times New Roman" w:hAnsi="Times New Roman" w:eastAsia="方正仿宋_GBK"/>
          <w:color w:val="000000"/>
          <w:sz w:val="32"/>
          <w:szCs w:val="32"/>
          <w:u w:val="single"/>
        </w:rPr>
        <w:t xml:space="preserve">  </w:t>
      </w:r>
      <w:r>
        <w:rPr>
          <w:rFonts w:ascii="Times New Roman" w:hAnsi="Times New Roman" w:eastAsia="方正仿宋_GBK"/>
          <w:color w:val="000000"/>
          <w:sz w:val="32"/>
          <w:szCs w:val="32"/>
          <w:u w:val="single"/>
        </w:rPr>
        <w:t xml:space="preserve">   </w:t>
      </w:r>
      <w:r>
        <w:rPr>
          <w:rFonts w:hint="eastAsia" w:ascii="Times New Roman" w:hAnsi="Times New Roman" w:eastAsia="方正仿宋_GBK"/>
          <w:color w:val="000000"/>
          <w:sz w:val="32"/>
          <w:szCs w:val="32"/>
          <w:u w:val="single"/>
        </w:rPr>
        <w:t xml:space="preserve"> </w:t>
      </w:r>
      <w:r>
        <w:rPr>
          <w:rFonts w:ascii="Times New Roman" w:hAnsi="Times New Roman" w:eastAsia="方正仿宋_GBK"/>
          <w:color w:val="000000"/>
          <w:sz w:val="32"/>
          <w:szCs w:val="32"/>
          <w:u w:val="single"/>
        </w:rPr>
        <w:t xml:space="preserve"> </w:t>
      </w:r>
      <w:r>
        <w:rPr>
          <w:rFonts w:hint="eastAsia" w:ascii="Times New Roman" w:hAnsi="Times New Roman" w:eastAsia="方正仿宋_GBK"/>
          <w:color w:val="000000"/>
          <w:sz w:val="32"/>
          <w:szCs w:val="32"/>
          <w:u w:val="single"/>
        </w:rPr>
        <w:t xml:space="preserve">  </w:t>
      </w:r>
      <w:r>
        <w:rPr>
          <w:rFonts w:ascii="Times New Roman" w:hAnsi="Times New Roman" w:eastAsia="方正仿宋_GBK"/>
          <w:color w:val="000000"/>
          <w:sz w:val="32"/>
          <w:szCs w:val="32"/>
          <w:u w:val="single"/>
        </w:rPr>
        <w:t>元</w:t>
      </w:r>
      <w:r>
        <w:rPr>
          <w:rFonts w:ascii="Times New Roman" w:hAnsi="Times New Roman" w:eastAsia="方正仿宋_GBK"/>
          <w:color w:val="000000"/>
          <w:sz w:val="32"/>
          <w:szCs w:val="32"/>
        </w:rPr>
        <w:t>。</w:t>
      </w:r>
    </w:p>
    <w:p w14:paraId="7846BE6F">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我方现提交的响应文件为：响应文件纸质文档正本、 副本各壹份。</w:t>
      </w:r>
    </w:p>
    <w:p w14:paraId="32965CF8">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我方完全理解和接受贵方采购文件的一切规定和要求及评审办法。</w:t>
      </w:r>
    </w:p>
    <w:p w14:paraId="1FE6ADDC">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在整个采购评标过程中，我方若有违规行为，根据有关规定纳入信用体系</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失信记录</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实施联合惩戒，并向社会公告等给予惩罚。</w:t>
      </w:r>
    </w:p>
    <w:p w14:paraId="63ADC3C5">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我方若中选，将按照采购结果签订合同，并且严格履行合同义务。本承诺函将成为合同不可分割的一部分，与合同具有同等的法律效力。</w:t>
      </w:r>
    </w:p>
    <w:p w14:paraId="03F18A22">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6</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我方理解，最低报价不是成交的唯一条件。</w:t>
      </w:r>
    </w:p>
    <w:p w14:paraId="64E54C35">
      <w:pPr>
        <w:spacing w:after="0" w:line="594" w:lineRule="exact"/>
        <w:ind w:firstLine="640" w:firstLineChars="200"/>
        <w:jc w:val="both"/>
        <w:rPr>
          <w:rFonts w:ascii="Times New Roman" w:hAnsi="Times New Roman" w:eastAsia="方正仿宋_GBK"/>
          <w:color w:val="000000"/>
          <w:sz w:val="32"/>
          <w:szCs w:val="32"/>
        </w:rPr>
      </w:pPr>
    </w:p>
    <w:p w14:paraId="30CA4E7B">
      <w:pPr>
        <w:spacing w:after="0" w:line="594" w:lineRule="exact"/>
        <w:ind w:firstLine="640" w:firstLineChars="200"/>
        <w:jc w:val="both"/>
        <w:rPr>
          <w:rFonts w:ascii="Times New Roman" w:hAnsi="Times New Roman" w:eastAsia="方正仿宋_GBK"/>
          <w:color w:val="000000"/>
          <w:sz w:val="32"/>
          <w:szCs w:val="32"/>
        </w:rPr>
      </w:pPr>
    </w:p>
    <w:p w14:paraId="4BE561CA">
      <w:pPr>
        <w:spacing w:after="0" w:line="594" w:lineRule="exact"/>
        <w:ind w:firstLine="640" w:firstLineChars="200"/>
        <w:jc w:val="both"/>
        <w:rPr>
          <w:rFonts w:ascii="Times New Roman" w:hAnsi="Times New Roman" w:eastAsia="方正仿宋_GBK"/>
          <w:color w:val="000000"/>
          <w:sz w:val="32"/>
          <w:szCs w:val="32"/>
        </w:rPr>
      </w:pPr>
    </w:p>
    <w:p w14:paraId="00FC91B5">
      <w:pPr>
        <w:spacing w:after="0" w:line="594" w:lineRule="exact"/>
        <w:ind w:firstLine="640" w:firstLineChars="200"/>
        <w:jc w:val="right"/>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供应商名称（ 公章） ：     </w:t>
      </w:r>
    </w:p>
    <w:p w14:paraId="3E5A60DF">
      <w:pPr>
        <w:spacing w:after="0" w:line="594" w:lineRule="exact"/>
        <w:ind w:firstLine="640" w:firstLineChars="200"/>
        <w:jc w:val="right"/>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年  月  日           </w:t>
      </w:r>
    </w:p>
    <w:p w14:paraId="70983445">
      <w:pPr>
        <w:spacing w:after="0" w:line="594" w:lineRule="exact"/>
        <w:ind w:firstLine="640" w:firstLineChars="200"/>
        <w:jc w:val="both"/>
        <w:rPr>
          <w:rFonts w:ascii="Times New Roman" w:hAnsi="Times New Roman" w:eastAsia="方正黑体_GBK"/>
          <w:color w:val="000000"/>
          <w:sz w:val="32"/>
          <w:szCs w:val="32"/>
        </w:rPr>
      </w:pPr>
      <w:r>
        <w:rPr>
          <w:rFonts w:ascii="Times New Roman" w:hAnsi="Times New Roman" w:eastAsia="方正黑体_GBK"/>
          <w:color w:val="000000"/>
          <w:sz w:val="32"/>
          <w:szCs w:val="32"/>
        </w:rPr>
        <w:t>二、 服务方案</w:t>
      </w:r>
      <w:r>
        <w:rPr>
          <w:rFonts w:hint="eastAsia" w:ascii="Times New Roman" w:hAnsi="Times New Roman" w:eastAsia="方正黑体_GBK"/>
          <w:color w:val="000000"/>
          <w:sz w:val="32"/>
          <w:szCs w:val="32"/>
        </w:rPr>
        <w:t>及项目实施方案</w:t>
      </w:r>
    </w:p>
    <w:p w14:paraId="375832F5">
      <w:pPr>
        <w:spacing w:after="0" w:line="594" w:lineRule="exact"/>
        <w:ind w:firstLine="640" w:firstLineChars="200"/>
        <w:jc w:val="both"/>
        <w:rPr>
          <w:rFonts w:ascii="Times New Roman" w:hAnsi="Times New Roman" w:eastAsia="方正黑体_GBK"/>
          <w:color w:val="000000"/>
          <w:sz w:val="32"/>
          <w:szCs w:val="32"/>
        </w:rPr>
      </w:pPr>
    </w:p>
    <w:p w14:paraId="1BA47B58">
      <w:pPr>
        <w:spacing w:after="0" w:line="594" w:lineRule="exact"/>
        <w:ind w:firstLine="640" w:firstLineChars="200"/>
        <w:jc w:val="center"/>
        <w:rPr>
          <w:rFonts w:ascii="Times New Roman" w:hAnsi="Times New Roman" w:eastAsia="方正仿宋_GBK"/>
          <w:i/>
          <w:color w:val="000000"/>
          <w:sz w:val="32"/>
          <w:szCs w:val="32"/>
          <w:u w:val="single"/>
        </w:rPr>
      </w:pPr>
      <w:r>
        <w:rPr>
          <w:rFonts w:ascii="Times New Roman" w:hAnsi="Times New Roman" w:eastAsia="方正仿宋_GBK"/>
          <w:i/>
          <w:color w:val="000000"/>
          <w:sz w:val="32"/>
          <w:szCs w:val="32"/>
          <w:u w:val="single"/>
        </w:rPr>
        <w:t>服务方案</w:t>
      </w:r>
      <w:r>
        <w:rPr>
          <w:rFonts w:hint="eastAsia" w:ascii="Times New Roman" w:hAnsi="Times New Roman" w:eastAsia="方正仿宋_GBK"/>
          <w:i/>
          <w:color w:val="000000"/>
          <w:sz w:val="32"/>
          <w:szCs w:val="32"/>
          <w:u w:val="single"/>
        </w:rPr>
        <w:t>及项目实施方案</w:t>
      </w:r>
      <w:r>
        <w:rPr>
          <w:rFonts w:ascii="Times New Roman" w:hAnsi="Times New Roman" w:eastAsia="方正仿宋_GBK"/>
          <w:i/>
          <w:color w:val="000000"/>
          <w:sz w:val="32"/>
          <w:szCs w:val="32"/>
          <w:u w:val="single"/>
        </w:rPr>
        <w:t>（格式自定）</w:t>
      </w:r>
    </w:p>
    <w:p w14:paraId="3DFC8A8A">
      <w:pPr>
        <w:spacing w:after="0" w:line="594" w:lineRule="exact"/>
        <w:ind w:firstLine="640" w:firstLineChars="200"/>
        <w:jc w:val="center"/>
        <w:rPr>
          <w:rFonts w:ascii="Times New Roman" w:hAnsi="Times New Roman" w:eastAsia="方正仿宋_GBK"/>
          <w:i/>
          <w:color w:val="000000"/>
          <w:sz w:val="32"/>
          <w:szCs w:val="32"/>
          <w:u w:val="single"/>
        </w:rPr>
      </w:pPr>
    </w:p>
    <w:p w14:paraId="7948ACF7">
      <w:pPr>
        <w:spacing w:after="0" w:line="594" w:lineRule="exact"/>
        <w:ind w:firstLine="640" w:firstLineChars="200"/>
        <w:jc w:val="both"/>
        <w:rPr>
          <w:rFonts w:ascii="Times New Roman" w:hAnsi="Times New Roman" w:eastAsia="方正黑体_GBK"/>
          <w:color w:val="000000"/>
          <w:sz w:val="32"/>
          <w:szCs w:val="32"/>
        </w:rPr>
      </w:pPr>
      <w:r>
        <w:rPr>
          <w:rFonts w:ascii="Times New Roman" w:hAnsi="Times New Roman" w:eastAsia="方正黑体_GBK"/>
          <w:color w:val="000000"/>
          <w:sz w:val="32"/>
          <w:szCs w:val="32"/>
        </w:rPr>
        <w:t>三、 资格条件及其他</w:t>
      </w:r>
    </w:p>
    <w:p w14:paraId="02CD6B7C">
      <w:pPr>
        <w:spacing w:after="0" w:line="594" w:lineRule="exact"/>
        <w:ind w:firstLine="640" w:firstLineChars="200"/>
        <w:jc w:val="both"/>
        <w:rPr>
          <w:rFonts w:ascii="Times New Roman" w:hAnsi="Times New Roman" w:eastAsia="方正黑体_GBK"/>
          <w:color w:val="000000"/>
          <w:sz w:val="32"/>
          <w:szCs w:val="32"/>
        </w:rPr>
      </w:pPr>
    </w:p>
    <w:p w14:paraId="700A4447">
      <w:pPr>
        <w:spacing w:after="0" w:line="594" w:lineRule="exact"/>
        <w:ind w:firstLine="640" w:firstLineChars="200"/>
        <w:jc w:val="center"/>
        <w:rPr>
          <w:rFonts w:ascii="Times New Roman" w:hAnsi="Times New Roman" w:eastAsia="方正仿宋_GBK"/>
          <w:i/>
          <w:color w:val="000000"/>
          <w:sz w:val="32"/>
          <w:szCs w:val="32"/>
          <w:u w:val="single"/>
        </w:rPr>
      </w:pPr>
      <w:r>
        <w:rPr>
          <w:rFonts w:ascii="Times New Roman" w:hAnsi="Times New Roman" w:eastAsia="方正仿宋_GBK"/>
          <w:i/>
          <w:color w:val="000000"/>
          <w:sz w:val="32"/>
          <w:szCs w:val="32"/>
          <w:u w:val="single"/>
        </w:rPr>
        <w:t>按照采购文件要求提供扫描件</w:t>
      </w:r>
    </w:p>
    <w:p w14:paraId="0B8A1CE4">
      <w:pPr>
        <w:spacing w:after="0" w:line="594" w:lineRule="exact"/>
        <w:ind w:firstLine="640" w:firstLineChars="200"/>
        <w:jc w:val="center"/>
        <w:rPr>
          <w:rFonts w:ascii="Times New Roman" w:hAnsi="Times New Roman" w:eastAsia="方正仿宋_GBK"/>
          <w:i/>
          <w:color w:val="000000"/>
          <w:sz w:val="32"/>
          <w:szCs w:val="32"/>
          <w:u w:val="single"/>
        </w:rPr>
      </w:pPr>
    </w:p>
    <w:p w14:paraId="182185F1">
      <w:pPr>
        <w:spacing w:after="0" w:line="594" w:lineRule="exact"/>
        <w:ind w:firstLine="640" w:firstLineChars="200"/>
        <w:jc w:val="both"/>
        <w:rPr>
          <w:rFonts w:ascii="Times New Roman" w:hAnsi="Times New Roman" w:eastAsia="方正黑体_GBK"/>
          <w:color w:val="000000"/>
          <w:sz w:val="32"/>
          <w:szCs w:val="32"/>
        </w:rPr>
      </w:pPr>
      <w:r>
        <w:rPr>
          <w:rFonts w:ascii="Times New Roman" w:hAnsi="Times New Roman" w:eastAsia="方正黑体_GBK"/>
          <w:color w:val="000000"/>
          <w:sz w:val="32"/>
          <w:szCs w:val="32"/>
        </w:rPr>
        <w:t>四、其他应提供的资料</w:t>
      </w:r>
    </w:p>
    <w:p w14:paraId="7CB30FEF">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其他与项目有关的资料（自附）：供应商总体情况介绍、 其他与本项目有关的资料等。</w:t>
      </w:r>
    </w:p>
    <w:p w14:paraId="151E22FF">
      <w:pPr>
        <w:adjustRightInd/>
        <w:snapToGrid/>
        <w:spacing w:line="594" w:lineRule="exact"/>
        <w:ind w:firstLine="640"/>
        <w:rPr>
          <w:rFonts w:ascii="Times New Roman" w:hAnsi="Times New Roman" w:eastAsia="方正仿宋_GBK"/>
          <w:color w:val="000000"/>
          <w:sz w:val="32"/>
          <w:szCs w:val="32"/>
        </w:rPr>
      </w:pPr>
    </w:p>
    <w:p w14:paraId="05F97A2C">
      <w:pPr>
        <w:spacing w:after="0" w:line="594" w:lineRule="exact"/>
        <w:ind w:firstLine="640" w:firstLineChars="200"/>
        <w:jc w:val="both"/>
        <w:rPr>
          <w:rFonts w:ascii="Times New Roman" w:hAnsi="Times New Roman" w:eastAsia="方正黑体_GBK"/>
          <w:color w:val="000000"/>
          <w:sz w:val="32"/>
          <w:szCs w:val="32"/>
        </w:rPr>
      </w:pPr>
      <w:r>
        <w:rPr>
          <w:rFonts w:ascii="Times New Roman" w:hAnsi="Times New Roman" w:eastAsia="方正黑体_GBK"/>
          <w:color w:val="000000"/>
          <w:sz w:val="32"/>
          <w:szCs w:val="32"/>
        </w:rPr>
        <w:t>五、 法定代表人授权委托书（格式）</w:t>
      </w:r>
    </w:p>
    <w:p w14:paraId="01FF44BD">
      <w:pPr>
        <w:spacing w:after="0" w:line="594" w:lineRule="exact"/>
        <w:ind w:firstLine="640" w:firstLineChars="200"/>
        <w:jc w:val="center"/>
        <w:rPr>
          <w:rFonts w:ascii="Times New Roman" w:hAnsi="Times New Roman" w:eastAsia="方正仿宋_GBK"/>
          <w:color w:val="000000"/>
          <w:sz w:val="32"/>
          <w:szCs w:val="32"/>
        </w:rPr>
      </w:pPr>
    </w:p>
    <w:p w14:paraId="4FABE61B">
      <w:pPr>
        <w:spacing w:after="0" w:line="594" w:lineRule="exact"/>
        <w:ind w:firstLine="640" w:firstLineChars="200"/>
        <w:jc w:val="center"/>
        <w:rPr>
          <w:rFonts w:ascii="Times New Roman" w:hAnsi="Times New Roman" w:eastAsia="方正小标宋_GBK"/>
          <w:color w:val="000000"/>
          <w:sz w:val="32"/>
          <w:szCs w:val="32"/>
        </w:rPr>
      </w:pPr>
      <w:r>
        <w:rPr>
          <w:rFonts w:ascii="Times New Roman" w:hAnsi="Times New Roman" w:eastAsia="方正小标宋_GBK"/>
          <w:color w:val="000000"/>
          <w:sz w:val="32"/>
          <w:szCs w:val="32"/>
        </w:rPr>
        <w:t>法定代表人授权委托书</w:t>
      </w:r>
    </w:p>
    <w:p w14:paraId="4819893E">
      <w:pPr>
        <w:spacing w:after="0" w:line="594" w:lineRule="exact"/>
        <w:ind w:firstLine="64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致：</w:t>
      </w:r>
      <w:r>
        <w:rPr>
          <w:rFonts w:ascii="Times New Roman" w:hAnsi="Times New Roman" w:eastAsia="方正仿宋_GBK"/>
          <w:color w:val="000000"/>
          <w:sz w:val="32"/>
          <w:szCs w:val="32"/>
          <w:u w:val="single"/>
        </w:rPr>
        <w:t xml:space="preserve">                    </w:t>
      </w:r>
      <w:r>
        <w:rPr>
          <w:rFonts w:ascii="Times New Roman" w:hAnsi="Times New Roman" w:eastAsia="方正仿宋_GBK"/>
          <w:color w:val="000000"/>
          <w:sz w:val="32"/>
          <w:szCs w:val="32"/>
        </w:rPr>
        <w:t>（采购人名称） ：</w:t>
      </w:r>
    </w:p>
    <w:p w14:paraId="6CEE74F0">
      <w:pPr>
        <w:spacing w:after="0" w:line="594" w:lineRule="exact"/>
        <w:ind w:firstLine="707" w:firstLineChars="221"/>
        <w:jc w:val="both"/>
        <w:rPr>
          <w:rFonts w:ascii="Times New Roman" w:hAnsi="Times New Roman" w:eastAsia="方正仿宋_GBK"/>
          <w:color w:val="000000"/>
          <w:sz w:val="32"/>
          <w:szCs w:val="32"/>
        </w:rPr>
      </w:pPr>
      <w:r>
        <w:rPr>
          <w:rFonts w:ascii="Times New Roman" w:hAnsi="Times New Roman" w:eastAsia="方正仿宋_GBK"/>
          <w:color w:val="000000"/>
          <w:sz w:val="32"/>
          <w:szCs w:val="32"/>
          <w:u w:val="single"/>
        </w:rPr>
        <w:t xml:space="preserve">          </w:t>
      </w:r>
      <w:r>
        <w:rPr>
          <w:rFonts w:hint="eastAsia" w:ascii="Times New Roman" w:hAnsi="Times New Roman" w:eastAsia="方正仿宋_GBK"/>
          <w:color w:val="000000"/>
          <w:sz w:val="32"/>
          <w:szCs w:val="32"/>
          <w:u w:val="single"/>
        </w:rPr>
        <w:t xml:space="preserve">    </w:t>
      </w:r>
      <w:r>
        <w:rPr>
          <w:rFonts w:ascii="Times New Roman" w:hAnsi="Times New Roman" w:eastAsia="方正仿宋_GBK"/>
          <w:color w:val="000000"/>
          <w:sz w:val="32"/>
          <w:szCs w:val="32"/>
          <w:u w:val="single"/>
        </w:rPr>
        <w:t xml:space="preserve"> </w:t>
      </w:r>
      <w:r>
        <w:rPr>
          <w:rFonts w:ascii="Times New Roman" w:hAnsi="Times New Roman" w:eastAsia="方正仿宋_GBK"/>
          <w:color w:val="000000"/>
          <w:sz w:val="32"/>
          <w:szCs w:val="32"/>
        </w:rPr>
        <w:t>（法定代表人名称）是</w:t>
      </w:r>
      <w:r>
        <w:rPr>
          <w:rFonts w:ascii="Times New Roman" w:hAnsi="Times New Roman" w:eastAsia="方正仿宋_GBK"/>
          <w:color w:val="000000"/>
          <w:sz w:val="32"/>
          <w:szCs w:val="32"/>
          <w:u w:val="single"/>
        </w:rPr>
        <w:t xml:space="preserve">                 </w:t>
      </w:r>
      <w:r>
        <w:rPr>
          <w:rFonts w:ascii="Times New Roman" w:hAnsi="Times New Roman" w:eastAsia="方正仿宋_GBK"/>
          <w:color w:val="000000"/>
          <w:sz w:val="32"/>
          <w:szCs w:val="32"/>
        </w:rPr>
        <w:t>（供应商名称）的法定代表人， 特授权</w:t>
      </w:r>
      <w:r>
        <w:rPr>
          <w:rFonts w:ascii="Times New Roman" w:hAnsi="Times New Roman" w:eastAsia="方正仿宋_GBK"/>
          <w:color w:val="000000"/>
          <w:sz w:val="32"/>
          <w:szCs w:val="32"/>
          <w:u w:val="single"/>
        </w:rPr>
        <w:t xml:space="preserve">  </w:t>
      </w:r>
      <w:r>
        <w:rPr>
          <w:rFonts w:hint="eastAsia" w:ascii="Times New Roman" w:hAnsi="Times New Roman" w:eastAsia="方正仿宋_GBK"/>
          <w:color w:val="000000"/>
          <w:sz w:val="32"/>
          <w:szCs w:val="32"/>
          <w:u w:val="single"/>
        </w:rPr>
        <w:t xml:space="preserve">    </w:t>
      </w:r>
      <w:r>
        <w:rPr>
          <w:rFonts w:ascii="Times New Roman" w:hAnsi="Times New Roman" w:eastAsia="方正仿宋_GBK"/>
          <w:color w:val="000000"/>
          <w:sz w:val="32"/>
          <w:szCs w:val="32"/>
          <w:u w:val="single"/>
        </w:rPr>
        <w:t xml:space="preserve">      </w:t>
      </w:r>
      <w:r>
        <w:rPr>
          <w:rFonts w:ascii="Times New Roman" w:hAnsi="Times New Roman" w:eastAsia="方正仿宋_GBK"/>
          <w:color w:val="000000"/>
          <w:sz w:val="32"/>
          <w:szCs w:val="32"/>
        </w:rPr>
        <w:t>（被授权人姓名及身份证代码）电话</w:t>
      </w:r>
      <w:r>
        <w:rPr>
          <w:rFonts w:ascii="Times New Roman" w:hAnsi="Times New Roman" w:eastAsia="方正仿宋_GBK"/>
          <w:color w:val="000000"/>
          <w:sz w:val="32"/>
          <w:szCs w:val="32"/>
          <w:u w:val="single"/>
        </w:rPr>
        <w:t xml:space="preserve">       </w:t>
      </w:r>
      <w:r>
        <w:rPr>
          <w:rFonts w:hint="eastAsia" w:ascii="Times New Roman" w:hAnsi="Times New Roman" w:eastAsia="方正仿宋_GBK"/>
          <w:color w:val="000000"/>
          <w:sz w:val="32"/>
          <w:szCs w:val="32"/>
          <w:u w:val="single"/>
        </w:rPr>
        <w:t xml:space="preserve">       </w:t>
      </w:r>
      <w:r>
        <w:rPr>
          <w:rFonts w:ascii="Times New Roman" w:hAnsi="Times New Roman" w:eastAsia="方正仿宋_GBK"/>
          <w:color w:val="000000"/>
          <w:sz w:val="32"/>
          <w:szCs w:val="32"/>
          <w:u w:val="single"/>
        </w:rPr>
        <w:t xml:space="preserve">      </w:t>
      </w:r>
      <w:r>
        <w:rPr>
          <w:rFonts w:ascii="Times New Roman" w:hAnsi="Times New Roman" w:eastAsia="方正仿宋_GBK"/>
          <w:color w:val="000000"/>
          <w:sz w:val="32"/>
          <w:szCs w:val="32"/>
        </w:rPr>
        <w:t>代表我单位全权办理上述项目的谈判、签约等具体工作，并签署全部有关文件、协议及合同。</w:t>
      </w:r>
    </w:p>
    <w:p w14:paraId="0167CA1B">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我单位对被授权人的签字负全部责任。</w:t>
      </w:r>
    </w:p>
    <w:p w14:paraId="46503C48">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在</w:t>
      </w:r>
      <w:r>
        <w:rPr>
          <w:rFonts w:hint="eastAsia" w:ascii="Times New Roman" w:hAnsi="Times New Roman" w:eastAsia="方正仿宋_GBK"/>
          <w:color w:val="000000"/>
          <w:sz w:val="32"/>
          <w:szCs w:val="32"/>
          <w:lang w:eastAsia="zh-CN"/>
        </w:rPr>
        <w:t>撤销</w:t>
      </w:r>
      <w:r>
        <w:rPr>
          <w:rFonts w:ascii="Times New Roman" w:hAnsi="Times New Roman" w:eastAsia="方正仿宋_GBK"/>
          <w:color w:val="000000"/>
          <w:sz w:val="32"/>
          <w:szCs w:val="32"/>
        </w:rPr>
        <w:t>授权的书面通知以前，本授权书一直有效。被授权人在授权书有效期内签署的所有文件不因授权</w:t>
      </w:r>
      <w:r>
        <w:rPr>
          <w:rFonts w:hint="eastAsia" w:ascii="Times New Roman" w:hAnsi="Times New Roman" w:eastAsia="方正仿宋_GBK"/>
          <w:color w:val="000000"/>
          <w:sz w:val="32"/>
          <w:szCs w:val="32"/>
          <w:lang w:eastAsia="zh-CN"/>
        </w:rPr>
        <w:t>的撤销</w:t>
      </w:r>
      <w:r>
        <w:rPr>
          <w:rFonts w:ascii="Times New Roman" w:hAnsi="Times New Roman" w:eastAsia="方正仿宋_GBK"/>
          <w:color w:val="000000"/>
          <w:sz w:val="32"/>
          <w:szCs w:val="32"/>
        </w:rPr>
        <w:t>而失效。</w:t>
      </w:r>
    </w:p>
    <w:p w14:paraId="7B4D5A0A">
      <w:pPr>
        <w:spacing w:after="0" w:line="594" w:lineRule="exact"/>
        <w:ind w:firstLine="640" w:firstLineChars="200"/>
        <w:jc w:val="both"/>
        <w:rPr>
          <w:rFonts w:ascii="Times New Roman" w:hAnsi="Times New Roman" w:eastAsia="方正仿宋_GBK"/>
          <w:color w:val="000000"/>
          <w:sz w:val="32"/>
          <w:szCs w:val="32"/>
        </w:rPr>
      </w:pPr>
    </w:p>
    <w:p w14:paraId="4C1E7D30">
      <w:pPr>
        <w:spacing w:after="0" w:line="594" w:lineRule="exact"/>
        <w:ind w:firstLine="640" w:firstLineChars="200"/>
        <w:jc w:val="both"/>
        <w:rPr>
          <w:rFonts w:ascii="Times New Roman" w:hAnsi="Times New Roman" w:eastAsia="方正仿宋_GBK"/>
          <w:color w:val="000000"/>
          <w:sz w:val="32"/>
          <w:szCs w:val="32"/>
        </w:rPr>
      </w:pPr>
    </w:p>
    <w:p w14:paraId="0DBF73A9">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被授权人：                               </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法定代表人：</w:t>
      </w:r>
    </w:p>
    <w:p w14:paraId="6432A214">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（签字或盖章）                      </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 xml:space="preserve"> （签字或盖章）</w:t>
      </w:r>
    </w:p>
    <w:p w14:paraId="5DB174C6">
      <w:pPr>
        <w:spacing w:after="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（附： 被授权人身份证正反面复印件）</w:t>
      </w:r>
    </w:p>
    <w:p w14:paraId="38906710">
      <w:pPr>
        <w:spacing w:after="0" w:line="594" w:lineRule="exact"/>
        <w:ind w:firstLine="640" w:firstLineChars="200"/>
        <w:jc w:val="both"/>
        <w:rPr>
          <w:rFonts w:ascii="Times New Roman" w:hAnsi="Times New Roman" w:eastAsia="方正仿宋_GBK"/>
          <w:color w:val="000000"/>
          <w:sz w:val="32"/>
          <w:szCs w:val="32"/>
        </w:rPr>
      </w:pPr>
    </w:p>
    <w:p w14:paraId="438D46B8">
      <w:pPr>
        <w:spacing w:after="0" w:line="594" w:lineRule="exact"/>
        <w:ind w:firstLine="640"/>
        <w:jc w:val="both"/>
        <w:rPr>
          <w:rFonts w:ascii="Times New Roman" w:hAnsi="Times New Roman" w:eastAsia="方正仿宋_GBK"/>
          <w:color w:val="000000"/>
          <w:sz w:val="32"/>
          <w:szCs w:val="32"/>
        </w:rPr>
      </w:pPr>
    </w:p>
    <w:p w14:paraId="401A0BEA">
      <w:pPr>
        <w:spacing w:after="0" w:line="594" w:lineRule="exact"/>
        <w:ind w:firstLine="640" w:firstLineChars="200"/>
        <w:jc w:val="both"/>
        <w:rPr>
          <w:rFonts w:ascii="Times New Roman" w:hAnsi="Times New Roman" w:eastAsia="方正仿宋_GBK"/>
          <w:color w:val="000000"/>
          <w:sz w:val="32"/>
          <w:szCs w:val="32"/>
        </w:rPr>
      </w:pPr>
    </w:p>
    <w:p w14:paraId="40EC788A">
      <w:pPr>
        <w:spacing w:after="0" w:line="594" w:lineRule="exact"/>
        <w:ind w:firstLine="640" w:firstLineChars="200"/>
        <w:jc w:val="right"/>
        <w:rPr>
          <w:rFonts w:ascii="Times New Roman" w:hAnsi="Times New Roman" w:eastAsia="方正仿宋_GBK"/>
          <w:color w:val="000000"/>
          <w:sz w:val="32"/>
          <w:szCs w:val="32"/>
        </w:rPr>
      </w:pPr>
      <w:r>
        <w:rPr>
          <w:rFonts w:ascii="Times New Roman" w:hAnsi="Times New Roman" w:eastAsia="方正仿宋_GBK"/>
          <w:color w:val="000000"/>
          <w:sz w:val="32"/>
          <w:szCs w:val="32"/>
        </w:rPr>
        <w:t>（供应商公章）</w:t>
      </w:r>
      <w:r>
        <w:rPr>
          <w:rFonts w:hint="eastAsia" w:ascii="Times New Roman" w:hAnsi="Times New Roman" w:eastAsia="方正仿宋_GBK"/>
          <w:color w:val="000000"/>
          <w:sz w:val="32"/>
          <w:szCs w:val="32"/>
        </w:rPr>
        <w:t xml:space="preserve">         </w:t>
      </w:r>
    </w:p>
    <w:p w14:paraId="51197434">
      <w:pPr>
        <w:spacing w:after="0" w:line="594" w:lineRule="exact"/>
        <w:ind w:firstLine="640" w:firstLineChars="200"/>
        <w:jc w:val="righ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 xml:space="preserve">年 </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月</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日</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 xml:space="preserve">             </w:t>
      </w:r>
    </w:p>
    <w:p w14:paraId="59E71A91">
      <w:pPr>
        <w:spacing w:after="0" w:line="594" w:lineRule="exact"/>
        <w:ind w:firstLine="640"/>
        <w:jc w:val="center"/>
        <w:rPr>
          <w:rFonts w:ascii="Times New Roman" w:hAnsi="Times New Roman" w:eastAsia="方正仿宋_GBK"/>
          <w:color w:val="000000"/>
          <w:sz w:val="32"/>
          <w:szCs w:val="32"/>
        </w:rPr>
      </w:pPr>
    </w:p>
    <w:p w14:paraId="4910688D">
      <w:pPr>
        <w:spacing w:after="0" w:line="594" w:lineRule="exact"/>
        <w:ind w:firstLine="640"/>
        <w:jc w:val="center"/>
        <w:rPr>
          <w:rFonts w:ascii="Times New Roman" w:hAnsi="Times New Roman" w:eastAsia="方正仿宋_GBK"/>
          <w:color w:val="000000"/>
          <w:sz w:val="32"/>
          <w:szCs w:val="32"/>
        </w:rPr>
      </w:pPr>
    </w:p>
    <w:p w14:paraId="7BA21230">
      <w:pPr>
        <w:spacing w:after="0" w:line="594" w:lineRule="exact"/>
        <w:ind w:firstLine="640"/>
        <w:rPr>
          <w:rFonts w:ascii="Times New Roman" w:hAnsi="Times New Roman" w:eastAsia="方正仿宋_GBK"/>
          <w:color w:val="000000"/>
          <w:sz w:val="32"/>
          <w:szCs w:val="32"/>
        </w:rPr>
      </w:pPr>
    </w:p>
    <w:p w14:paraId="0E144983">
      <w:pPr>
        <w:spacing w:after="0" w:line="594" w:lineRule="exact"/>
        <w:ind w:firstLine="640"/>
        <w:jc w:val="center"/>
        <w:rPr>
          <w:rFonts w:ascii="Times New Roman" w:hAnsi="Times New Roman" w:eastAsia="方正仿宋_GBK"/>
          <w:color w:val="000000"/>
          <w:sz w:val="32"/>
          <w:szCs w:val="32"/>
        </w:rPr>
      </w:pPr>
      <w:r>
        <w:rPr>
          <w:rFonts w:ascii="Times New Roman" w:hAnsi="Times New Roman" w:eastAsia="方正仿宋_GBK"/>
          <w:color w:val="000000"/>
          <w:sz w:val="32"/>
          <w:szCs w:val="32"/>
        </w:rPr>
        <w:t>（ 结束）</w:t>
      </w:r>
    </w:p>
    <w:sectPr>
      <w:footerReference r:id="rId4" w:type="default"/>
      <w:footerReference r:id="rId5" w:type="even"/>
      <w:pgSz w:w="11906" w:h="16838"/>
      <w:pgMar w:top="1985" w:right="1474" w:bottom="1985" w:left="1474" w:header="709" w:footer="709"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DC38113-2A99-46D8-822C-5BC8B3E46CC9}"/>
  </w:font>
  <w:font w:name="微软雅黑">
    <w:panose1 w:val="020B0503020204020204"/>
    <w:charset w:val="86"/>
    <w:family w:val="swiss"/>
    <w:pitch w:val="default"/>
    <w:sig w:usb0="80000287" w:usb1="2ACF3C50" w:usb2="00000016" w:usb3="00000000" w:csb0="0004001F" w:csb1="00000000"/>
    <w:embedRegular r:id="rId2" w:fontKey="{C83A660F-11FB-4E7B-88FD-397FC148CDBC}"/>
  </w:font>
  <w:font w:name="Tahoma">
    <w:panose1 w:val="020B0604030504040204"/>
    <w:charset w:val="00"/>
    <w:family w:val="swiss"/>
    <w:pitch w:val="default"/>
    <w:sig w:usb0="E1002EFF" w:usb1="C000605B" w:usb2="00000029" w:usb3="00000000" w:csb0="200101FF" w:csb1="20280000"/>
  </w:font>
  <w:font w:name="方正小标宋简体">
    <w:altName w:val="黑体"/>
    <w:panose1 w:val="00000000000000000000"/>
    <w:charset w:val="86"/>
    <w:family w:val="script"/>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9552EAB4-5262-4306-9BB7-A5B5CC4A1124}"/>
  </w:font>
  <w:font w:name="方正黑体_GBK">
    <w:panose1 w:val="02010600010101010101"/>
    <w:charset w:val="86"/>
    <w:family w:val="script"/>
    <w:pitch w:val="default"/>
    <w:sig w:usb0="00000001" w:usb1="080E0000" w:usb2="00000000" w:usb3="00000000" w:csb0="00040000" w:csb1="00000000"/>
    <w:embedRegular r:id="rId4" w:fontKey="{222E02B6-A7C7-4DC9-9FC1-025A47B1B499}"/>
  </w:font>
  <w:font w:name="方正仿宋_GBK">
    <w:panose1 w:val="02000000000000000000"/>
    <w:charset w:val="86"/>
    <w:family w:val="script"/>
    <w:pitch w:val="default"/>
    <w:sig w:usb0="A00002BF" w:usb1="38CF7CFA" w:usb2="00082016" w:usb3="00000000" w:csb0="00040001" w:csb1="00000000"/>
    <w:embedRegular r:id="rId5" w:fontKey="{97C73BB7-C6E2-46DA-BCEE-F061EF6E0517}"/>
  </w:font>
  <w:font w:name="方正楷体_GBK">
    <w:panose1 w:val="02000000000000000000"/>
    <w:charset w:val="86"/>
    <w:family w:val="script"/>
    <w:pitch w:val="default"/>
    <w:sig w:usb0="800002BF" w:usb1="38CF7CFA" w:usb2="00000016" w:usb3="00000000" w:csb0="00040000" w:csb1="00000000"/>
    <w:embedRegular r:id="rId6" w:fontKey="{1CC36213-9B85-4235-B658-35834D19214B}"/>
  </w:font>
  <w:font w:name="仿宋">
    <w:panose1 w:val="02010609060101010101"/>
    <w:charset w:val="86"/>
    <w:family w:val="auto"/>
    <w:pitch w:val="default"/>
    <w:sig w:usb0="800002BF" w:usb1="38CF7CFA" w:usb2="00000016" w:usb3="00000000" w:csb0="00040001" w:csb1="00000000"/>
    <w:embedRegular r:id="rId7" w:fontKey="{A14A1558-6FC8-4937-BD42-BFA06C864F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29C6F">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5E7E5">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720"/>
  <w:evenAndOddHeaders w:val="1"/>
  <w:drawingGridHorizontalSpacing w:val="110"/>
  <w:displayHorizontalDrawingGridEvery w:val="2"/>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lN2E1Yjc4YzcxMWE0OWJiMTkzZWNkYzQ3MzE5MjUifQ=="/>
  </w:docVars>
  <w:rsids>
    <w:rsidRoot w:val="00D31D50"/>
    <w:rsid w:val="0000374E"/>
    <w:rsid w:val="0001633D"/>
    <w:rsid w:val="00030A8D"/>
    <w:rsid w:val="0004564F"/>
    <w:rsid w:val="00055158"/>
    <w:rsid w:val="00066CCC"/>
    <w:rsid w:val="00085352"/>
    <w:rsid w:val="00090C0F"/>
    <w:rsid w:val="000932D8"/>
    <w:rsid w:val="000A0DFF"/>
    <w:rsid w:val="000D4919"/>
    <w:rsid w:val="000F01F0"/>
    <w:rsid w:val="00106833"/>
    <w:rsid w:val="00116376"/>
    <w:rsid w:val="00123FF2"/>
    <w:rsid w:val="00126AC6"/>
    <w:rsid w:val="00152998"/>
    <w:rsid w:val="00162F32"/>
    <w:rsid w:val="001B553B"/>
    <w:rsid w:val="001C77D9"/>
    <w:rsid w:val="001D41D7"/>
    <w:rsid w:val="001E15AD"/>
    <w:rsid w:val="001E20CB"/>
    <w:rsid w:val="001F6264"/>
    <w:rsid w:val="0020657E"/>
    <w:rsid w:val="00207375"/>
    <w:rsid w:val="00214704"/>
    <w:rsid w:val="00223020"/>
    <w:rsid w:val="00241C0E"/>
    <w:rsid w:val="00283945"/>
    <w:rsid w:val="00286833"/>
    <w:rsid w:val="002A7DD2"/>
    <w:rsid w:val="002E5076"/>
    <w:rsid w:val="00305C65"/>
    <w:rsid w:val="0032035E"/>
    <w:rsid w:val="00320E05"/>
    <w:rsid w:val="00323B43"/>
    <w:rsid w:val="0034406A"/>
    <w:rsid w:val="003454EA"/>
    <w:rsid w:val="003561E4"/>
    <w:rsid w:val="00362750"/>
    <w:rsid w:val="00363140"/>
    <w:rsid w:val="003A0685"/>
    <w:rsid w:val="003B3A98"/>
    <w:rsid w:val="003C5D58"/>
    <w:rsid w:val="003D0864"/>
    <w:rsid w:val="003D1C34"/>
    <w:rsid w:val="003D37D8"/>
    <w:rsid w:val="003D658C"/>
    <w:rsid w:val="003F551B"/>
    <w:rsid w:val="004054E5"/>
    <w:rsid w:val="00406D5C"/>
    <w:rsid w:val="00413ABE"/>
    <w:rsid w:val="00416484"/>
    <w:rsid w:val="00426133"/>
    <w:rsid w:val="004358AB"/>
    <w:rsid w:val="004434F5"/>
    <w:rsid w:val="004515F0"/>
    <w:rsid w:val="00453590"/>
    <w:rsid w:val="00476FAC"/>
    <w:rsid w:val="004808D3"/>
    <w:rsid w:val="00483229"/>
    <w:rsid w:val="0049436F"/>
    <w:rsid w:val="004A5733"/>
    <w:rsid w:val="004B09E2"/>
    <w:rsid w:val="004C5DCC"/>
    <w:rsid w:val="004D43BF"/>
    <w:rsid w:val="004E03C5"/>
    <w:rsid w:val="004E1A6F"/>
    <w:rsid w:val="004F594C"/>
    <w:rsid w:val="00524417"/>
    <w:rsid w:val="00526CB5"/>
    <w:rsid w:val="005318FC"/>
    <w:rsid w:val="0054039E"/>
    <w:rsid w:val="005471D9"/>
    <w:rsid w:val="00557444"/>
    <w:rsid w:val="00561F1E"/>
    <w:rsid w:val="005A0B2B"/>
    <w:rsid w:val="005A546A"/>
    <w:rsid w:val="005B7B8C"/>
    <w:rsid w:val="005D0689"/>
    <w:rsid w:val="005D0BE0"/>
    <w:rsid w:val="005E2BC1"/>
    <w:rsid w:val="00602592"/>
    <w:rsid w:val="00647FAA"/>
    <w:rsid w:val="00674095"/>
    <w:rsid w:val="00676883"/>
    <w:rsid w:val="006924C0"/>
    <w:rsid w:val="006943FF"/>
    <w:rsid w:val="00694695"/>
    <w:rsid w:val="006A31CF"/>
    <w:rsid w:val="006B298D"/>
    <w:rsid w:val="006C578B"/>
    <w:rsid w:val="007118A4"/>
    <w:rsid w:val="00735B80"/>
    <w:rsid w:val="00747690"/>
    <w:rsid w:val="00764625"/>
    <w:rsid w:val="0076578C"/>
    <w:rsid w:val="007A1B27"/>
    <w:rsid w:val="007D2129"/>
    <w:rsid w:val="007D23B3"/>
    <w:rsid w:val="007E2AB7"/>
    <w:rsid w:val="007E5457"/>
    <w:rsid w:val="00804AD3"/>
    <w:rsid w:val="00826F1C"/>
    <w:rsid w:val="00837206"/>
    <w:rsid w:val="00844EFC"/>
    <w:rsid w:val="00855A8D"/>
    <w:rsid w:val="0085678F"/>
    <w:rsid w:val="008650B5"/>
    <w:rsid w:val="008829C3"/>
    <w:rsid w:val="00892FC7"/>
    <w:rsid w:val="008B7726"/>
    <w:rsid w:val="008D0C01"/>
    <w:rsid w:val="008D285B"/>
    <w:rsid w:val="008F1A7D"/>
    <w:rsid w:val="009036A6"/>
    <w:rsid w:val="0092466F"/>
    <w:rsid w:val="00925C31"/>
    <w:rsid w:val="0093020A"/>
    <w:rsid w:val="009303FC"/>
    <w:rsid w:val="0095540B"/>
    <w:rsid w:val="0096684A"/>
    <w:rsid w:val="00980794"/>
    <w:rsid w:val="009A7AE4"/>
    <w:rsid w:val="009B56DE"/>
    <w:rsid w:val="009B7612"/>
    <w:rsid w:val="009D2E5B"/>
    <w:rsid w:val="009D69F3"/>
    <w:rsid w:val="009F05E9"/>
    <w:rsid w:val="009F2755"/>
    <w:rsid w:val="00A02395"/>
    <w:rsid w:val="00A54FB3"/>
    <w:rsid w:val="00A60416"/>
    <w:rsid w:val="00AB5FA1"/>
    <w:rsid w:val="00AC62E3"/>
    <w:rsid w:val="00AD78BD"/>
    <w:rsid w:val="00AF316B"/>
    <w:rsid w:val="00AF4E57"/>
    <w:rsid w:val="00B31F47"/>
    <w:rsid w:val="00B36EC2"/>
    <w:rsid w:val="00B37AEB"/>
    <w:rsid w:val="00B53ADF"/>
    <w:rsid w:val="00B60F35"/>
    <w:rsid w:val="00B81F64"/>
    <w:rsid w:val="00BA2788"/>
    <w:rsid w:val="00BC4293"/>
    <w:rsid w:val="00BD7270"/>
    <w:rsid w:val="00BD7911"/>
    <w:rsid w:val="00BF008B"/>
    <w:rsid w:val="00BF1D66"/>
    <w:rsid w:val="00BF2F7D"/>
    <w:rsid w:val="00C0045E"/>
    <w:rsid w:val="00C10570"/>
    <w:rsid w:val="00C26B6A"/>
    <w:rsid w:val="00C37DDE"/>
    <w:rsid w:val="00C47A66"/>
    <w:rsid w:val="00C8275F"/>
    <w:rsid w:val="00C829C3"/>
    <w:rsid w:val="00CA0422"/>
    <w:rsid w:val="00CA3C00"/>
    <w:rsid w:val="00D01571"/>
    <w:rsid w:val="00D0220B"/>
    <w:rsid w:val="00D31D50"/>
    <w:rsid w:val="00D33DC2"/>
    <w:rsid w:val="00D47F8C"/>
    <w:rsid w:val="00D74DC7"/>
    <w:rsid w:val="00D81483"/>
    <w:rsid w:val="00D939AF"/>
    <w:rsid w:val="00DA0B0A"/>
    <w:rsid w:val="00DD3FE7"/>
    <w:rsid w:val="00DF1A63"/>
    <w:rsid w:val="00E00B16"/>
    <w:rsid w:val="00E013B0"/>
    <w:rsid w:val="00E15BB3"/>
    <w:rsid w:val="00E21814"/>
    <w:rsid w:val="00E2251C"/>
    <w:rsid w:val="00E26451"/>
    <w:rsid w:val="00E420FA"/>
    <w:rsid w:val="00E56BA5"/>
    <w:rsid w:val="00E57006"/>
    <w:rsid w:val="00E628D4"/>
    <w:rsid w:val="00E915C3"/>
    <w:rsid w:val="00E9625B"/>
    <w:rsid w:val="00EA5D62"/>
    <w:rsid w:val="00EA7C58"/>
    <w:rsid w:val="00EC15DA"/>
    <w:rsid w:val="00EC5B9D"/>
    <w:rsid w:val="00ED7989"/>
    <w:rsid w:val="00EE109F"/>
    <w:rsid w:val="00F0101A"/>
    <w:rsid w:val="00F05C41"/>
    <w:rsid w:val="00F257AE"/>
    <w:rsid w:val="00F4467C"/>
    <w:rsid w:val="00F44B2C"/>
    <w:rsid w:val="00F80C4C"/>
    <w:rsid w:val="00F86FFB"/>
    <w:rsid w:val="00FB38B1"/>
    <w:rsid w:val="00FC24A1"/>
    <w:rsid w:val="00FC362F"/>
    <w:rsid w:val="00FE660F"/>
    <w:rsid w:val="00FF242E"/>
    <w:rsid w:val="00FF6BCB"/>
    <w:rsid w:val="011C787C"/>
    <w:rsid w:val="01934780"/>
    <w:rsid w:val="02C65375"/>
    <w:rsid w:val="036724FF"/>
    <w:rsid w:val="0D770B24"/>
    <w:rsid w:val="0FB40C0F"/>
    <w:rsid w:val="12A06CFD"/>
    <w:rsid w:val="15DD47F7"/>
    <w:rsid w:val="196F7429"/>
    <w:rsid w:val="1B9649BB"/>
    <w:rsid w:val="28BE26F9"/>
    <w:rsid w:val="2A9A4392"/>
    <w:rsid w:val="2AF23A16"/>
    <w:rsid w:val="2B167636"/>
    <w:rsid w:val="2FE46BAD"/>
    <w:rsid w:val="308C70B7"/>
    <w:rsid w:val="31F14468"/>
    <w:rsid w:val="32794B6A"/>
    <w:rsid w:val="34C934E0"/>
    <w:rsid w:val="47194C32"/>
    <w:rsid w:val="4CAE7940"/>
    <w:rsid w:val="54DC7D79"/>
    <w:rsid w:val="591A2206"/>
    <w:rsid w:val="5E801E65"/>
    <w:rsid w:val="5E9B157F"/>
    <w:rsid w:val="623E5801"/>
    <w:rsid w:val="626E6850"/>
    <w:rsid w:val="632523A8"/>
    <w:rsid w:val="648C0F0A"/>
    <w:rsid w:val="65295CAB"/>
    <w:rsid w:val="657F2BC8"/>
    <w:rsid w:val="66BC011A"/>
    <w:rsid w:val="74F25548"/>
    <w:rsid w:val="777CDB35"/>
    <w:rsid w:val="79100735"/>
    <w:rsid w:val="7E44098C"/>
    <w:rsid w:val="7EDE3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1"/>
    <w:basedOn w:val="1"/>
    <w:next w:val="1"/>
    <w:link w:val="22"/>
    <w:autoRedefine/>
    <w:qFormat/>
    <w:uiPriority w:val="0"/>
    <w:pPr>
      <w:keepNext/>
      <w:widowControl w:val="0"/>
      <w:tabs>
        <w:tab w:val="left" w:pos="3360"/>
      </w:tabs>
      <w:adjustRightInd/>
      <w:spacing w:beforeLines="50" w:afterLines="50" w:line="800" w:lineRule="atLeast"/>
      <w:jc w:val="center"/>
      <w:outlineLvl w:val="0"/>
    </w:pPr>
    <w:rPr>
      <w:rFonts w:ascii="Times New Roman" w:hAnsi="Times New Roman" w:eastAsia="方正小标宋简体"/>
      <w:kern w:val="2"/>
      <w:sz w:val="44"/>
      <w:szCs w:val="20"/>
    </w:rPr>
  </w:style>
  <w:style w:type="paragraph" w:styleId="4">
    <w:name w:val="heading 2"/>
    <w:basedOn w:val="1"/>
    <w:next w:val="1"/>
    <w:link w:val="23"/>
    <w:autoRedefine/>
    <w:qFormat/>
    <w:uiPriority w:val="0"/>
    <w:pPr>
      <w:keepNext/>
      <w:keepLines/>
      <w:widowControl w:val="0"/>
      <w:spacing w:beforeLines="50" w:after="0" w:line="240" w:lineRule="exact"/>
      <w:ind w:firstLine="2320" w:firstLineChars="200"/>
      <w:jc w:val="both"/>
      <w:outlineLvl w:val="1"/>
    </w:pPr>
    <w:rPr>
      <w:rFonts w:ascii="宋体" w:hAnsi="宋体" w:eastAsia="宋体"/>
      <w:b/>
      <w:sz w:val="20"/>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1"/>
    <w:pPr>
      <w:jc w:val="both"/>
    </w:pPr>
    <w:rPr>
      <w:rFonts w:ascii="Calibri" w:hAnsi="Calibri" w:eastAsia="Times New Roman" w:cs="Times New Roman"/>
      <w:lang w:val="en-US" w:eastAsia="zh-CN" w:bidi="ar-SA"/>
    </w:rPr>
  </w:style>
  <w:style w:type="paragraph" w:styleId="5">
    <w:name w:val="Body Text"/>
    <w:basedOn w:val="1"/>
    <w:next w:val="6"/>
    <w:unhideWhenUsed/>
    <w:qFormat/>
    <w:uiPriority w:val="0"/>
    <w:pPr>
      <w:widowControl w:val="0"/>
      <w:adjustRightInd/>
      <w:snapToGrid/>
      <w:spacing w:after="120"/>
      <w:jc w:val="both"/>
    </w:pPr>
    <w:rPr>
      <w:rFonts w:ascii="Times New Roman" w:hAnsi="Times New Roman" w:eastAsia="宋体"/>
      <w:kern w:val="2"/>
      <w:sz w:val="24"/>
      <w:szCs w:val="20"/>
    </w:rPr>
  </w:style>
  <w:style w:type="paragraph" w:styleId="6">
    <w:name w:val="index 7"/>
    <w:basedOn w:val="1"/>
    <w:next w:val="1"/>
    <w:qFormat/>
    <w:uiPriority w:val="0"/>
    <w:pPr>
      <w:ind w:left="2520"/>
    </w:pPr>
  </w:style>
  <w:style w:type="paragraph" w:styleId="7">
    <w:name w:val="Body Text Indent"/>
    <w:basedOn w:val="1"/>
    <w:next w:val="8"/>
    <w:link w:val="25"/>
    <w:semiHidden/>
    <w:unhideWhenUsed/>
    <w:qFormat/>
    <w:uiPriority w:val="99"/>
    <w:pPr>
      <w:spacing w:after="120"/>
      <w:ind w:left="420" w:leftChars="200"/>
    </w:pPr>
  </w:style>
  <w:style w:type="paragraph" w:customStyle="1" w:styleId="8">
    <w:name w:val="目录 71"/>
    <w:next w:val="1"/>
    <w:qFormat/>
    <w:uiPriority w:val="0"/>
    <w:pPr>
      <w:widowControl w:val="0"/>
      <w:ind w:left="2520"/>
      <w:jc w:val="both"/>
    </w:pPr>
    <w:rPr>
      <w:rFonts w:ascii="Calibri" w:hAnsi="Calibri" w:eastAsia="宋体" w:cs="Times New Roman"/>
      <w:kern w:val="2"/>
      <w:sz w:val="28"/>
      <w:lang w:val="en-US" w:eastAsia="zh-CN" w:bidi="ar-SA"/>
    </w:rPr>
  </w:style>
  <w:style w:type="paragraph" w:styleId="9">
    <w:name w:val="Date"/>
    <w:basedOn w:val="1"/>
    <w:next w:val="1"/>
    <w:link w:val="24"/>
    <w:autoRedefine/>
    <w:qFormat/>
    <w:uiPriority w:val="0"/>
    <w:pPr>
      <w:widowControl w:val="0"/>
      <w:adjustRightInd/>
      <w:snapToGrid/>
      <w:spacing w:after="0"/>
      <w:jc w:val="both"/>
    </w:pPr>
    <w:rPr>
      <w:rFonts w:ascii="Times New Roman" w:hAnsi="Times New Roman" w:eastAsia="宋体"/>
      <w:kern w:val="2"/>
      <w:sz w:val="24"/>
      <w:szCs w:val="20"/>
    </w:rPr>
  </w:style>
  <w:style w:type="paragraph" w:styleId="10">
    <w:name w:val="Balloon Text"/>
    <w:basedOn w:val="1"/>
    <w:link w:val="27"/>
    <w:semiHidden/>
    <w:unhideWhenUsed/>
    <w:qFormat/>
    <w:uiPriority w:val="99"/>
    <w:pPr>
      <w:spacing w:after="0"/>
    </w:pPr>
    <w:rPr>
      <w:sz w:val="18"/>
      <w:szCs w:val="18"/>
    </w:rPr>
  </w:style>
  <w:style w:type="paragraph" w:styleId="11">
    <w:name w:val="footer"/>
    <w:basedOn w:val="1"/>
    <w:link w:val="20"/>
    <w:autoRedefine/>
    <w:unhideWhenUsed/>
    <w:qFormat/>
    <w:uiPriority w:val="99"/>
    <w:pPr>
      <w:tabs>
        <w:tab w:val="center" w:pos="4153"/>
        <w:tab w:val="right" w:pos="8306"/>
      </w:tabs>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jc w:val="center"/>
    </w:pPr>
    <w:rPr>
      <w:sz w:val="18"/>
      <w:szCs w:val="18"/>
    </w:rPr>
  </w:style>
  <w:style w:type="paragraph" w:styleId="13">
    <w:name w:val="Normal (Web)"/>
    <w:basedOn w:val="1"/>
    <w:qFormat/>
    <w:uiPriority w:val="0"/>
    <w:pPr>
      <w:widowControl w:val="0"/>
      <w:adjustRightInd/>
      <w:snapToGrid/>
      <w:spacing w:beforeAutospacing="1" w:after="100" w:afterAutospacing="1"/>
    </w:pPr>
    <w:rPr>
      <w:rFonts w:ascii="Calibri" w:hAnsi="Calibri" w:eastAsia="宋体" w:cs="宋体"/>
      <w:sz w:val="24"/>
      <w:szCs w:val="24"/>
    </w:rPr>
  </w:style>
  <w:style w:type="paragraph" w:styleId="14">
    <w:name w:val="Body Text First Indent 2"/>
    <w:basedOn w:val="7"/>
    <w:next w:val="1"/>
    <w:link w:val="26"/>
    <w:autoRedefine/>
    <w:qFormat/>
    <w:uiPriority w:val="0"/>
    <w:pPr>
      <w:widowControl w:val="0"/>
      <w:adjustRightInd/>
      <w:snapToGrid/>
      <w:ind w:firstLine="420" w:firstLineChars="200"/>
      <w:jc w:val="both"/>
    </w:pPr>
    <w:rPr>
      <w:rFonts w:ascii="Times New Roman" w:hAnsi="Times New Roman" w:eastAsia="宋体"/>
      <w:kern w:val="2"/>
      <w:sz w:val="21"/>
      <w:szCs w:val="20"/>
    </w:rPr>
  </w:style>
  <w:style w:type="table" w:styleId="16">
    <w:name w:val="Table Grid"/>
    <w:basedOn w:val="15"/>
    <w:autoRedefine/>
    <w:qFormat/>
    <w:uiPriority w:val="59"/>
    <w:rPr>
      <w:rFonts w:eastAsia="宋体"/>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fontstyle01"/>
    <w:autoRedefine/>
    <w:qFormat/>
    <w:uiPriority w:val="0"/>
    <w:rPr>
      <w:rFonts w:hint="eastAsia" w:ascii="宋体" w:hAnsi="宋体" w:eastAsia="宋体"/>
      <w:color w:val="000000"/>
      <w:sz w:val="24"/>
      <w:szCs w:val="24"/>
    </w:rPr>
  </w:style>
  <w:style w:type="character" w:customStyle="1" w:styleId="19">
    <w:name w:val="页眉 Char"/>
    <w:link w:val="12"/>
    <w:autoRedefine/>
    <w:qFormat/>
    <w:uiPriority w:val="99"/>
    <w:rPr>
      <w:rFonts w:ascii="Tahoma" w:hAnsi="Tahoma"/>
      <w:sz w:val="18"/>
      <w:szCs w:val="18"/>
    </w:rPr>
  </w:style>
  <w:style w:type="character" w:customStyle="1" w:styleId="20">
    <w:name w:val="页脚 Char"/>
    <w:link w:val="11"/>
    <w:qFormat/>
    <w:uiPriority w:val="99"/>
    <w:rPr>
      <w:rFonts w:ascii="Tahoma" w:hAnsi="Tahoma"/>
      <w:sz w:val="18"/>
      <w:szCs w:val="18"/>
    </w:rPr>
  </w:style>
  <w:style w:type="character" w:customStyle="1" w:styleId="21">
    <w:name w:val="NormalCharacter"/>
    <w:autoRedefine/>
    <w:qFormat/>
    <w:uiPriority w:val="99"/>
  </w:style>
  <w:style w:type="character" w:customStyle="1" w:styleId="22">
    <w:name w:val="标题 1 Char"/>
    <w:link w:val="3"/>
    <w:autoRedefine/>
    <w:qFormat/>
    <w:uiPriority w:val="0"/>
    <w:rPr>
      <w:rFonts w:ascii="Times New Roman" w:hAnsi="Times New Roman" w:eastAsia="方正小标宋简体"/>
      <w:kern w:val="2"/>
      <w:sz w:val="44"/>
    </w:rPr>
  </w:style>
  <w:style w:type="character" w:customStyle="1" w:styleId="23">
    <w:name w:val="标题 2 Char"/>
    <w:link w:val="4"/>
    <w:qFormat/>
    <w:uiPriority w:val="0"/>
    <w:rPr>
      <w:rFonts w:ascii="宋体" w:hAnsi="宋体" w:eastAsia="宋体"/>
      <w:b/>
    </w:rPr>
  </w:style>
  <w:style w:type="character" w:customStyle="1" w:styleId="24">
    <w:name w:val="日期 Char"/>
    <w:link w:val="9"/>
    <w:autoRedefine/>
    <w:qFormat/>
    <w:uiPriority w:val="0"/>
    <w:rPr>
      <w:rFonts w:ascii="Times New Roman" w:hAnsi="Times New Roman" w:eastAsia="宋体"/>
      <w:kern w:val="2"/>
      <w:sz w:val="24"/>
    </w:rPr>
  </w:style>
  <w:style w:type="character" w:customStyle="1" w:styleId="25">
    <w:name w:val="正文文本缩进 Char"/>
    <w:link w:val="7"/>
    <w:autoRedefine/>
    <w:semiHidden/>
    <w:qFormat/>
    <w:uiPriority w:val="99"/>
    <w:rPr>
      <w:rFonts w:ascii="Tahoma" w:hAnsi="Tahoma"/>
      <w:sz w:val="22"/>
      <w:szCs w:val="22"/>
    </w:rPr>
  </w:style>
  <w:style w:type="character" w:customStyle="1" w:styleId="26">
    <w:name w:val="正文首行缩进 2 Char"/>
    <w:link w:val="14"/>
    <w:autoRedefine/>
    <w:qFormat/>
    <w:uiPriority w:val="0"/>
    <w:rPr>
      <w:rFonts w:ascii="Times New Roman" w:hAnsi="Times New Roman" w:eastAsia="宋体"/>
      <w:kern w:val="2"/>
      <w:sz w:val="21"/>
      <w:szCs w:val="22"/>
    </w:rPr>
  </w:style>
  <w:style w:type="character" w:customStyle="1" w:styleId="27">
    <w:name w:val="批注框文本 Char"/>
    <w:link w:val="10"/>
    <w:autoRedefine/>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6231</Words>
  <Characters>6528</Characters>
  <Lines>53</Lines>
  <Paragraphs>14</Paragraphs>
  <TotalTime>89</TotalTime>
  <ScaleCrop>false</ScaleCrop>
  <LinksUpToDate>false</LinksUpToDate>
  <CharactersWithSpaces>6858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2023-03-06T18:43:00Z</dcterms:created>
  <dc:creator>Administrator</dc:creator>
  <cp:lastModifiedBy>free</cp:lastModifiedBy>
  <cp:lastPrinted>2024-11-29T03:42:00Z</cp:lastPrinted>
  <dcterms:modified xsi:type="dcterms:W3CDTF">2024-11-29T06:28:42Z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EF3410E6D6294200A4F895AD2A5BDC13_13</vt:lpwstr>
  </property>
</Properties>
</file>