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rPr>
          <w:rFonts w:hint="eastAsia" w:ascii="方正仿宋_GBK" w:hAnsi="方正仿宋_GBK" w:eastAsia="方正仿宋_GBK" w:cs="方正仿宋_GBK"/>
          <w:b w:val="0"/>
          <w:bCs w:val="0"/>
          <w:sz w:val="32"/>
          <w:szCs w:val="32"/>
        </w:rPr>
      </w:pPr>
    </w:p>
    <w:p>
      <w:pPr>
        <w:pStyle w:val="2"/>
        <w:spacing w:before="0"/>
        <w:ind w:left="0" w:right="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重庆市大渡口区八桥镇人民政府</w:t>
      </w:r>
    </w:p>
    <w:p>
      <w:pPr>
        <w:pStyle w:val="2"/>
        <w:spacing w:before="0"/>
        <w:ind w:left="0" w:right="0"/>
        <w:rPr>
          <w:rFonts w:hint="eastAsia" w:ascii="方正仿宋_GBK" w:hAnsi="方正仿宋_GBK" w:eastAsia="方正仿宋_GBK" w:cs="方正仿宋_GBK"/>
          <w:b w:val="0"/>
          <w:bCs w:val="0"/>
          <w:sz w:val="32"/>
          <w:szCs w:val="32"/>
        </w:rPr>
      </w:pP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19</w:t>
      </w:r>
      <w:bookmarkStart w:id="0" w:name="_GoBack"/>
      <w:bookmarkEnd w:id="0"/>
      <w:r>
        <w:rPr>
          <w:rFonts w:hint="eastAsia" w:ascii="方正小标宋_GBK" w:hAnsi="方正小标宋_GBK" w:eastAsia="方正小标宋_GBK" w:cs="方正小标宋_GBK"/>
          <w:b w:val="0"/>
          <w:bCs w:val="0"/>
          <w:sz w:val="44"/>
          <w:szCs w:val="44"/>
        </w:rPr>
        <w:t>年部门决算情况说明</w:t>
      </w:r>
    </w:p>
    <w:p>
      <w:pPr>
        <w:pStyle w:val="4"/>
        <w:spacing w:before="1"/>
        <w:rPr>
          <w:rFonts w:hint="eastAsia" w:ascii="方正仿宋_GBK" w:hAnsi="方正仿宋_GBK" w:eastAsia="方正仿宋_GBK" w:cs="方正仿宋_GBK"/>
          <w:b w:val="0"/>
          <w:bCs w:val="0"/>
          <w:sz w:val="32"/>
          <w:szCs w:val="32"/>
        </w:rPr>
      </w:pPr>
    </w:p>
    <w:p>
      <w:pPr>
        <w:pStyle w:val="11"/>
        <w:spacing w:before="0" w:beforeAutospacing="0" w:after="0" w:afterAutospacing="0" w:line="580" w:lineRule="exact"/>
        <w:ind w:left="0" w:right="0" w:firstLine="640" w:firstLineChars="200"/>
        <w:jc w:val="both"/>
        <w:rPr>
          <w:rFonts w:hint="eastAsia" w:ascii="方正黑体_GBK" w:hAnsi="方正黑体_GBK" w:eastAsia="方正黑体_GBK" w:cs="方正黑体_GBK"/>
          <w:b w:val="0"/>
          <w:bCs w:val="0"/>
          <w:kern w:val="0"/>
          <w:sz w:val="32"/>
          <w:szCs w:val="32"/>
          <w:shd w:val="clear" w:fill="FFFFFF"/>
        </w:rPr>
      </w:pPr>
      <w:r>
        <w:rPr>
          <w:rStyle w:val="12"/>
          <w:rFonts w:hint="eastAsia" w:ascii="方正黑体_GBK" w:hAnsi="方正黑体_GBK" w:eastAsia="方正黑体_GBK" w:cs="方正黑体_GBK"/>
          <w:b w:val="0"/>
          <w:bCs w:val="0"/>
          <w:sz w:val="32"/>
          <w:szCs w:val="32"/>
          <w:shd w:val="clear" w:fill="FFFFFF"/>
        </w:rPr>
        <w:t>一、部门基本情况</w:t>
      </w:r>
    </w:p>
    <w:p>
      <w:pPr>
        <w:pStyle w:val="11"/>
        <w:spacing w:before="0" w:beforeAutospacing="0" w:after="0" w:afterAutospacing="0" w:line="580" w:lineRule="exact"/>
        <w:ind w:left="0" w:right="0" w:firstLine="640" w:firstLineChars="200"/>
        <w:jc w:val="both"/>
        <w:rPr>
          <w:rFonts w:hint="eastAsia" w:ascii="方正楷体_GBK" w:hAnsi="方正楷体_GBK" w:eastAsia="方正楷体_GBK" w:cs="方正楷体_GBK"/>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（一）职能职责。</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镇党委主要职责</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）贯彻执行党的路线、方针、政策和上级党组织以及本镇党员代表大会（党员大会）的决议。</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w:t>
      </w:r>
      <w:r>
        <w:rPr>
          <w:rFonts w:hint="eastAsia" w:ascii="方正仿宋_GBK" w:hAnsi="方正仿宋_GBK" w:eastAsia="方正仿宋_GBK" w:cs="方正仿宋_GBK"/>
          <w:b w:val="0"/>
          <w:bCs w:val="0"/>
          <w:kern w:val="0"/>
          <w:sz w:val="32"/>
          <w:szCs w:val="32"/>
        </w:rPr>
        <w:t>）讨论决定镇经济建设和社会发展的重大问题。需由镇政权机关决定的问题，由镇政权机关依法作出决定。</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）领导镇政权机关、集体经济组织和群众组织，支持这些机关和组织依照国家法律法规和各自章程开展工作。</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4</w:t>
      </w:r>
      <w:r>
        <w:rPr>
          <w:rFonts w:hint="eastAsia" w:ascii="方正仿宋_GBK" w:hAnsi="方正仿宋_GBK" w:eastAsia="方正仿宋_GBK" w:cs="方正仿宋_GBK"/>
          <w:b w:val="0"/>
          <w:bCs w:val="0"/>
          <w:kern w:val="0"/>
          <w:sz w:val="32"/>
          <w:szCs w:val="32"/>
        </w:rPr>
        <w:t>）加强镇党委自身建设、基层组织建设和党员队伍建设。负责党代会、人代会、村民委员会、社区居民委员会的换届选举工作，协调组织人大代表、政协委员发挥参政议政作用。</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5</w:t>
      </w:r>
      <w:r>
        <w:rPr>
          <w:rFonts w:hint="eastAsia" w:ascii="方正仿宋_GBK" w:hAnsi="方正仿宋_GBK" w:eastAsia="方正仿宋_GBK" w:cs="方正仿宋_GBK"/>
          <w:b w:val="0"/>
          <w:bCs w:val="0"/>
          <w:kern w:val="0"/>
          <w:sz w:val="32"/>
          <w:szCs w:val="32"/>
        </w:rPr>
        <w:t>）按照干部管理权限，负责对干部的教育、培养、选拔、任免、考核和监督工作。协助管理上级有关部门驻镇单位的干部。</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）领导本镇社会主义政治文明、物质文明、精神文明建设，做好社会治安综合治理工作，领导镇纪律检查委员会工作和计划生育工作。</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7</w:t>
      </w:r>
      <w:r>
        <w:rPr>
          <w:rFonts w:hint="eastAsia" w:ascii="方正仿宋_GBK" w:hAnsi="方正仿宋_GBK" w:eastAsia="方正仿宋_GBK" w:cs="方正仿宋_GBK"/>
          <w:b w:val="0"/>
          <w:bCs w:val="0"/>
          <w:kern w:val="0"/>
          <w:sz w:val="32"/>
          <w:szCs w:val="32"/>
        </w:rPr>
        <w:t>）完成上级党委交办的其</w:t>
      </w:r>
      <w:r>
        <w:rPr>
          <w:rFonts w:hint="eastAsia" w:ascii="方正仿宋_GBK" w:hAnsi="方正仿宋_GBK" w:eastAsia="方正仿宋_GBK" w:cs="方正仿宋_GBK"/>
          <w:b w:val="0"/>
          <w:bCs w:val="0"/>
          <w:kern w:val="0"/>
          <w:sz w:val="32"/>
          <w:szCs w:val="32"/>
          <w:lang w:eastAsia="zh-CN"/>
        </w:rPr>
        <w:t>他</w:t>
      </w:r>
      <w:r>
        <w:rPr>
          <w:rFonts w:hint="eastAsia" w:ascii="方正仿宋_GBK" w:hAnsi="方正仿宋_GBK" w:eastAsia="方正仿宋_GBK" w:cs="方正仿宋_GBK"/>
          <w:b w:val="0"/>
          <w:bCs w:val="0"/>
          <w:kern w:val="0"/>
          <w:sz w:val="32"/>
          <w:szCs w:val="32"/>
        </w:rPr>
        <w:t>工作。</w:t>
      </w:r>
    </w:p>
    <w:p>
      <w:pPr>
        <w:keepNext w:val="0"/>
        <w:keepLines w:val="0"/>
        <w:widowControl w:val="0"/>
        <w:suppressLineNumbers w:val="0"/>
        <w:spacing w:line="580" w:lineRule="exact"/>
        <w:ind w:left="0" w:firstLine="640" w:firstLineChars="200"/>
        <w:jc w:val="both"/>
        <w:rPr>
          <w:rFonts w:hint="eastAsia" w:ascii="方正楷体_GBK" w:hAnsi="Times New Roman" w:eastAsia="方正楷体_GBK" w:cs="Times New Roman"/>
          <w:b w:val="0"/>
          <w:bCs w:val="0"/>
          <w:kern w:val="0"/>
          <w:sz w:val="32"/>
          <w:szCs w:val="32"/>
        </w:rPr>
      </w:pPr>
      <w:r>
        <w:rPr>
          <w:rFonts w:hint="eastAsia" w:ascii="方正楷体_GBK" w:hAnsi="Times New Roman" w:eastAsia="方正楷体_GBK" w:cs="Times New Roman"/>
          <w:b w:val="0"/>
          <w:bCs w:val="0"/>
          <w:kern w:val="0"/>
          <w:sz w:val="32"/>
          <w:szCs w:val="32"/>
        </w:rPr>
        <w:t>2.</w:t>
      </w:r>
      <w:r>
        <w:rPr>
          <w:rFonts w:hint="eastAsia" w:ascii="方正楷体_GBK" w:hAnsi="方正楷体_GBK" w:eastAsia="方正楷体_GBK" w:cs="方正楷体_GBK"/>
          <w:b w:val="0"/>
          <w:bCs w:val="0"/>
          <w:kern w:val="0"/>
          <w:sz w:val="32"/>
          <w:szCs w:val="32"/>
        </w:rPr>
        <w:t>镇人大主席团主要职责</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8</w:t>
      </w:r>
      <w:r>
        <w:rPr>
          <w:rFonts w:hint="eastAsia" w:ascii="方正仿宋_GBK" w:hAnsi="方正仿宋_GBK" w:eastAsia="方正仿宋_GBK" w:cs="方正仿宋_GBK"/>
          <w:b w:val="0"/>
          <w:bCs w:val="0"/>
          <w:kern w:val="0"/>
          <w:sz w:val="32"/>
          <w:szCs w:val="32"/>
        </w:rPr>
        <w:t>）检查和督促宪法、法律、行政法规、地方性法规和上级人民代表大会及其常务委员会决议、决定在本行政区域内的遵守和执行。</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9</w:t>
      </w:r>
      <w:r>
        <w:rPr>
          <w:rFonts w:hint="eastAsia" w:ascii="方正仿宋_GBK" w:hAnsi="方正仿宋_GBK" w:eastAsia="方正仿宋_GBK" w:cs="方正仿宋_GBK"/>
          <w:b w:val="0"/>
          <w:bCs w:val="0"/>
          <w:kern w:val="0"/>
          <w:sz w:val="32"/>
          <w:szCs w:val="32"/>
        </w:rPr>
        <w:t>）听取本级人民政府和有关部门工作情况的报告，监督本级人民政府和有关部门的工作，检查和督促本级人民政府对本级人民代表大会决议、决定的贯彻实施情况。</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10</w:t>
      </w:r>
      <w:r>
        <w:rPr>
          <w:rFonts w:hint="eastAsia" w:ascii="方正仿宋_GBK" w:hAnsi="方正仿宋_GBK" w:eastAsia="方正仿宋_GBK" w:cs="方正仿宋_GBK"/>
          <w:b w:val="0"/>
          <w:bCs w:val="0"/>
          <w:kern w:val="0"/>
          <w:sz w:val="32"/>
          <w:szCs w:val="32"/>
        </w:rPr>
        <w:t>）审查本级人民政府对本级人民代表大会通过的财政预算的部分变更，并向下次代表大会报告。</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11</w:t>
      </w:r>
      <w:r>
        <w:rPr>
          <w:rFonts w:hint="eastAsia" w:ascii="方正仿宋_GBK" w:hAnsi="方正仿宋_GBK" w:eastAsia="方正仿宋_GBK" w:cs="方正仿宋_GBK"/>
          <w:b w:val="0"/>
          <w:bCs w:val="0"/>
          <w:kern w:val="0"/>
          <w:sz w:val="32"/>
          <w:szCs w:val="32"/>
        </w:rPr>
        <w:t>）将代表向人民代表大会提出的议案和对各方面工作的建议交有关机关或组织研究办理，督促有关机关或组织将办理情况答复代表。</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12</w:t>
      </w:r>
      <w:r>
        <w:rPr>
          <w:rFonts w:hint="eastAsia" w:ascii="方正仿宋_GBK" w:hAnsi="方正仿宋_GBK" w:eastAsia="方正仿宋_GBK" w:cs="方正仿宋_GBK"/>
          <w:b w:val="0"/>
          <w:bCs w:val="0"/>
          <w:kern w:val="0"/>
          <w:sz w:val="32"/>
          <w:szCs w:val="32"/>
        </w:rPr>
        <w:t>）组织本级人民代表大会代表进行视察，参加执法检查，对本行政区域的重大事项进行调查，听取本级人民政府的工作汇报，评议本级人民政府及其工作部门和上级国家机关派驻镇单位的工作。</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13</w:t>
      </w:r>
      <w:r>
        <w:rPr>
          <w:rFonts w:hint="eastAsia" w:ascii="方正仿宋_GBK" w:hAnsi="方正仿宋_GBK" w:eastAsia="方正仿宋_GBK" w:cs="方正仿宋_GBK"/>
          <w:b w:val="0"/>
          <w:bCs w:val="0"/>
          <w:kern w:val="0"/>
          <w:sz w:val="32"/>
          <w:szCs w:val="32"/>
        </w:rPr>
        <w:t>）指导和协助在镇代表团开展活动，为其提供服务；协助人大代表联系选民，了解民意，反映人民群众的意见和要求；负责组织代表向选民述职，并接受选民评议。</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14</w:t>
      </w:r>
      <w:r>
        <w:rPr>
          <w:rFonts w:hint="eastAsia" w:ascii="方正仿宋_GBK" w:hAnsi="方正仿宋_GBK" w:eastAsia="方正仿宋_GBK" w:cs="方正仿宋_GBK"/>
          <w:b w:val="0"/>
          <w:bCs w:val="0"/>
          <w:kern w:val="0"/>
          <w:sz w:val="32"/>
          <w:szCs w:val="32"/>
        </w:rPr>
        <w:t>）受理人民群众对本级人民政府和国家工作人员的申诉和意见。</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15</w:t>
      </w:r>
      <w:r>
        <w:rPr>
          <w:rFonts w:hint="eastAsia" w:ascii="方正仿宋_GBK" w:hAnsi="方正仿宋_GBK" w:eastAsia="方正仿宋_GBK" w:cs="方正仿宋_GBK"/>
          <w:b w:val="0"/>
          <w:bCs w:val="0"/>
          <w:kern w:val="0"/>
          <w:sz w:val="32"/>
          <w:szCs w:val="32"/>
        </w:rPr>
        <w:t>）召集选民依法罢免、补选本级人民代表大会代表和本选区的上一级人民代表大会代表。</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16</w:t>
      </w:r>
      <w:r>
        <w:rPr>
          <w:rFonts w:hint="eastAsia" w:ascii="方正仿宋_GBK" w:hAnsi="方正仿宋_GBK" w:eastAsia="方正仿宋_GBK" w:cs="方正仿宋_GBK"/>
          <w:b w:val="0"/>
          <w:bCs w:val="0"/>
          <w:kern w:val="0"/>
          <w:sz w:val="32"/>
          <w:szCs w:val="32"/>
        </w:rPr>
        <w:t>）可以接受个别镇人民代表大会主席团成员和镇人民政府组成人员的辞职。主席团可以作出是否接受其辞职的决定。主席团决定接受辞职后，报本级人民代表大会确认。</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17</w:t>
      </w:r>
      <w:r>
        <w:rPr>
          <w:rFonts w:hint="eastAsia" w:ascii="方正仿宋_GBK" w:hAnsi="方正仿宋_GBK" w:eastAsia="方正仿宋_GBK" w:cs="方正仿宋_GBK"/>
          <w:b w:val="0"/>
          <w:bCs w:val="0"/>
          <w:kern w:val="0"/>
          <w:sz w:val="32"/>
          <w:szCs w:val="32"/>
        </w:rPr>
        <w:t>）决定临时召集本级人民代表大会会议。</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18</w:t>
      </w:r>
      <w:r>
        <w:rPr>
          <w:rFonts w:hint="eastAsia" w:ascii="方正仿宋_GBK" w:hAnsi="方正仿宋_GBK" w:eastAsia="方正仿宋_GBK" w:cs="方正仿宋_GBK"/>
          <w:b w:val="0"/>
          <w:bCs w:val="0"/>
          <w:kern w:val="0"/>
          <w:sz w:val="32"/>
          <w:szCs w:val="32"/>
        </w:rPr>
        <w:t>）办理本级人民代表大会和上级人民代表大会常务委员会交办或者委托的工作。</w:t>
      </w:r>
    </w:p>
    <w:p>
      <w:pPr>
        <w:keepNext w:val="0"/>
        <w:keepLines w:val="0"/>
        <w:widowControl w:val="0"/>
        <w:suppressLineNumbers w:val="0"/>
        <w:spacing w:line="580" w:lineRule="exact"/>
        <w:ind w:left="0" w:firstLine="640" w:firstLineChars="200"/>
        <w:jc w:val="both"/>
        <w:rPr>
          <w:rFonts w:hint="eastAsia" w:ascii="方正楷体_GBK" w:hAnsi="Times New Roman" w:eastAsia="方正楷体_GBK" w:cs="Times New Roman"/>
          <w:b w:val="0"/>
          <w:bCs w:val="0"/>
          <w:kern w:val="0"/>
          <w:sz w:val="32"/>
          <w:szCs w:val="32"/>
        </w:rPr>
      </w:pPr>
      <w:r>
        <w:rPr>
          <w:rFonts w:hint="eastAsia" w:ascii="方正楷体_GBK" w:hAnsi="Times New Roman" w:eastAsia="方正楷体_GBK" w:cs="Times New Roman"/>
          <w:b w:val="0"/>
          <w:bCs w:val="0"/>
          <w:kern w:val="0"/>
          <w:sz w:val="32"/>
          <w:szCs w:val="32"/>
        </w:rPr>
        <w:t>3.</w:t>
      </w:r>
      <w:r>
        <w:rPr>
          <w:rFonts w:hint="eastAsia" w:ascii="方正楷体_GBK" w:hAnsi="方正楷体_GBK" w:eastAsia="方正楷体_GBK" w:cs="方正楷体_GBK"/>
          <w:b w:val="0"/>
          <w:bCs w:val="0"/>
          <w:kern w:val="0"/>
          <w:sz w:val="32"/>
          <w:szCs w:val="32"/>
        </w:rPr>
        <w:t>镇政府主要职责</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19</w:t>
      </w:r>
      <w:r>
        <w:rPr>
          <w:rFonts w:hint="eastAsia" w:ascii="方正仿宋_GBK" w:hAnsi="方正仿宋_GBK" w:eastAsia="方正仿宋_GBK" w:cs="方正仿宋_GBK"/>
          <w:b w:val="0"/>
          <w:bCs w:val="0"/>
          <w:kern w:val="0"/>
          <w:sz w:val="32"/>
          <w:szCs w:val="32"/>
        </w:rPr>
        <w:t>）贯彻执行党的路线、方针、政策和国家的法律法规。</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20</w:t>
      </w:r>
      <w:r>
        <w:rPr>
          <w:rFonts w:hint="eastAsia" w:ascii="方正仿宋_GBK" w:hAnsi="方正仿宋_GBK" w:eastAsia="方正仿宋_GBK" w:cs="方正仿宋_GBK"/>
          <w:b w:val="0"/>
          <w:bCs w:val="0"/>
          <w:kern w:val="0"/>
          <w:sz w:val="32"/>
          <w:szCs w:val="32"/>
        </w:rPr>
        <w:t>）落实本级党委、人大关于政府工作的决策，改善和优化经济环境，促进辖区经济社会全面可持续发展。</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21</w:t>
      </w:r>
      <w:r>
        <w:rPr>
          <w:rFonts w:hint="eastAsia" w:ascii="方正仿宋_GBK" w:hAnsi="方正仿宋_GBK" w:eastAsia="方正仿宋_GBK" w:cs="方正仿宋_GBK"/>
          <w:b w:val="0"/>
          <w:bCs w:val="0"/>
          <w:kern w:val="0"/>
          <w:sz w:val="32"/>
          <w:szCs w:val="32"/>
        </w:rPr>
        <w:t>）制定本行政区域经济和社会发展计划，管理本行政区域内的经济、教育、科学、文化、卫生、体育、残疾人事业和财政、民政、社区建设、城市环境卫生、公安、司法、社会治安综合治理、环保、安全生产、消防、计划生育等行政工作；负责兵役工作。</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22</w:t>
      </w:r>
      <w:r>
        <w:rPr>
          <w:rFonts w:hint="eastAsia" w:ascii="方正仿宋_GBK" w:hAnsi="方正仿宋_GBK" w:eastAsia="方正仿宋_GBK" w:cs="方正仿宋_GBK"/>
          <w:b w:val="0"/>
          <w:bCs w:val="0"/>
          <w:kern w:val="0"/>
          <w:sz w:val="32"/>
          <w:szCs w:val="32"/>
        </w:rPr>
        <w:t>）开展普法宣传和法律服务，化解社会矛盾和纠纷，维护社会稳定；保障社会经济组织和农民合法权益；为农民提供信息和科级服务，帮助转移农村剩余劳动力；保护全民所有的财产和镇的集体资产，保护公民私人所有的合法财产，保障公民的人身权利，民主权利和其</w:t>
      </w:r>
      <w:r>
        <w:rPr>
          <w:rFonts w:hint="eastAsia" w:ascii="方正仿宋_GBK" w:hAnsi="方正仿宋_GBK" w:eastAsia="方正仿宋_GBK" w:cs="方正仿宋_GBK"/>
          <w:b w:val="0"/>
          <w:bCs w:val="0"/>
          <w:kern w:val="0"/>
          <w:sz w:val="32"/>
          <w:szCs w:val="32"/>
          <w:lang w:eastAsia="zh-CN"/>
        </w:rPr>
        <w:t>他</w:t>
      </w:r>
      <w:r>
        <w:rPr>
          <w:rFonts w:hint="eastAsia" w:ascii="方正仿宋_GBK" w:hAnsi="方正仿宋_GBK" w:eastAsia="方正仿宋_GBK" w:cs="方正仿宋_GBK"/>
          <w:b w:val="0"/>
          <w:bCs w:val="0"/>
          <w:kern w:val="0"/>
          <w:sz w:val="32"/>
          <w:szCs w:val="32"/>
        </w:rPr>
        <w:t>权利；保护各种经济组织的合法权益。保障少数民族的权利和尊重少数民族的风俗习惯。保障宪法和法律赋予妇女的男女平等、同工同酬和婚姻自由等各项权利。</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23</w:t>
      </w:r>
      <w:r>
        <w:rPr>
          <w:rFonts w:hint="eastAsia" w:ascii="方正仿宋_GBK" w:hAnsi="方正仿宋_GBK" w:eastAsia="方正仿宋_GBK" w:cs="方正仿宋_GBK"/>
          <w:b w:val="0"/>
          <w:bCs w:val="0"/>
          <w:kern w:val="0"/>
          <w:sz w:val="32"/>
          <w:szCs w:val="32"/>
        </w:rPr>
        <w:t>）开展文化医疗卫生和计划生育服务，推进农民养老保险和合作医疗等社会公益事业。</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24</w:t>
      </w:r>
      <w:r>
        <w:rPr>
          <w:rFonts w:hint="eastAsia" w:ascii="方正仿宋_GBK" w:hAnsi="方正仿宋_GBK" w:eastAsia="方正仿宋_GBK" w:cs="方正仿宋_GBK"/>
          <w:b w:val="0"/>
          <w:bCs w:val="0"/>
          <w:kern w:val="0"/>
          <w:sz w:val="32"/>
          <w:szCs w:val="32"/>
        </w:rPr>
        <w:t>）依照《村民委员会组织法》《居民委员会组织法》加强对村、居工作的指导；充分发挥村、居民自治组织的作用，调动村、居民委员会和村、居民自我管理、自我服务的主动性和创造性。</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25</w:t>
      </w:r>
      <w:r>
        <w:rPr>
          <w:rFonts w:hint="eastAsia" w:ascii="方正仿宋_GBK" w:hAnsi="方正仿宋_GBK" w:eastAsia="方正仿宋_GBK" w:cs="方正仿宋_GBK"/>
          <w:b w:val="0"/>
          <w:bCs w:val="0"/>
          <w:kern w:val="0"/>
          <w:sz w:val="32"/>
          <w:szCs w:val="32"/>
        </w:rPr>
        <w:t>）协助上级部门处理突发事件和重大事件。</w:t>
      </w:r>
    </w:p>
    <w:p>
      <w:pPr>
        <w:keepNext w:val="0"/>
        <w:keepLines w:val="0"/>
        <w:widowControl w:val="0"/>
        <w:suppressLineNumbers w:val="0"/>
        <w:spacing w:line="580" w:lineRule="exact"/>
        <w:ind w:left="0" w:firstLine="640" w:firstLineChars="200"/>
        <w:jc w:val="both"/>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26</w:t>
      </w:r>
      <w:r>
        <w:rPr>
          <w:rFonts w:hint="eastAsia" w:ascii="方正仿宋_GBK" w:hAnsi="方正仿宋_GBK" w:eastAsia="方正仿宋_GBK" w:cs="方正仿宋_GBK"/>
          <w:b w:val="0"/>
          <w:bCs w:val="0"/>
          <w:kern w:val="0"/>
          <w:sz w:val="32"/>
          <w:szCs w:val="32"/>
        </w:rPr>
        <w:t>）办理上级人民政府交办的其</w:t>
      </w:r>
      <w:r>
        <w:rPr>
          <w:rFonts w:hint="eastAsia" w:ascii="方正仿宋_GBK" w:hAnsi="方正仿宋_GBK" w:eastAsia="方正仿宋_GBK" w:cs="方正仿宋_GBK"/>
          <w:b w:val="0"/>
          <w:bCs w:val="0"/>
          <w:kern w:val="0"/>
          <w:sz w:val="32"/>
          <w:szCs w:val="32"/>
          <w:lang w:eastAsia="zh-CN"/>
        </w:rPr>
        <w:t>他</w:t>
      </w:r>
      <w:r>
        <w:rPr>
          <w:rFonts w:hint="eastAsia" w:ascii="方正仿宋_GBK" w:hAnsi="方正仿宋_GBK" w:eastAsia="方正仿宋_GBK" w:cs="方正仿宋_GBK"/>
          <w:b w:val="0"/>
          <w:bCs w:val="0"/>
          <w:kern w:val="0"/>
          <w:sz w:val="32"/>
          <w:szCs w:val="32"/>
        </w:rPr>
        <w:t>事项。</w:t>
      </w:r>
    </w:p>
    <w:p>
      <w:pPr>
        <w:keepNext w:val="0"/>
        <w:keepLines w:val="0"/>
        <w:widowControl w:val="0"/>
        <w:suppressLineNumbers w:val="0"/>
        <w:spacing w:line="580" w:lineRule="exact"/>
        <w:ind w:left="0" w:firstLine="640" w:firstLineChars="200"/>
        <w:jc w:val="both"/>
        <w:rPr>
          <w:rFonts w:hint="eastAsia" w:ascii="方正楷体_GBK" w:hAnsi="方正楷体_GBK" w:eastAsia="方正楷体_GBK" w:cs="方正楷体_GBK"/>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（二）机构设置</w:t>
      </w:r>
    </w:p>
    <w:p>
      <w:pPr>
        <w:keepNext w:val="0"/>
        <w:keepLines w:val="0"/>
        <w:widowControl w:val="0"/>
        <w:suppressLineNumbers w:val="0"/>
        <w:spacing w:line="580" w:lineRule="exact"/>
        <w:ind w:left="0" w:firstLine="640" w:firstLineChars="200"/>
        <w:jc w:val="both"/>
        <w:rPr>
          <w:rFonts w:hint="eastAsia" w:ascii="方正楷体_GBK" w:hAnsi="Times New Roman" w:eastAsia="方正楷体_GBK" w:cs="Times New Roman"/>
          <w:b w:val="0"/>
          <w:bCs w:val="0"/>
          <w:kern w:val="0"/>
          <w:sz w:val="32"/>
          <w:szCs w:val="32"/>
        </w:rPr>
      </w:pPr>
      <w:r>
        <w:rPr>
          <w:rFonts w:hint="eastAsia" w:ascii="方正仿宋_GBK" w:hAnsi="方正仿宋_GBK" w:eastAsia="方正仿宋_GBK" w:cs="方正仿宋_GBK"/>
          <w:b w:val="0"/>
          <w:bCs w:val="0"/>
          <w:kern w:val="0"/>
          <w:sz w:val="32"/>
          <w:szCs w:val="32"/>
        </w:rPr>
        <w:t>镇设置镇党政办公室、镇党建办公室、镇人大办公室、镇经济发展办公室（挂统计办公室、农村经营管理办公室牌子）、镇民政和社会事务办公室（挂卫生健康办公室牌子）、镇平安建设办公室、镇规划建设管理环保办公室、镇财政办公室、镇应急管理办公室、镇综合行政执法办公室</w:t>
      </w:r>
      <w:r>
        <w:rPr>
          <w:rFonts w:hint="default" w:ascii="Times New Roman" w:hAnsi="Times New Roman" w:eastAsia="方正仿宋_GBK" w:cs="Times New Roman"/>
          <w:b w:val="0"/>
          <w:bCs w:val="0"/>
          <w:kern w:val="0"/>
          <w:sz w:val="32"/>
          <w:szCs w:val="32"/>
        </w:rPr>
        <w:t>10</w:t>
      </w:r>
      <w:r>
        <w:rPr>
          <w:rFonts w:hint="eastAsia" w:ascii="方正仿宋_GBK" w:hAnsi="方正仿宋_GBK" w:eastAsia="方正仿宋_GBK" w:cs="方正仿宋_GBK"/>
          <w:b w:val="0"/>
          <w:bCs w:val="0"/>
          <w:kern w:val="0"/>
          <w:sz w:val="32"/>
          <w:szCs w:val="32"/>
        </w:rPr>
        <w:t>个行政职能机构，设置镇农业服务中心、镇文化服务中心、劳动就业和社会保障服务所、退役军人服务站、综合行政执法大队</w:t>
      </w:r>
      <w:r>
        <w:rPr>
          <w:rFonts w:hint="default" w:ascii="Times New Roman" w:hAnsi="Times New Roman" w:eastAsia="方正仿宋_GBK" w:cs="Times New Roman"/>
          <w:b w:val="0"/>
          <w:bCs w:val="0"/>
          <w:kern w:val="0"/>
          <w:sz w:val="32"/>
          <w:szCs w:val="32"/>
        </w:rPr>
        <w:t>5</w:t>
      </w:r>
      <w:r>
        <w:rPr>
          <w:rFonts w:hint="eastAsia" w:ascii="方正仿宋_GBK" w:hAnsi="方正仿宋_GBK" w:eastAsia="方正仿宋_GBK" w:cs="方正仿宋_GBK"/>
          <w:b w:val="0"/>
          <w:bCs w:val="0"/>
          <w:kern w:val="0"/>
          <w:sz w:val="32"/>
          <w:szCs w:val="32"/>
        </w:rPr>
        <w:t>个直属事业单位。</w:t>
      </w:r>
    </w:p>
    <w:p>
      <w:pPr>
        <w:spacing w:line="580" w:lineRule="exact"/>
        <w:ind w:left="0" w:firstLine="627" w:firstLineChars="196"/>
        <w:jc w:val="both"/>
        <w:rPr>
          <w:rFonts w:hint="eastAsia" w:ascii="方正楷体_GBK" w:hAnsi="方正楷体_GBK" w:eastAsia="方正楷体_GBK" w:cs="方正楷体_GBK"/>
          <w:b w:val="0"/>
          <w:bCs w:val="0"/>
          <w:kern w:val="0"/>
          <w:sz w:val="32"/>
          <w:szCs w:val="32"/>
          <w:shd w:val="clear" w:fill="FFFFFF"/>
        </w:rPr>
      </w:pPr>
      <w:r>
        <w:rPr>
          <w:rStyle w:val="12"/>
          <w:rFonts w:hint="eastAsia" w:ascii="方正楷体_GBK" w:hAnsi="方正楷体_GBK" w:eastAsia="方正楷体_GBK" w:cs="方正楷体_GBK"/>
          <w:b w:val="0"/>
          <w:bCs w:val="0"/>
          <w:sz w:val="32"/>
          <w:szCs w:val="32"/>
          <w:shd w:val="clear" w:fill="FFFFFF"/>
        </w:rPr>
        <w:t>（三）机构改革情况</w:t>
      </w:r>
    </w:p>
    <w:p>
      <w:pPr>
        <w:keepNext w:val="0"/>
        <w:keepLines w:val="0"/>
        <w:pageBreakBefore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shd w:val="clear" w:fill="FFFFFF"/>
        </w:rPr>
        <w:t>我镇涉及本次机构改革，对此专门说明如下：一是机构改革情况。</w:t>
      </w:r>
      <w:r>
        <w:rPr>
          <w:rFonts w:hint="eastAsia" w:ascii="方正仿宋_GBK" w:hAnsi="方正仿宋_GBK" w:eastAsia="方正仿宋_GBK" w:cs="方正仿宋_GBK"/>
          <w:b w:val="0"/>
          <w:bCs w:val="0"/>
          <w:kern w:val="0"/>
          <w:sz w:val="32"/>
          <w:szCs w:val="32"/>
        </w:rPr>
        <w:t>根据市委、市政府关于印发《重庆市机构改革方案的通知》要求，本镇新建综合行政执法大队、退役军人服务站两个直属事业单位。</w:t>
      </w:r>
      <w:r>
        <w:rPr>
          <w:rFonts w:hint="eastAsia" w:ascii="方正仿宋_GBK" w:hAnsi="方正仿宋_GBK" w:eastAsia="方正仿宋_GBK" w:cs="方正仿宋_GBK"/>
          <w:b w:val="0"/>
          <w:bCs w:val="0"/>
          <w:kern w:val="0"/>
          <w:sz w:val="32"/>
          <w:szCs w:val="32"/>
          <w:shd w:val="clear" w:fill="FFFFFF"/>
        </w:rPr>
        <w:t>二是财政财务调整情况。财政财务与以往年度相同，未做调整。</w:t>
      </w:r>
    </w:p>
    <w:p>
      <w:pPr>
        <w:pStyle w:val="4"/>
        <w:keepNext w:val="0"/>
        <w:keepLines w:val="0"/>
        <w:pageBreakBefore w:val="0"/>
        <w:kinsoku/>
        <w:wordWrap/>
        <w:overflowPunct/>
        <w:topLinePunct w:val="0"/>
        <w:autoSpaceDE w:val="0"/>
        <w:autoSpaceDN w:val="0"/>
        <w:bidi w:val="0"/>
        <w:adjustRightInd/>
        <w:snapToGrid/>
        <w:spacing w:line="580" w:lineRule="exact"/>
        <w:ind w:left="67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二、部门决算情况说明</w:t>
      </w:r>
    </w:p>
    <w:p>
      <w:pPr>
        <w:pStyle w:val="4"/>
        <w:keepNext w:val="0"/>
        <w:keepLines w:val="0"/>
        <w:pageBreakBefore w:val="0"/>
        <w:kinsoku/>
        <w:wordWrap/>
        <w:overflowPunct/>
        <w:topLinePunct w:val="0"/>
        <w:autoSpaceDE w:val="0"/>
        <w:autoSpaceDN w:val="0"/>
        <w:bidi w:val="0"/>
        <w:adjustRightInd/>
        <w:snapToGrid/>
        <w:spacing w:line="580" w:lineRule="exact"/>
        <w:ind w:left="67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（一）收入支出决算总体情况说明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eastAsia" w:ascii="方正楷体_GBK" w:hAnsi="Times New Roman" w:eastAsia="方正楷体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1.</w:t>
      </w:r>
      <w:r>
        <w:rPr>
          <w:rStyle w:val="12"/>
          <w:rFonts w:hint="eastAsia" w:ascii="方正仿宋_GBK" w:hAnsi="方正仿宋_GBK" w:eastAsia="方正仿宋_GBK" w:cs="方正仿宋_GBK"/>
          <w:b w:val="0"/>
          <w:bCs w:val="0"/>
          <w:sz w:val="32"/>
          <w:szCs w:val="32"/>
          <w:shd w:val="clear" w:fill="FFFFFF"/>
        </w:rPr>
        <w:t>总体情况。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年度收入总计</w:t>
      </w:r>
      <w:r>
        <w:rPr>
          <w:rFonts w:hint="default" w:ascii="Times New Roman" w:hAnsi="Times New Roman" w:eastAsia="方正仿宋_GBK" w:cs="Times New Roman"/>
          <w:b w:val="0"/>
          <w:bCs w:val="0"/>
          <w:kern w:val="0"/>
          <w:sz w:val="32"/>
          <w:szCs w:val="32"/>
          <w:shd w:val="clear" w:fill="FFFFFF"/>
        </w:rPr>
        <w:t>4,937.69</w:t>
      </w:r>
      <w:r>
        <w:rPr>
          <w:rFonts w:hint="eastAsia" w:ascii="方正仿宋_GBK" w:hAnsi="方正仿宋_GBK" w:eastAsia="方正仿宋_GBK" w:cs="方正仿宋_GBK"/>
          <w:b w:val="0"/>
          <w:bCs w:val="0"/>
          <w:kern w:val="0"/>
          <w:sz w:val="32"/>
          <w:szCs w:val="32"/>
          <w:shd w:val="clear" w:fill="FFFFFF"/>
        </w:rPr>
        <w:t>万元，支出总计</w:t>
      </w:r>
      <w:r>
        <w:rPr>
          <w:rFonts w:hint="default" w:ascii="Times New Roman" w:hAnsi="Times New Roman" w:eastAsia="方正仿宋_GBK" w:cs="Times New Roman"/>
          <w:b w:val="0"/>
          <w:bCs w:val="0"/>
          <w:kern w:val="0"/>
          <w:sz w:val="32"/>
          <w:szCs w:val="32"/>
          <w:shd w:val="clear" w:fill="FFFFFF"/>
        </w:rPr>
        <w:t>4,937.69</w:t>
      </w:r>
      <w:r>
        <w:rPr>
          <w:rFonts w:hint="eastAsia" w:ascii="方正仿宋_GBK" w:hAnsi="方正仿宋_GBK" w:eastAsia="方正仿宋_GBK" w:cs="方正仿宋_GBK"/>
          <w:b w:val="0"/>
          <w:bCs w:val="0"/>
          <w:kern w:val="0"/>
          <w:sz w:val="32"/>
          <w:szCs w:val="32"/>
          <w:shd w:val="clear" w:fill="FFFFFF"/>
        </w:rPr>
        <w:t>万元。收支较上年决算数减少</w:t>
      </w:r>
      <w:r>
        <w:rPr>
          <w:rFonts w:hint="default" w:ascii="Times New Roman" w:hAnsi="Times New Roman" w:eastAsia="方正仿宋_GBK" w:cs="Times New Roman"/>
          <w:b w:val="0"/>
          <w:bCs w:val="0"/>
          <w:kern w:val="0"/>
          <w:sz w:val="32"/>
          <w:szCs w:val="32"/>
          <w:shd w:val="clear" w:fill="FFFFFF"/>
        </w:rPr>
        <w:t>58.60</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1.17%</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w:t>
      </w:r>
    </w:p>
    <w:p>
      <w:pPr>
        <w:pStyle w:val="11"/>
        <w:spacing w:before="0" w:beforeAutospacing="0" w:after="0" w:afterAutospacing="0" w:line="580" w:lineRule="exact"/>
        <w:ind w:left="0" w:right="0" w:firstLine="627" w:firstLineChars="196"/>
        <w:jc w:val="both"/>
        <w:rPr>
          <w:rFonts w:hint="default" w:ascii="Times New Roman" w:hAnsi="Times New Roman" w:eastAsia="方正仿宋_GBK" w:cs="Times New Roman"/>
          <w:b w:val="0"/>
          <w:bCs w:val="0"/>
          <w:kern w:val="0"/>
          <w:sz w:val="32"/>
          <w:szCs w:val="32"/>
          <w:shd w:val="clear" w:fill="FFFF00"/>
        </w:rPr>
      </w:pPr>
      <w:r>
        <w:rPr>
          <w:rStyle w:val="12"/>
          <w:rFonts w:hint="default" w:ascii="Times New Roman" w:hAnsi="Times New Roman" w:eastAsia="方正仿宋_GBK" w:cs="Times New Roman"/>
          <w:b w:val="0"/>
          <w:bCs w:val="0"/>
          <w:sz w:val="32"/>
          <w:szCs w:val="32"/>
          <w:shd w:val="clear" w:fill="FFFFFF"/>
        </w:rPr>
        <w:t>2.</w:t>
      </w:r>
      <w:r>
        <w:rPr>
          <w:rStyle w:val="12"/>
          <w:rFonts w:hint="eastAsia" w:ascii="方正仿宋_GBK" w:hAnsi="方正仿宋_GBK" w:eastAsia="方正仿宋_GBK" w:cs="方正仿宋_GBK"/>
          <w:b w:val="0"/>
          <w:bCs w:val="0"/>
          <w:sz w:val="32"/>
          <w:szCs w:val="32"/>
          <w:shd w:val="clear" w:fill="FFFFFF"/>
        </w:rPr>
        <w:t>收入情况。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年度收入合计</w:t>
      </w:r>
      <w:r>
        <w:rPr>
          <w:rFonts w:hint="default" w:ascii="Times New Roman" w:hAnsi="Times New Roman" w:eastAsia="方正仿宋_GBK" w:cs="Times New Roman"/>
          <w:b w:val="0"/>
          <w:bCs w:val="0"/>
          <w:kern w:val="0"/>
          <w:sz w:val="32"/>
          <w:szCs w:val="32"/>
          <w:shd w:val="clear" w:fill="FFFFFF"/>
        </w:rPr>
        <w:t>4,936.60</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58.60</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1.17%</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，主要原因是年中追加项目预算资金较去年减少以及养老保险缴费比例的下调。其中：财政拨款收入</w:t>
      </w:r>
      <w:r>
        <w:rPr>
          <w:rFonts w:hint="default" w:ascii="Times New Roman" w:hAnsi="Times New Roman" w:eastAsia="方正仿宋_GBK" w:cs="Times New Roman"/>
          <w:b w:val="0"/>
          <w:bCs w:val="0"/>
          <w:kern w:val="0"/>
          <w:sz w:val="32"/>
          <w:szCs w:val="32"/>
          <w:shd w:val="clear" w:fill="FFFFFF"/>
        </w:rPr>
        <w:t>4,936.60</w:t>
      </w:r>
      <w:r>
        <w:rPr>
          <w:rFonts w:hint="eastAsia" w:ascii="方正仿宋_GBK" w:hAnsi="方正仿宋_GBK" w:eastAsia="方正仿宋_GBK" w:cs="方正仿宋_GBK"/>
          <w:b w:val="0"/>
          <w:bCs w:val="0"/>
          <w:kern w:val="0"/>
          <w:sz w:val="32"/>
          <w:szCs w:val="32"/>
          <w:shd w:val="clear" w:fill="FFFFFF"/>
        </w:rPr>
        <w:t>万元，占</w:t>
      </w:r>
      <w:r>
        <w:rPr>
          <w:rFonts w:hint="default" w:ascii="Times New Roman" w:hAnsi="Times New Roman" w:eastAsia="方正仿宋_GBK" w:cs="Times New Roman"/>
          <w:b w:val="0"/>
          <w:bCs w:val="0"/>
          <w:kern w:val="0"/>
          <w:sz w:val="32"/>
          <w:szCs w:val="32"/>
          <w:shd w:val="clear" w:fill="FFFFFF"/>
        </w:rPr>
        <w:t>100.00%</w:t>
      </w:r>
      <w:r>
        <w:rPr>
          <w:rFonts w:hint="eastAsia" w:ascii="方正仿宋_GBK" w:hAnsi="方正仿宋_GBK" w:eastAsia="方正仿宋_GBK" w:cs="方正仿宋_GBK"/>
          <w:b w:val="0"/>
          <w:bCs w:val="0"/>
          <w:kern w:val="0"/>
          <w:sz w:val="32"/>
          <w:szCs w:val="32"/>
          <w:shd w:val="clear" w:fill="FFFFFF"/>
        </w:rPr>
        <w:t>。此外，用事业基金弥补收支差额</w:t>
      </w:r>
      <w:r>
        <w:rPr>
          <w:rFonts w:hint="default" w:ascii="Times New Roman" w:hAnsi="Times New Roman" w:eastAsia="方正仿宋_GBK" w:cs="Times New Roman"/>
          <w:b w:val="0"/>
          <w:bCs w:val="0"/>
          <w:kern w:val="0"/>
          <w:sz w:val="32"/>
          <w:szCs w:val="32"/>
          <w:shd w:val="clear" w:fill="FFFFFF"/>
        </w:rPr>
        <w:t>0.00</w:t>
      </w:r>
      <w:r>
        <w:rPr>
          <w:rFonts w:hint="eastAsia" w:ascii="方正仿宋_GBK" w:hAnsi="方正仿宋_GBK" w:eastAsia="方正仿宋_GBK" w:cs="方正仿宋_GBK"/>
          <w:b w:val="0"/>
          <w:bCs w:val="0"/>
          <w:kern w:val="0"/>
          <w:sz w:val="32"/>
          <w:szCs w:val="32"/>
          <w:shd w:val="clear" w:fill="FFFFFF"/>
        </w:rPr>
        <w:t>万元，年初结转和结余</w:t>
      </w:r>
      <w:r>
        <w:rPr>
          <w:rFonts w:hint="default" w:ascii="Times New Roman" w:hAnsi="Times New Roman" w:eastAsia="方正仿宋_GBK" w:cs="Times New Roman"/>
          <w:b w:val="0"/>
          <w:bCs w:val="0"/>
          <w:kern w:val="0"/>
          <w:sz w:val="32"/>
          <w:szCs w:val="32"/>
          <w:shd w:val="clear" w:fill="FFFFFF"/>
        </w:rPr>
        <w:t>1.09</w:t>
      </w:r>
      <w:r>
        <w:rPr>
          <w:rFonts w:hint="eastAsia" w:ascii="方正仿宋_GBK" w:hAnsi="方正仿宋_GBK" w:eastAsia="方正仿宋_GBK" w:cs="方正仿宋_GBK"/>
          <w:b w:val="0"/>
          <w:bCs w:val="0"/>
          <w:kern w:val="0"/>
          <w:sz w:val="32"/>
          <w:szCs w:val="32"/>
          <w:shd w:val="clear" w:fill="FFFFFF"/>
        </w:rPr>
        <w:t>万元。</w:t>
      </w:r>
    </w:p>
    <w:p>
      <w:pPr>
        <w:pStyle w:val="11"/>
        <w:spacing w:before="0" w:beforeAutospacing="0" w:after="0" w:afterAutospacing="0" w:line="580" w:lineRule="exact"/>
        <w:ind w:left="0" w:right="0" w:firstLine="627" w:firstLineChars="196"/>
        <w:jc w:val="both"/>
        <w:rPr>
          <w:rFonts w:hint="default" w:ascii="Times New Roman" w:hAnsi="Times New Roman" w:eastAsia="方正仿宋_GBK" w:cs="Times New Roman"/>
          <w:b w:val="0"/>
          <w:bCs w:val="0"/>
          <w:kern w:val="0"/>
          <w:sz w:val="32"/>
          <w:szCs w:val="32"/>
          <w:shd w:val="clear" w:fill="FFFF00"/>
        </w:rPr>
      </w:pPr>
      <w:r>
        <w:rPr>
          <w:rStyle w:val="12"/>
          <w:rFonts w:hint="default" w:ascii="Times New Roman" w:hAnsi="Times New Roman" w:eastAsia="方正仿宋_GBK" w:cs="Times New Roman"/>
          <w:b w:val="0"/>
          <w:bCs w:val="0"/>
          <w:sz w:val="32"/>
          <w:szCs w:val="32"/>
          <w:shd w:val="clear" w:fill="FFFFFF"/>
        </w:rPr>
        <w:t>3.</w:t>
      </w:r>
      <w:r>
        <w:rPr>
          <w:rStyle w:val="12"/>
          <w:rFonts w:hint="eastAsia" w:ascii="方正仿宋_GBK" w:hAnsi="方正仿宋_GBK" w:eastAsia="方正仿宋_GBK" w:cs="方正仿宋_GBK"/>
          <w:b w:val="0"/>
          <w:bCs w:val="0"/>
          <w:sz w:val="32"/>
          <w:szCs w:val="32"/>
          <w:shd w:val="clear" w:fill="FFFFFF"/>
        </w:rPr>
        <w:t>支出情况。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年度支出合计</w:t>
      </w:r>
      <w:r>
        <w:rPr>
          <w:rFonts w:hint="default" w:ascii="Times New Roman" w:hAnsi="Times New Roman" w:eastAsia="方正仿宋_GBK" w:cs="Times New Roman"/>
          <w:b w:val="0"/>
          <w:bCs w:val="0"/>
          <w:kern w:val="0"/>
          <w:sz w:val="32"/>
          <w:szCs w:val="32"/>
          <w:shd w:val="clear" w:fill="FFFFFF"/>
        </w:rPr>
        <w:t>4,937.69</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57.51</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1.15%</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，主要原因是年中追加项目预算资金较去年减少以及养老保险缴费比例的下调。其中：基本支出</w:t>
      </w:r>
      <w:r>
        <w:rPr>
          <w:rFonts w:hint="default" w:ascii="Times New Roman" w:hAnsi="Times New Roman" w:eastAsia="方正仿宋_GBK" w:cs="Times New Roman"/>
          <w:b w:val="0"/>
          <w:bCs w:val="0"/>
          <w:kern w:val="0"/>
          <w:sz w:val="32"/>
          <w:szCs w:val="32"/>
          <w:shd w:val="clear" w:fill="FFFFFF"/>
        </w:rPr>
        <w:t>1,945.45</w:t>
      </w:r>
      <w:r>
        <w:rPr>
          <w:rFonts w:hint="eastAsia" w:ascii="方正仿宋_GBK" w:hAnsi="方正仿宋_GBK" w:eastAsia="方正仿宋_GBK" w:cs="方正仿宋_GBK"/>
          <w:b w:val="0"/>
          <w:bCs w:val="0"/>
          <w:kern w:val="0"/>
          <w:sz w:val="32"/>
          <w:szCs w:val="32"/>
          <w:shd w:val="clear" w:fill="FFFFFF"/>
        </w:rPr>
        <w:t>万元，占</w:t>
      </w:r>
      <w:r>
        <w:rPr>
          <w:rFonts w:hint="default" w:ascii="Times New Roman" w:hAnsi="Times New Roman" w:eastAsia="方正仿宋_GBK" w:cs="Times New Roman"/>
          <w:b w:val="0"/>
          <w:bCs w:val="0"/>
          <w:kern w:val="0"/>
          <w:sz w:val="32"/>
          <w:szCs w:val="32"/>
          <w:shd w:val="clear" w:fill="FFFFFF"/>
        </w:rPr>
        <w:t>39.40%</w:t>
      </w:r>
      <w:r>
        <w:rPr>
          <w:rFonts w:hint="eastAsia" w:ascii="方正仿宋_GBK" w:hAnsi="方正仿宋_GBK" w:eastAsia="方正仿宋_GBK" w:cs="方正仿宋_GBK"/>
          <w:b w:val="0"/>
          <w:bCs w:val="0"/>
          <w:kern w:val="0"/>
          <w:sz w:val="32"/>
          <w:szCs w:val="32"/>
          <w:shd w:val="clear" w:fill="FFFFFF"/>
        </w:rPr>
        <w:t>；项目支出</w:t>
      </w:r>
      <w:r>
        <w:rPr>
          <w:rFonts w:hint="default" w:ascii="Times New Roman" w:hAnsi="Times New Roman" w:eastAsia="方正仿宋_GBK" w:cs="Times New Roman"/>
          <w:b w:val="0"/>
          <w:bCs w:val="0"/>
          <w:kern w:val="0"/>
          <w:sz w:val="32"/>
          <w:szCs w:val="32"/>
          <w:shd w:val="clear" w:fill="FFFFFF"/>
        </w:rPr>
        <w:t>2,992.24</w:t>
      </w:r>
      <w:r>
        <w:rPr>
          <w:rFonts w:hint="eastAsia" w:ascii="方正仿宋_GBK" w:hAnsi="方正仿宋_GBK" w:eastAsia="方正仿宋_GBK" w:cs="方正仿宋_GBK"/>
          <w:b w:val="0"/>
          <w:bCs w:val="0"/>
          <w:kern w:val="0"/>
          <w:sz w:val="32"/>
          <w:szCs w:val="32"/>
          <w:shd w:val="clear" w:fill="FFFFFF"/>
        </w:rPr>
        <w:t>万元，占</w:t>
      </w:r>
      <w:r>
        <w:rPr>
          <w:rFonts w:hint="default" w:ascii="Times New Roman" w:hAnsi="Times New Roman" w:eastAsia="方正仿宋_GBK" w:cs="Times New Roman"/>
          <w:b w:val="0"/>
          <w:bCs w:val="0"/>
          <w:kern w:val="0"/>
          <w:sz w:val="32"/>
          <w:szCs w:val="32"/>
          <w:shd w:val="clear" w:fill="FFFFFF"/>
        </w:rPr>
        <w:t>60.60%</w:t>
      </w:r>
      <w:r>
        <w:rPr>
          <w:rFonts w:hint="eastAsia" w:ascii="方正仿宋_GBK" w:hAnsi="方正仿宋_GBK" w:eastAsia="方正仿宋_GBK" w:cs="方正仿宋_GBK"/>
          <w:b w:val="0"/>
          <w:bCs w:val="0"/>
          <w:kern w:val="0"/>
          <w:sz w:val="32"/>
          <w:szCs w:val="32"/>
          <w:shd w:val="clear" w:fill="FFFFFF"/>
        </w:rPr>
        <w:t>。此外，结余分配</w:t>
      </w:r>
      <w:r>
        <w:rPr>
          <w:rFonts w:hint="default" w:ascii="Times New Roman" w:hAnsi="Times New Roman" w:eastAsia="方正仿宋_GBK" w:cs="Times New Roman"/>
          <w:b w:val="0"/>
          <w:bCs w:val="0"/>
          <w:kern w:val="0"/>
          <w:sz w:val="32"/>
          <w:szCs w:val="32"/>
          <w:shd w:val="clear" w:fill="FFFFFF"/>
        </w:rPr>
        <w:t>0.00</w:t>
      </w:r>
      <w:r>
        <w:rPr>
          <w:rFonts w:hint="eastAsia" w:ascii="方正仿宋_GBK" w:hAnsi="方正仿宋_GBK" w:eastAsia="方正仿宋_GBK" w:cs="方正仿宋_GBK"/>
          <w:b w:val="0"/>
          <w:bCs w:val="0"/>
          <w:kern w:val="0"/>
          <w:sz w:val="32"/>
          <w:szCs w:val="32"/>
          <w:shd w:val="clear" w:fill="FFFFFF"/>
        </w:rPr>
        <w:t>万元。</w:t>
      </w:r>
    </w:p>
    <w:p>
      <w:pPr>
        <w:pStyle w:val="11"/>
        <w:spacing w:before="0" w:beforeAutospacing="0" w:after="0" w:afterAutospacing="0" w:line="580" w:lineRule="exact"/>
        <w:ind w:left="0" w:right="0" w:firstLine="627" w:firstLineChars="196"/>
        <w:jc w:val="both"/>
        <w:rPr>
          <w:rFonts w:hint="default" w:ascii="Times New Roman" w:hAnsi="Times New Roman" w:eastAsia="方正仿宋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4.</w:t>
      </w:r>
      <w:r>
        <w:rPr>
          <w:rStyle w:val="12"/>
          <w:rFonts w:hint="eastAsia" w:ascii="方正仿宋_GBK" w:hAnsi="方正仿宋_GBK" w:eastAsia="方正仿宋_GBK" w:cs="方正仿宋_GBK"/>
          <w:b w:val="0"/>
          <w:bCs w:val="0"/>
          <w:sz w:val="32"/>
          <w:szCs w:val="32"/>
          <w:shd w:val="clear" w:fill="FFFFFF"/>
        </w:rPr>
        <w:t>结转结余情况。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年度年末结转和结余</w:t>
      </w:r>
      <w:r>
        <w:rPr>
          <w:rFonts w:hint="default" w:ascii="Times New Roman" w:hAnsi="Times New Roman" w:eastAsia="方正仿宋_GBK" w:cs="Times New Roman"/>
          <w:b w:val="0"/>
          <w:bCs w:val="0"/>
          <w:kern w:val="0"/>
          <w:sz w:val="32"/>
          <w:szCs w:val="32"/>
          <w:shd w:val="clear" w:fill="FFFFFF"/>
        </w:rPr>
        <w:t>0.00</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1.09</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100.00%</w:t>
      </w:r>
      <w:r>
        <w:rPr>
          <w:rFonts w:hint="eastAsia" w:ascii="方正仿宋_GBK" w:hAnsi="方正仿宋_GBK" w:eastAsia="方正仿宋_GBK" w:cs="方正仿宋_GBK"/>
          <w:b w:val="0"/>
          <w:bCs w:val="0"/>
          <w:kern w:val="0"/>
          <w:sz w:val="32"/>
          <w:szCs w:val="32"/>
          <w:shd w:val="clear" w:fill="FFFFFF"/>
        </w:rPr>
        <w:t>，主要原因是已使用结转资金发放住房补贴。</w:t>
      </w:r>
    </w:p>
    <w:p>
      <w:pPr>
        <w:pStyle w:val="11"/>
        <w:spacing w:before="0" w:beforeAutospacing="0" w:after="0" w:afterAutospacing="0" w:line="580" w:lineRule="exact"/>
        <w:ind w:left="0" w:right="0" w:firstLine="627" w:firstLineChars="196"/>
        <w:jc w:val="both"/>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（二）财政拨款收入支出决算总体情况说明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年度财政拨款收、支总计</w:t>
      </w:r>
      <w:r>
        <w:rPr>
          <w:rFonts w:hint="default" w:ascii="Times New Roman" w:hAnsi="Times New Roman" w:eastAsia="方正仿宋_GBK" w:cs="Times New Roman"/>
          <w:b w:val="0"/>
          <w:bCs w:val="0"/>
          <w:kern w:val="0"/>
          <w:sz w:val="32"/>
          <w:szCs w:val="32"/>
          <w:shd w:val="clear" w:fill="FFFFFF"/>
        </w:rPr>
        <w:t>4,937.69</w:t>
      </w:r>
      <w:r>
        <w:rPr>
          <w:rFonts w:hint="eastAsia" w:ascii="方正仿宋_GBK" w:hAnsi="方正仿宋_GBK" w:eastAsia="方正仿宋_GBK" w:cs="方正仿宋_GBK"/>
          <w:b w:val="0"/>
          <w:bCs w:val="0"/>
          <w:kern w:val="0"/>
          <w:sz w:val="32"/>
          <w:szCs w:val="32"/>
          <w:shd w:val="clear" w:fill="FFFFFF"/>
        </w:rPr>
        <w:t>万元。与</w:t>
      </w:r>
      <w:r>
        <w:rPr>
          <w:rFonts w:hint="default" w:ascii="Times New Roman" w:hAnsi="Times New Roman" w:eastAsia="方正仿宋_GBK" w:cs="Times New Roman"/>
          <w:b w:val="0"/>
          <w:bCs w:val="0"/>
          <w:kern w:val="0"/>
          <w:sz w:val="32"/>
          <w:szCs w:val="32"/>
          <w:shd w:val="clear" w:fill="FFFFFF"/>
        </w:rPr>
        <w:t>2018</w:t>
      </w:r>
      <w:r>
        <w:rPr>
          <w:rFonts w:hint="eastAsia" w:ascii="方正仿宋_GBK" w:hAnsi="方正仿宋_GBK" w:eastAsia="方正仿宋_GBK" w:cs="方正仿宋_GBK"/>
          <w:b w:val="0"/>
          <w:bCs w:val="0"/>
          <w:kern w:val="0"/>
          <w:sz w:val="32"/>
          <w:szCs w:val="32"/>
          <w:shd w:val="clear" w:fill="FFFFFF"/>
        </w:rPr>
        <w:t>年相比，财政拨款收、支总计各减少</w:t>
      </w:r>
      <w:r>
        <w:rPr>
          <w:rFonts w:hint="default" w:ascii="Times New Roman" w:hAnsi="Times New Roman" w:eastAsia="方正仿宋_GBK" w:cs="Times New Roman"/>
          <w:b w:val="0"/>
          <w:bCs w:val="0"/>
          <w:kern w:val="0"/>
          <w:sz w:val="32"/>
          <w:szCs w:val="32"/>
          <w:shd w:val="clear" w:fill="FFFFFF"/>
        </w:rPr>
        <w:t>58.60</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1.17%</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w:t>
      </w:r>
    </w:p>
    <w:p>
      <w:pPr>
        <w:pStyle w:val="4"/>
        <w:keepNext w:val="0"/>
        <w:keepLines w:val="0"/>
        <w:pageBreakBefore w:val="0"/>
        <w:kinsoku/>
        <w:wordWrap/>
        <w:overflowPunct/>
        <w:topLinePunct w:val="0"/>
        <w:autoSpaceDE w:val="0"/>
        <w:autoSpaceDN w:val="0"/>
        <w:bidi w:val="0"/>
        <w:adjustRightInd/>
        <w:snapToGrid/>
        <w:spacing w:before="3" w:line="580" w:lineRule="exact"/>
        <w:ind w:left="67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（三）一般公共预算财政拨款支出决算情况说明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rightChars="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1.</w:t>
      </w:r>
      <w:r>
        <w:rPr>
          <w:rStyle w:val="12"/>
          <w:rFonts w:hint="eastAsia" w:ascii="方正仿宋_GBK" w:hAnsi="方正仿宋_GBK" w:eastAsia="方正仿宋_GBK" w:cs="方正仿宋_GBK"/>
          <w:b w:val="0"/>
          <w:bCs w:val="0"/>
          <w:sz w:val="32"/>
          <w:szCs w:val="32"/>
          <w:shd w:val="clear" w:fill="FFFFFF"/>
        </w:rPr>
        <w:t>收入情况。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年度一般公共预算财政拨款收入</w:t>
      </w:r>
      <w:r>
        <w:rPr>
          <w:rFonts w:hint="default" w:ascii="Times New Roman" w:hAnsi="Times New Roman" w:eastAsia="方正仿宋_GBK" w:cs="Times New Roman"/>
          <w:b w:val="0"/>
          <w:bCs w:val="0"/>
          <w:kern w:val="0"/>
          <w:sz w:val="32"/>
          <w:szCs w:val="32"/>
          <w:shd w:val="clear" w:fill="FFFFFF"/>
        </w:rPr>
        <w:t>4,936.60</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38.60</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0.78%</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。主要原因是年中追加项目预算资金较去年减少以及养老保险缴费比例的下调。较年初预算数增加</w:t>
      </w:r>
      <w:r>
        <w:rPr>
          <w:rFonts w:hint="default" w:ascii="Times New Roman" w:hAnsi="Times New Roman" w:eastAsia="方正仿宋_GBK" w:cs="Times New Roman"/>
          <w:b w:val="0"/>
          <w:bCs w:val="0"/>
          <w:kern w:val="0"/>
          <w:sz w:val="32"/>
          <w:szCs w:val="32"/>
          <w:shd w:val="clear" w:fill="FFFFFF"/>
        </w:rPr>
        <w:t>584.15</w:t>
      </w:r>
      <w:r>
        <w:rPr>
          <w:rFonts w:hint="eastAsia" w:ascii="方正仿宋_GBK" w:hAnsi="方正仿宋_GBK" w:eastAsia="方正仿宋_GBK" w:cs="方正仿宋_GBK"/>
          <w:b w:val="0"/>
          <w:bCs w:val="0"/>
          <w:kern w:val="0"/>
          <w:sz w:val="32"/>
          <w:szCs w:val="32"/>
          <w:shd w:val="clear" w:fill="FFFFFF"/>
        </w:rPr>
        <w:t>万元，增长</w:t>
      </w:r>
      <w:r>
        <w:rPr>
          <w:rFonts w:hint="default" w:ascii="Times New Roman" w:hAnsi="Times New Roman" w:eastAsia="方正仿宋_GBK" w:cs="Times New Roman"/>
          <w:b w:val="0"/>
          <w:bCs w:val="0"/>
          <w:kern w:val="0"/>
          <w:sz w:val="32"/>
          <w:szCs w:val="32"/>
          <w:shd w:val="clear" w:fill="FFFFFF"/>
        </w:rPr>
        <w:t>13.42%</w:t>
      </w:r>
      <w:r>
        <w:rPr>
          <w:rFonts w:hint="eastAsia" w:ascii="方正仿宋_GBK" w:hAnsi="方正仿宋_GBK" w:eastAsia="方正仿宋_GBK" w:cs="方正仿宋_GBK"/>
          <w:b w:val="0"/>
          <w:bCs w:val="0"/>
          <w:kern w:val="0"/>
          <w:sz w:val="32"/>
          <w:szCs w:val="32"/>
          <w:shd w:val="clear" w:fill="FFFFFF"/>
        </w:rPr>
        <w:t>。主要原因是年中追加新的半岛逸景乐园公租房农贸市场租金</w:t>
      </w:r>
      <w:r>
        <w:rPr>
          <w:rFonts w:hint="default" w:ascii="Times New Roman" w:hAnsi="Times New Roman" w:eastAsia="方正仿宋_GBK" w:cs="Times New Roman"/>
          <w:b w:val="0"/>
          <w:bCs w:val="0"/>
          <w:kern w:val="0"/>
          <w:sz w:val="32"/>
          <w:szCs w:val="32"/>
          <w:shd w:val="clear" w:fill="FFFFFF"/>
        </w:rPr>
        <w:t>261.37</w:t>
      </w:r>
      <w:r>
        <w:rPr>
          <w:rFonts w:hint="eastAsia" w:ascii="方正仿宋_GBK" w:hAnsi="方正仿宋_GBK" w:eastAsia="方正仿宋_GBK" w:cs="方正仿宋_GBK"/>
          <w:b w:val="0"/>
          <w:bCs w:val="0"/>
          <w:kern w:val="0"/>
          <w:sz w:val="32"/>
          <w:szCs w:val="32"/>
          <w:shd w:val="clear" w:fill="FFFFFF"/>
        </w:rPr>
        <w:t>万元、公民村湖库水环境巩固及长效管理专项经费</w:t>
      </w:r>
      <w:r>
        <w:rPr>
          <w:rFonts w:hint="default" w:ascii="Times New Roman" w:hAnsi="Times New Roman" w:eastAsia="方正仿宋_GBK" w:cs="Times New Roman"/>
          <w:b w:val="0"/>
          <w:bCs w:val="0"/>
          <w:kern w:val="0"/>
          <w:sz w:val="32"/>
          <w:szCs w:val="32"/>
          <w:shd w:val="clear" w:fill="FFFFFF"/>
        </w:rPr>
        <w:t>20</w:t>
      </w:r>
      <w:r>
        <w:rPr>
          <w:rFonts w:hint="eastAsia" w:ascii="方正仿宋_GBK" w:hAnsi="方正仿宋_GBK" w:eastAsia="方正仿宋_GBK" w:cs="方正仿宋_GBK"/>
          <w:b w:val="0"/>
          <w:bCs w:val="0"/>
          <w:kern w:val="0"/>
          <w:sz w:val="32"/>
          <w:szCs w:val="32"/>
          <w:shd w:val="clear" w:fill="FFFFFF"/>
        </w:rPr>
        <w:t>万元</w:t>
      </w:r>
      <w:r>
        <w:rPr>
          <w:rFonts w:hint="default" w:ascii="Times New Roman" w:hAnsi="Times New Roman" w:eastAsia="方正仿宋_GBK" w:cs="Times New Roman"/>
          <w:b w:val="0"/>
          <w:bCs w:val="0"/>
          <w:kern w:val="0"/>
          <w:sz w:val="32"/>
          <w:szCs w:val="32"/>
          <w:shd w:val="clear" w:fill="FFFFFF"/>
        </w:rPr>
        <w:t xml:space="preserve"> </w:t>
      </w:r>
      <w:r>
        <w:rPr>
          <w:rFonts w:hint="eastAsia" w:ascii="方正仿宋_GBK" w:hAnsi="方正仿宋_GBK" w:eastAsia="方正仿宋_GBK" w:cs="方正仿宋_GBK"/>
          <w:b w:val="0"/>
          <w:bCs w:val="0"/>
          <w:kern w:val="0"/>
          <w:sz w:val="32"/>
          <w:szCs w:val="32"/>
          <w:shd w:val="clear" w:fill="FFFFFF"/>
        </w:rPr>
        <w:t>、违建工作补助经费</w:t>
      </w:r>
      <w:r>
        <w:rPr>
          <w:rFonts w:hint="default" w:ascii="Times New Roman" w:hAnsi="Times New Roman" w:eastAsia="方正仿宋_GBK" w:cs="Times New Roman"/>
          <w:b w:val="0"/>
          <w:bCs w:val="0"/>
          <w:kern w:val="0"/>
          <w:sz w:val="32"/>
          <w:szCs w:val="32"/>
          <w:shd w:val="clear" w:fill="FFFFFF"/>
        </w:rPr>
        <w:t>108.04</w:t>
      </w:r>
      <w:r>
        <w:rPr>
          <w:rFonts w:hint="eastAsia" w:ascii="方正仿宋_GBK" w:hAnsi="方正仿宋_GBK" w:eastAsia="方正仿宋_GBK" w:cs="方正仿宋_GBK"/>
          <w:b w:val="0"/>
          <w:bCs w:val="0"/>
          <w:kern w:val="0"/>
          <w:sz w:val="32"/>
          <w:szCs w:val="32"/>
          <w:shd w:val="clear" w:fill="FFFFFF"/>
        </w:rPr>
        <w:t>万元、</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年村（社区）干部补贴调整专项经费</w:t>
      </w:r>
      <w:r>
        <w:rPr>
          <w:rFonts w:hint="default" w:ascii="Times New Roman" w:hAnsi="Times New Roman" w:eastAsia="方正仿宋_GBK" w:cs="Times New Roman"/>
          <w:b w:val="0"/>
          <w:bCs w:val="0"/>
          <w:kern w:val="0"/>
          <w:sz w:val="32"/>
          <w:szCs w:val="32"/>
          <w:shd w:val="clear" w:fill="FFFFFF"/>
        </w:rPr>
        <w:t>42.7</w:t>
      </w:r>
      <w:r>
        <w:rPr>
          <w:rFonts w:hint="eastAsia" w:ascii="方正仿宋_GBK" w:hAnsi="方正仿宋_GBK" w:eastAsia="方正仿宋_GBK" w:cs="方正仿宋_GBK"/>
          <w:b w:val="0"/>
          <w:bCs w:val="0"/>
          <w:kern w:val="0"/>
          <w:sz w:val="32"/>
          <w:szCs w:val="32"/>
          <w:shd w:val="clear" w:fill="FFFFFF"/>
        </w:rPr>
        <w:t>万元等预算资金。此外，年初财政拨款结转和结余</w:t>
      </w:r>
      <w:r>
        <w:rPr>
          <w:rFonts w:hint="default" w:ascii="Times New Roman" w:hAnsi="Times New Roman" w:eastAsia="方正仿宋_GBK" w:cs="Times New Roman"/>
          <w:b w:val="0"/>
          <w:bCs w:val="0"/>
          <w:kern w:val="0"/>
          <w:sz w:val="32"/>
          <w:szCs w:val="32"/>
          <w:shd w:val="clear" w:fill="FFFFFF"/>
        </w:rPr>
        <w:t>1.09</w:t>
      </w:r>
      <w:r>
        <w:rPr>
          <w:rFonts w:hint="eastAsia" w:ascii="方正仿宋_GBK" w:hAnsi="方正仿宋_GBK" w:eastAsia="方正仿宋_GBK" w:cs="方正仿宋_GBK"/>
          <w:b w:val="0"/>
          <w:bCs w:val="0"/>
          <w:kern w:val="0"/>
          <w:sz w:val="32"/>
          <w:szCs w:val="32"/>
          <w:shd w:val="clear" w:fill="FFFFFF"/>
        </w:rPr>
        <w:t>万元。</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2.</w:t>
      </w:r>
      <w:r>
        <w:rPr>
          <w:rStyle w:val="12"/>
          <w:rFonts w:hint="eastAsia" w:ascii="方正仿宋_GBK" w:hAnsi="方正仿宋_GBK" w:eastAsia="方正仿宋_GBK" w:cs="方正仿宋_GBK"/>
          <w:b w:val="0"/>
          <w:bCs w:val="0"/>
          <w:sz w:val="32"/>
          <w:szCs w:val="32"/>
          <w:shd w:val="clear" w:fill="FFFFFF"/>
        </w:rPr>
        <w:t>支出情况。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年度一般公共预算财政拨款支出</w:t>
      </w:r>
      <w:r>
        <w:rPr>
          <w:rFonts w:hint="default" w:ascii="Times New Roman" w:hAnsi="Times New Roman" w:eastAsia="方正仿宋_GBK" w:cs="Times New Roman"/>
          <w:b w:val="0"/>
          <w:bCs w:val="0"/>
          <w:kern w:val="0"/>
          <w:sz w:val="32"/>
          <w:szCs w:val="32"/>
          <w:shd w:val="clear" w:fill="FFFFFF"/>
        </w:rPr>
        <w:t>4,937.69</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37.51</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0.75%</w:t>
      </w:r>
      <w:r>
        <w:rPr>
          <w:rFonts w:hint="eastAsia" w:ascii="方正仿宋_GBK" w:hAnsi="方正仿宋_GBK" w:eastAsia="方正仿宋_GBK" w:cs="方正仿宋_GBK"/>
          <w:b w:val="0"/>
          <w:bCs w:val="0"/>
          <w:kern w:val="0"/>
          <w:sz w:val="32"/>
          <w:szCs w:val="32"/>
          <w:shd w:val="clear" w:fill="FFFFFF"/>
        </w:rPr>
        <w:t>。主要原因是年中追加项目预算资金较去年减少以及养老保险缴费比例的下调。较年初预算数增加</w:t>
      </w:r>
      <w:r>
        <w:rPr>
          <w:rFonts w:hint="default" w:ascii="Times New Roman" w:hAnsi="Times New Roman" w:eastAsia="方正仿宋_GBK" w:cs="Times New Roman"/>
          <w:b w:val="0"/>
          <w:bCs w:val="0"/>
          <w:kern w:val="0"/>
          <w:sz w:val="32"/>
          <w:szCs w:val="32"/>
          <w:shd w:val="clear" w:fill="FFFFFF"/>
        </w:rPr>
        <w:t>585.24</w:t>
      </w:r>
      <w:r>
        <w:rPr>
          <w:rFonts w:hint="eastAsia" w:ascii="方正仿宋_GBK" w:hAnsi="方正仿宋_GBK" w:eastAsia="方正仿宋_GBK" w:cs="方正仿宋_GBK"/>
          <w:b w:val="0"/>
          <w:bCs w:val="0"/>
          <w:kern w:val="0"/>
          <w:sz w:val="32"/>
          <w:szCs w:val="32"/>
          <w:shd w:val="clear" w:fill="FFFFFF"/>
        </w:rPr>
        <w:t>万元，增长</w:t>
      </w:r>
      <w:r>
        <w:rPr>
          <w:rFonts w:hint="default" w:ascii="Times New Roman" w:hAnsi="Times New Roman" w:eastAsia="方正仿宋_GBK" w:cs="Times New Roman"/>
          <w:b w:val="0"/>
          <w:bCs w:val="0"/>
          <w:kern w:val="0"/>
          <w:sz w:val="32"/>
          <w:szCs w:val="32"/>
          <w:shd w:val="clear" w:fill="FFFFFF"/>
        </w:rPr>
        <w:t>13.45%</w:t>
      </w:r>
      <w:r>
        <w:rPr>
          <w:rFonts w:hint="eastAsia" w:ascii="方正仿宋_GBK" w:hAnsi="方正仿宋_GBK" w:eastAsia="方正仿宋_GBK" w:cs="方正仿宋_GBK"/>
          <w:b w:val="0"/>
          <w:bCs w:val="0"/>
          <w:kern w:val="0"/>
          <w:sz w:val="32"/>
          <w:szCs w:val="32"/>
          <w:shd w:val="clear" w:fill="FFFFFF"/>
        </w:rPr>
        <w:t>。主要原因是年中追加新的半岛逸景乐园公租房农贸市场租金</w:t>
      </w:r>
      <w:r>
        <w:rPr>
          <w:rFonts w:hint="default" w:ascii="Times New Roman" w:hAnsi="Times New Roman" w:eastAsia="方正仿宋_GBK" w:cs="Times New Roman"/>
          <w:b w:val="0"/>
          <w:bCs w:val="0"/>
          <w:kern w:val="0"/>
          <w:sz w:val="32"/>
          <w:szCs w:val="32"/>
          <w:shd w:val="clear" w:fill="FFFFFF"/>
        </w:rPr>
        <w:t>261.37</w:t>
      </w:r>
      <w:r>
        <w:rPr>
          <w:rFonts w:hint="eastAsia" w:ascii="方正仿宋_GBK" w:hAnsi="方正仿宋_GBK" w:eastAsia="方正仿宋_GBK" w:cs="方正仿宋_GBK"/>
          <w:b w:val="0"/>
          <w:bCs w:val="0"/>
          <w:kern w:val="0"/>
          <w:sz w:val="32"/>
          <w:szCs w:val="32"/>
          <w:shd w:val="clear" w:fill="FFFFFF"/>
        </w:rPr>
        <w:t>万元、公民村湖库水环境巩固及长效管理专项经费</w:t>
      </w:r>
      <w:r>
        <w:rPr>
          <w:rFonts w:hint="default" w:ascii="Times New Roman" w:hAnsi="Times New Roman" w:eastAsia="方正仿宋_GBK" w:cs="Times New Roman"/>
          <w:b w:val="0"/>
          <w:bCs w:val="0"/>
          <w:kern w:val="0"/>
          <w:sz w:val="32"/>
          <w:szCs w:val="32"/>
          <w:shd w:val="clear" w:fill="FFFFFF"/>
        </w:rPr>
        <w:t>20</w:t>
      </w:r>
      <w:r>
        <w:rPr>
          <w:rFonts w:hint="eastAsia" w:ascii="方正仿宋_GBK" w:hAnsi="方正仿宋_GBK" w:eastAsia="方正仿宋_GBK" w:cs="方正仿宋_GBK"/>
          <w:b w:val="0"/>
          <w:bCs w:val="0"/>
          <w:kern w:val="0"/>
          <w:sz w:val="32"/>
          <w:szCs w:val="32"/>
          <w:shd w:val="clear" w:fill="FFFFFF"/>
        </w:rPr>
        <w:t>万元</w:t>
      </w:r>
      <w:r>
        <w:rPr>
          <w:rFonts w:hint="default" w:ascii="Times New Roman" w:hAnsi="Times New Roman" w:eastAsia="方正仿宋_GBK" w:cs="Times New Roman"/>
          <w:b w:val="0"/>
          <w:bCs w:val="0"/>
          <w:kern w:val="0"/>
          <w:sz w:val="32"/>
          <w:szCs w:val="32"/>
          <w:shd w:val="clear" w:fill="FFFFFF"/>
        </w:rPr>
        <w:t xml:space="preserve"> </w:t>
      </w:r>
      <w:r>
        <w:rPr>
          <w:rFonts w:hint="eastAsia" w:ascii="方正仿宋_GBK" w:hAnsi="方正仿宋_GBK" w:eastAsia="方正仿宋_GBK" w:cs="方正仿宋_GBK"/>
          <w:b w:val="0"/>
          <w:bCs w:val="0"/>
          <w:kern w:val="0"/>
          <w:sz w:val="32"/>
          <w:szCs w:val="32"/>
          <w:shd w:val="clear" w:fill="FFFFFF"/>
        </w:rPr>
        <w:t>、违建工作补助经费</w:t>
      </w:r>
      <w:r>
        <w:rPr>
          <w:rFonts w:hint="default" w:ascii="Times New Roman" w:hAnsi="Times New Roman" w:eastAsia="方正仿宋_GBK" w:cs="Times New Roman"/>
          <w:b w:val="0"/>
          <w:bCs w:val="0"/>
          <w:kern w:val="0"/>
          <w:sz w:val="32"/>
          <w:szCs w:val="32"/>
          <w:shd w:val="clear" w:fill="FFFFFF"/>
        </w:rPr>
        <w:t>108.04</w:t>
      </w:r>
      <w:r>
        <w:rPr>
          <w:rFonts w:hint="eastAsia" w:ascii="方正仿宋_GBK" w:hAnsi="方正仿宋_GBK" w:eastAsia="方正仿宋_GBK" w:cs="方正仿宋_GBK"/>
          <w:b w:val="0"/>
          <w:bCs w:val="0"/>
          <w:kern w:val="0"/>
          <w:sz w:val="32"/>
          <w:szCs w:val="32"/>
          <w:shd w:val="clear" w:fill="FFFFFF"/>
        </w:rPr>
        <w:t>万元、</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年村（社区）干部补贴调整专项经费</w:t>
      </w:r>
      <w:r>
        <w:rPr>
          <w:rFonts w:hint="default" w:ascii="Times New Roman" w:hAnsi="Times New Roman" w:eastAsia="方正仿宋_GBK" w:cs="Times New Roman"/>
          <w:b w:val="0"/>
          <w:bCs w:val="0"/>
          <w:kern w:val="0"/>
          <w:sz w:val="32"/>
          <w:szCs w:val="32"/>
          <w:shd w:val="clear" w:fill="FFFFFF"/>
        </w:rPr>
        <w:t>42.7</w:t>
      </w:r>
      <w:r>
        <w:rPr>
          <w:rFonts w:hint="eastAsia" w:ascii="方正仿宋_GBK" w:hAnsi="方正仿宋_GBK" w:eastAsia="方正仿宋_GBK" w:cs="方正仿宋_GBK"/>
          <w:b w:val="0"/>
          <w:bCs w:val="0"/>
          <w:kern w:val="0"/>
          <w:sz w:val="32"/>
          <w:szCs w:val="32"/>
          <w:shd w:val="clear" w:fill="FFFFFF"/>
        </w:rPr>
        <w:t>万元等预算资金。</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3.</w:t>
      </w:r>
      <w:r>
        <w:rPr>
          <w:rStyle w:val="12"/>
          <w:rFonts w:hint="eastAsia" w:ascii="方正仿宋_GBK" w:hAnsi="方正仿宋_GBK" w:eastAsia="方正仿宋_GBK" w:cs="方正仿宋_GBK"/>
          <w:b w:val="0"/>
          <w:bCs w:val="0"/>
          <w:sz w:val="32"/>
          <w:szCs w:val="32"/>
          <w:shd w:val="clear" w:fill="FFFFFF"/>
        </w:rPr>
        <w:t>结转结余情况。</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年度年末一般公共预算财政拨款结转和结余</w:t>
      </w:r>
      <w:r>
        <w:rPr>
          <w:rFonts w:hint="default" w:ascii="Times New Roman" w:hAnsi="Times New Roman" w:eastAsia="方正仿宋_GBK" w:cs="Times New Roman"/>
          <w:b w:val="0"/>
          <w:bCs w:val="0"/>
          <w:kern w:val="0"/>
          <w:sz w:val="32"/>
          <w:szCs w:val="32"/>
          <w:shd w:val="clear" w:fill="FFFFFF"/>
        </w:rPr>
        <w:t>0.00</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1.09</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100.00%</w:t>
      </w:r>
      <w:r>
        <w:rPr>
          <w:rFonts w:hint="eastAsia" w:ascii="方正仿宋_GBK" w:hAnsi="方正仿宋_GBK" w:eastAsia="方正仿宋_GBK" w:cs="方正仿宋_GBK"/>
          <w:b w:val="0"/>
          <w:bCs w:val="0"/>
          <w:kern w:val="0"/>
          <w:sz w:val="32"/>
          <w:szCs w:val="32"/>
          <w:shd w:val="clear" w:fill="FFFFFF"/>
        </w:rPr>
        <w:t>，主要原因是已使用结转资金发放住房补贴。</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4.</w:t>
      </w:r>
      <w:r>
        <w:rPr>
          <w:rStyle w:val="12"/>
          <w:rFonts w:hint="eastAsia" w:ascii="方正仿宋_GBK" w:hAnsi="方正仿宋_GBK" w:eastAsia="方正仿宋_GBK" w:cs="方正仿宋_GBK"/>
          <w:b w:val="0"/>
          <w:bCs w:val="0"/>
          <w:sz w:val="32"/>
          <w:szCs w:val="32"/>
          <w:shd w:val="clear" w:fill="FFFFFF"/>
        </w:rPr>
        <w:t>比较情况。</w:t>
      </w:r>
      <w:r>
        <w:rPr>
          <w:rFonts w:hint="eastAsia" w:ascii="方正仿宋_GBK" w:hAnsi="方正仿宋_GBK" w:eastAsia="方正仿宋_GBK" w:cs="方正仿宋_GBK"/>
          <w:b w:val="0"/>
          <w:bCs w:val="0"/>
          <w:kern w:val="0"/>
          <w:sz w:val="32"/>
          <w:szCs w:val="32"/>
          <w:shd w:val="clear" w:fill="FFFFFF"/>
        </w:rPr>
        <w:t>本部门</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年度一般公共预算财政拨款支出主要用于以下几个方面：</w:t>
      </w:r>
      <w:r>
        <w:rPr>
          <w:rFonts w:hint="eastAsia" w:ascii="Times New Roman" w:hAnsi="Times New Roman" w:eastAsia="方正仿宋_GBK" w:cs="Times New Roman"/>
          <w:b w:val="0"/>
          <w:bCs w:val="0"/>
          <w:kern w:val="0"/>
          <w:sz w:val="32"/>
          <w:szCs w:val="32"/>
          <w:shd w:val="clear" w:fill="FFFFFF"/>
        </w:rPr>
        <w:t xml:space="preserve"> </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1</w:t>
      </w:r>
      <w:r>
        <w:rPr>
          <w:rFonts w:hint="eastAsia" w:ascii="方正仿宋_GBK" w:hAnsi="方正仿宋_GBK" w:eastAsia="方正仿宋_GBK" w:cs="方正仿宋_GBK"/>
          <w:b w:val="0"/>
          <w:bCs w:val="0"/>
          <w:kern w:val="0"/>
          <w:sz w:val="32"/>
          <w:szCs w:val="32"/>
          <w:shd w:val="clear" w:fill="FFFFFF"/>
        </w:rPr>
        <w:t>）一般公共服务支出</w:t>
      </w:r>
      <w:r>
        <w:rPr>
          <w:rFonts w:hint="default" w:ascii="Times New Roman" w:hAnsi="Times New Roman" w:eastAsia="方正仿宋_GBK" w:cs="Times New Roman"/>
          <w:b w:val="0"/>
          <w:bCs w:val="0"/>
          <w:kern w:val="0"/>
          <w:sz w:val="32"/>
          <w:szCs w:val="32"/>
          <w:shd w:val="clear" w:fill="FFFFFF"/>
        </w:rPr>
        <w:t>1,484.50</w:t>
      </w:r>
      <w:r>
        <w:rPr>
          <w:rFonts w:hint="eastAsia" w:ascii="方正仿宋_GBK" w:hAnsi="方正仿宋_GBK" w:eastAsia="方正仿宋_GBK" w:cs="方正仿宋_GBK"/>
          <w:b w:val="0"/>
          <w:bCs w:val="0"/>
          <w:kern w:val="0"/>
          <w:sz w:val="32"/>
          <w:szCs w:val="32"/>
          <w:shd w:val="clear" w:fill="FFFFFF"/>
        </w:rPr>
        <w:t>万元，占</w:t>
      </w:r>
      <w:r>
        <w:rPr>
          <w:rFonts w:hint="default" w:ascii="Times New Roman" w:hAnsi="Times New Roman" w:eastAsia="方正仿宋_GBK" w:cs="Times New Roman"/>
          <w:b w:val="0"/>
          <w:bCs w:val="0"/>
          <w:kern w:val="0"/>
          <w:sz w:val="32"/>
          <w:szCs w:val="32"/>
          <w:shd w:val="clear" w:fill="FFFFFF"/>
        </w:rPr>
        <w:t>30.0</w:t>
      </w:r>
      <w:r>
        <w:rPr>
          <w:rFonts w:hint="eastAsia" w:ascii="Times New Roman" w:hAnsi="Times New Roman" w:eastAsia="方正仿宋_GBK" w:cs="Times New Roman"/>
          <w:b w:val="0"/>
          <w:bCs w:val="0"/>
          <w:kern w:val="0"/>
          <w:sz w:val="32"/>
          <w:szCs w:val="32"/>
          <w:shd w:val="clear" w:fill="FFFFFF"/>
        </w:rPr>
        <w:t>6</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，较年初预算数增加</w:t>
      </w:r>
      <w:r>
        <w:rPr>
          <w:rFonts w:hint="default" w:ascii="Times New Roman" w:hAnsi="Times New Roman" w:eastAsia="方正仿宋_GBK" w:cs="Times New Roman"/>
          <w:b w:val="0"/>
          <w:bCs w:val="0"/>
          <w:kern w:val="0"/>
          <w:sz w:val="32"/>
          <w:szCs w:val="32"/>
          <w:shd w:val="clear" w:fill="FFFFFF"/>
        </w:rPr>
        <w:t>293.74</w:t>
      </w:r>
      <w:r>
        <w:rPr>
          <w:rFonts w:hint="eastAsia" w:ascii="方正仿宋_GBK" w:hAnsi="方正仿宋_GBK" w:eastAsia="方正仿宋_GBK" w:cs="方正仿宋_GBK"/>
          <w:b w:val="0"/>
          <w:bCs w:val="0"/>
          <w:kern w:val="0"/>
          <w:sz w:val="32"/>
          <w:szCs w:val="32"/>
          <w:shd w:val="clear" w:fill="FFFFFF"/>
        </w:rPr>
        <w:t>万元，增长</w:t>
      </w:r>
      <w:r>
        <w:rPr>
          <w:rFonts w:hint="default" w:ascii="Times New Roman" w:hAnsi="Times New Roman" w:eastAsia="方正仿宋_GBK" w:cs="Times New Roman"/>
          <w:b w:val="0"/>
          <w:bCs w:val="0"/>
          <w:kern w:val="0"/>
          <w:sz w:val="32"/>
          <w:szCs w:val="32"/>
          <w:shd w:val="clear" w:fill="FFFFFF"/>
        </w:rPr>
        <w:t>24.67%</w:t>
      </w:r>
      <w:r>
        <w:rPr>
          <w:rFonts w:hint="eastAsia" w:ascii="方正仿宋_GBK" w:hAnsi="方正仿宋_GBK" w:eastAsia="方正仿宋_GBK" w:cs="方正仿宋_GBK"/>
          <w:b w:val="0"/>
          <w:bCs w:val="0"/>
          <w:kern w:val="0"/>
          <w:sz w:val="32"/>
          <w:szCs w:val="32"/>
          <w:shd w:val="clear" w:fill="FFFFFF"/>
        </w:rPr>
        <w:t>，主要原因是行政人员调薪增资导致基本支出的增加以及辖区内的公共安全稳定、社会治安综合治理等经费的增加。</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2</w:t>
      </w:r>
      <w:r>
        <w:rPr>
          <w:rFonts w:hint="eastAsia" w:ascii="方正仿宋_GBK" w:hAnsi="方正仿宋_GBK" w:eastAsia="方正仿宋_GBK" w:cs="方正仿宋_GBK"/>
          <w:b w:val="0"/>
          <w:bCs w:val="0"/>
          <w:kern w:val="0"/>
          <w:sz w:val="32"/>
          <w:szCs w:val="32"/>
          <w:shd w:val="clear" w:fill="FFFFFF"/>
        </w:rPr>
        <w:t>）国防支出</w:t>
      </w:r>
      <w:r>
        <w:rPr>
          <w:rFonts w:hint="default" w:ascii="Times New Roman" w:hAnsi="Times New Roman" w:eastAsia="方正仿宋_GBK" w:cs="Times New Roman"/>
          <w:b w:val="0"/>
          <w:bCs w:val="0"/>
          <w:kern w:val="0"/>
          <w:sz w:val="32"/>
          <w:szCs w:val="32"/>
          <w:shd w:val="clear" w:fill="FFFFFF"/>
        </w:rPr>
        <w:t>15.00</w:t>
      </w:r>
      <w:r>
        <w:rPr>
          <w:rFonts w:hint="eastAsia" w:ascii="方正仿宋_GBK" w:hAnsi="方正仿宋_GBK" w:eastAsia="方正仿宋_GBK" w:cs="方正仿宋_GBK"/>
          <w:b w:val="0"/>
          <w:bCs w:val="0"/>
          <w:kern w:val="0"/>
          <w:sz w:val="32"/>
          <w:szCs w:val="32"/>
          <w:shd w:val="clear" w:fill="FFFFFF"/>
        </w:rPr>
        <w:t>万元，占</w:t>
      </w:r>
      <w:r>
        <w:rPr>
          <w:rFonts w:hint="default" w:ascii="Times New Roman" w:hAnsi="Times New Roman" w:eastAsia="方正仿宋_GBK" w:cs="Times New Roman"/>
          <w:b w:val="0"/>
          <w:bCs w:val="0"/>
          <w:kern w:val="0"/>
          <w:sz w:val="32"/>
          <w:szCs w:val="32"/>
          <w:shd w:val="clear" w:fill="FFFFFF"/>
        </w:rPr>
        <w:t>0.30%</w:t>
      </w:r>
      <w:r>
        <w:rPr>
          <w:rFonts w:hint="eastAsia" w:ascii="方正仿宋_GBK" w:hAnsi="方正仿宋_GBK" w:eastAsia="方正仿宋_GBK" w:cs="方正仿宋_GBK"/>
          <w:b w:val="0"/>
          <w:bCs w:val="0"/>
          <w:kern w:val="0"/>
          <w:sz w:val="32"/>
          <w:szCs w:val="32"/>
          <w:shd w:val="clear" w:fill="FFFFFF"/>
        </w:rPr>
        <w:t>，较年初预算数增加</w:t>
      </w:r>
      <w:r>
        <w:rPr>
          <w:rFonts w:hint="default" w:ascii="Times New Roman" w:hAnsi="Times New Roman" w:eastAsia="方正仿宋_GBK" w:cs="Times New Roman"/>
          <w:b w:val="0"/>
          <w:bCs w:val="0"/>
          <w:kern w:val="0"/>
          <w:sz w:val="32"/>
          <w:szCs w:val="32"/>
          <w:shd w:val="clear" w:fill="FFFFFF"/>
        </w:rPr>
        <w:t>3.00</w:t>
      </w:r>
      <w:r>
        <w:rPr>
          <w:rFonts w:hint="eastAsia" w:ascii="方正仿宋_GBK" w:hAnsi="方正仿宋_GBK" w:eastAsia="方正仿宋_GBK" w:cs="方正仿宋_GBK"/>
          <w:b w:val="0"/>
          <w:bCs w:val="0"/>
          <w:kern w:val="0"/>
          <w:sz w:val="32"/>
          <w:szCs w:val="32"/>
          <w:shd w:val="clear" w:fill="FFFFFF"/>
        </w:rPr>
        <w:t>万元，增长</w:t>
      </w:r>
      <w:r>
        <w:rPr>
          <w:rFonts w:hint="default" w:ascii="Times New Roman" w:hAnsi="Times New Roman" w:eastAsia="方正仿宋_GBK" w:cs="Times New Roman"/>
          <w:b w:val="0"/>
          <w:bCs w:val="0"/>
          <w:kern w:val="0"/>
          <w:sz w:val="32"/>
          <w:szCs w:val="32"/>
          <w:shd w:val="clear" w:fill="FFFFFF"/>
        </w:rPr>
        <w:t>25.00%</w:t>
      </w:r>
      <w:r>
        <w:rPr>
          <w:rFonts w:hint="eastAsia" w:ascii="方正仿宋_GBK" w:hAnsi="方正仿宋_GBK" w:eastAsia="方正仿宋_GBK" w:cs="方正仿宋_GBK"/>
          <w:b w:val="0"/>
          <w:bCs w:val="0"/>
          <w:kern w:val="0"/>
          <w:sz w:val="32"/>
          <w:szCs w:val="32"/>
          <w:shd w:val="clear" w:fill="FFFFFF"/>
        </w:rPr>
        <w:t>，主要原因是武装工作经费增加。</w:t>
      </w:r>
    </w:p>
    <w:p>
      <w:pPr>
        <w:pStyle w:val="9"/>
        <w:keepNext w:val="0"/>
        <w:keepLines w:val="0"/>
        <w:pageBreakBefore w:val="0"/>
        <w:numPr>
          <w:ilvl w:val="0"/>
          <w:numId w:val="0"/>
        </w:numPr>
        <w:tabs>
          <w:tab w:val="left" w:pos="1369"/>
        </w:tabs>
        <w:kinsoku/>
        <w:wordWrap/>
        <w:overflowPunct/>
        <w:topLinePunct w:val="0"/>
        <w:autoSpaceDE w:val="0"/>
        <w:autoSpaceDN w:val="0"/>
        <w:bidi w:val="0"/>
        <w:adjustRightInd/>
        <w:snapToGrid/>
        <w:spacing w:before="3" w:after="0" w:line="580" w:lineRule="exact"/>
        <w:ind w:right="243"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（3）公共安全支出 258.54 万元，占 5.24%，较年初预算数减少 49.63 万元，下降 16.10%，主要原因是按照区文件精神将年初预算下调 5%。</w:t>
      </w:r>
    </w:p>
    <w:p>
      <w:pPr>
        <w:pStyle w:val="9"/>
        <w:keepNext w:val="0"/>
        <w:keepLines w:val="0"/>
        <w:pageBreakBefore w:val="0"/>
        <w:numPr>
          <w:ilvl w:val="0"/>
          <w:numId w:val="0"/>
        </w:numPr>
        <w:tabs>
          <w:tab w:val="left" w:pos="1378"/>
        </w:tabs>
        <w:kinsoku/>
        <w:wordWrap/>
        <w:overflowPunct/>
        <w:topLinePunct w:val="0"/>
        <w:autoSpaceDE w:val="0"/>
        <w:autoSpaceDN w:val="0"/>
        <w:bidi w:val="0"/>
        <w:adjustRightInd/>
        <w:snapToGrid/>
        <w:spacing w:before="3" w:after="0" w:line="580" w:lineRule="exact"/>
        <w:ind w:right="247"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（4）文化旅游体育与传媒支出 251.31 万元，占 5.09%，较年初预算数增加 62.64 万元，增长 33.20%，主要原因是加大了社区文化宣传力度，开展更多的社区文化宣传活动以及事业人员调薪增资导致基本支出的增加。</w:t>
      </w:r>
    </w:p>
    <w:p>
      <w:pPr>
        <w:pStyle w:val="9"/>
        <w:keepNext w:val="0"/>
        <w:keepLines w:val="0"/>
        <w:pageBreakBefore w:val="0"/>
        <w:numPr>
          <w:ilvl w:val="0"/>
          <w:numId w:val="0"/>
        </w:numPr>
        <w:tabs>
          <w:tab w:val="left" w:pos="1364"/>
        </w:tabs>
        <w:kinsoku/>
        <w:wordWrap/>
        <w:overflowPunct/>
        <w:topLinePunct w:val="0"/>
        <w:autoSpaceDE w:val="0"/>
        <w:autoSpaceDN w:val="0"/>
        <w:bidi w:val="0"/>
        <w:adjustRightInd/>
        <w:snapToGrid/>
        <w:spacing w:before="3" w:after="0" w:line="580" w:lineRule="exact"/>
        <w:ind w:right="248"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（5）社会保障与就业支出 1,592.07 万元，占 32.24%，较年初预算数增加 87.45 万元，增长 5.81%，主要原因是事业人员调薪增资导致基本支出的增加以及年中追加义务兵优待、80-89 周岁老人高龄补贴等预算资金。</w:t>
      </w:r>
    </w:p>
    <w:p>
      <w:pPr>
        <w:pStyle w:val="9"/>
        <w:keepNext w:val="0"/>
        <w:keepLines w:val="0"/>
        <w:pageBreakBefore w:val="0"/>
        <w:numPr>
          <w:ilvl w:val="0"/>
          <w:numId w:val="0"/>
        </w:numPr>
        <w:tabs>
          <w:tab w:val="left" w:pos="1364"/>
        </w:tabs>
        <w:kinsoku/>
        <w:wordWrap/>
        <w:overflowPunct/>
        <w:topLinePunct w:val="0"/>
        <w:autoSpaceDE w:val="0"/>
        <w:autoSpaceDN w:val="0"/>
        <w:bidi w:val="0"/>
        <w:adjustRightInd/>
        <w:snapToGrid/>
        <w:spacing w:before="3" w:after="0" w:line="580" w:lineRule="exact"/>
        <w:ind w:right="248"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（6）卫生健康支出 89.16 万元，占 1.81%，较年初预算数增加 5.95 万元，增长 7.15%，主要原因是计生服务工作经费增加。</w:t>
      </w:r>
    </w:p>
    <w:p>
      <w:pPr>
        <w:pStyle w:val="4"/>
        <w:keepNext w:val="0"/>
        <w:keepLines w:val="0"/>
        <w:pageBreakBefore w:val="0"/>
        <w:kinsoku/>
        <w:wordWrap/>
        <w:overflowPunct/>
        <w:topLinePunct w:val="0"/>
        <w:autoSpaceDE w:val="0"/>
        <w:autoSpaceDN w:val="0"/>
        <w:bidi w:val="0"/>
        <w:adjustRightInd/>
        <w:snapToGrid/>
        <w:spacing w:before="3" w:line="580" w:lineRule="exact"/>
        <w:ind w:left="109" w:right="248" w:firstLine="561"/>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（7）城乡社区支出 741.26 万元，占 15.01%，较年初预算数增加 196.36 万元，增长 36.04%，主要原因是行政事业人员调薪增资导致基本支出的增加、执法协勤人员工资的调增以及年中追加了街镇违法建筑整治工作奖励      及补助经费。</w:t>
      </w:r>
    </w:p>
    <w:p>
      <w:pPr>
        <w:pStyle w:val="9"/>
        <w:keepNext w:val="0"/>
        <w:keepLines w:val="0"/>
        <w:pageBreakBefore w:val="0"/>
        <w:numPr>
          <w:ilvl w:val="0"/>
          <w:numId w:val="0"/>
        </w:numPr>
        <w:tabs>
          <w:tab w:val="left" w:pos="1374"/>
        </w:tabs>
        <w:kinsoku/>
        <w:wordWrap/>
        <w:overflowPunct/>
        <w:topLinePunct w:val="0"/>
        <w:autoSpaceDE w:val="0"/>
        <w:autoSpaceDN w:val="0"/>
        <w:bidi w:val="0"/>
        <w:adjustRightInd/>
        <w:snapToGrid/>
        <w:spacing w:before="4" w:after="0" w:line="580" w:lineRule="exact"/>
        <w:ind w:right="248"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（8）农林水支出 429.57 万元，占 8.70%，较年初预算数增加 26.43 万元，增长 6.56%，主要原因是事业人员调薪增资导致基本支出的增加以及年中追加公民村湖库水环境巩固及长效管理专项经费。</w:t>
      </w:r>
    </w:p>
    <w:p>
      <w:pPr>
        <w:pStyle w:val="9"/>
        <w:keepNext w:val="0"/>
        <w:keepLines w:val="0"/>
        <w:pageBreakBefore w:val="0"/>
        <w:numPr>
          <w:ilvl w:val="0"/>
          <w:numId w:val="0"/>
        </w:numPr>
        <w:tabs>
          <w:tab w:val="left" w:pos="1364"/>
        </w:tabs>
        <w:kinsoku/>
        <w:wordWrap/>
        <w:overflowPunct/>
        <w:topLinePunct w:val="0"/>
        <w:autoSpaceDE w:val="0"/>
        <w:autoSpaceDN w:val="0"/>
        <w:bidi w:val="0"/>
        <w:adjustRightInd/>
        <w:snapToGrid/>
        <w:spacing w:before="3" w:after="0" w:line="580" w:lineRule="exact"/>
        <w:ind w:right="248" w:rightChars="0" w:firstLine="640" w:firstLineChars="200"/>
        <w:jc w:val="both"/>
        <w:textAlignment w:val="auto"/>
        <w:rPr>
          <w:rFonts w:hint="eastAsia" w:ascii="Times New Roman" w:hAnsi="Times New Roman" w:eastAsia="方正仿宋_GBK" w:cs="Times New Roman"/>
          <w:b w:val="0"/>
          <w:bCs w:val="0"/>
          <w:kern w:val="0"/>
          <w:sz w:val="32"/>
          <w:szCs w:val="32"/>
          <w:shd w:val="clear" w:fill="FFFFFF"/>
          <w:lang w:val="en-US" w:eastAsia="zh-CN" w:bidi="ar"/>
        </w:rPr>
      </w:pPr>
      <w:r>
        <w:rPr>
          <w:rFonts w:hint="eastAsia" w:ascii="Times New Roman" w:hAnsi="Times New Roman" w:eastAsia="方正仿宋_GBK" w:cs="Times New Roman"/>
          <w:b w:val="0"/>
          <w:bCs w:val="0"/>
          <w:kern w:val="0"/>
          <w:sz w:val="32"/>
          <w:szCs w:val="32"/>
          <w:shd w:val="clear" w:fill="FFFFFF"/>
          <w:lang w:val="en-US" w:eastAsia="zh-CN" w:bidi="ar"/>
        </w:rPr>
        <w:t>（9）住房保障支出 76.28 万元，占 1.54%，较年初预算数增加 2.29 万元，增长 3.10%，主要原因是新增了在编人员。</w:t>
      </w:r>
    </w:p>
    <w:p>
      <w:pPr>
        <w:pStyle w:val="4"/>
        <w:keepNext w:val="0"/>
        <w:keepLines w:val="0"/>
        <w:pageBreakBefore w:val="0"/>
        <w:kinsoku/>
        <w:wordWrap/>
        <w:overflowPunct/>
        <w:topLinePunct w:val="0"/>
        <w:autoSpaceDE w:val="0"/>
        <w:autoSpaceDN w:val="0"/>
        <w:bidi w:val="0"/>
        <w:adjustRightInd/>
        <w:snapToGrid/>
        <w:spacing w:before="5" w:line="580" w:lineRule="exact"/>
        <w:ind w:firstLine="640" w:firstLineChars="200"/>
        <w:textAlignment w:val="auto"/>
        <w:rPr>
          <w:rFonts w:hint="eastAsia"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val="0"/>
          <w:sz w:val="32"/>
          <w:szCs w:val="32"/>
          <w:shd w:val="clear" w:fill="FFFFFF"/>
        </w:rPr>
        <w:t>（四）一般公共预算财政拨款基本支出决算情况说明</w:t>
      </w:r>
    </w:p>
    <w:p>
      <w:pPr>
        <w:pStyle w:val="4"/>
        <w:keepNext w:val="0"/>
        <w:keepLines w:val="0"/>
        <w:pageBreakBefore w:val="0"/>
        <w:kinsoku/>
        <w:wordWrap/>
        <w:overflowPunct/>
        <w:topLinePunct w:val="0"/>
        <w:autoSpaceDE w:val="0"/>
        <w:autoSpaceDN w:val="0"/>
        <w:bidi w:val="0"/>
        <w:adjustRightInd/>
        <w:snapToGrid/>
        <w:spacing w:before="6" w:line="580" w:lineRule="exact"/>
        <w:ind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年度一般公共财政拨款基本支出</w:t>
      </w:r>
      <w:r>
        <w:rPr>
          <w:rFonts w:hint="default" w:ascii="Times New Roman" w:hAnsi="Times New Roman" w:eastAsia="方正仿宋_GBK" w:cs="Times New Roman"/>
          <w:b w:val="0"/>
          <w:bCs w:val="0"/>
          <w:kern w:val="0"/>
          <w:sz w:val="32"/>
          <w:szCs w:val="32"/>
          <w:shd w:val="clear" w:fill="FFFFFF"/>
        </w:rPr>
        <w:t>1,945.45</w:t>
      </w:r>
      <w:r>
        <w:rPr>
          <w:rFonts w:hint="eastAsia" w:ascii="方正仿宋_GBK" w:hAnsi="方正仿宋_GBK" w:eastAsia="方正仿宋_GBK" w:cs="方正仿宋_GBK"/>
          <w:b w:val="0"/>
          <w:bCs w:val="0"/>
          <w:kern w:val="0"/>
          <w:sz w:val="32"/>
          <w:szCs w:val="32"/>
          <w:shd w:val="clear" w:fill="FFFFFF"/>
        </w:rPr>
        <w:t>万元。其中：人员经费</w:t>
      </w:r>
      <w:r>
        <w:rPr>
          <w:rFonts w:hint="default" w:ascii="Times New Roman" w:hAnsi="Times New Roman" w:eastAsia="方正仿宋_GBK" w:cs="Times New Roman"/>
          <w:b w:val="0"/>
          <w:bCs w:val="0"/>
          <w:kern w:val="0"/>
          <w:sz w:val="32"/>
          <w:szCs w:val="32"/>
          <w:shd w:val="clear" w:fill="FFFFFF"/>
        </w:rPr>
        <w:t>1,498.53</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28.33</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1.86%</w:t>
      </w:r>
      <w:r>
        <w:rPr>
          <w:rFonts w:hint="eastAsia" w:ascii="方正仿宋_GBK" w:hAnsi="方正仿宋_GBK" w:eastAsia="方正仿宋_GBK" w:cs="方正仿宋_GBK"/>
          <w:b w:val="0"/>
          <w:bCs w:val="0"/>
          <w:kern w:val="0"/>
          <w:sz w:val="32"/>
          <w:szCs w:val="32"/>
          <w:shd w:val="clear" w:fill="FFFFFF"/>
        </w:rPr>
        <w:t>，主要原因是养老保险缴费比例的下调。人员经费用途主要包括单位在编在册人员、退休人员工资福利、五险两金缴纳、医疗费用。公用经费</w:t>
      </w:r>
      <w:r>
        <w:rPr>
          <w:rFonts w:hint="default" w:ascii="Times New Roman" w:hAnsi="Times New Roman" w:eastAsia="方正仿宋_GBK" w:cs="Times New Roman"/>
          <w:b w:val="0"/>
          <w:bCs w:val="0"/>
          <w:kern w:val="0"/>
          <w:sz w:val="32"/>
          <w:szCs w:val="32"/>
          <w:shd w:val="clear" w:fill="FFFFFF"/>
        </w:rPr>
        <w:t>446.93</w:t>
      </w:r>
      <w:r>
        <w:rPr>
          <w:rFonts w:hint="eastAsia" w:ascii="方正仿宋_GBK" w:hAnsi="方正仿宋_GBK" w:eastAsia="方正仿宋_GBK" w:cs="方正仿宋_GBK"/>
          <w:b w:val="0"/>
          <w:bCs w:val="0"/>
          <w:kern w:val="0"/>
          <w:sz w:val="32"/>
          <w:szCs w:val="32"/>
          <w:shd w:val="clear" w:fill="FFFFFF"/>
        </w:rPr>
        <w:t>万元，较上年决算数减少</w:t>
      </w:r>
      <w:r>
        <w:rPr>
          <w:rFonts w:hint="default" w:ascii="Times New Roman" w:hAnsi="Times New Roman" w:eastAsia="方正仿宋_GBK" w:cs="Times New Roman"/>
          <w:b w:val="0"/>
          <w:bCs w:val="0"/>
          <w:kern w:val="0"/>
          <w:sz w:val="32"/>
          <w:szCs w:val="32"/>
          <w:shd w:val="clear" w:fill="FFFFFF"/>
        </w:rPr>
        <w:t>46.54</w:t>
      </w:r>
      <w:r>
        <w:rPr>
          <w:rFonts w:hint="eastAsia" w:ascii="方正仿宋_GBK" w:hAnsi="方正仿宋_GBK" w:eastAsia="方正仿宋_GBK" w:cs="方正仿宋_GBK"/>
          <w:b w:val="0"/>
          <w:bCs w:val="0"/>
          <w:kern w:val="0"/>
          <w:sz w:val="32"/>
          <w:szCs w:val="32"/>
          <w:shd w:val="clear" w:fill="FFFFFF"/>
        </w:rPr>
        <w:t>万元，下降</w:t>
      </w:r>
      <w:r>
        <w:rPr>
          <w:rFonts w:hint="default" w:ascii="Times New Roman" w:hAnsi="Times New Roman" w:eastAsia="方正仿宋_GBK" w:cs="Times New Roman"/>
          <w:b w:val="0"/>
          <w:bCs w:val="0"/>
          <w:kern w:val="0"/>
          <w:sz w:val="32"/>
          <w:szCs w:val="32"/>
          <w:shd w:val="clear" w:fill="FFFFFF"/>
        </w:rPr>
        <w:t>9.43%</w:t>
      </w:r>
      <w:r>
        <w:rPr>
          <w:rFonts w:hint="eastAsia" w:ascii="方正仿宋_GBK" w:hAnsi="方正仿宋_GBK" w:eastAsia="方正仿宋_GBK" w:cs="方正仿宋_GBK"/>
          <w:b w:val="0"/>
          <w:bCs w:val="0"/>
          <w:kern w:val="0"/>
          <w:sz w:val="32"/>
          <w:szCs w:val="32"/>
          <w:shd w:val="clear" w:fill="FFFFFF"/>
        </w:rPr>
        <w:t>，主要原因是</w:t>
      </w:r>
      <w:r>
        <w:rPr>
          <w:rFonts w:hint="eastAsia" w:ascii="方正仿宋_GBK" w:hAnsi="方正仿宋_GBK" w:eastAsia="方正仿宋_GBK" w:cs="方正仿宋_GBK"/>
          <w:b w:val="0"/>
          <w:bCs w:val="0"/>
          <w:kern w:val="0"/>
          <w:sz w:val="32"/>
          <w:szCs w:val="32"/>
        </w:rPr>
        <w:t>在工作开展中严格控制了商品和服务支出</w:t>
      </w:r>
      <w:r>
        <w:rPr>
          <w:rFonts w:hint="eastAsia" w:ascii="方正仿宋_GBK" w:hAnsi="方正仿宋_GBK" w:eastAsia="方正仿宋_GBK" w:cs="方正仿宋_GBK"/>
          <w:b w:val="0"/>
          <w:bCs w:val="0"/>
          <w:kern w:val="0"/>
          <w:sz w:val="32"/>
          <w:szCs w:val="32"/>
          <w:shd w:val="clear" w:fill="FFFFFF"/>
        </w:rPr>
        <w:t>。公用经费用途主要包括</w:t>
      </w:r>
      <w:r>
        <w:rPr>
          <w:rFonts w:hint="eastAsia" w:ascii="方正仿宋_GBK" w:hAnsi="方正仿宋_GBK" w:eastAsia="方正仿宋_GBK" w:cs="方正仿宋_GBK"/>
          <w:b w:val="0"/>
          <w:bCs w:val="0"/>
          <w:kern w:val="0"/>
          <w:sz w:val="32"/>
          <w:szCs w:val="32"/>
        </w:rPr>
        <w:t>办公费、水费、电费、邮电费、差旅费、会议费、劳务费及公务用车运行维护费等日常公用经费</w:t>
      </w:r>
      <w:r>
        <w:rPr>
          <w:rFonts w:hint="eastAsia" w:ascii="方正仿宋_GBK" w:hAnsi="方正仿宋_GBK" w:eastAsia="方正仿宋_GBK" w:cs="方正仿宋_GBK"/>
          <w:b w:val="0"/>
          <w:bCs w:val="0"/>
          <w:kern w:val="0"/>
          <w:sz w:val="32"/>
          <w:szCs w:val="32"/>
          <w:shd w:val="clear" w:fill="FFFFFF"/>
        </w:rPr>
        <w:t>。</w:t>
      </w:r>
    </w:p>
    <w:p>
      <w:pPr>
        <w:pStyle w:val="4"/>
        <w:keepNext w:val="0"/>
        <w:keepLines w:val="0"/>
        <w:pageBreakBefore w:val="0"/>
        <w:kinsoku/>
        <w:wordWrap/>
        <w:overflowPunct/>
        <w:topLinePunct w:val="0"/>
        <w:autoSpaceDE w:val="0"/>
        <w:autoSpaceDN w:val="0"/>
        <w:bidi w:val="0"/>
        <w:adjustRightInd/>
        <w:snapToGrid/>
        <w:spacing w:before="6" w:line="580" w:lineRule="exact"/>
        <w:ind w:firstLine="640" w:firstLineChars="200"/>
        <w:textAlignment w:val="auto"/>
        <w:rPr>
          <w:rFonts w:hint="eastAsia"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val="0"/>
          <w:sz w:val="32"/>
          <w:szCs w:val="32"/>
          <w:shd w:val="clear" w:fill="FFFFFF"/>
        </w:rPr>
        <w:t>（五）政府性基金预算收支决算情况说明</w:t>
      </w:r>
    </w:p>
    <w:p>
      <w:pPr>
        <w:pStyle w:val="4"/>
        <w:keepNext w:val="0"/>
        <w:keepLines w:val="0"/>
        <w:pageBreakBefore w:val="0"/>
        <w:kinsoku/>
        <w:wordWrap/>
        <w:overflowPunct/>
        <w:topLinePunct w:val="0"/>
        <w:autoSpaceDE w:val="0"/>
        <w:autoSpaceDN w:val="0"/>
        <w:bidi w:val="0"/>
        <w:adjustRightInd/>
        <w:snapToGrid/>
        <w:spacing w:before="20" w:line="580" w:lineRule="exact"/>
        <w:ind w:left="109" w:right="248" w:firstLine="56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2019</w:t>
      </w:r>
      <w:r>
        <w:rPr>
          <w:rFonts w:hint="default" w:ascii="Times New Roman" w:hAnsi="Times New Roman" w:eastAsia="方正仿宋_GBK" w:cs="Times New Roman"/>
          <w:b w:val="0"/>
          <w:bCs w:val="0"/>
          <w:spacing w:val="-7"/>
          <w:sz w:val="32"/>
          <w:szCs w:val="32"/>
        </w:rPr>
        <w:t xml:space="preserve"> 年度政府性基金预算财政拨款年初结转结余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pacing w:val="-9"/>
          <w:sz w:val="32"/>
          <w:szCs w:val="32"/>
        </w:rPr>
        <w:t>万元，年末结转结余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pacing w:val="-6"/>
          <w:sz w:val="32"/>
          <w:szCs w:val="32"/>
        </w:rPr>
        <w:t>万元，本年度无政府性基金</w:t>
      </w:r>
      <w:r>
        <w:rPr>
          <w:rFonts w:hint="default" w:ascii="Times New Roman" w:hAnsi="Times New Roman" w:eastAsia="方正仿宋_GBK" w:cs="Times New Roman"/>
          <w:b w:val="0"/>
          <w:bCs w:val="0"/>
          <w:spacing w:val="-3"/>
          <w:sz w:val="32"/>
          <w:szCs w:val="32"/>
        </w:rPr>
        <w:t>预算财政拨款收支，均较上年决算数减少</w:t>
      </w:r>
      <w:r>
        <w:rPr>
          <w:rFonts w:hint="default" w:ascii="Times New Roman" w:hAnsi="Times New Roman" w:eastAsia="方正仿宋_GBK" w:cs="Times New Roman"/>
          <w:b w:val="0"/>
          <w:bCs w:val="0"/>
          <w:sz w:val="32"/>
          <w:szCs w:val="32"/>
        </w:rPr>
        <w:t>20.00</w:t>
      </w:r>
      <w:r>
        <w:rPr>
          <w:rFonts w:hint="default" w:ascii="Times New Roman" w:hAnsi="Times New Roman" w:eastAsia="方正仿宋_GBK" w:cs="Times New Roman"/>
          <w:b w:val="0"/>
          <w:bCs w:val="0"/>
          <w:spacing w:val="-2"/>
          <w:sz w:val="32"/>
          <w:szCs w:val="32"/>
        </w:rPr>
        <w:t>万元，下降</w:t>
      </w:r>
      <w:r>
        <w:rPr>
          <w:rFonts w:hint="default" w:ascii="Times New Roman" w:hAnsi="Times New Roman" w:eastAsia="方正仿宋_GBK" w:cs="Times New Roman"/>
          <w:b w:val="0"/>
          <w:bCs w:val="0"/>
          <w:sz w:val="32"/>
          <w:szCs w:val="32"/>
        </w:rPr>
        <w:t>100.00%。</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黑体_GBK" w:cs="Times New Roman"/>
          <w:b w:val="0"/>
          <w:bCs w:val="0"/>
          <w:kern w:val="0"/>
          <w:sz w:val="32"/>
          <w:szCs w:val="32"/>
        </w:rPr>
      </w:pPr>
      <w:r>
        <w:rPr>
          <w:rStyle w:val="12"/>
          <w:rFonts w:hint="default" w:ascii="Times New Roman" w:hAnsi="Times New Roman" w:eastAsia="方正黑体_GBK" w:cs="Times New Roman"/>
          <w:b w:val="0"/>
          <w:bCs w:val="0"/>
          <w:sz w:val="32"/>
          <w:szCs w:val="32"/>
          <w:shd w:val="clear" w:fill="FFFFFF"/>
        </w:rPr>
        <w:t>三、“三公”经费情况说明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楷体_GBK" w:cs="Times New Roman"/>
          <w:b w:val="0"/>
          <w:bCs w:val="0"/>
          <w:kern w:val="0"/>
          <w:sz w:val="32"/>
          <w:szCs w:val="32"/>
        </w:rPr>
      </w:pPr>
      <w:r>
        <w:rPr>
          <w:rStyle w:val="12"/>
          <w:rFonts w:hint="default" w:ascii="Times New Roman" w:hAnsi="Times New Roman" w:eastAsia="方正楷体_GBK" w:cs="Times New Roman"/>
          <w:b w:val="0"/>
          <w:bCs w:val="0"/>
          <w:sz w:val="32"/>
          <w:szCs w:val="32"/>
          <w:shd w:val="clear" w:fill="FFFFFF"/>
        </w:rPr>
        <w:t>（一）“三公”经费支出总体情况说明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shd w:val="clear" w:fill="FFFFFF"/>
        </w:rPr>
        <w:t>2019年度“三公”经费支出共计32.09万元，较年初预算数减少27.47万元，下降46.12%，主要原因是认真贯彻落实中央八项规定精神，按照只减不增的要求从严控制“三公”经费。较上年支出数增加12.47万元，增长63.56%，主要原因是一辆公务用车已达到使用年限且无法维修，经财政局审批进行报废，为了满足工作需要，新购入了一辆公务用车。</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楷体_GBK" w:cs="Times New Roman"/>
          <w:b w:val="0"/>
          <w:bCs w:val="0"/>
          <w:kern w:val="0"/>
          <w:sz w:val="32"/>
          <w:szCs w:val="32"/>
        </w:rPr>
      </w:pPr>
      <w:r>
        <w:rPr>
          <w:rStyle w:val="12"/>
          <w:rFonts w:hint="default" w:ascii="Times New Roman" w:hAnsi="Times New Roman" w:eastAsia="方正楷体_GBK" w:cs="Times New Roman"/>
          <w:b w:val="0"/>
          <w:bCs w:val="0"/>
          <w:sz w:val="32"/>
          <w:szCs w:val="32"/>
          <w:shd w:val="clear" w:fill="FFFFFF"/>
        </w:rPr>
        <w:t>（二）“三公”经费分项支出情况</w:t>
      </w:r>
      <w:r>
        <w:rPr>
          <w:rFonts w:hint="default" w:ascii="Times New Roman" w:hAnsi="Times New Roman" w:eastAsia="方正楷体_GBK" w:cs="Times New Roman"/>
          <w:b w:val="0"/>
          <w:bCs w:val="0"/>
          <w:kern w:val="0"/>
          <w:sz w:val="32"/>
          <w:szCs w:val="32"/>
        </w:rPr>
        <w:t xml:space="preserve"> </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 xml:space="preserve"> 2019年度未发生因公出国（境）费用支出，费用支出较年初预算数和上年支出数增加0.00万元，增长0.00%。 </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公务车购置费17.90万元，主要用于购买一辆应急保障车。费用支出较年初预算数和上年支出数均增加17.90万元，增长100.00%，主要原因是一辆公务用车已达到使用年限且无法维修，经财政局审批进行报废，为了满足工作需要，新购入了一辆公务用车。</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fill="FFFFFF"/>
        </w:rPr>
        <w:t>公务车运行维护费14.19万元，主要用于机要文件交换、市内因公出行、财政业务检查等工作所需车辆的燃料费、维修费、过桥过路费、保险费等)。费用支出较年初预算数减少37.37万元，下降72.48%，主要原因是</w:t>
      </w:r>
      <w:r>
        <w:rPr>
          <w:rFonts w:hint="default" w:ascii="Times New Roman" w:hAnsi="Times New Roman" w:eastAsia="方正仿宋_GBK" w:cs="Times New Roman"/>
          <w:b w:val="0"/>
          <w:bCs w:val="0"/>
          <w:kern w:val="0"/>
          <w:sz w:val="32"/>
          <w:szCs w:val="32"/>
        </w:rPr>
        <w:t>严格贯彻落实中央八项规定精神和厉行节约要求，控制支出</w:t>
      </w:r>
      <w:r>
        <w:rPr>
          <w:rFonts w:hint="default" w:ascii="Times New Roman" w:hAnsi="Times New Roman" w:eastAsia="方正仿宋_GBK" w:cs="Times New Roman"/>
          <w:b w:val="0"/>
          <w:bCs w:val="0"/>
          <w:kern w:val="0"/>
          <w:sz w:val="32"/>
          <w:szCs w:val="32"/>
          <w:shd w:val="clear" w:fill="FFFFFF"/>
        </w:rPr>
        <w:t>。较上年支出数减少5.27万元，下降27.08%，主要原因是</w:t>
      </w:r>
      <w:r>
        <w:rPr>
          <w:rFonts w:hint="default" w:ascii="Times New Roman" w:hAnsi="Times New Roman" w:eastAsia="方正仿宋_GBK" w:cs="Times New Roman"/>
          <w:b w:val="0"/>
          <w:bCs w:val="0"/>
          <w:kern w:val="0"/>
          <w:sz w:val="32"/>
          <w:szCs w:val="32"/>
        </w:rPr>
        <w:t>严格贯彻落实中央八项规定精神和厉行节约要求，控制支出</w:t>
      </w:r>
      <w:r>
        <w:rPr>
          <w:rFonts w:hint="default" w:ascii="Times New Roman" w:hAnsi="Times New Roman" w:eastAsia="方正仿宋_GBK" w:cs="Times New Roman"/>
          <w:b w:val="0"/>
          <w:bCs w:val="0"/>
          <w:kern w:val="0"/>
          <w:sz w:val="32"/>
          <w:szCs w:val="32"/>
          <w:shd w:val="clear" w:fill="FFFFFF"/>
        </w:rPr>
        <w:t>。</w:t>
      </w:r>
    </w:p>
    <w:p>
      <w:pPr>
        <w:pStyle w:val="4"/>
        <w:keepNext w:val="0"/>
        <w:keepLines w:val="0"/>
        <w:pageBreakBefore w:val="0"/>
        <w:kinsoku/>
        <w:wordWrap/>
        <w:overflowPunct/>
        <w:topLinePunct w:val="0"/>
        <w:autoSpaceDE w:val="0"/>
        <w:autoSpaceDN w:val="0"/>
        <w:bidi w:val="0"/>
        <w:adjustRightInd/>
        <w:snapToGrid/>
        <w:spacing w:before="4" w:line="580" w:lineRule="exact"/>
        <w:ind w:firstLine="640"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公务接待费0.00万元，费用支出较年初预算数减少8.00万元，下降100.00%，主要原因是</w:t>
      </w:r>
      <w:r>
        <w:rPr>
          <w:rFonts w:hint="default" w:ascii="Times New Roman" w:hAnsi="Times New Roman" w:eastAsia="方正仿宋_GBK" w:cs="Times New Roman"/>
          <w:b w:val="0"/>
          <w:bCs w:val="0"/>
          <w:kern w:val="0"/>
          <w:sz w:val="32"/>
          <w:szCs w:val="32"/>
        </w:rPr>
        <w:t>严格贯彻落实中央八项规定精神和厉行节约要求，控制支出</w:t>
      </w:r>
      <w:r>
        <w:rPr>
          <w:rFonts w:hint="default" w:ascii="Times New Roman" w:hAnsi="Times New Roman" w:eastAsia="方正仿宋_GBK" w:cs="Times New Roman"/>
          <w:b w:val="0"/>
          <w:bCs w:val="0"/>
          <w:kern w:val="0"/>
          <w:sz w:val="32"/>
          <w:szCs w:val="32"/>
          <w:shd w:val="clear" w:fill="FFFFFF"/>
        </w:rPr>
        <w:t>。较上年支出数减少0.16万元，下降100.00%，主要原因是</w:t>
      </w:r>
      <w:r>
        <w:rPr>
          <w:rFonts w:hint="default" w:ascii="Times New Roman" w:hAnsi="Times New Roman" w:eastAsia="方正仿宋_GBK" w:cs="Times New Roman"/>
          <w:b w:val="0"/>
          <w:bCs w:val="0"/>
          <w:kern w:val="0"/>
          <w:sz w:val="32"/>
          <w:szCs w:val="32"/>
        </w:rPr>
        <w:t>严格贯彻落实中央八项规定精神和厉行节约要求，控制支出</w:t>
      </w:r>
      <w:r>
        <w:rPr>
          <w:rFonts w:hint="default" w:ascii="Times New Roman" w:hAnsi="Times New Roman" w:eastAsia="方正仿宋_GBK" w:cs="Times New Roman"/>
          <w:b w:val="0"/>
          <w:bCs w:val="0"/>
          <w:kern w:val="0"/>
          <w:sz w:val="32"/>
          <w:szCs w:val="32"/>
          <w:shd w:val="clear" w:fill="FFFFFF"/>
        </w:rPr>
        <w:t>。</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default" w:ascii="Times New Roman" w:hAnsi="Times New Roman" w:eastAsia="方正黑体_GBK" w:cs="Times New Roman"/>
          <w:b w:val="0"/>
          <w:bCs w:val="0"/>
          <w:kern w:val="0"/>
          <w:sz w:val="32"/>
          <w:szCs w:val="32"/>
        </w:rPr>
      </w:pPr>
      <w:r>
        <w:rPr>
          <w:rStyle w:val="12"/>
          <w:rFonts w:hint="default" w:ascii="Times New Roman" w:hAnsi="Times New Roman" w:eastAsia="方正楷体_GBK" w:cs="Times New Roman"/>
          <w:b w:val="0"/>
          <w:bCs w:val="0"/>
          <w:sz w:val="32"/>
          <w:szCs w:val="32"/>
          <w:shd w:val="clear" w:fill="FFFFFF"/>
        </w:rPr>
        <w:t>（三）“三公”经费实物量情况</w:t>
      </w:r>
    </w:p>
    <w:p>
      <w:pPr>
        <w:pStyle w:val="4"/>
        <w:keepNext w:val="0"/>
        <w:keepLines w:val="0"/>
        <w:pageBreakBefore w:val="0"/>
        <w:kinsoku/>
        <w:wordWrap/>
        <w:overflowPunct/>
        <w:topLinePunct w:val="0"/>
        <w:autoSpaceDE w:val="0"/>
        <w:autoSpaceDN w:val="0"/>
        <w:bidi w:val="0"/>
        <w:adjustRightInd/>
        <w:snapToGrid/>
        <w:spacing w:before="19" w:line="580" w:lineRule="exact"/>
        <w:ind w:left="109"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shd w:val="clear" w:fill="FFFFFF"/>
        </w:rPr>
        <w:t>2019年度本部门因公出国（境）共计0个团组，0人；公务用车购置1辆，公务车保有量为5辆；国内公务接待0批次0人，其中：国内外事接待0批次，0人；国（境）外公务接待0批次，0人。2019年本部门人均接待费0.00元，车均购置费17.90万元，车均维护费2.84万元。</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eastAsia" w:ascii="方正黑体_GBK" w:hAnsi="Times New Roman" w:eastAsia="方正黑体_GBK" w:cs="Times New Roman"/>
          <w:b w:val="0"/>
          <w:bCs w:val="0"/>
          <w:kern w:val="0"/>
          <w:sz w:val="32"/>
          <w:szCs w:val="32"/>
        </w:rPr>
      </w:pPr>
      <w:r>
        <w:rPr>
          <w:rStyle w:val="12"/>
          <w:rFonts w:hint="eastAsia" w:ascii="方正黑体_GBK" w:hAnsi="方正黑体_GBK" w:eastAsia="方正黑体_GBK" w:cs="方正黑体_GBK"/>
          <w:b w:val="0"/>
          <w:bCs w:val="0"/>
          <w:sz w:val="32"/>
          <w:szCs w:val="32"/>
          <w:shd w:val="clear" w:fill="FFFFFF"/>
        </w:rPr>
        <w:t>四、其他需要说明的事项</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27" w:firstLineChars="196"/>
        <w:jc w:val="both"/>
        <w:textAlignment w:val="auto"/>
        <w:rPr>
          <w:rFonts w:hint="eastAsia" w:ascii="宋体" w:hAnsi="宋体" w:eastAsia="方正仿宋_GBK" w:cs="宋体"/>
          <w:b w:val="0"/>
          <w:bCs w:val="0"/>
          <w:kern w:val="0"/>
          <w:sz w:val="32"/>
          <w:szCs w:val="32"/>
          <w:shd w:val="clear" w:fill="FFFFFF"/>
        </w:rPr>
      </w:pPr>
      <w:r>
        <w:rPr>
          <w:rStyle w:val="12"/>
          <w:rFonts w:hint="eastAsia" w:ascii="方正楷体_GBK" w:hAnsi="方正楷体_GBK" w:eastAsia="方正楷体_GBK" w:cs="方正楷体_GBK"/>
          <w:b w:val="0"/>
          <w:bCs w:val="0"/>
          <w:sz w:val="32"/>
          <w:szCs w:val="32"/>
          <w:shd w:val="clear" w:fill="FFFFFF"/>
        </w:rPr>
        <w:t>（一）机关运行经费情况说明</w:t>
      </w:r>
    </w:p>
    <w:p>
      <w:pPr>
        <w:pStyle w:val="4"/>
        <w:keepNext w:val="0"/>
        <w:keepLines w:val="0"/>
        <w:pageBreakBefore w:val="0"/>
        <w:kinsoku/>
        <w:wordWrap/>
        <w:overflowPunct/>
        <w:topLinePunct w:val="0"/>
        <w:autoSpaceDE w:val="0"/>
        <w:autoSpaceDN w:val="0"/>
        <w:bidi w:val="0"/>
        <w:adjustRightInd/>
        <w:snapToGrid/>
        <w:spacing w:before="21" w:line="580" w:lineRule="exact"/>
        <w:ind w:left="109" w:right="256" w:firstLine="561"/>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2019</w:t>
      </w:r>
      <w:r>
        <w:rPr>
          <w:rFonts w:hint="default" w:ascii="Times New Roman" w:hAnsi="Times New Roman" w:eastAsia="方正仿宋_GBK" w:cs="Times New Roman"/>
          <w:b w:val="0"/>
          <w:bCs w:val="0"/>
          <w:spacing w:val="-6"/>
          <w:sz w:val="32"/>
          <w:szCs w:val="32"/>
        </w:rPr>
        <w:t xml:space="preserve"> 年度本部门机关运行经费支出</w:t>
      </w:r>
      <w:r>
        <w:rPr>
          <w:rFonts w:hint="default" w:ascii="Times New Roman" w:hAnsi="Times New Roman" w:eastAsia="方正仿宋_GBK" w:cs="Times New Roman"/>
          <w:b w:val="0"/>
          <w:bCs w:val="0"/>
          <w:sz w:val="32"/>
          <w:szCs w:val="32"/>
        </w:rPr>
        <w:t>157.51</w:t>
      </w:r>
      <w:r>
        <w:rPr>
          <w:rFonts w:hint="default" w:ascii="Times New Roman" w:hAnsi="Times New Roman" w:eastAsia="方正仿宋_GBK" w:cs="Times New Roman"/>
          <w:b w:val="0"/>
          <w:bCs w:val="0"/>
          <w:spacing w:val="-7"/>
          <w:sz w:val="32"/>
          <w:szCs w:val="32"/>
        </w:rPr>
        <w:t>万元，机关运行经费主要用于开支办公及印刷费、邮电费、差旅</w:t>
      </w:r>
      <w:r>
        <w:rPr>
          <w:rFonts w:hint="default" w:ascii="Times New Roman" w:hAnsi="Times New Roman" w:eastAsia="方正仿宋_GBK" w:cs="Times New Roman"/>
          <w:b w:val="0"/>
          <w:bCs w:val="0"/>
          <w:spacing w:val="-7"/>
          <w:w w:val="95"/>
          <w:sz w:val="32"/>
          <w:szCs w:val="32"/>
        </w:rPr>
        <w:t>费、会议费、福利费、日常维护费、办公用房水电费、公务用车运行维护费等支出。机关运行经费较上年决算数</w:t>
      </w:r>
      <w:r>
        <w:rPr>
          <w:rFonts w:hint="default" w:ascii="Times New Roman" w:hAnsi="Times New Roman" w:eastAsia="方正仿宋_GBK" w:cs="Times New Roman"/>
          <w:b w:val="0"/>
          <w:bCs w:val="0"/>
          <w:spacing w:val="-6"/>
          <w:sz w:val="32"/>
          <w:szCs w:val="32"/>
        </w:rPr>
        <w:t>减少</w:t>
      </w:r>
      <w:r>
        <w:rPr>
          <w:rFonts w:hint="default" w:ascii="Times New Roman" w:hAnsi="Times New Roman" w:eastAsia="方正仿宋_GBK" w:cs="Times New Roman"/>
          <w:b w:val="0"/>
          <w:bCs w:val="0"/>
          <w:sz w:val="32"/>
          <w:szCs w:val="32"/>
        </w:rPr>
        <w:t>183.23</w:t>
      </w:r>
      <w:r>
        <w:rPr>
          <w:rFonts w:hint="default" w:ascii="Times New Roman" w:hAnsi="Times New Roman" w:eastAsia="方正仿宋_GBK" w:cs="Times New Roman"/>
          <w:b w:val="0"/>
          <w:bCs w:val="0"/>
          <w:spacing w:val="-2"/>
          <w:sz w:val="32"/>
          <w:szCs w:val="32"/>
        </w:rPr>
        <w:t>万元，下降</w:t>
      </w:r>
      <w:r>
        <w:rPr>
          <w:rFonts w:hint="default" w:ascii="Times New Roman" w:hAnsi="Times New Roman" w:eastAsia="方正仿宋_GBK" w:cs="Times New Roman"/>
          <w:b w:val="0"/>
          <w:bCs w:val="0"/>
          <w:sz w:val="32"/>
          <w:szCs w:val="32"/>
        </w:rPr>
        <w:t>53.77%，主要原因是控制了商品和服务支出。</w:t>
      </w:r>
    </w:p>
    <w:p>
      <w:pPr>
        <w:pStyle w:val="4"/>
        <w:keepNext w:val="0"/>
        <w:keepLines w:val="0"/>
        <w:pageBreakBefore w:val="0"/>
        <w:kinsoku/>
        <w:wordWrap/>
        <w:overflowPunct/>
        <w:topLinePunct w:val="0"/>
        <w:autoSpaceDE w:val="0"/>
        <w:autoSpaceDN w:val="0"/>
        <w:bidi w:val="0"/>
        <w:adjustRightInd/>
        <w:snapToGrid/>
        <w:spacing w:before="4" w:line="58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此外，本年度一般公共预算财政拨款会议费支出1.38万元，较上年决算数增加1.38万元，增长 100.00%</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pacing w:val="-9"/>
          <w:sz w:val="32"/>
          <w:szCs w:val="32"/>
        </w:rPr>
        <w:t>主要原因是增加了人大会议费用。本年度一般公共预算财政拨款培训费支出</w:t>
      </w:r>
      <w:r>
        <w:rPr>
          <w:rFonts w:hint="default" w:ascii="Times New Roman" w:hAnsi="Times New Roman" w:eastAsia="方正仿宋_GBK" w:cs="Times New Roman"/>
          <w:b w:val="0"/>
          <w:bCs w:val="0"/>
          <w:sz w:val="32"/>
          <w:szCs w:val="32"/>
        </w:rPr>
        <w:t>22.30</w:t>
      </w:r>
      <w:r>
        <w:rPr>
          <w:rFonts w:hint="default" w:ascii="Times New Roman" w:hAnsi="Times New Roman" w:eastAsia="方正仿宋_GBK" w:cs="Times New Roman"/>
          <w:b w:val="0"/>
          <w:bCs w:val="0"/>
          <w:spacing w:val="-16"/>
          <w:sz w:val="32"/>
          <w:szCs w:val="32"/>
        </w:rPr>
        <w:t>万元，较上年决算数增加</w:t>
      </w:r>
      <w:r>
        <w:rPr>
          <w:rFonts w:hint="default" w:ascii="Times New Roman" w:hAnsi="Times New Roman" w:eastAsia="方正仿宋_GBK" w:cs="Times New Roman"/>
          <w:b w:val="0"/>
          <w:bCs w:val="0"/>
          <w:sz w:val="32"/>
          <w:szCs w:val="32"/>
        </w:rPr>
        <w:t>16.64</w:t>
      </w:r>
      <w:r>
        <w:rPr>
          <w:rFonts w:hint="default" w:ascii="Times New Roman" w:hAnsi="Times New Roman" w:eastAsia="方正仿宋_GBK" w:cs="Times New Roman"/>
          <w:b w:val="0"/>
          <w:bCs w:val="0"/>
          <w:spacing w:val="-1"/>
          <w:sz w:val="32"/>
          <w:szCs w:val="32"/>
        </w:rPr>
        <w:t>万元，增长</w:t>
      </w:r>
      <w:r>
        <w:rPr>
          <w:rFonts w:hint="default" w:ascii="Times New Roman" w:hAnsi="Times New Roman" w:eastAsia="方正仿宋_GBK" w:cs="Times New Roman"/>
          <w:b w:val="0"/>
          <w:bCs w:val="0"/>
          <w:sz w:val="32"/>
          <w:szCs w:val="32"/>
        </w:rPr>
        <w:t>293.99%，主要原因是增加了人大培训费用。</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right="0" w:firstLine="640" w:firstLineChars="200"/>
        <w:jc w:val="both"/>
        <w:textAlignment w:val="auto"/>
        <w:rPr>
          <w:rFonts w:hint="eastAsia" w:ascii="方正楷体_GBK" w:hAnsi="方正楷体_GBK" w:eastAsia="方正楷体_GBK" w:cs="方正楷体_GBK"/>
          <w:b w:val="0"/>
          <w:bCs w:val="0"/>
          <w:kern w:val="0"/>
          <w:sz w:val="32"/>
          <w:szCs w:val="32"/>
          <w:shd w:val="clear" w:fill="FFFFFF"/>
        </w:rPr>
      </w:pPr>
      <w:r>
        <w:rPr>
          <w:rStyle w:val="12"/>
          <w:rFonts w:hint="eastAsia" w:ascii="方正楷体_GBK" w:hAnsi="方正楷体_GBK" w:eastAsia="方正楷体_GBK" w:cs="方正楷体_GBK"/>
          <w:b w:val="0"/>
          <w:bCs w:val="0"/>
          <w:sz w:val="32"/>
          <w:szCs w:val="32"/>
          <w:shd w:val="clear" w:fill="FFFFFF"/>
        </w:rPr>
        <w:t>（二）国有资产占用情况说明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14" w:firstLineChars="192"/>
        <w:jc w:val="both"/>
        <w:textAlignment w:val="auto"/>
        <w:rPr>
          <w:rFonts w:hint="eastAsia" w:ascii="方正楷体_GBK" w:hAnsi="Times New Roman" w:eastAsia="方正楷体_GBK" w:cs="Times New Roman"/>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截至</w:t>
      </w: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w:t>
      </w:r>
      <w:r>
        <w:rPr>
          <w:rFonts w:hint="default" w:ascii="Times New Roman" w:hAnsi="Times New Roman" w:eastAsia="方正仿宋_GBK" w:cs="Times New Roman"/>
          <w:b w:val="0"/>
          <w:bCs w:val="0"/>
          <w:kern w:val="0"/>
          <w:sz w:val="32"/>
          <w:szCs w:val="32"/>
          <w:shd w:val="clear" w:fill="FFFFFF"/>
        </w:rPr>
        <w:t>12</w:t>
      </w:r>
      <w:r>
        <w:rPr>
          <w:rFonts w:hint="eastAsia" w:ascii="方正仿宋_GBK" w:hAnsi="方正仿宋_GBK" w:eastAsia="方正仿宋_GBK" w:cs="方正仿宋_GBK"/>
          <w:b w:val="0"/>
          <w:bCs w:val="0"/>
          <w:kern w:val="0"/>
          <w:sz w:val="32"/>
          <w:szCs w:val="32"/>
          <w:shd w:val="clear" w:fill="FFFFFF"/>
        </w:rPr>
        <w:t>月</w:t>
      </w:r>
      <w:r>
        <w:rPr>
          <w:rFonts w:hint="default" w:ascii="Times New Roman" w:hAnsi="Times New Roman" w:eastAsia="方正仿宋_GBK" w:cs="Times New Roman"/>
          <w:b w:val="0"/>
          <w:bCs w:val="0"/>
          <w:kern w:val="0"/>
          <w:sz w:val="32"/>
          <w:szCs w:val="32"/>
          <w:shd w:val="clear" w:fill="FFFFFF"/>
        </w:rPr>
        <w:t>31</w:t>
      </w:r>
      <w:r>
        <w:rPr>
          <w:rFonts w:hint="eastAsia" w:ascii="方正仿宋_GBK" w:hAnsi="方正仿宋_GBK" w:eastAsia="方正仿宋_GBK" w:cs="方正仿宋_GBK"/>
          <w:b w:val="0"/>
          <w:bCs w:val="0"/>
          <w:kern w:val="0"/>
          <w:sz w:val="32"/>
          <w:szCs w:val="32"/>
          <w:shd w:val="clear" w:fill="FFFFFF"/>
        </w:rPr>
        <w:t>日，本部门共有车辆</w:t>
      </w:r>
      <w:r>
        <w:rPr>
          <w:rFonts w:hint="default" w:ascii="Times New Roman" w:hAnsi="Times New Roman" w:eastAsia="方正仿宋_GBK" w:cs="Times New Roman"/>
          <w:b w:val="0"/>
          <w:bCs w:val="0"/>
          <w:kern w:val="0"/>
          <w:sz w:val="32"/>
          <w:szCs w:val="32"/>
          <w:shd w:val="clear" w:fill="FFFFFF"/>
        </w:rPr>
        <w:t>13</w:t>
      </w:r>
      <w:r>
        <w:rPr>
          <w:rFonts w:hint="eastAsia" w:ascii="方正仿宋_GBK" w:hAnsi="方正仿宋_GBK" w:eastAsia="方正仿宋_GBK" w:cs="方正仿宋_GBK"/>
          <w:b w:val="0"/>
          <w:bCs w:val="0"/>
          <w:kern w:val="0"/>
          <w:sz w:val="32"/>
          <w:szCs w:val="32"/>
          <w:shd w:val="clear" w:fill="FFFFFF"/>
        </w:rPr>
        <w:t>辆，其中，副部（省）级及以上领导用车</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辆、主要领导干部用车</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辆、机要通信用车</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辆、应急保障用车</w:t>
      </w:r>
      <w:r>
        <w:rPr>
          <w:rFonts w:hint="default" w:ascii="Times New Roman" w:hAnsi="Times New Roman" w:eastAsia="方正仿宋_GBK" w:cs="Times New Roman"/>
          <w:b w:val="0"/>
          <w:bCs w:val="0"/>
          <w:kern w:val="0"/>
          <w:sz w:val="32"/>
          <w:szCs w:val="32"/>
          <w:shd w:val="clear" w:fill="FFFFFF"/>
        </w:rPr>
        <w:t>10</w:t>
      </w:r>
      <w:r>
        <w:rPr>
          <w:rFonts w:hint="eastAsia" w:ascii="方正仿宋_GBK" w:hAnsi="方正仿宋_GBK" w:eastAsia="方正仿宋_GBK" w:cs="方正仿宋_GBK"/>
          <w:b w:val="0"/>
          <w:bCs w:val="0"/>
          <w:kern w:val="0"/>
          <w:sz w:val="32"/>
          <w:szCs w:val="32"/>
          <w:shd w:val="clear" w:fill="FFFFFF"/>
        </w:rPr>
        <w:t>辆、执法执勤用车</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辆，特种专业技术用车</w:t>
      </w:r>
      <w:r>
        <w:rPr>
          <w:rFonts w:hint="default" w:ascii="Times New Roman" w:hAnsi="Times New Roman" w:eastAsia="方正仿宋_GBK" w:cs="Times New Roman"/>
          <w:b w:val="0"/>
          <w:bCs w:val="0"/>
          <w:kern w:val="0"/>
          <w:sz w:val="32"/>
          <w:szCs w:val="32"/>
          <w:shd w:val="clear" w:fill="FFFFFF"/>
        </w:rPr>
        <w:t>1</w:t>
      </w:r>
      <w:r>
        <w:rPr>
          <w:rFonts w:hint="eastAsia" w:ascii="方正仿宋_GBK" w:hAnsi="方正仿宋_GBK" w:eastAsia="方正仿宋_GBK" w:cs="方正仿宋_GBK"/>
          <w:b w:val="0"/>
          <w:bCs w:val="0"/>
          <w:kern w:val="0"/>
          <w:sz w:val="32"/>
          <w:szCs w:val="32"/>
          <w:shd w:val="clear" w:fill="FFFFFF"/>
        </w:rPr>
        <w:t>辆，离退休干部用车</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辆，其他用车</w:t>
      </w:r>
      <w:r>
        <w:rPr>
          <w:rFonts w:hint="default" w:ascii="Times New Roman" w:hAnsi="Times New Roman" w:eastAsia="方正仿宋_GBK" w:cs="Times New Roman"/>
          <w:b w:val="0"/>
          <w:bCs w:val="0"/>
          <w:kern w:val="0"/>
          <w:sz w:val="32"/>
          <w:szCs w:val="32"/>
          <w:shd w:val="clear" w:fill="FFFFFF"/>
        </w:rPr>
        <w:t>2</w:t>
      </w:r>
      <w:r>
        <w:rPr>
          <w:rFonts w:hint="eastAsia" w:ascii="方正仿宋_GBK" w:hAnsi="方正仿宋_GBK" w:eastAsia="方正仿宋_GBK" w:cs="方正仿宋_GBK"/>
          <w:b w:val="0"/>
          <w:bCs w:val="0"/>
          <w:kern w:val="0"/>
          <w:sz w:val="32"/>
          <w:szCs w:val="32"/>
          <w:shd w:val="clear" w:fill="FFFFFF"/>
        </w:rPr>
        <w:t>辆，其他用车主要是用于开展执法协勤工作。单价</w:t>
      </w:r>
      <w:r>
        <w:rPr>
          <w:rFonts w:hint="default" w:ascii="Times New Roman" w:hAnsi="Times New Roman" w:eastAsia="方正仿宋_GBK" w:cs="Times New Roman"/>
          <w:b w:val="0"/>
          <w:bCs w:val="0"/>
          <w:kern w:val="0"/>
          <w:sz w:val="32"/>
          <w:szCs w:val="32"/>
          <w:shd w:val="clear" w:fill="FFFFFF"/>
        </w:rPr>
        <w:t>50</w:t>
      </w:r>
      <w:r>
        <w:rPr>
          <w:rFonts w:hint="eastAsia" w:ascii="方正仿宋_GBK" w:hAnsi="方正仿宋_GBK" w:eastAsia="方正仿宋_GBK" w:cs="方正仿宋_GBK"/>
          <w:b w:val="0"/>
          <w:bCs w:val="0"/>
          <w:kern w:val="0"/>
          <w:sz w:val="32"/>
          <w:szCs w:val="32"/>
          <w:shd w:val="clear" w:fill="FFFFFF"/>
        </w:rPr>
        <w:t>万元（含）以上通用设备</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台（套），单价</w:t>
      </w:r>
      <w:r>
        <w:rPr>
          <w:rFonts w:hint="default" w:ascii="Times New Roman" w:hAnsi="Times New Roman" w:eastAsia="方正仿宋_GBK" w:cs="Times New Roman"/>
          <w:b w:val="0"/>
          <w:bCs w:val="0"/>
          <w:kern w:val="0"/>
          <w:sz w:val="32"/>
          <w:szCs w:val="32"/>
          <w:shd w:val="clear" w:fill="FFFFFF"/>
        </w:rPr>
        <w:t>100</w:t>
      </w:r>
      <w:r>
        <w:rPr>
          <w:rFonts w:hint="eastAsia" w:ascii="方正仿宋_GBK" w:hAnsi="方正仿宋_GBK" w:eastAsia="方正仿宋_GBK" w:cs="方正仿宋_GBK"/>
          <w:b w:val="0"/>
          <w:bCs w:val="0"/>
          <w:kern w:val="0"/>
          <w:sz w:val="32"/>
          <w:szCs w:val="32"/>
          <w:shd w:val="clear" w:fill="FFFFFF"/>
        </w:rPr>
        <w:t>万元（含）以上专用设备</w:t>
      </w:r>
      <w:r>
        <w:rPr>
          <w:rFonts w:hint="default" w:ascii="Times New Roman" w:hAnsi="Times New Roman" w:eastAsia="方正仿宋_GBK" w:cs="Times New Roman"/>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台（套）。</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14" w:firstLineChars="192"/>
        <w:jc w:val="both"/>
        <w:textAlignment w:val="auto"/>
        <w:rPr>
          <w:rFonts w:hint="eastAsia" w:ascii="宋体" w:hAnsi="宋体" w:eastAsia="方正仿宋_GBK" w:cs="宋体"/>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（三）政府采购支出情况说明</w:t>
      </w:r>
    </w:p>
    <w:p>
      <w:pPr>
        <w:pStyle w:val="4"/>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2019</w:t>
      </w:r>
      <w:r>
        <w:rPr>
          <w:rFonts w:hint="eastAsia" w:ascii="方正仿宋_GBK" w:hAnsi="方正仿宋_GBK" w:eastAsia="方正仿宋_GBK" w:cs="方正仿宋_GBK"/>
          <w:b w:val="0"/>
          <w:bCs w:val="0"/>
          <w:kern w:val="0"/>
          <w:sz w:val="32"/>
          <w:szCs w:val="32"/>
          <w:shd w:val="clear" w:fill="FFFFFF"/>
        </w:rPr>
        <w:t>年度本部门政府采购支出总额</w:t>
      </w:r>
      <w:r>
        <w:rPr>
          <w:rFonts w:hint="default" w:ascii="Times New Roman" w:hAnsi="Times New Roman" w:eastAsia="方正仿宋_GBK" w:cs="Times New Roman"/>
          <w:b w:val="0"/>
          <w:bCs w:val="0"/>
          <w:kern w:val="0"/>
          <w:sz w:val="32"/>
          <w:szCs w:val="32"/>
          <w:shd w:val="clear" w:fill="FFFFFF"/>
        </w:rPr>
        <w:t>1,257.23</w:t>
      </w:r>
      <w:r>
        <w:rPr>
          <w:rFonts w:hint="eastAsia" w:ascii="方正仿宋_GBK" w:hAnsi="方正仿宋_GBK" w:eastAsia="方正仿宋_GBK" w:cs="方正仿宋_GBK"/>
          <w:b w:val="0"/>
          <w:bCs w:val="0"/>
          <w:kern w:val="0"/>
          <w:sz w:val="32"/>
          <w:szCs w:val="32"/>
          <w:shd w:val="clear" w:fill="FFFFFF"/>
        </w:rPr>
        <w:t>万元，其中：政府采购货物支出</w:t>
      </w:r>
      <w:r>
        <w:rPr>
          <w:rFonts w:hint="default" w:ascii="Times New Roman" w:hAnsi="Times New Roman" w:eastAsia="方正仿宋_GBK" w:cs="Times New Roman"/>
          <w:b w:val="0"/>
          <w:bCs w:val="0"/>
          <w:kern w:val="0"/>
          <w:sz w:val="32"/>
          <w:szCs w:val="32"/>
          <w:shd w:val="clear" w:fill="FFFFFF"/>
        </w:rPr>
        <w:t>146.45</w:t>
      </w:r>
      <w:r>
        <w:rPr>
          <w:rFonts w:hint="eastAsia" w:ascii="方正仿宋_GBK" w:hAnsi="方正仿宋_GBK" w:eastAsia="方正仿宋_GBK" w:cs="方正仿宋_GBK"/>
          <w:b w:val="0"/>
          <w:bCs w:val="0"/>
          <w:kern w:val="0"/>
          <w:sz w:val="32"/>
          <w:szCs w:val="32"/>
          <w:shd w:val="clear" w:fill="FFFFFF"/>
        </w:rPr>
        <w:t>万元、政府采购工程支出</w:t>
      </w:r>
      <w:r>
        <w:rPr>
          <w:rFonts w:hint="default" w:ascii="Times New Roman" w:hAnsi="Times New Roman" w:eastAsia="方正仿宋_GBK" w:cs="Times New Roman"/>
          <w:b w:val="0"/>
          <w:bCs w:val="0"/>
          <w:kern w:val="0"/>
          <w:sz w:val="32"/>
          <w:szCs w:val="32"/>
          <w:shd w:val="clear" w:fill="FFFFFF"/>
        </w:rPr>
        <w:t>191.8</w:t>
      </w:r>
      <w:r>
        <w:rPr>
          <w:rFonts w:hint="eastAsia" w:ascii="Times New Roman" w:hAnsi="Times New Roman" w:eastAsia="方正仿宋_GBK" w:cs="Times New Roman"/>
          <w:b w:val="0"/>
          <w:bCs w:val="0"/>
          <w:kern w:val="0"/>
          <w:sz w:val="32"/>
          <w:szCs w:val="32"/>
          <w:shd w:val="clear" w:fill="FFFFFF"/>
        </w:rPr>
        <w:t>9</w:t>
      </w:r>
      <w:r>
        <w:rPr>
          <w:rFonts w:hint="eastAsia" w:ascii="方正仿宋_GBK" w:hAnsi="方正仿宋_GBK" w:eastAsia="方正仿宋_GBK" w:cs="方正仿宋_GBK"/>
          <w:b w:val="0"/>
          <w:bCs w:val="0"/>
          <w:kern w:val="0"/>
          <w:sz w:val="32"/>
          <w:szCs w:val="32"/>
          <w:shd w:val="clear" w:fill="FFFFFF"/>
        </w:rPr>
        <w:t>万元、政府采购服务支出</w:t>
      </w:r>
      <w:r>
        <w:rPr>
          <w:rFonts w:hint="default" w:ascii="Times New Roman" w:hAnsi="Times New Roman" w:eastAsia="方正仿宋_GBK" w:cs="Times New Roman"/>
          <w:b w:val="0"/>
          <w:bCs w:val="0"/>
          <w:kern w:val="0"/>
          <w:sz w:val="32"/>
          <w:szCs w:val="32"/>
          <w:shd w:val="clear" w:fill="FFFFFF"/>
        </w:rPr>
        <w:t>918.90</w:t>
      </w:r>
      <w:r>
        <w:rPr>
          <w:rFonts w:hint="eastAsia" w:ascii="方正仿宋_GBK" w:hAnsi="方正仿宋_GBK" w:eastAsia="方正仿宋_GBK" w:cs="方正仿宋_GBK"/>
          <w:b w:val="0"/>
          <w:bCs w:val="0"/>
          <w:kern w:val="0"/>
          <w:sz w:val="32"/>
          <w:szCs w:val="32"/>
          <w:shd w:val="clear" w:fill="FFFFFF"/>
        </w:rPr>
        <w:t>万元。授予中小企业合同金额</w:t>
      </w:r>
      <w:r>
        <w:rPr>
          <w:rFonts w:hint="default" w:ascii="Times New Roman" w:hAnsi="Times New Roman" w:eastAsia="方正仿宋_GBK" w:cs="Times New Roman"/>
          <w:b w:val="0"/>
          <w:bCs w:val="0"/>
          <w:kern w:val="0"/>
          <w:sz w:val="32"/>
          <w:szCs w:val="32"/>
          <w:shd w:val="clear" w:fill="FFFFFF"/>
        </w:rPr>
        <w:t>1,059.45</w:t>
      </w:r>
      <w:r>
        <w:rPr>
          <w:rFonts w:hint="eastAsia" w:ascii="方正仿宋_GBK" w:hAnsi="方正仿宋_GBK" w:eastAsia="方正仿宋_GBK" w:cs="方正仿宋_GBK"/>
          <w:b w:val="0"/>
          <w:bCs w:val="0"/>
          <w:kern w:val="0"/>
          <w:sz w:val="32"/>
          <w:szCs w:val="32"/>
          <w:shd w:val="clear" w:fill="FFFFFF"/>
        </w:rPr>
        <w:t>万元，占政府采购支出总额的</w:t>
      </w:r>
      <w:r>
        <w:rPr>
          <w:rFonts w:hint="default" w:ascii="Times New Roman" w:hAnsi="Times New Roman" w:eastAsia="方正仿宋_GBK" w:cs="Times New Roman"/>
          <w:b w:val="0"/>
          <w:bCs w:val="0"/>
          <w:kern w:val="0"/>
          <w:sz w:val="32"/>
          <w:szCs w:val="32"/>
          <w:shd w:val="clear" w:fill="FFFFFF"/>
        </w:rPr>
        <w:t>84.27%</w:t>
      </w:r>
      <w:r>
        <w:rPr>
          <w:rFonts w:hint="eastAsia" w:ascii="方正仿宋_GBK" w:hAnsi="方正仿宋_GBK" w:eastAsia="方正仿宋_GBK" w:cs="方正仿宋_GBK"/>
          <w:b w:val="0"/>
          <w:bCs w:val="0"/>
          <w:kern w:val="0"/>
          <w:sz w:val="32"/>
          <w:szCs w:val="32"/>
          <w:shd w:val="clear" w:fill="FFFFFF"/>
        </w:rPr>
        <w:t>，其中：授予小微企业合同金额</w:t>
      </w:r>
      <w:r>
        <w:rPr>
          <w:rFonts w:hint="default" w:ascii="Times New Roman" w:hAnsi="Times New Roman" w:eastAsia="方正仿宋_GBK" w:cs="Times New Roman"/>
          <w:b w:val="0"/>
          <w:bCs w:val="0"/>
          <w:kern w:val="0"/>
          <w:sz w:val="32"/>
          <w:szCs w:val="32"/>
          <w:shd w:val="clear" w:fill="FFFFFF"/>
        </w:rPr>
        <w:t>1,051.32</w:t>
      </w:r>
      <w:r>
        <w:rPr>
          <w:rFonts w:hint="eastAsia" w:ascii="方正仿宋_GBK" w:hAnsi="方正仿宋_GBK" w:eastAsia="方正仿宋_GBK" w:cs="方正仿宋_GBK"/>
          <w:b w:val="0"/>
          <w:bCs w:val="0"/>
          <w:kern w:val="0"/>
          <w:sz w:val="32"/>
          <w:szCs w:val="32"/>
          <w:shd w:val="clear" w:fill="FFFFFF"/>
        </w:rPr>
        <w:t>万元，占政府采购支出总额的</w:t>
      </w:r>
      <w:r>
        <w:rPr>
          <w:rFonts w:hint="default" w:ascii="Times New Roman" w:hAnsi="Times New Roman" w:eastAsia="方正仿宋_GBK" w:cs="Times New Roman"/>
          <w:b w:val="0"/>
          <w:bCs w:val="0"/>
          <w:kern w:val="0"/>
          <w:sz w:val="32"/>
          <w:szCs w:val="32"/>
          <w:shd w:val="clear" w:fill="FFFFFF"/>
        </w:rPr>
        <w:t>83.62%</w:t>
      </w:r>
      <w:r>
        <w:rPr>
          <w:rFonts w:hint="eastAsia" w:ascii="方正仿宋_GBK" w:hAnsi="方正仿宋_GBK" w:eastAsia="方正仿宋_GBK" w:cs="方正仿宋_GBK"/>
          <w:b w:val="0"/>
          <w:bCs w:val="0"/>
          <w:kern w:val="0"/>
          <w:sz w:val="32"/>
          <w:szCs w:val="32"/>
          <w:shd w:val="clear" w:fill="FFFFFF"/>
        </w:rPr>
        <w:t>。主要用于</w:t>
      </w:r>
      <w:r>
        <w:rPr>
          <w:rFonts w:hint="eastAsia" w:ascii="方正仿宋_GBK" w:hAnsi="方正仿宋_GBK" w:eastAsia="方正仿宋_GBK" w:cs="方正仿宋_GBK"/>
          <w:b w:val="0"/>
          <w:bCs w:val="0"/>
          <w:kern w:val="0"/>
          <w:sz w:val="32"/>
          <w:szCs w:val="32"/>
        </w:rPr>
        <w:t>采购办公设备、办公家具、道路改造工程及评审费等支出</w:t>
      </w:r>
      <w:r>
        <w:rPr>
          <w:rFonts w:hint="eastAsia" w:ascii="方正仿宋_GBK" w:hAnsi="方正仿宋_GBK" w:eastAsia="方正仿宋_GBK" w:cs="方正仿宋_GBK"/>
          <w:b w:val="0"/>
          <w:bCs w:val="0"/>
          <w:kern w:val="0"/>
          <w:sz w:val="32"/>
          <w:szCs w:val="32"/>
          <w:shd w:val="clear" w:fill="FFFFFF"/>
        </w:rPr>
        <w:t>。</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17" w:firstLineChars="193"/>
        <w:jc w:val="both"/>
        <w:textAlignment w:val="auto"/>
        <w:rPr>
          <w:rFonts w:hint="eastAsia" w:ascii="方正黑体_GBK" w:hAnsi="Times New Roman" w:eastAsia="方正黑体_GBK" w:cs="Times New Roman"/>
          <w:b w:val="0"/>
          <w:bCs w:val="0"/>
          <w:kern w:val="0"/>
          <w:sz w:val="32"/>
          <w:szCs w:val="32"/>
        </w:rPr>
      </w:pPr>
      <w:r>
        <w:rPr>
          <w:rStyle w:val="12"/>
          <w:rFonts w:hint="eastAsia" w:ascii="方正黑体_GBK" w:hAnsi="方正黑体_GBK" w:eastAsia="方正黑体_GBK" w:cs="方正黑体_GBK"/>
          <w:b w:val="0"/>
          <w:bCs w:val="0"/>
          <w:sz w:val="32"/>
          <w:szCs w:val="32"/>
          <w:shd w:val="clear" w:fill="FFFFFF"/>
        </w:rPr>
        <w:t>五、预算绩效管理情况说明</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17" w:firstLineChars="193"/>
        <w:jc w:val="both"/>
        <w:textAlignment w:val="auto"/>
        <w:rPr>
          <w:rFonts w:hint="eastAsia" w:ascii="方正楷体_GBK" w:hAnsi="Times New Roman" w:eastAsia="方正楷体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（一）预算绩效管理工作开展情况</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fill="FFFFFF"/>
        </w:rPr>
        <w:t>根据预算绩效管理要求，我镇对</w:t>
      </w:r>
      <w:r>
        <w:rPr>
          <w:rFonts w:hint="default" w:ascii="Times New Roman" w:hAnsi="Times New Roman" w:eastAsia="方正仿宋_GBK" w:cs="Times New Roman"/>
          <w:b w:val="0"/>
          <w:bCs w:val="0"/>
          <w:kern w:val="0"/>
          <w:sz w:val="32"/>
          <w:szCs w:val="32"/>
          <w:shd w:val="clear" w:fill="FFFFFF"/>
        </w:rPr>
        <w:t>14</w:t>
      </w:r>
      <w:r>
        <w:rPr>
          <w:rFonts w:hint="eastAsia" w:ascii="方正仿宋_GBK" w:hAnsi="方正仿宋_GBK" w:eastAsia="方正仿宋_GBK" w:cs="方正仿宋_GBK"/>
          <w:b w:val="0"/>
          <w:bCs w:val="0"/>
          <w:kern w:val="0"/>
          <w:sz w:val="32"/>
          <w:szCs w:val="32"/>
          <w:shd w:val="clear" w:fill="FFFFFF"/>
        </w:rPr>
        <w:t>个项目开展了绩效自评，其中，以填报目标自评表形式开展自评</w:t>
      </w:r>
      <w:r>
        <w:rPr>
          <w:rFonts w:hint="default" w:ascii="Times New Roman" w:hAnsi="Times New Roman" w:eastAsia="方正仿宋_GBK" w:cs="Times New Roman"/>
          <w:b w:val="0"/>
          <w:bCs w:val="0"/>
          <w:kern w:val="0"/>
          <w:sz w:val="32"/>
          <w:szCs w:val="32"/>
          <w:shd w:val="clear" w:fill="FFFFFF"/>
        </w:rPr>
        <w:t>14</w:t>
      </w:r>
      <w:r>
        <w:rPr>
          <w:rFonts w:hint="eastAsia" w:ascii="方正仿宋_GBK" w:hAnsi="方正仿宋_GBK" w:eastAsia="方正仿宋_GBK" w:cs="方正仿宋_GBK"/>
          <w:b w:val="0"/>
          <w:bCs w:val="0"/>
          <w:kern w:val="0"/>
          <w:sz w:val="32"/>
          <w:szCs w:val="32"/>
          <w:shd w:val="clear" w:fill="FFFFFF"/>
        </w:rPr>
        <w:t>项，涉及资金</w:t>
      </w:r>
      <w:r>
        <w:rPr>
          <w:rFonts w:hint="eastAsia" w:ascii="Times New Roman" w:hAnsi="Times New Roman" w:eastAsia="方正仿宋_GBK" w:cs="Times New Roman"/>
          <w:b w:val="0"/>
          <w:bCs w:val="0"/>
          <w:kern w:val="0"/>
          <w:sz w:val="32"/>
          <w:szCs w:val="32"/>
          <w:shd w:val="clear" w:fill="FFFFFF"/>
        </w:rPr>
        <w:t>2469.93</w:t>
      </w:r>
      <w:r>
        <w:rPr>
          <w:rFonts w:hint="eastAsia" w:ascii="方正仿宋_GBK" w:hAnsi="方正仿宋_GBK" w:eastAsia="方正仿宋_GBK" w:cs="方正仿宋_GBK"/>
          <w:b w:val="0"/>
          <w:bCs w:val="0"/>
          <w:kern w:val="0"/>
          <w:sz w:val="32"/>
          <w:szCs w:val="32"/>
          <w:shd w:val="clear" w:fill="FFFFFF"/>
        </w:rPr>
        <w:t>万元。</w:t>
      </w:r>
      <w:r>
        <w:rPr>
          <w:rFonts w:hint="eastAsia" w:ascii="方正仿宋_GBK" w:hAnsi="方正仿宋_GBK" w:eastAsia="方正仿宋_GBK" w:cs="方正仿宋_GBK"/>
          <w:b w:val="0"/>
          <w:bCs w:val="0"/>
          <w:kern w:val="0"/>
          <w:sz w:val="32"/>
          <w:szCs w:val="32"/>
        </w:rPr>
        <w:t>从评价情况来看，</w:t>
      </w:r>
      <w:r>
        <w:rPr>
          <w:rFonts w:hint="default" w:ascii="Times New Roman" w:hAnsi="Times New Roman" w:eastAsia="方正仿宋_GBK" w:cs="Times New Roman"/>
          <w:b w:val="0"/>
          <w:bCs w:val="0"/>
          <w:kern w:val="0"/>
          <w:sz w:val="32"/>
          <w:szCs w:val="32"/>
        </w:rPr>
        <w:t>1</w:t>
      </w:r>
      <w:r>
        <w:rPr>
          <w:rFonts w:hint="eastAsia"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个项目评价结果为优，</w:t>
      </w:r>
      <w:r>
        <w:rPr>
          <w:rFonts w:hint="eastAsia"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个项目评价结果为良，</w:t>
      </w:r>
      <w:r>
        <w:rPr>
          <w:rFonts w:hint="default" w:ascii="Times New Roman" w:hAnsi="Times New Roman" w:eastAsia="方正仿宋_GBK" w:cs="Times New Roman"/>
          <w:b w:val="0"/>
          <w:bCs w:val="0"/>
          <w:kern w:val="0"/>
          <w:sz w:val="32"/>
          <w:szCs w:val="32"/>
        </w:rPr>
        <w:t>0</w:t>
      </w:r>
      <w:r>
        <w:rPr>
          <w:rFonts w:hint="eastAsia" w:ascii="方正仿宋_GBK" w:hAnsi="方正仿宋_GBK" w:eastAsia="方正仿宋_GBK" w:cs="方正仿宋_GBK"/>
          <w:b w:val="0"/>
          <w:bCs w:val="0"/>
          <w:kern w:val="0"/>
          <w:sz w:val="32"/>
          <w:szCs w:val="32"/>
        </w:rPr>
        <w:t>个项目评价结果为中，</w:t>
      </w:r>
      <w:r>
        <w:rPr>
          <w:rFonts w:hint="default" w:ascii="Times New Roman" w:hAnsi="Times New Roman" w:eastAsia="方正仿宋_GBK" w:cs="Times New Roman"/>
          <w:b w:val="0"/>
          <w:bCs w:val="0"/>
          <w:kern w:val="0"/>
          <w:sz w:val="32"/>
          <w:szCs w:val="32"/>
        </w:rPr>
        <w:t>0</w:t>
      </w:r>
      <w:r>
        <w:rPr>
          <w:rFonts w:hint="eastAsia" w:ascii="方正仿宋_GBK" w:hAnsi="方正仿宋_GBK" w:eastAsia="方正仿宋_GBK" w:cs="方正仿宋_GBK"/>
          <w:b w:val="0"/>
          <w:bCs w:val="0"/>
          <w:kern w:val="0"/>
          <w:sz w:val="32"/>
          <w:szCs w:val="32"/>
        </w:rPr>
        <w:t>个项目评价结果为差，整改</w:t>
      </w:r>
      <w:r>
        <w:rPr>
          <w:rFonts w:hint="default" w:ascii="Times New Roman" w:hAnsi="Times New Roman" w:eastAsia="方正仿宋_GBK" w:cs="Times New Roman"/>
          <w:b w:val="0"/>
          <w:bCs w:val="0"/>
          <w:kern w:val="0"/>
          <w:sz w:val="32"/>
          <w:szCs w:val="32"/>
        </w:rPr>
        <w:t>0</w:t>
      </w:r>
      <w:r>
        <w:rPr>
          <w:rFonts w:hint="eastAsia" w:ascii="方正仿宋_GBK" w:hAnsi="方正仿宋_GBK" w:eastAsia="方正仿宋_GBK" w:cs="方正仿宋_GBK"/>
          <w:b w:val="0"/>
          <w:bCs w:val="0"/>
          <w:kern w:val="0"/>
          <w:sz w:val="32"/>
          <w:szCs w:val="32"/>
        </w:rPr>
        <w:t>个项目。本部门从产出指标和效果指标等方面，对纳入绩效目标管理的</w:t>
      </w:r>
      <w:r>
        <w:rPr>
          <w:rFonts w:hint="default" w:ascii="Times New Roman" w:hAnsi="Times New Roman" w:eastAsia="方正仿宋_GBK" w:cs="Times New Roman"/>
          <w:b w:val="0"/>
          <w:bCs w:val="0"/>
          <w:kern w:val="0"/>
          <w:sz w:val="32"/>
          <w:szCs w:val="32"/>
        </w:rPr>
        <w:t>14</w:t>
      </w:r>
      <w:r>
        <w:rPr>
          <w:rFonts w:hint="eastAsia" w:ascii="方正仿宋_GBK" w:hAnsi="方正仿宋_GBK" w:eastAsia="方正仿宋_GBK" w:cs="方正仿宋_GBK"/>
          <w:b w:val="0"/>
          <w:bCs w:val="0"/>
          <w:kern w:val="0"/>
          <w:sz w:val="32"/>
          <w:szCs w:val="32"/>
        </w:rPr>
        <w:t>个项目开展了自评，所有项目完成进度均为</w:t>
      </w:r>
      <w:r>
        <w:rPr>
          <w:rFonts w:hint="default" w:ascii="Times New Roman" w:hAnsi="Times New Roman" w:eastAsia="方正仿宋_GBK" w:cs="Times New Roman"/>
          <w:b w:val="0"/>
          <w:bCs w:val="0"/>
          <w:kern w:val="0"/>
          <w:sz w:val="32"/>
          <w:szCs w:val="32"/>
        </w:rPr>
        <w:t>100%</w:t>
      </w:r>
      <w:r>
        <w:rPr>
          <w:rFonts w:hint="eastAsia" w:ascii="方正仿宋_GBK" w:hAnsi="方正仿宋_GBK" w:eastAsia="方正仿宋_GBK" w:cs="方正仿宋_GBK"/>
          <w:b w:val="0"/>
          <w:bCs w:val="0"/>
          <w:kern w:val="0"/>
          <w:sz w:val="32"/>
          <w:szCs w:val="32"/>
        </w:rPr>
        <w:t>。下一步继续按照预算绩效管理工作要求完成本部门内控实施工作任务，确保项目实施与评价工作平稳、有序、顺利进行。</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eastAsia" w:ascii="方正楷体_GBK" w:hAnsi="Times New Roman" w:eastAsia="方正楷体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lang w:eastAsia="zh-CN"/>
        </w:rPr>
        <w:t>（二）</w:t>
      </w:r>
      <w:r>
        <w:rPr>
          <w:rStyle w:val="12"/>
          <w:rFonts w:hint="eastAsia" w:ascii="方正楷体_GBK" w:hAnsi="方正楷体_GBK" w:eastAsia="方正楷体_GBK" w:cs="方正楷体_GBK"/>
          <w:b w:val="0"/>
          <w:bCs w:val="0"/>
          <w:sz w:val="32"/>
          <w:szCs w:val="32"/>
          <w:shd w:val="clear" w:fill="FFFFFF"/>
        </w:rPr>
        <w:t>绩效自评结果</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eastAsia" w:ascii="方正楷体_GBK" w:hAnsi="Times New Roman" w:eastAsia="方正楷体_GBK" w:cs="Times New Roman"/>
          <w:b w:val="0"/>
          <w:bCs w:val="0"/>
          <w:kern w:val="0"/>
          <w:sz w:val="32"/>
          <w:szCs w:val="32"/>
        </w:rPr>
      </w:pPr>
      <w:r>
        <w:rPr>
          <w:rStyle w:val="12"/>
          <w:rFonts w:hint="default" w:ascii="Times New Roman" w:hAnsi="Times New Roman" w:eastAsia="方正仿宋_GBK" w:cs="Times New Roman"/>
          <w:b w:val="0"/>
          <w:bCs w:val="0"/>
          <w:sz w:val="32"/>
          <w:szCs w:val="32"/>
          <w:shd w:val="clear" w:fill="FFFFFF"/>
        </w:rPr>
        <w:t>1.</w:t>
      </w:r>
      <w:r>
        <w:rPr>
          <w:rStyle w:val="12"/>
          <w:rFonts w:hint="eastAsia" w:ascii="方正仿宋_GBK" w:hAnsi="方正仿宋_GBK" w:eastAsia="方正仿宋_GBK" w:cs="方正仿宋_GBK"/>
          <w:b w:val="0"/>
          <w:bCs w:val="0"/>
          <w:sz w:val="32"/>
          <w:szCs w:val="32"/>
          <w:shd w:val="clear" w:fill="FFFFFF"/>
        </w:rPr>
        <w:t>绩效目标自评表</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shd w:val="clear" w:fill="FFFFFF"/>
        </w:rPr>
        <w:t>党建工作专项经费项目绩效目标自评综述：根据年初设定的绩效目标，项目总体完成情况为优。项目全年预算数为</w:t>
      </w:r>
      <w:r>
        <w:rPr>
          <w:rFonts w:hint="default" w:ascii="Times New Roman" w:hAnsi="Times New Roman" w:eastAsia="方正仿宋_GBK" w:cs="Times New Roman"/>
          <w:b w:val="0"/>
          <w:bCs w:val="0"/>
          <w:kern w:val="0"/>
          <w:sz w:val="32"/>
          <w:szCs w:val="32"/>
          <w:shd w:val="clear" w:fill="FFFFFF"/>
        </w:rPr>
        <w:t>106.07</w:t>
      </w:r>
      <w:r>
        <w:rPr>
          <w:rFonts w:hint="eastAsia" w:ascii="方正仿宋_GBK" w:hAnsi="方正仿宋_GBK" w:eastAsia="方正仿宋_GBK" w:cs="方正仿宋_GBK"/>
          <w:b w:val="0"/>
          <w:bCs w:val="0"/>
          <w:kern w:val="0"/>
          <w:sz w:val="32"/>
          <w:szCs w:val="32"/>
          <w:shd w:val="clear" w:fill="FFFFFF"/>
        </w:rPr>
        <w:t>万元，执行数为</w:t>
      </w:r>
      <w:r>
        <w:rPr>
          <w:rFonts w:hint="default" w:ascii="Times New Roman" w:hAnsi="Times New Roman" w:eastAsia="方正仿宋_GBK" w:cs="Times New Roman"/>
          <w:b w:val="0"/>
          <w:bCs w:val="0"/>
          <w:kern w:val="0"/>
          <w:sz w:val="32"/>
          <w:szCs w:val="32"/>
          <w:shd w:val="clear" w:fill="FFFFFF"/>
        </w:rPr>
        <w:t>106.07</w:t>
      </w:r>
      <w:r>
        <w:rPr>
          <w:rFonts w:hint="eastAsia" w:ascii="方正仿宋_GBK" w:hAnsi="方正仿宋_GBK" w:eastAsia="方正仿宋_GBK" w:cs="方正仿宋_GBK"/>
          <w:b w:val="0"/>
          <w:bCs w:val="0"/>
          <w:kern w:val="0"/>
          <w:sz w:val="32"/>
          <w:szCs w:val="32"/>
          <w:shd w:val="clear" w:fill="FFFFFF"/>
        </w:rPr>
        <w:t>万元，完成预算的</w:t>
      </w:r>
      <w:r>
        <w:rPr>
          <w:rFonts w:hint="default" w:ascii="Times New Roman" w:hAnsi="Times New Roman" w:eastAsia="方正仿宋_GBK" w:cs="Times New Roman"/>
          <w:b w:val="0"/>
          <w:bCs w:val="0"/>
          <w:kern w:val="0"/>
          <w:sz w:val="32"/>
          <w:szCs w:val="32"/>
          <w:shd w:val="clear" w:fill="FFFFFF"/>
        </w:rPr>
        <w:t>100%</w:t>
      </w:r>
      <w:r>
        <w:rPr>
          <w:rFonts w:hint="eastAsia" w:ascii="方正仿宋_GBK" w:hAnsi="方正仿宋_GBK" w:eastAsia="方正仿宋_GBK" w:cs="方正仿宋_GBK"/>
          <w:b w:val="0"/>
          <w:bCs w:val="0"/>
          <w:kern w:val="0"/>
          <w:sz w:val="32"/>
          <w:szCs w:val="32"/>
          <w:shd w:val="clear" w:fill="FFFFFF"/>
        </w:rPr>
        <w:t>。主要产出和效果：一是参加非公党建专题培训人数</w:t>
      </w:r>
      <w:r>
        <w:rPr>
          <w:rFonts w:hint="eastAsia" w:ascii="Times New Roman" w:hAnsi="Times New Roman" w:eastAsia="方正仿宋_GBK" w:cs="Times New Roman"/>
          <w:b w:val="0"/>
          <w:bCs w:val="0"/>
          <w:kern w:val="0"/>
          <w:sz w:val="32"/>
          <w:szCs w:val="32"/>
          <w:shd w:val="clear" w:fill="FFFFFF"/>
        </w:rPr>
        <w:t>13</w:t>
      </w:r>
      <w:r>
        <w:rPr>
          <w:rFonts w:hint="eastAsia" w:ascii="方正仿宋_GBK" w:hAnsi="方正仿宋_GBK" w:eastAsia="方正仿宋_GBK" w:cs="方正仿宋_GBK"/>
          <w:b w:val="0"/>
          <w:bCs w:val="0"/>
          <w:kern w:val="0"/>
          <w:sz w:val="32"/>
          <w:szCs w:val="32"/>
          <w:shd w:val="clear" w:fill="FFFFFF"/>
        </w:rPr>
        <w:t>名，二是开展党务工作者培训次数</w:t>
      </w:r>
      <w:r>
        <w:rPr>
          <w:rFonts w:hint="default" w:ascii="Times New Roman" w:hAnsi="Times New Roman" w:eastAsia="方正仿宋_GBK" w:cs="Times New Roman"/>
          <w:b w:val="0"/>
          <w:bCs w:val="0"/>
          <w:kern w:val="0"/>
          <w:sz w:val="32"/>
          <w:szCs w:val="32"/>
          <w:shd w:val="clear" w:fill="FFFFFF"/>
        </w:rPr>
        <w:t>1</w:t>
      </w:r>
      <w:r>
        <w:rPr>
          <w:rFonts w:hint="eastAsia" w:ascii="方正仿宋_GBK" w:hAnsi="方正仿宋_GBK" w:eastAsia="方正仿宋_GBK" w:cs="方正仿宋_GBK"/>
          <w:b w:val="0"/>
          <w:bCs w:val="0"/>
          <w:kern w:val="0"/>
          <w:sz w:val="32"/>
          <w:szCs w:val="32"/>
          <w:shd w:val="clear" w:fill="FFFFFF"/>
        </w:rPr>
        <w:t>次，三是参加党务工作者培训人数</w:t>
      </w:r>
      <w:r>
        <w:rPr>
          <w:rFonts w:hint="eastAsia" w:ascii="Times New Roman" w:hAnsi="Times New Roman" w:eastAsia="方正仿宋_GBK" w:cs="Times New Roman"/>
          <w:b w:val="0"/>
          <w:bCs w:val="0"/>
          <w:kern w:val="0"/>
          <w:sz w:val="32"/>
          <w:szCs w:val="32"/>
          <w:shd w:val="clear" w:fill="FFFFFF"/>
        </w:rPr>
        <w:t>54</w:t>
      </w:r>
      <w:r>
        <w:rPr>
          <w:rFonts w:hint="eastAsia" w:ascii="方正仿宋_GBK" w:hAnsi="方正仿宋_GBK" w:eastAsia="方正仿宋_GBK" w:cs="方正仿宋_GBK"/>
          <w:b w:val="0"/>
          <w:bCs w:val="0"/>
          <w:kern w:val="0"/>
          <w:sz w:val="32"/>
          <w:szCs w:val="32"/>
          <w:shd w:val="clear" w:fill="FFFFFF"/>
        </w:rPr>
        <w:t>名，四是开展非公党建专题培训次数</w:t>
      </w:r>
      <w:r>
        <w:rPr>
          <w:rFonts w:hint="eastAsia" w:ascii="Times New Roman" w:hAnsi="Times New Roman" w:eastAsia="方正仿宋_GBK" w:cs="Times New Roman"/>
          <w:b w:val="0"/>
          <w:bCs w:val="0"/>
          <w:kern w:val="0"/>
          <w:sz w:val="32"/>
          <w:szCs w:val="32"/>
          <w:shd w:val="clear" w:fill="FFFFFF"/>
        </w:rPr>
        <w:t>1</w:t>
      </w:r>
      <w:r>
        <w:rPr>
          <w:rFonts w:hint="eastAsia" w:ascii="方正仿宋_GBK" w:hAnsi="方正仿宋_GBK" w:eastAsia="方正仿宋_GBK" w:cs="方正仿宋_GBK"/>
          <w:b w:val="0"/>
          <w:bCs w:val="0"/>
          <w:kern w:val="0"/>
          <w:sz w:val="32"/>
          <w:szCs w:val="32"/>
          <w:shd w:val="clear" w:fill="FFFFFF"/>
        </w:rPr>
        <w:t>次，五是党员培训参与率</w:t>
      </w:r>
      <w:r>
        <w:rPr>
          <w:rFonts w:hint="eastAsia" w:ascii="Times New Roman" w:hAnsi="Times New Roman" w:eastAsia="方正仿宋_GBK" w:cs="Times New Roman"/>
          <w:b w:val="0"/>
          <w:bCs w:val="0"/>
          <w:kern w:val="0"/>
          <w:sz w:val="32"/>
          <w:szCs w:val="32"/>
          <w:shd w:val="clear" w:fill="FFFFFF"/>
        </w:rPr>
        <w:t>100%</w:t>
      </w:r>
      <w:r>
        <w:rPr>
          <w:rFonts w:hint="eastAsia" w:ascii="方正仿宋_GBK" w:hAnsi="方正仿宋_GBK" w:eastAsia="方正仿宋_GBK" w:cs="方正仿宋_GBK"/>
          <w:b w:val="0"/>
          <w:bCs w:val="0"/>
          <w:kern w:val="0"/>
          <w:sz w:val="32"/>
          <w:szCs w:val="32"/>
          <w:shd w:val="clear" w:fill="FFFFFF"/>
        </w:rPr>
        <w:t>、六是培训计划完成率</w:t>
      </w:r>
      <w:r>
        <w:rPr>
          <w:rFonts w:hint="eastAsia" w:ascii="Times New Roman" w:hAnsi="Times New Roman" w:eastAsia="方正仿宋_GBK" w:cs="Times New Roman"/>
          <w:b w:val="0"/>
          <w:bCs w:val="0"/>
          <w:kern w:val="0"/>
          <w:sz w:val="32"/>
          <w:szCs w:val="32"/>
          <w:shd w:val="clear" w:fill="FFFFFF"/>
        </w:rPr>
        <w:t>100%</w:t>
      </w:r>
      <w:r>
        <w:rPr>
          <w:rFonts w:hint="eastAsia" w:ascii="方正仿宋_GBK" w:hAnsi="方正仿宋_GBK" w:eastAsia="方正仿宋_GBK" w:cs="方正仿宋_GBK"/>
          <w:b w:val="0"/>
          <w:bCs w:val="0"/>
          <w:kern w:val="0"/>
          <w:sz w:val="32"/>
          <w:szCs w:val="32"/>
          <w:shd w:val="clear" w:fill="FFFFFF"/>
        </w:rPr>
        <w:t>，七是培训举办及时、八是党建工作人员的党性意识提升、九是基层党组织凝聚力增强、十是党员满意度</w:t>
      </w:r>
      <w:r>
        <w:rPr>
          <w:rFonts w:hint="eastAsia" w:ascii="Times New Roman" w:hAnsi="Times New Roman" w:eastAsia="方正仿宋_GBK" w:cs="Times New Roman"/>
          <w:b w:val="0"/>
          <w:bCs w:val="0"/>
          <w:kern w:val="0"/>
          <w:sz w:val="32"/>
          <w:szCs w:val="32"/>
          <w:shd w:val="clear" w:fill="FFFFFF"/>
        </w:rPr>
        <w:t>90%</w:t>
      </w:r>
      <w:r>
        <w:rPr>
          <w:rFonts w:hint="eastAsia" w:ascii="方正仿宋_GBK" w:hAnsi="方正仿宋_GBK" w:eastAsia="方正仿宋_GBK" w:cs="方正仿宋_GBK"/>
          <w:b w:val="0"/>
          <w:bCs w:val="0"/>
          <w:kern w:val="0"/>
          <w:sz w:val="32"/>
          <w:szCs w:val="32"/>
          <w:shd w:val="clear" w:fill="FFFFFF"/>
        </w:rPr>
        <w:t>、十一是培训对象满意度</w:t>
      </w:r>
      <w:r>
        <w:rPr>
          <w:rFonts w:hint="eastAsia" w:ascii="Times New Roman" w:hAnsi="Times New Roman" w:eastAsia="方正仿宋_GBK" w:cs="Times New Roman"/>
          <w:b w:val="0"/>
          <w:bCs w:val="0"/>
          <w:kern w:val="0"/>
          <w:sz w:val="32"/>
          <w:szCs w:val="32"/>
          <w:shd w:val="clear" w:fill="FFFFFF"/>
        </w:rPr>
        <w:t>90%</w:t>
      </w:r>
      <w:r>
        <w:rPr>
          <w:rFonts w:hint="eastAsia" w:ascii="方正仿宋_GBK" w:hAnsi="方正仿宋_GBK" w:eastAsia="方正仿宋_GBK" w:cs="方正仿宋_GBK"/>
          <w:b w:val="0"/>
          <w:bCs w:val="0"/>
          <w:kern w:val="0"/>
          <w:sz w:val="32"/>
          <w:szCs w:val="32"/>
          <w:shd w:val="clear" w:fill="FFFFFF"/>
        </w:rPr>
        <w:t>。发现的问题及原因，</w:t>
      </w:r>
      <w:r>
        <w:rPr>
          <w:rFonts w:hint="eastAsia" w:ascii="方正仿宋_GBK" w:hAnsi="方正仿宋_GBK" w:eastAsia="方正仿宋_GBK" w:cs="方正仿宋_GBK"/>
          <w:b w:val="0"/>
          <w:bCs w:val="0"/>
          <w:kern w:val="0"/>
          <w:sz w:val="32"/>
          <w:szCs w:val="32"/>
        </w:rPr>
        <w:t>一是机关党建工作规范性有待加强，二是部分人员对党建工作的重要性和认识不够高。下一步改进措施是持续规范党内政治生活，实现全面从严治党，加强对党务工作者的培训和管理。</w:t>
      </w:r>
    </w:p>
    <w:tbl>
      <w:tblPr>
        <w:tblStyle w:val="6"/>
        <w:tblpPr w:leftFromText="180" w:rightFromText="180" w:vertAnchor="text" w:horzAnchor="page" w:tblpX="1562" w:tblpY="453"/>
        <w:tblOverlap w:val="never"/>
        <w:tblW w:w="0" w:type="auto"/>
        <w:tblInd w:w="0" w:type="dxa"/>
        <w:shd w:val="clear" w:color="auto" w:fill="auto"/>
        <w:tblLayout w:type="autofit"/>
        <w:tblCellMar>
          <w:top w:w="0" w:type="dxa"/>
          <w:left w:w="108" w:type="dxa"/>
          <w:bottom w:w="0" w:type="dxa"/>
          <w:right w:w="108" w:type="dxa"/>
        </w:tblCellMar>
      </w:tblPr>
      <w:tblGrid>
        <w:gridCol w:w="859"/>
        <w:gridCol w:w="2491"/>
        <w:gridCol w:w="1794"/>
        <w:gridCol w:w="1794"/>
        <w:gridCol w:w="4525"/>
        <w:gridCol w:w="952"/>
        <w:gridCol w:w="1821"/>
      </w:tblGrid>
      <w:tr>
        <w:tblPrEx>
          <w:shd w:val="clear" w:color="auto" w:fill="auto"/>
          <w:tblCellMar>
            <w:top w:w="0" w:type="dxa"/>
            <w:left w:w="108" w:type="dxa"/>
            <w:bottom w:w="0" w:type="dxa"/>
            <w:right w:w="108" w:type="dxa"/>
          </w:tblCellMar>
        </w:tblPrEx>
        <w:trPr>
          <w:trHeight w:val="612" w:hRule="atLeast"/>
        </w:trPr>
        <w:tc>
          <w:tcPr>
            <w:tcW w:w="0" w:type="auto"/>
            <w:gridSpan w:val="7"/>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default" w:ascii="Courier New" w:hAnsi="Courier New" w:eastAsia="宋体" w:cs="Courier New"/>
                <w:b w:val="0"/>
                <w:bCs w:val="0"/>
                <w:kern w:val="0"/>
                <w:sz w:val="32"/>
                <w:szCs w:val="32"/>
              </w:rPr>
            </w:pPr>
            <w:r>
              <w:rPr>
                <w:rFonts w:hint="default" w:ascii="Courier New" w:hAnsi="Courier New" w:eastAsia="宋体" w:cs="Courier New"/>
                <w:b w:val="0"/>
                <w:bCs w:val="0"/>
                <w:kern w:val="0"/>
                <w:sz w:val="32"/>
                <w:szCs w:val="32"/>
              </w:rPr>
              <w:t>2019</w:t>
            </w:r>
            <w:r>
              <w:rPr>
                <w:rFonts w:hint="eastAsia" w:ascii="Courier New" w:hAnsi="Courier New" w:eastAsia="宋体" w:cs="Courier New"/>
                <w:b w:val="0"/>
                <w:bCs w:val="0"/>
                <w:kern w:val="0"/>
                <w:sz w:val="32"/>
                <w:szCs w:val="32"/>
              </w:rPr>
              <w:t>年度项目绩效目标自评表</w:t>
            </w:r>
          </w:p>
        </w:tc>
      </w:tr>
      <w:tr>
        <w:tblPrEx>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专项名称</w:t>
            </w:r>
          </w:p>
        </w:tc>
        <w:tc>
          <w:tcPr>
            <w:tcW w:w="0" w:type="auto"/>
            <w:gridSpan w:val="3"/>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党建工作专项经费</w:t>
            </w:r>
          </w:p>
        </w:tc>
        <w:tc>
          <w:tcPr>
            <w:tcW w:w="0" w:type="auto"/>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联系人及电话</w:t>
            </w:r>
          </w:p>
        </w:tc>
        <w:tc>
          <w:tcPr>
            <w:tcW w:w="0" w:type="auto"/>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付承瑜</w:t>
            </w:r>
          </w:p>
        </w:tc>
        <w:tc>
          <w:tcPr>
            <w:tcW w:w="0" w:type="auto"/>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15123606475</w:t>
            </w:r>
          </w:p>
        </w:tc>
      </w:tr>
      <w:tr>
        <w:tblPrEx>
          <w:shd w:val="clear" w:color="auto" w:fill="auto"/>
          <w:tblCellMar>
            <w:top w:w="0" w:type="dxa"/>
            <w:left w:w="108" w:type="dxa"/>
            <w:bottom w:w="0" w:type="dxa"/>
            <w:right w:w="108" w:type="dxa"/>
          </w:tblCellMar>
        </w:tblPrEx>
        <w:trPr>
          <w:trHeight w:val="4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主管部门</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预算单位</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八桥镇（行政）</w:t>
            </w:r>
          </w:p>
        </w:tc>
      </w:tr>
      <w:tr>
        <w:tblPrEx>
          <w:shd w:val="clear" w:color="auto" w:fill="auto"/>
          <w:tblCellMar>
            <w:top w:w="0" w:type="dxa"/>
            <w:left w:w="108" w:type="dxa"/>
            <w:bottom w:w="0" w:type="dxa"/>
            <w:right w:w="108" w:type="dxa"/>
          </w:tblCellMar>
        </w:tblPrEx>
        <w:trPr>
          <w:trHeight w:val="848"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项目资金（万元）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年初预算数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全年预算数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全年执行数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资金执行率（%）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执行率未达到100%原因，下一步措施</w:t>
            </w:r>
          </w:p>
        </w:tc>
      </w:tr>
      <w:tr>
        <w:tblPrEx>
          <w:shd w:val="clear" w:color="auto" w:fill="auto"/>
          <w:tblCellMar>
            <w:top w:w="0" w:type="dxa"/>
            <w:left w:w="108" w:type="dxa"/>
            <w:bottom w:w="0" w:type="dxa"/>
            <w:right w:w="108" w:type="dxa"/>
          </w:tblCellMar>
        </w:tblPrEx>
        <w:trPr>
          <w:trHeight w:val="42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年度总金额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1060700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1060700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1060700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其中：市级支出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259"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补助区县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年度总体目标</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年初设定目标</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全年目标实际完成情况</w:t>
            </w:r>
          </w:p>
        </w:tc>
      </w:tr>
      <w:tr>
        <w:tblPrEx>
          <w:shd w:val="clear" w:color="auto" w:fill="auto"/>
          <w:tblCellMar>
            <w:top w:w="0" w:type="dxa"/>
            <w:left w:w="108" w:type="dxa"/>
            <w:bottom w:w="0" w:type="dxa"/>
            <w:right w:w="108" w:type="dxa"/>
          </w:tblCellMar>
        </w:tblPrEx>
        <w:trPr>
          <w:trHeight w:val="257"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预算执行率；财务监控有效性；合同管理完备性；项目质量可控性；开展党务工作者培训次数；参加党务工作者培训人数；开展非公党建专题培训次数；党员培训参与率；培训计划完成率；培训举办及时性；参加非公党建专题培训人数；党建工作人员的党性意识；基层党组织凝聚力；党员满意度；培训对象满意度；档案管理机制健全性；长效管理机制健全性；</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预算执行率；财务监控有效性；合同管理完备性；项目质量可控性；开展党务工作者培训次数；参加党务工作者培训人数；开展非公党建专题培训次数；党员培训参与率；培训计划完成率；培训举办及时性；</w:t>
            </w:r>
          </w:p>
        </w:tc>
      </w:tr>
      <w:tr>
        <w:tblPrEx>
          <w:shd w:val="clear" w:color="auto" w:fill="auto"/>
          <w:tblCellMar>
            <w:top w:w="0" w:type="dxa"/>
            <w:left w:w="108" w:type="dxa"/>
            <w:bottom w:w="0" w:type="dxa"/>
            <w:right w:w="108" w:type="dxa"/>
          </w:tblCellMar>
        </w:tblPrEx>
        <w:trPr>
          <w:trHeight w:val="998" w:hRule="atLeast"/>
        </w:trPr>
        <w:tc>
          <w:tcPr>
            <w:tcW w:w="0" w:type="auto"/>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绩效指标</w:t>
            </w:r>
          </w:p>
        </w:tc>
        <w:tc>
          <w:tcPr>
            <w:tcW w:w="0" w:type="auto"/>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指标名称</w:t>
            </w:r>
          </w:p>
        </w:tc>
        <w:tc>
          <w:tcPr>
            <w:tcW w:w="0" w:type="auto"/>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计量单位</w:t>
            </w:r>
          </w:p>
        </w:tc>
        <w:tc>
          <w:tcPr>
            <w:tcW w:w="0" w:type="auto"/>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年度指标值</w:t>
            </w:r>
          </w:p>
        </w:tc>
        <w:tc>
          <w:tcPr>
            <w:tcW w:w="0" w:type="auto"/>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全年完成值</w:t>
            </w:r>
          </w:p>
        </w:tc>
        <w:tc>
          <w:tcPr>
            <w:tcW w:w="0" w:type="auto"/>
            <w:gridSpan w:val="2"/>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未完成绩效目标或偏离较多的原因，下一步改进措施</w:t>
            </w:r>
          </w:p>
        </w:tc>
      </w:tr>
      <w:tr>
        <w:tblPrEx>
          <w:shd w:val="clear" w:color="auto" w:fill="auto"/>
          <w:tblCellMar>
            <w:top w:w="0" w:type="dxa"/>
            <w:left w:w="108" w:type="dxa"/>
            <w:bottom w:w="0" w:type="dxa"/>
            <w:right w:w="108" w:type="dxa"/>
          </w:tblCellMar>
        </w:tblPrEx>
        <w:trPr>
          <w:trHeight w:val="566" w:hRule="atLeast"/>
        </w:trPr>
        <w:tc>
          <w:tcPr>
            <w:tcW w:w="0" w:type="auto"/>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预算执行率</w:t>
            </w:r>
          </w:p>
        </w:tc>
        <w:tc>
          <w:tcPr>
            <w:tcW w:w="0" w:type="auto"/>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gridSpan w:val="2"/>
            <w:tcBorders>
              <w:top w:val="single" w:color="000000"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财务监控有效性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有效</w:t>
            </w:r>
          </w:p>
        </w:tc>
        <w:tc>
          <w:tcPr>
            <w:tcW w:w="0" w:type="auto"/>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已制定或具有相应的财务监控机制;采取了相应的财务检查等必要的监控措施或手段，对资金使用进行监控;按项目进行成本核算，以及项目成本差异情况</w:t>
            </w:r>
          </w:p>
        </w:tc>
        <w:tc>
          <w:tcPr>
            <w:tcW w:w="0" w:type="auto"/>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1653"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合同管理完备性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完备</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合同中有明确、清晰、完整的质量标准或验收标准;合同双方明确、清晰、完整;合同履约期限明确、清晰、完整;合同支付方式和支付时间明确、清晰、完整;合同有明确、清晰、完整的交付方式及地点;合同标的物及价格明确、清晰、完整;合同生效和解除条款明确、清晰、完整;合同违约责任界定明确、清晰、完整;合同双方按照合约定履行</w:t>
            </w:r>
          </w:p>
        </w:tc>
        <w:tc>
          <w:tcPr>
            <w:tcW w:w="0" w:type="auto"/>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项目质量可控性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可控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已制定或具有相应的项目质量要求或标准;采取了相应的项目质量检查、验收等必需的控制措施或手段;对考核结果及时进行反馈和应用</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参加非公党建专题培训人数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20</w:t>
            </w:r>
          </w:p>
        </w:tc>
        <w:tc>
          <w:tcPr>
            <w:tcW w:w="0" w:type="auto"/>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13</w:t>
            </w:r>
          </w:p>
        </w:tc>
        <w:tc>
          <w:tcPr>
            <w:tcW w:w="0" w:type="auto"/>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7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开展党务工作者培训次数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7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参加党务工作者培训人数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20</w:t>
            </w:r>
          </w:p>
        </w:tc>
        <w:tc>
          <w:tcPr>
            <w:tcW w:w="0" w:type="auto"/>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54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85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开展非公党建专题培训次数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54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党员培训参与率</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54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培训计划完成率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5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培训举办及时性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及时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及时</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7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党建工作人员的党性意识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提升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提升</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shd w:val="clear" w:color="auto" w:fill="auto"/>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基层党组织凝聚力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增强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增强</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党员满意度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90%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培训对象满意度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90%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档案管理机制健全性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健全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健全</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Autospacing="0" w:afterAutospacing="0"/>
              <w:rPr>
                <w:rFonts w:hint="default" w:ascii="Times New Roman" w:hAnsi="Times New Roman" w:eastAsia="宋体" w:cs="Times New Roman"/>
                <w:b w:val="0"/>
                <w:bCs w:val="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长效管理机制健全性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健全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健全</w:t>
            </w:r>
          </w:p>
        </w:tc>
        <w:tc>
          <w:tcPr>
            <w:tcW w:w="0" w:type="auto"/>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r>
        <w:tblPrEx>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其他说明</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Arial"/>
                <w:b w:val="0"/>
                <w:bCs w:val="0"/>
                <w:kern w:val="0"/>
                <w:sz w:val="24"/>
                <w:szCs w:val="24"/>
              </w:rPr>
            </w:pPr>
            <w:r>
              <w:rPr>
                <w:rFonts w:hint="eastAsia" w:ascii="宋体" w:hAnsi="宋体" w:eastAsia="宋体" w:cs="Arial"/>
                <w:b w:val="0"/>
                <w:bCs w:val="0"/>
                <w:kern w:val="0"/>
                <w:sz w:val="24"/>
                <w:szCs w:val="24"/>
              </w:rPr>
              <w:t>　</w:t>
            </w:r>
          </w:p>
        </w:tc>
      </w:tr>
    </w:tbl>
    <w:p>
      <w:pPr>
        <w:pStyle w:val="4"/>
        <w:keepNext w:val="0"/>
        <w:keepLines w:val="0"/>
        <w:pageBreakBefore w:val="0"/>
        <w:kinsoku/>
        <w:wordWrap/>
        <w:overflowPunct/>
        <w:topLinePunct w:val="0"/>
        <w:autoSpaceDE w:val="0"/>
        <w:autoSpaceDN w:val="0"/>
        <w:bidi w:val="0"/>
        <w:adjustRightInd/>
        <w:snapToGrid/>
        <w:spacing w:before="55" w:line="580" w:lineRule="atLeas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2.绩效自评报告</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27" w:firstLineChars="196"/>
        <w:jc w:val="both"/>
        <w:textAlignment w:val="auto"/>
        <w:rPr>
          <w:rFonts w:hint="eastAsia" w:ascii="方正黑体_GBK" w:hAnsi="方正黑体_GBK" w:eastAsia="方正黑体_GBK" w:cs="方正黑体_GBK"/>
          <w:b w:val="0"/>
          <w:bCs w:val="0"/>
          <w:kern w:val="0"/>
          <w:sz w:val="32"/>
          <w:szCs w:val="32"/>
          <w:shd w:val="clear" w:fill="FFFFFF"/>
        </w:rPr>
      </w:pPr>
      <w:r>
        <w:rPr>
          <w:rStyle w:val="12"/>
          <w:rFonts w:hint="eastAsia" w:ascii="方正黑体_GBK" w:hAnsi="方正黑体_GBK" w:eastAsia="方正黑体_GBK" w:cs="方正黑体_GBK"/>
          <w:b w:val="0"/>
          <w:bCs w:val="0"/>
          <w:sz w:val="32"/>
          <w:szCs w:val="32"/>
          <w:shd w:val="clear" w:fill="FFFFFF"/>
        </w:rPr>
        <w:t>六、专业名词解释</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27" w:firstLineChars="196"/>
        <w:jc w:val="both"/>
        <w:textAlignment w:val="auto"/>
        <w:rPr>
          <w:rFonts w:hint="eastAsia" w:ascii="方正黑体_GBK" w:hAnsi="Times New Roman" w:eastAsia="方正黑体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（一）财政拨款收入</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（二）事业收入</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（三）经营收入</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指事业单位在专业业务活动及其辅助活动之外开展非独立核算经营活动取得的现金流入。</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（四）其他收入</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指单位取得的除</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财政拨款收入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事业收入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经营收入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shd w:val="clear" w:fill="FFFFFF"/>
        </w:rPr>
      </w:pPr>
      <w:r>
        <w:rPr>
          <w:rStyle w:val="12"/>
          <w:rFonts w:hint="eastAsia" w:ascii="方正楷体_GBK" w:hAnsi="方正楷体_GBK" w:eastAsia="方正楷体_GBK" w:cs="方正楷体_GBK"/>
          <w:b w:val="0"/>
          <w:bCs w:val="0"/>
          <w:sz w:val="32"/>
          <w:szCs w:val="32"/>
          <w:shd w:val="clear" w:fill="FFFFFF"/>
        </w:rPr>
        <w:t>（五）用事业基金弥补收支差额</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指事业单位在当年的</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财政拨款收入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事业收入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经营收入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其他收入</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等不足以安排当年支出的情况下，使用以前年度积累的事业基金（事业单位当年收支相抵后按国家规定提取、用于弥补以后年度收支差额的基金）弥补本年度收支缺口的资金。</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27" w:firstLineChars="196"/>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（六）年初结转和结余</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指单位上年结转本年使用的基本支出结转、项目支出结转和结余、经营结余。</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（七）结余分配</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指单位按照国家有关规定，缴纳所得税、提取专用基金、转入事业基金等当年结余的分配情况。</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（八）年末结转和结余</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指单位结转下年的基本支出结转、项目支出结转和结余、经营结余。</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27" w:firstLineChars="196"/>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（九）基本支出</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工资福利支出</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和</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对个人和家庭的补助</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；公用经费指政府收支分类经济科目中除</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工资福利支出</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和</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对个人和家庭的补助</w:t>
      </w:r>
      <w:r>
        <w:rPr>
          <w:rFonts w:hint="default" w:ascii="Times New Roman" w:hAnsi="Times New Roman" w:eastAsia="方正仿宋_GBK" w:cs="Times New Roman"/>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外的其他支出。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（十）项目支出</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指在基本支出之外为完成特定行政任务和事业发展目标所发生的支出。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（十一）经营支出</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指事业单位在专业业务活动及其辅助活动之外开展非独立核算经营活动发生的支出。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（十二）“三公”经费</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（十三）机关运行经费</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（十四）工资福利支出（支出经济分类科目类级）</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（十五）商品和服务支出（支出经济分类科目类级）</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反映单位购买商品和服务的支出（不包括用于购置固定资产的支出、战略性和应急储备支出）。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（十六）对个人和家庭的补助（支出经济分类科目类级）</w:t>
      </w:r>
      <w:r>
        <w:rPr>
          <w:rFonts w:hint="eastAsia" w:ascii="方正仿宋_GBK" w:hAnsi="方正仿宋_GBK" w:eastAsia="方正仿宋_GBK" w:cs="方正仿宋_GBK"/>
          <w:b w:val="0"/>
          <w:bCs w:val="0"/>
          <w:kern w:val="0"/>
          <w:sz w:val="32"/>
          <w:szCs w:val="32"/>
          <w:shd w:val="clear" w:fill="FFFFFF"/>
        </w:rPr>
        <w:t>：反映用于对个人和家庭的补助支出。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（十七）其他资本性支出（支出经济分类科目类级）</w:t>
      </w:r>
      <w:r>
        <w:rPr>
          <w:rFonts w:hint="eastAsia" w:ascii="方正楷体_GBK" w:hAnsi="方正楷体_GBK" w:eastAsia="方正楷体_GBK" w:cs="方正楷体_GBK"/>
          <w:b w:val="0"/>
          <w:bCs w:val="0"/>
          <w:kern w:val="0"/>
          <w:sz w:val="32"/>
          <w:szCs w:val="32"/>
          <w:shd w:val="clear" w:fill="FFFFFF"/>
        </w:rPr>
        <w:t>：</w:t>
      </w:r>
      <w:r>
        <w:rPr>
          <w:rFonts w:hint="eastAsia" w:ascii="方正仿宋_GBK" w:hAnsi="方正仿宋_GBK" w:eastAsia="方正仿宋_GBK" w:cs="方正仿宋_GBK"/>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eastAsia" w:ascii="方正黑体_GBK" w:hAnsi="方正黑体_GBK" w:eastAsia="方正黑体_GBK" w:cs="方正黑体_GBK"/>
          <w:b w:val="0"/>
          <w:bCs w:val="0"/>
          <w:kern w:val="0"/>
          <w:sz w:val="32"/>
          <w:szCs w:val="32"/>
          <w:shd w:val="clear" w:fill="FFFFFF"/>
        </w:rPr>
      </w:pPr>
      <w:r>
        <w:rPr>
          <w:rStyle w:val="12"/>
          <w:rFonts w:hint="eastAsia" w:ascii="方正黑体_GBK" w:hAnsi="方正黑体_GBK" w:eastAsia="方正黑体_GBK" w:cs="方正黑体_GBK"/>
          <w:b w:val="0"/>
          <w:bCs w:val="0"/>
          <w:sz w:val="32"/>
          <w:szCs w:val="32"/>
          <w:shd w:val="clear" w:fill="FFFFFF"/>
        </w:rPr>
        <w:t>七、决算公开联系方式及信息反馈渠道</w:t>
      </w:r>
    </w:p>
    <w:p>
      <w:pPr>
        <w:pStyle w:val="11"/>
        <w:keepNext w:val="0"/>
        <w:keepLines w:val="0"/>
        <w:pageBreakBefore w:val="0"/>
        <w:kinsoku/>
        <w:wordWrap/>
        <w:overflowPunct/>
        <w:topLinePunct w:val="0"/>
        <w:autoSpaceDE w:val="0"/>
        <w:autoSpaceDN w:val="0"/>
        <w:bidi w:val="0"/>
        <w:adjustRightInd/>
        <w:snapToGrid/>
        <w:spacing w:before="0" w:beforeAutospacing="0" w:after="0" w:afterAutospacing="0" w:line="580" w:lineRule="atLeast"/>
        <w:ind w:left="0" w:right="0" w:firstLine="640" w:firstLineChars="200"/>
        <w:jc w:val="both"/>
        <w:textAlignment w:val="auto"/>
        <w:rPr>
          <w:rFonts w:hint="default" w:ascii="Times New Roman" w:hAnsi="Times New Roman" w:eastAsia="方正仿宋_GBK" w:cs="Times New Roman"/>
          <w:b w:val="0"/>
          <w:bCs w:val="0"/>
          <w:kern w:val="0"/>
          <w:sz w:val="32"/>
          <w:szCs w:val="32"/>
        </w:rPr>
      </w:pPr>
      <w:r>
        <w:rPr>
          <w:rFonts w:hint="eastAsia" w:ascii="方正仿宋_GBK" w:hAnsi="方正仿宋_GBK" w:eastAsia="方正仿宋_GBK" w:cs="方正仿宋_GBK"/>
          <w:b w:val="0"/>
          <w:bCs w:val="0"/>
          <w:kern w:val="0"/>
          <w:sz w:val="32"/>
          <w:szCs w:val="32"/>
          <w:shd w:val="clear" w:fill="FFFFFF"/>
        </w:rPr>
        <w:t>本单位决算公开信息反馈和联系方式：</w:t>
      </w:r>
      <w:r>
        <w:rPr>
          <w:rFonts w:hint="default" w:ascii="Times New Roman" w:hAnsi="Times New Roman" w:eastAsia="方正仿宋_GBK" w:cs="Times New Roman"/>
          <w:b w:val="0"/>
          <w:bCs w:val="0"/>
          <w:kern w:val="0"/>
          <w:sz w:val="32"/>
          <w:szCs w:val="32"/>
        </w:rPr>
        <w:t>023-68917216</w:t>
      </w:r>
      <w:r>
        <w:rPr>
          <w:rFonts w:hint="eastAsia" w:ascii="方正仿宋_GBK" w:hAnsi="方正仿宋_GBK" w:eastAsia="方正仿宋_GBK" w:cs="方正仿宋_GBK"/>
          <w:b w:val="0"/>
          <w:bCs w:val="0"/>
          <w:kern w:val="0"/>
          <w:sz w:val="32"/>
          <w:szCs w:val="32"/>
        </w:rPr>
        <w:t>。</w:t>
      </w:r>
    </w:p>
    <w:p>
      <w:pPr>
        <w:pStyle w:val="4"/>
        <w:spacing w:line="447" w:lineRule="exact"/>
        <w:ind w:left="670"/>
        <w:rPr>
          <w:rFonts w:hint="eastAsia" w:ascii="方正仿宋_GBK" w:hAnsi="方正仿宋_GBK" w:eastAsia="方正仿宋_GBK" w:cs="方正仿宋_GBK"/>
          <w:b w:val="0"/>
          <w:bCs w:val="0"/>
          <w:sz w:val="32"/>
          <w:szCs w:val="32"/>
        </w:rPr>
      </w:pPr>
    </w:p>
    <w:p>
      <w:pPr>
        <w:spacing w:after="0" w:line="447" w:lineRule="exact"/>
        <w:rPr>
          <w:rFonts w:hint="eastAsia" w:ascii="方正仿宋_GBK" w:hAnsi="方正仿宋_GBK" w:eastAsia="方正仿宋_GBK" w:cs="方正仿宋_GBK"/>
          <w:b w:val="0"/>
          <w:bCs w:val="0"/>
          <w:sz w:val="32"/>
          <w:szCs w:val="32"/>
        </w:rPr>
        <w:sectPr>
          <w:footerReference r:id="rId5" w:type="default"/>
          <w:pgSz w:w="16840" w:h="11910" w:orient="landscape"/>
          <w:pgMar w:top="1100" w:right="1340" w:bottom="1320" w:left="1480" w:header="0" w:footer="1054" w:gutter="0"/>
          <w:cols w:space="720" w:num="1"/>
        </w:sectPr>
      </w:pPr>
    </w:p>
    <w:p>
      <w:pPr>
        <w:pStyle w:val="4"/>
        <w:spacing w:before="6"/>
        <w:rPr>
          <w:rFonts w:hint="eastAsia" w:ascii="方正仿宋_GBK" w:hAnsi="方正仿宋_GBK" w:eastAsia="方正仿宋_GBK" w:cs="方正仿宋_GBK"/>
          <w:b w:val="0"/>
          <w:bCs w:val="0"/>
          <w:sz w:val="32"/>
          <w:szCs w:val="32"/>
        </w:rPr>
      </w:pPr>
    </w:p>
    <w:p>
      <w:pPr>
        <w:spacing w:before="0" w:line="806" w:lineRule="exact"/>
        <w:ind w:left="2110" w:right="2246" w:firstLine="0"/>
        <w:jc w:val="center"/>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44"/>
          <w:szCs w:val="44"/>
        </w:rPr>
        <w:t>重庆市大渡口区财政项目支出绩效自评价报告</w:t>
      </w:r>
    </w:p>
    <w:p>
      <w:pPr>
        <w:pStyle w:val="4"/>
        <w:rPr>
          <w:rFonts w:hint="eastAsia" w:ascii="方正仿宋_GBK" w:hAnsi="方正仿宋_GBK" w:eastAsia="方正仿宋_GBK" w:cs="方正仿宋_GBK"/>
          <w:b w:val="0"/>
          <w:bCs w:val="0"/>
          <w:sz w:val="32"/>
          <w:szCs w:val="32"/>
        </w:rPr>
      </w:pPr>
    </w:p>
    <w:p>
      <w:pPr>
        <w:pStyle w:val="4"/>
        <w:spacing w:before="15"/>
        <w:rPr>
          <w:rFonts w:hint="eastAsia" w:ascii="方正仿宋_GBK" w:hAnsi="方正仿宋_GBK" w:eastAsia="方正仿宋_GBK" w:cs="方正仿宋_GBK"/>
          <w:b w:val="0"/>
          <w:bCs w:val="0"/>
          <w:sz w:val="32"/>
          <w:szCs w:val="32"/>
        </w:rPr>
      </w:pPr>
    </w:p>
    <w:p>
      <w:pPr>
        <w:pStyle w:val="4"/>
        <w:spacing w:before="15"/>
        <w:rPr>
          <w:rFonts w:hint="eastAsia" w:ascii="方正仿宋_GBK" w:hAnsi="方正仿宋_GBK" w:eastAsia="方正仿宋_GBK" w:cs="方正仿宋_GBK"/>
          <w:b w:val="0"/>
          <w:bCs w:val="0"/>
          <w:sz w:val="32"/>
          <w:szCs w:val="32"/>
        </w:rPr>
      </w:pPr>
    </w:p>
    <w:p>
      <w:pPr>
        <w:pStyle w:val="4"/>
        <w:spacing w:before="15"/>
        <w:rPr>
          <w:rFonts w:hint="eastAsia" w:ascii="方正仿宋_GBK" w:hAnsi="方正仿宋_GBK" w:eastAsia="方正仿宋_GBK" w:cs="方正仿宋_GBK"/>
          <w:b w:val="0"/>
          <w:bCs w:val="0"/>
          <w:sz w:val="32"/>
          <w:szCs w:val="32"/>
        </w:rPr>
      </w:pPr>
    </w:p>
    <w:p>
      <w:pPr>
        <w:pStyle w:val="4"/>
        <w:spacing w:before="15"/>
        <w:rPr>
          <w:rFonts w:hint="eastAsia" w:ascii="方正仿宋_GBK" w:hAnsi="方正仿宋_GBK" w:eastAsia="方正仿宋_GBK" w:cs="方正仿宋_GBK"/>
          <w:b w:val="0"/>
          <w:bCs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1" w:line="580" w:lineRule="exact"/>
        <w:ind w:left="3311" w:right="6384"/>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4"/>
          <w:sz w:val="32"/>
          <w:szCs w:val="32"/>
        </w:rPr>
        <w:t>项目名称：党建工作专项经费</w:t>
      </w:r>
      <w:r>
        <w:rPr>
          <w:rFonts w:hint="eastAsia" w:ascii="方正仿宋_GBK" w:hAnsi="方正仿宋_GBK" w:eastAsia="方正仿宋_GBK" w:cs="方正仿宋_GBK"/>
          <w:b w:val="0"/>
          <w:bCs w:val="0"/>
          <w:spacing w:val="-3"/>
          <w:sz w:val="32"/>
          <w:szCs w:val="32"/>
        </w:rPr>
        <w:t>项目单位：八桥镇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pacing w:val="-3"/>
          <w:sz w:val="32"/>
          <w:szCs w:val="32"/>
        </w:rPr>
        <w:t>行政</w:t>
      </w:r>
      <w:r>
        <w:rPr>
          <w:rFonts w:hint="eastAsia" w:ascii="方正仿宋_GBK" w:hAnsi="方正仿宋_GBK" w:eastAsia="方正仿宋_GBK" w:cs="方正仿宋_GBK"/>
          <w:b w:val="0"/>
          <w:bCs w:val="0"/>
          <w:spacing w:val="-4"/>
          <w:sz w:val="32"/>
          <w:szCs w:val="32"/>
        </w:rPr>
        <w:t xml:space="preserve">）  </w:t>
      </w:r>
      <w:r>
        <w:rPr>
          <w:rFonts w:hint="eastAsia" w:ascii="方正仿宋_GBK" w:hAnsi="方正仿宋_GBK" w:eastAsia="方正仿宋_GBK" w:cs="方正仿宋_GBK"/>
          <w:b w:val="0"/>
          <w:bCs w:val="0"/>
          <w:spacing w:val="-3"/>
          <w:sz w:val="32"/>
          <w:szCs w:val="32"/>
        </w:rPr>
        <w:t>主管部门：</w:t>
      </w:r>
      <w:r>
        <w:rPr>
          <w:rFonts w:hint="eastAsia" w:ascii="方正仿宋_GBK" w:hAnsi="方正仿宋_GBK" w:eastAsia="方正仿宋_GBK" w:cs="方正仿宋_GBK"/>
          <w:b w:val="0"/>
          <w:bCs w:val="0"/>
          <w:sz w:val="32"/>
          <w:szCs w:val="32"/>
        </w:rPr>
        <w:t xml:space="preserve"> </w:t>
      </w:r>
    </w:p>
    <w:p>
      <w:pPr>
        <w:spacing w:before="0" w:line="592" w:lineRule="exact"/>
        <w:ind w:left="25" w:right="0" w:firstLine="0"/>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before="0" w:line="600" w:lineRule="exact"/>
        <w:ind w:left="25" w:right="0" w:firstLine="0"/>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before="0" w:line="600" w:lineRule="exact"/>
        <w:ind w:left="25" w:right="0" w:firstLine="0"/>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before="0" w:line="639" w:lineRule="exact"/>
        <w:ind w:left="2112" w:right="2091" w:firstLine="0"/>
        <w:jc w:val="center"/>
        <w:rPr>
          <w:rFonts w:hint="default" w:ascii="Times New Roman" w:hAnsi="Times New Roman" w:eastAsia="方正仿宋_GBK" w:cs="Times New Roman"/>
          <w:b w:val="0"/>
          <w:bCs w:val="0"/>
          <w:sz w:val="32"/>
          <w:szCs w:val="32"/>
        </w:rPr>
        <w:sectPr>
          <w:pgSz w:w="16840" w:h="11910" w:orient="landscape"/>
          <w:pgMar w:top="1100" w:right="1340" w:bottom="1320" w:left="1480" w:header="0" w:footer="1054" w:gutter="0"/>
          <w:cols w:space="720" w:num="1"/>
        </w:sectPr>
      </w:pPr>
      <w:r>
        <w:rPr>
          <w:rFonts w:hint="default" w:ascii="Times New Roman" w:hAnsi="Times New Roman" w:eastAsia="方正仿宋_GBK" w:cs="Times New Roman"/>
          <w:b w:val="0"/>
          <w:bCs w:val="0"/>
          <w:sz w:val="32"/>
          <w:szCs w:val="32"/>
        </w:rPr>
        <w:t>2020</w:t>
      </w:r>
      <w:r>
        <w:rPr>
          <w:rFonts w:hint="default" w:ascii="Times New Roman" w:hAnsi="Times New Roman" w:eastAsia="方正仿宋_GBK" w:cs="Times New Roman"/>
          <w:b w:val="0"/>
          <w:bCs w:val="0"/>
          <w:spacing w:val="-54"/>
          <w:sz w:val="32"/>
          <w:szCs w:val="32"/>
        </w:rPr>
        <w:t xml:space="preserve"> 年 </w:t>
      </w:r>
      <w:r>
        <w:rPr>
          <w:rFonts w:hint="default" w:ascii="Times New Roman" w:hAnsi="Times New Roman" w:eastAsia="方正仿宋_GBK" w:cs="Times New Roman"/>
          <w:b w:val="0"/>
          <w:bCs w:val="0"/>
          <w:sz w:val="32"/>
          <w:szCs w:val="32"/>
        </w:rPr>
        <w:t>04</w:t>
      </w:r>
      <w:r>
        <w:rPr>
          <w:rFonts w:hint="default" w:ascii="Times New Roman" w:hAnsi="Times New Roman" w:eastAsia="方正仿宋_GBK" w:cs="Times New Roman"/>
          <w:b w:val="0"/>
          <w:bCs w:val="0"/>
          <w:spacing w:val="-43"/>
          <w:sz w:val="32"/>
          <w:szCs w:val="32"/>
        </w:rPr>
        <w:t xml:space="preserve"> 月</w:t>
      </w:r>
      <w:r>
        <w:rPr>
          <w:rFonts w:hint="default" w:ascii="Times New Roman" w:hAnsi="Times New Roman" w:eastAsia="方正仿宋_GBK" w:cs="Times New Roman"/>
          <w:b w:val="0"/>
          <w:bCs w:val="0"/>
          <w:sz w:val="32"/>
          <w:szCs w:val="32"/>
        </w:rPr>
        <w:t xml:space="preserve"> </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67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一、项目的基本情况</w:t>
      </w:r>
    </w:p>
    <w:p>
      <w:pPr>
        <w:pStyle w:val="4"/>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①项目概况：全面宣传贯彻习近平新时代中国特色社会主义思想和党的十九大精神为主线开展党建工作，以</w:t>
      </w:r>
      <w:r>
        <w:rPr>
          <w:rFonts w:hint="eastAsia" w:ascii="方正仿宋_GBK" w:hAnsi="方正仿宋_GBK" w:eastAsia="方正仿宋_GBK" w:cs="方正仿宋_GBK"/>
          <w:b w:val="0"/>
          <w:bCs w:val="0"/>
          <w:w w:val="105"/>
          <w:sz w:val="32"/>
          <w:szCs w:val="32"/>
        </w:rPr>
        <w:t>“两学一做”学习教育为载体，以严肃党内政治生活和强化党内监督为重点，落实全面从严治党要求。</w:t>
      </w:r>
    </w:p>
    <w:p>
      <w:pPr>
        <w:pStyle w:val="4"/>
        <w:keepNext w:val="0"/>
        <w:keepLines w:val="0"/>
        <w:pageBreakBefore w:val="0"/>
        <w:widowControl w:val="0"/>
        <w:kinsoku/>
        <w:wordWrap/>
        <w:overflowPunct/>
        <w:topLinePunct w:val="0"/>
        <w:autoSpaceDE w:val="0"/>
        <w:autoSpaceDN w:val="0"/>
        <w:bidi w:val="0"/>
        <w:adjustRightInd/>
        <w:snapToGrid/>
        <w:spacing w:before="20" w:line="580" w:lineRule="exact"/>
        <w:ind w:left="67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②资金安排和使用情况</w:t>
      </w:r>
    </w:p>
    <w:tbl>
      <w:tblPr>
        <w:tblStyle w:val="6"/>
        <w:tblW w:w="4997" w:type="pct"/>
        <w:tblInd w:w="0" w:type="dxa"/>
        <w:shd w:val="clear" w:color="auto" w:fill="auto"/>
        <w:tblLayout w:type="autofit"/>
        <w:tblCellMar>
          <w:top w:w="0" w:type="dxa"/>
          <w:left w:w="30" w:type="dxa"/>
          <w:bottom w:w="0" w:type="dxa"/>
          <w:right w:w="30" w:type="dxa"/>
        </w:tblCellMar>
      </w:tblPr>
      <w:tblGrid>
        <w:gridCol w:w="2619"/>
        <w:gridCol w:w="2075"/>
        <w:gridCol w:w="3032"/>
        <w:gridCol w:w="3153"/>
        <w:gridCol w:w="3193"/>
      </w:tblGrid>
      <w:tr>
        <w:tblPrEx>
          <w:tblCellMar>
            <w:top w:w="0" w:type="dxa"/>
            <w:left w:w="30" w:type="dxa"/>
            <w:bottom w:w="0" w:type="dxa"/>
            <w:right w:w="30" w:type="dxa"/>
          </w:tblCellMar>
        </w:tblPrEx>
        <w:trPr>
          <w:trHeight w:val="247" w:hRule="atLeast"/>
        </w:trPr>
        <w:tc>
          <w:tcPr>
            <w:tcW w:w="9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项目支出内容</w:t>
            </w:r>
          </w:p>
        </w:tc>
        <w:tc>
          <w:tcPr>
            <w:tcW w:w="2934" w:type="pct"/>
            <w:gridSpan w:val="3"/>
            <w:tcBorders>
              <w:top w:val="single" w:color="000000" w:sz="6" w:space="0"/>
              <w:left w:val="nil"/>
              <w:bottom w:val="single" w:color="000000" w:sz="6" w:space="0"/>
              <w:right w:val="single" w:color="auto" w:sz="4"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资金情况（单位：元）</w:t>
            </w:r>
          </w:p>
        </w:tc>
        <w:tc>
          <w:tcPr>
            <w:tcW w:w="1134"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财政资金专款专用数</w:t>
            </w:r>
          </w:p>
        </w:tc>
      </w:tr>
      <w:tr>
        <w:tblPrEx>
          <w:tblCellMar>
            <w:top w:w="0" w:type="dxa"/>
            <w:left w:w="30" w:type="dxa"/>
            <w:bottom w:w="0" w:type="dxa"/>
            <w:right w:w="30" w:type="dxa"/>
          </w:tblCellMar>
        </w:tblPrEx>
        <w:trPr>
          <w:trHeight w:val="466" w:hRule="atLeast"/>
        </w:trPr>
        <w:tc>
          <w:tcPr>
            <w:tcW w:w="9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方正仿宋_GBK" w:hAnsi="方正仿宋_GBK" w:eastAsia="方正仿宋_GBK" w:cs="方正仿宋_GBK"/>
                <w:b w:val="0"/>
                <w:bCs w:val="0"/>
                <w:sz w:val="32"/>
                <w:szCs w:val="32"/>
              </w:rPr>
            </w:pPr>
          </w:p>
        </w:tc>
        <w:tc>
          <w:tcPr>
            <w:tcW w:w="73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合计</w:t>
            </w:r>
          </w:p>
        </w:tc>
        <w:tc>
          <w:tcPr>
            <w:tcW w:w="107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财政资金支出数</w:t>
            </w:r>
          </w:p>
        </w:tc>
        <w:tc>
          <w:tcPr>
            <w:tcW w:w="1119"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其他资金支出数</w:t>
            </w:r>
          </w:p>
        </w:tc>
        <w:tc>
          <w:tcPr>
            <w:tcW w:w="1134"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方正仿宋_GBK" w:hAnsi="方正仿宋_GBK" w:eastAsia="方正仿宋_GBK" w:cs="方正仿宋_GBK"/>
                <w:b w:val="0"/>
                <w:bCs w:val="0"/>
                <w:sz w:val="32"/>
                <w:szCs w:val="32"/>
              </w:rPr>
            </w:pPr>
          </w:p>
        </w:tc>
      </w:tr>
      <w:tr>
        <w:tblPrEx>
          <w:tblCellMar>
            <w:top w:w="0" w:type="dxa"/>
            <w:left w:w="30" w:type="dxa"/>
            <w:bottom w:w="0" w:type="dxa"/>
            <w:right w:w="30" w:type="dxa"/>
          </w:tblCellMar>
        </w:tblPrEx>
        <w:trPr>
          <w:trHeight w:val="466" w:hRule="atLeast"/>
        </w:trPr>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合计</w:t>
            </w:r>
          </w:p>
        </w:tc>
        <w:tc>
          <w:tcPr>
            <w:tcW w:w="73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1060700</w:t>
            </w:r>
          </w:p>
        </w:tc>
        <w:tc>
          <w:tcPr>
            <w:tcW w:w="107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1060700</w:t>
            </w:r>
          </w:p>
        </w:tc>
        <w:tc>
          <w:tcPr>
            <w:tcW w:w="1119"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0</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0</w:t>
            </w:r>
          </w:p>
        </w:tc>
      </w:tr>
      <w:tr>
        <w:tblPrEx>
          <w:tblCellMar>
            <w:top w:w="0" w:type="dxa"/>
            <w:left w:w="30" w:type="dxa"/>
            <w:bottom w:w="0" w:type="dxa"/>
            <w:right w:w="30" w:type="dxa"/>
          </w:tblCellMar>
        </w:tblPrEx>
        <w:trPr>
          <w:trHeight w:val="466" w:hRule="atLeast"/>
        </w:trPr>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党建工作</w:t>
            </w:r>
          </w:p>
        </w:tc>
        <w:tc>
          <w:tcPr>
            <w:tcW w:w="73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1060700</w:t>
            </w:r>
          </w:p>
        </w:tc>
        <w:tc>
          <w:tcPr>
            <w:tcW w:w="107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1060700</w:t>
            </w:r>
          </w:p>
        </w:tc>
        <w:tc>
          <w:tcPr>
            <w:tcW w:w="1119"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Autospacing="0" w:afterAutospacing="0"/>
              <w:ind w:left="0" w:firstLine="0" w:firstLineChars="0"/>
              <w:jc w:val="center"/>
              <w:rPr>
                <w:rFonts w:hint="eastAsia" w:ascii="方正仿宋_GBK" w:hAnsi="方正仿宋_GBK" w:eastAsia="方正仿宋_GBK" w:cs="方正仿宋_GBK"/>
                <w:b w:val="0"/>
                <w:bCs w:val="0"/>
                <w:kern w:val="0"/>
                <w:sz w:val="32"/>
                <w:szCs w:val="32"/>
              </w:rPr>
            </w:pPr>
          </w:p>
        </w:tc>
      </w:tr>
    </w:tbl>
    <w:p>
      <w:pPr>
        <w:pStyle w:val="4"/>
        <w:keepNext w:val="0"/>
        <w:keepLines w:val="0"/>
        <w:pageBreakBefore w:val="0"/>
        <w:widowControl w:val="0"/>
        <w:kinsoku/>
        <w:wordWrap/>
        <w:overflowPunct/>
        <w:topLinePunct w:val="0"/>
        <w:autoSpaceDE w:val="0"/>
        <w:autoSpaceDN w:val="0"/>
        <w:bidi w:val="0"/>
        <w:adjustRightInd/>
        <w:snapToGrid/>
        <w:spacing w:before="20" w:line="580" w:lineRule="exact"/>
        <w:ind w:left="109" w:right="251" w:firstLine="561"/>
        <w:textAlignment w:val="auto"/>
        <w:rPr>
          <w:rFonts w:hint="default"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pacing w:val="-17"/>
          <w:w w:val="95"/>
          <w:sz w:val="32"/>
          <w:szCs w:val="32"/>
        </w:rPr>
        <w:t>③项目绩效总目标：一是持续规范党内政治生活，实现全面从严治党；二是发挥镇团委服务青年、引领青年、</w:t>
      </w:r>
      <w:r>
        <w:rPr>
          <w:rFonts w:hint="eastAsia" w:ascii="方正仿宋_GBK" w:hAnsi="方正仿宋_GBK" w:eastAsia="方正仿宋_GBK" w:cs="方正仿宋_GBK"/>
          <w:b w:val="0"/>
          <w:bCs w:val="0"/>
          <w:spacing w:val="-6"/>
          <w:sz w:val="32"/>
          <w:szCs w:val="32"/>
        </w:rPr>
        <w:t>带动青年的</w:t>
      </w:r>
      <w:r>
        <w:rPr>
          <w:rFonts w:hint="default" w:ascii="Times New Roman" w:hAnsi="Times New Roman" w:eastAsia="方正仿宋_GBK" w:cs="Times New Roman"/>
          <w:b w:val="0"/>
          <w:bCs w:val="0"/>
          <w:spacing w:val="-6"/>
          <w:sz w:val="32"/>
          <w:szCs w:val="32"/>
        </w:rPr>
        <w:t>作用；三是进一步优化村</w:t>
      </w:r>
      <w:r>
        <w:rPr>
          <w:rFonts w:hint="default" w:ascii="Times New Roman" w:hAnsi="Times New Roman" w:eastAsia="方正仿宋_GBK" w:cs="Times New Roman"/>
          <w:b w:val="0"/>
          <w:bCs w:val="0"/>
          <w:spacing w:val="4"/>
          <w:sz w:val="32"/>
          <w:szCs w:val="32"/>
        </w:rPr>
        <w:t>（</w:t>
      </w:r>
      <w:r>
        <w:rPr>
          <w:rFonts w:hint="default" w:ascii="Times New Roman" w:hAnsi="Times New Roman" w:eastAsia="方正仿宋_GBK" w:cs="Times New Roman"/>
          <w:b w:val="0"/>
          <w:bCs w:val="0"/>
          <w:sz w:val="32"/>
          <w:szCs w:val="32"/>
        </w:rPr>
        <w:t>居）委会班子结构，年龄层次、文化程度更趋合理。</w:t>
      </w:r>
    </w:p>
    <w:p>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09" w:right="200" w:firstLine="56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w w:val="95"/>
          <w:sz w:val="32"/>
          <w:szCs w:val="32"/>
        </w:rPr>
        <w:t>④项目年度绩效目标：一是持续规范党内政治生活，实现全面从严治党；二是发挥镇团委服务青年、引领青</w:t>
      </w:r>
      <w:r>
        <w:rPr>
          <w:rFonts w:hint="default" w:ascii="Times New Roman" w:hAnsi="Times New Roman" w:eastAsia="方正仿宋_GBK" w:cs="Times New Roman"/>
          <w:b w:val="0"/>
          <w:bCs w:val="0"/>
          <w:sz w:val="32"/>
          <w:szCs w:val="32"/>
        </w:rPr>
        <w:t>年、带动青年的作用；三是进一步优化村（居）委会班子结构，年龄层次、文化程度更趋合理。</w:t>
      </w:r>
    </w:p>
    <w:p>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67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⑤项目实施计划：基础工作按月推进，全年完成 100%。阶段性工作，按时间节点推进。</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67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二、项目绩效情况分析</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109" w:right="259" w:firstLine="56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6"/>
          <w:w w:val="95"/>
          <w:sz w:val="32"/>
          <w:szCs w:val="32"/>
        </w:rPr>
        <w:t>综合考虑投入、产出、效果、影响力等各方面因素，通过数据采集及分析，最终评分结果：党建工作专项经</w:t>
      </w:r>
      <w:r>
        <w:rPr>
          <w:rFonts w:hint="default" w:ascii="Times New Roman" w:hAnsi="Times New Roman" w:eastAsia="方正仿宋_GBK" w:cs="Times New Roman"/>
          <w:b w:val="0"/>
          <w:bCs w:val="0"/>
          <w:spacing w:val="-3"/>
          <w:sz w:val="32"/>
          <w:szCs w:val="32"/>
        </w:rPr>
        <w:t>费项目绩效自评价结果为:总得分</w:t>
      </w:r>
      <w:r>
        <w:rPr>
          <w:rFonts w:hint="default" w:ascii="Times New Roman" w:hAnsi="Times New Roman" w:eastAsia="方正仿宋_GBK" w:cs="Times New Roman"/>
          <w:b w:val="0"/>
          <w:bCs w:val="0"/>
          <w:sz w:val="32"/>
          <w:szCs w:val="32"/>
        </w:rPr>
        <w:t>95.10分，属于"优"。</w:t>
      </w:r>
    </w:p>
    <w:p>
      <w:pPr>
        <w:pStyle w:val="4"/>
        <w:keepNext w:val="0"/>
        <w:keepLines w:val="0"/>
        <w:pageBreakBefore w:val="0"/>
        <w:widowControl w:val="0"/>
        <w:kinsoku/>
        <w:wordWrap/>
        <w:overflowPunct/>
        <w:topLinePunct w:val="0"/>
        <w:autoSpaceDE w:val="0"/>
        <w:autoSpaceDN w:val="0"/>
        <w:bidi w:val="0"/>
        <w:adjustRightInd/>
        <w:snapToGrid/>
        <w:spacing w:before="5" w:line="580" w:lineRule="exact"/>
        <w:ind w:firstLine="584"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6"/>
          <w:w w:val="95"/>
          <w:sz w:val="32"/>
          <w:szCs w:val="32"/>
        </w:rPr>
        <w:t>①绩效目标完成的指标：预算执行率；财务监控有效性；合同管理完备性；项目质量可控性；开展党务工作</w:t>
      </w:r>
      <w:r>
        <w:rPr>
          <w:rFonts w:hint="default" w:ascii="Times New Roman" w:hAnsi="Times New Roman" w:eastAsia="方正仿宋_GBK" w:cs="Times New Roman"/>
          <w:b w:val="0"/>
          <w:bCs w:val="0"/>
          <w:spacing w:val="-5"/>
          <w:w w:val="95"/>
          <w:sz w:val="32"/>
          <w:szCs w:val="32"/>
        </w:rPr>
        <w:t>者培训次数；参加党务工作者培训人数；开展非公党建专题培训次数；党员培训参与率；培训计划完成率；培训</w:t>
      </w:r>
      <w:r>
        <w:rPr>
          <w:rFonts w:hint="default" w:ascii="Times New Roman" w:hAnsi="Times New Roman" w:eastAsia="方正仿宋_GBK" w:cs="Times New Roman"/>
          <w:b w:val="0"/>
          <w:bCs w:val="0"/>
          <w:sz w:val="32"/>
          <w:szCs w:val="32"/>
        </w:rPr>
        <w:t>举办及时性；</w:t>
      </w:r>
    </w:p>
    <w:p>
      <w:pPr>
        <w:pStyle w:val="4"/>
        <w:keepNext w:val="0"/>
        <w:keepLines w:val="0"/>
        <w:pageBreakBefore w:val="0"/>
        <w:widowControl w:val="0"/>
        <w:kinsoku/>
        <w:wordWrap/>
        <w:overflowPunct/>
        <w:topLinePunct w:val="0"/>
        <w:autoSpaceDE w:val="0"/>
        <w:autoSpaceDN w:val="0"/>
        <w:bidi w:val="0"/>
        <w:adjustRightInd/>
        <w:snapToGrid/>
        <w:spacing w:before="20" w:line="580" w:lineRule="exact"/>
        <w:ind w:left="109" w:right="118" w:firstLine="561"/>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w w:val="95"/>
          <w:sz w:val="32"/>
          <w:szCs w:val="32"/>
        </w:rPr>
        <w:t>②没有完成绩效目标的指标：参加非公党建专题培训人数；党建工作人员的党性意识；基层党组织凝聚力</w:t>
      </w:r>
      <w:r>
        <w:rPr>
          <w:rFonts w:hint="default" w:ascii="Times New Roman" w:hAnsi="Times New Roman" w:eastAsia="方正仿宋_GBK" w:cs="Times New Roman"/>
          <w:b w:val="0"/>
          <w:bCs w:val="0"/>
          <w:w w:val="95"/>
          <w:sz w:val="32"/>
          <w:szCs w:val="32"/>
          <w:lang w:eastAsia="zh-CN"/>
        </w:rPr>
        <w:t>；</w:t>
      </w:r>
      <w:r>
        <w:rPr>
          <w:rFonts w:hint="default" w:ascii="Times New Roman" w:hAnsi="Times New Roman" w:eastAsia="方正仿宋_GBK" w:cs="Times New Roman"/>
          <w:b w:val="0"/>
          <w:bCs w:val="0"/>
          <w:sz w:val="32"/>
          <w:szCs w:val="32"/>
        </w:rPr>
        <w:t>党员满意度；培训对象满意度；档案管理机制健全性；长效管理机制健全性；</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67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三、改进建议</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109" w:right="249" w:firstLine="561"/>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w w:val="95"/>
          <w:sz w:val="32"/>
          <w:szCs w:val="32"/>
        </w:rPr>
        <w:t>①制度层面：一是加强预算认识，提高编制水平；二是加强制度建设，完善预算体系；三是加强预算的执行</w:t>
      </w:r>
      <w:r>
        <w:rPr>
          <w:rFonts w:hint="eastAsia" w:ascii="方正仿宋_GBK" w:hAnsi="方正仿宋_GBK" w:eastAsia="方正仿宋_GBK" w:cs="方正仿宋_GBK"/>
          <w:b w:val="0"/>
          <w:bCs w:val="0"/>
          <w:spacing w:val="-3"/>
          <w:sz w:val="32"/>
          <w:szCs w:val="32"/>
        </w:rPr>
        <w:t>力度，建立健全考核机制；四是创新预算绩效管理制度框架体系。</w:t>
      </w:r>
    </w:p>
    <w:p>
      <w:pPr>
        <w:pStyle w:val="4"/>
        <w:keepNext w:val="0"/>
        <w:keepLines w:val="0"/>
        <w:pageBreakBefore w:val="0"/>
        <w:widowControl w:val="0"/>
        <w:kinsoku/>
        <w:wordWrap/>
        <w:overflowPunct/>
        <w:topLinePunct w:val="0"/>
        <w:autoSpaceDE w:val="0"/>
        <w:autoSpaceDN w:val="0"/>
        <w:bidi w:val="0"/>
        <w:adjustRightInd/>
        <w:snapToGrid/>
        <w:spacing w:before="12" w:line="580" w:lineRule="exact"/>
        <w:ind w:firstLine="608"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95"/>
          <w:sz w:val="32"/>
          <w:szCs w:val="32"/>
        </w:rPr>
        <w:t>②操作层面：一是加大对项目使用进度的监督和管理，合理调整预算；二是合理编制预算，细化预算内容；</w:t>
      </w:r>
      <w:r>
        <w:rPr>
          <w:rFonts w:hint="eastAsia" w:ascii="方正仿宋_GBK" w:hAnsi="方正仿宋_GBK" w:eastAsia="方正仿宋_GBK" w:cs="方正仿宋_GBK"/>
          <w:b w:val="0"/>
          <w:bCs w:val="0"/>
          <w:sz w:val="32"/>
          <w:szCs w:val="32"/>
        </w:rPr>
        <w:t>三是加大对项目资金的监督力度，提高资金使用效益。</w:t>
      </w:r>
    </w:p>
    <w:p>
      <w:pPr>
        <w:pStyle w:val="4"/>
        <w:spacing w:before="12"/>
        <w:rPr>
          <w:rFonts w:hint="eastAsia" w:ascii="方正仿宋_GBK" w:hAnsi="方正仿宋_GBK" w:eastAsia="方正仿宋_GBK" w:cs="方正仿宋_GBK"/>
          <w:b w:val="0"/>
          <w:bCs w:val="0"/>
          <w:sz w:val="32"/>
          <w:szCs w:val="32"/>
        </w:rPr>
      </w:pPr>
    </w:p>
    <w:p>
      <w:pPr>
        <w:pStyle w:val="4"/>
        <w:spacing w:before="12"/>
        <w:rPr>
          <w:rFonts w:hint="eastAsia" w:ascii="方正仿宋_GBK" w:hAnsi="方正仿宋_GBK" w:eastAsia="方正仿宋_GBK" w:cs="方正仿宋_GBK"/>
          <w:b w:val="0"/>
          <w:bCs w:val="0"/>
          <w:sz w:val="32"/>
          <w:szCs w:val="32"/>
        </w:rPr>
      </w:pPr>
    </w:p>
    <w:p>
      <w:pPr>
        <w:pStyle w:val="4"/>
        <w:spacing w:before="12"/>
        <w:rPr>
          <w:rFonts w:hint="eastAsia" w:ascii="方正仿宋_GBK" w:hAnsi="方正仿宋_GBK" w:eastAsia="方正仿宋_GBK" w:cs="方正仿宋_GBK"/>
          <w:b w:val="0"/>
          <w:bCs w:val="0"/>
          <w:sz w:val="32"/>
          <w:szCs w:val="32"/>
        </w:rPr>
      </w:pPr>
    </w:p>
    <w:p>
      <w:pPr>
        <w:pStyle w:val="4"/>
        <w:spacing w:before="12"/>
        <w:rPr>
          <w:rFonts w:hint="eastAsia" w:ascii="方正仿宋_GBK" w:hAnsi="方正仿宋_GBK" w:eastAsia="方正仿宋_GBK" w:cs="方正仿宋_GBK"/>
          <w:b w:val="0"/>
          <w:bCs w:val="0"/>
          <w:sz w:val="32"/>
          <w:szCs w:val="32"/>
        </w:rPr>
      </w:pPr>
    </w:p>
    <w:p>
      <w:pPr>
        <w:pStyle w:val="4"/>
        <w:spacing w:before="3"/>
        <w:rPr>
          <w:rFonts w:hint="eastAsia" w:ascii="方正仿宋_GBK" w:hAnsi="方正仿宋_GBK" w:eastAsia="方正仿宋_GBK" w:cs="方正仿宋_GBK"/>
          <w:b w:val="0"/>
          <w:bCs w:val="0"/>
          <w:sz w:val="32"/>
          <w:szCs w:val="32"/>
        </w:rPr>
      </w:pPr>
    </w:p>
    <w:tbl>
      <w:tblPr>
        <w:tblStyle w:val="6"/>
        <w:tblW w:w="5000" w:type="pct"/>
        <w:tblInd w:w="0" w:type="dxa"/>
        <w:shd w:val="clear" w:color="auto" w:fill="auto"/>
        <w:tblLayout w:type="autofit"/>
        <w:tblCellMar>
          <w:top w:w="15" w:type="dxa"/>
          <w:left w:w="15" w:type="dxa"/>
          <w:bottom w:w="15" w:type="dxa"/>
          <w:right w:w="15" w:type="dxa"/>
        </w:tblCellMar>
      </w:tblPr>
      <w:tblGrid>
        <w:gridCol w:w="3767"/>
        <w:gridCol w:w="2729"/>
        <w:gridCol w:w="5092"/>
        <w:gridCol w:w="2462"/>
      </w:tblGrid>
      <w:tr>
        <w:tblPrEx>
          <w:shd w:val="clear" w:color="auto" w:fill="auto"/>
          <w:tblCellMar>
            <w:top w:w="15" w:type="dxa"/>
            <w:left w:w="15" w:type="dxa"/>
            <w:bottom w:w="15" w:type="dxa"/>
            <w:right w:w="15" w:type="dxa"/>
          </w:tblCellMar>
        </w:tblPrEx>
        <w:trPr>
          <w:trHeight w:val="544" w:hRule="atLeast"/>
        </w:trPr>
        <w:tc>
          <w:tcPr>
            <w:tcW w:w="5000" w:type="pct"/>
            <w:gridSpan w:val="4"/>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收入支出决算总表</w:t>
            </w:r>
          </w:p>
        </w:tc>
      </w:tr>
      <w:tr>
        <w:tblPrEx>
          <w:shd w:val="clear" w:color="auto" w:fill="auto"/>
          <w:tblCellMar>
            <w:top w:w="15" w:type="dxa"/>
            <w:left w:w="15" w:type="dxa"/>
            <w:bottom w:w="15" w:type="dxa"/>
            <w:right w:w="15" w:type="dxa"/>
          </w:tblCellMar>
        </w:tblPrEx>
        <w:trPr>
          <w:trHeight w:val="299" w:hRule="atLeast"/>
        </w:trPr>
        <w:tc>
          <w:tcPr>
            <w:tcW w:w="5000" w:type="pct"/>
            <w:gridSpan w:val="4"/>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单位：万元</w:t>
            </w:r>
          </w:p>
        </w:tc>
      </w:tr>
      <w:tr>
        <w:tblPrEx>
          <w:shd w:val="clear" w:color="auto" w:fill="auto"/>
          <w:tblCellMar>
            <w:top w:w="15" w:type="dxa"/>
            <w:left w:w="15" w:type="dxa"/>
            <w:bottom w:w="15" w:type="dxa"/>
            <w:right w:w="15" w:type="dxa"/>
          </w:tblCellMar>
        </w:tblPrEx>
        <w:trPr>
          <w:trHeight w:val="305" w:hRule="atLeast"/>
        </w:trPr>
        <w:tc>
          <w:tcPr>
            <w:tcW w:w="23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收入</w:t>
            </w:r>
          </w:p>
        </w:tc>
        <w:tc>
          <w:tcPr>
            <w:tcW w:w="268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支出</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w:t>
            </w:r>
          </w:p>
        </w:tc>
        <w:tc>
          <w:tcPr>
            <w:tcW w:w="9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c>
          <w:tcPr>
            <w:tcW w:w="18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w:t>
            </w:r>
          </w:p>
        </w:tc>
        <w:tc>
          <w:tcPr>
            <w:tcW w:w="8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一、财政拨款收入</w:t>
            </w:r>
          </w:p>
        </w:tc>
        <w:tc>
          <w:tcPr>
            <w:tcW w:w="9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18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一、一般公共服务支出</w:t>
            </w:r>
          </w:p>
        </w:tc>
        <w:tc>
          <w:tcPr>
            <w:tcW w:w="8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1,484.50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二、上级补助收入</w:t>
            </w:r>
          </w:p>
        </w:tc>
        <w:tc>
          <w:tcPr>
            <w:tcW w:w="9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二、外交支出</w:t>
            </w:r>
          </w:p>
        </w:tc>
        <w:tc>
          <w:tcPr>
            <w:tcW w:w="8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三、事业收入</w:t>
            </w:r>
          </w:p>
        </w:tc>
        <w:tc>
          <w:tcPr>
            <w:tcW w:w="9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三、国防支出</w:t>
            </w:r>
          </w:p>
        </w:tc>
        <w:tc>
          <w:tcPr>
            <w:tcW w:w="8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四、经营收入</w:t>
            </w:r>
          </w:p>
        </w:tc>
        <w:tc>
          <w:tcPr>
            <w:tcW w:w="9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四、公共安全支出</w:t>
            </w:r>
          </w:p>
        </w:tc>
        <w:tc>
          <w:tcPr>
            <w:tcW w:w="87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五、附属单位上缴收入</w:t>
            </w: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五、教育支出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六、其他收入</w:t>
            </w: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六、科学技术支出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七、文化旅游体育与传媒支出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八、社会保障和就业支出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1,592.07</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九、卫生健康支出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十、节能环保支出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十一、城乡社区支出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十二、农林水支出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十三、交通运输支出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十四、资源勘探信息等支出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十五、商业服务业等支出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十六、金融支出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十七、援助其他地区支出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十八、自然资源海洋气象等支出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十九、住房保障支出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二十、粮油物资储备支出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二十一、灾害防治及应急管理支出</w:t>
            </w:r>
          </w:p>
        </w:tc>
        <w:tc>
          <w:tcPr>
            <w:tcW w:w="8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二十二、其他支出</w:t>
            </w:r>
          </w:p>
        </w:tc>
        <w:tc>
          <w:tcPr>
            <w:tcW w:w="87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二十三、债务还本支出</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二十四、债务付息支出</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本年收入合计</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本年支出合计</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用事业基金弥补收支差额</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结余分配</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年初结转和结余</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年末结转和结余</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总计</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总计</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r>
      <w:tr>
        <w:tblPrEx>
          <w:tblCellMar>
            <w:top w:w="15" w:type="dxa"/>
            <w:left w:w="15" w:type="dxa"/>
            <w:bottom w:w="15" w:type="dxa"/>
            <w:right w:w="15" w:type="dxa"/>
          </w:tblCellMar>
        </w:tblPrEx>
        <w:trPr>
          <w:trHeight w:val="299" w:hRule="atLeast"/>
        </w:trPr>
        <w:tc>
          <w:tcPr>
            <w:tcW w:w="5000" w:type="pct"/>
            <w:gridSpan w:val="4"/>
            <w:tcBorders>
              <w:top w:val="single" w:color="auto" w:sz="4" w:space="0"/>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备注：本表反映部门本年度的总收支和年末结转结余等情况。 </w:t>
            </w:r>
          </w:p>
        </w:tc>
      </w:tr>
    </w:tbl>
    <w:p>
      <w:pPr>
        <w:spacing w:after="0" w:line="416" w:lineRule="exact"/>
        <w:jc w:val="left"/>
        <w:rPr>
          <w:rFonts w:hint="eastAsia" w:ascii="方正仿宋_GBK" w:hAnsi="方正仿宋_GBK" w:eastAsia="方正仿宋_GBK" w:cs="方正仿宋_GBK"/>
          <w:b w:val="0"/>
          <w:bCs w:val="0"/>
          <w:sz w:val="32"/>
          <w:szCs w:val="32"/>
        </w:rPr>
        <w:sectPr>
          <w:pgSz w:w="16840" w:h="11910" w:orient="landscape"/>
          <w:pgMar w:top="1100" w:right="1340" w:bottom="1320" w:left="1480" w:header="0" w:footer="1054" w:gutter="0"/>
          <w:cols w:space="720" w:num="1"/>
        </w:sectPr>
      </w:pPr>
    </w:p>
    <w:p>
      <w:pPr>
        <w:spacing w:before="14" w:line="240" w:lineRule="auto"/>
        <w:rPr>
          <w:rFonts w:hint="eastAsia" w:ascii="方正仿宋_GBK" w:hAnsi="方正仿宋_GBK" w:eastAsia="方正仿宋_GBK" w:cs="方正仿宋_GBK"/>
          <w:b w:val="0"/>
          <w:bCs w:val="0"/>
          <w:sz w:val="32"/>
          <w:szCs w:val="32"/>
        </w:rPr>
      </w:pPr>
    </w:p>
    <w:tbl>
      <w:tblPr>
        <w:tblStyle w:val="6"/>
        <w:tblW w:w="5000" w:type="pct"/>
        <w:tblInd w:w="0" w:type="dxa"/>
        <w:shd w:val="clear" w:color="auto" w:fill="auto"/>
        <w:tblLayout w:type="autofit"/>
        <w:tblCellMar>
          <w:top w:w="15" w:type="dxa"/>
          <w:left w:w="15" w:type="dxa"/>
          <w:bottom w:w="15" w:type="dxa"/>
          <w:right w:w="15" w:type="dxa"/>
        </w:tblCellMar>
      </w:tblPr>
      <w:tblGrid>
        <w:gridCol w:w="1424"/>
        <w:gridCol w:w="3902"/>
        <w:gridCol w:w="1543"/>
        <w:gridCol w:w="1605"/>
        <w:gridCol w:w="880"/>
        <w:gridCol w:w="908"/>
        <w:gridCol w:w="953"/>
        <w:gridCol w:w="998"/>
        <w:gridCol w:w="1014"/>
        <w:gridCol w:w="823"/>
      </w:tblGrid>
      <w:tr>
        <w:tblPrEx>
          <w:shd w:val="clear" w:color="auto" w:fill="auto"/>
          <w:tblCellMar>
            <w:top w:w="15" w:type="dxa"/>
            <w:left w:w="15" w:type="dxa"/>
            <w:bottom w:w="15" w:type="dxa"/>
            <w:right w:w="15" w:type="dxa"/>
          </w:tblCellMar>
        </w:tblPrEx>
        <w:trPr>
          <w:trHeight w:val="544" w:hRule="atLeast"/>
        </w:trPr>
        <w:tc>
          <w:tcPr>
            <w:tcW w:w="5000" w:type="pct"/>
            <w:gridSpan w:val="10"/>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收入决算表</w:t>
            </w:r>
          </w:p>
        </w:tc>
      </w:tr>
      <w:tr>
        <w:tblPrEx>
          <w:shd w:val="clear" w:color="auto" w:fill="auto"/>
          <w:tblCellMar>
            <w:top w:w="15" w:type="dxa"/>
            <w:left w:w="15" w:type="dxa"/>
            <w:bottom w:w="15" w:type="dxa"/>
            <w:right w:w="15" w:type="dxa"/>
          </w:tblCellMar>
        </w:tblPrEx>
        <w:trPr>
          <w:trHeight w:val="299" w:hRule="atLeast"/>
        </w:trPr>
        <w:tc>
          <w:tcPr>
            <w:tcW w:w="5000" w:type="pct"/>
            <w:gridSpan w:val="10"/>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单位：万元</w:t>
            </w:r>
          </w:p>
        </w:tc>
      </w:tr>
      <w:tr>
        <w:tblPrEx>
          <w:shd w:val="clear" w:color="auto" w:fill="auto"/>
          <w:tblCellMar>
            <w:top w:w="15" w:type="dxa"/>
            <w:left w:w="15" w:type="dxa"/>
            <w:bottom w:w="15" w:type="dxa"/>
            <w:right w:w="15" w:type="dxa"/>
          </w:tblCellMar>
        </w:tblPrEx>
        <w:trPr>
          <w:trHeight w:val="299" w:hRule="atLeast"/>
        </w:trPr>
        <w:tc>
          <w:tcPr>
            <w:tcW w:w="1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w:t>
            </w:r>
          </w:p>
        </w:tc>
        <w:tc>
          <w:tcPr>
            <w:tcW w:w="549"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本年收入合计</w:t>
            </w:r>
          </w:p>
        </w:tc>
        <w:tc>
          <w:tcPr>
            <w:tcW w:w="57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财政拨款收入</w:t>
            </w:r>
          </w:p>
        </w:tc>
        <w:tc>
          <w:tcPr>
            <w:tcW w:w="313"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上级补助收入</w:t>
            </w:r>
          </w:p>
        </w:tc>
        <w:tc>
          <w:tcPr>
            <w:tcW w:w="662" w:type="pct"/>
            <w:gridSpan w:val="2"/>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事业收入</w:t>
            </w:r>
          </w:p>
        </w:tc>
        <w:tc>
          <w:tcPr>
            <w:tcW w:w="355"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经营收入</w:t>
            </w:r>
          </w:p>
        </w:tc>
        <w:tc>
          <w:tcPr>
            <w:tcW w:w="36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附属单位上缴收入</w:t>
            </w:r>
          </w:p>
        </w:tc>
        <w:tc>
          <w:tcPr>
            <w:tcW w:w="288"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其他收入</w:t>
            </w:r>
          </w:p>
        </w:tc>
      </w:tr>
      <w:tr>
        <w:tblPrEx>
          <w:shd w:val="clear" w:color="auto" w:fill="auto"/>
          <w:tblCellMar>
            <w:top w:w="15" w:type="dxa"/>
            <w:left w:w="15" w:type="dxa"/>
            <w:bottom w:w="15" w:type="dxa"/>
            <w:right w:w="15" w:type="dxa"/>
          </w:tblCellMar>
        </w:tblPrEx>
        <w:trPr>
          <w:trHeight w:val="299" w:hRule="atLeast"/>
        </w:trPr>
        <w:tc>
          <w:tcPr>
            <w:tcW w:w="507" w:type="pct"/>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功能分类科目编码</w:t>
            </w:r>
          </w:p>
        </w:tc>
        <w:tc>
          <w:tcPr>
            <w:tcW w:w="1388" w:type="pct"/>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项目（按“项”级功能分类科目）</w:t>
            </w:r>
          </w:p>
        </w:tc>
        <w:tc>
          <w:tcPr>
            <w:tcW w:w="54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7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1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62" w:type="pct"/>
            <w:gridSpan w:val="2"/>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55"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6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28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507"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388"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4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7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1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23" w:type="pct"/>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小计</w:t>
            </w:r>
          </w:p>
        </w:tc>
        <w:tc>
          <w:tcPr>
            <w:tcW w:w="339" w:type="pct"/>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其中：教育收费</w:t>
            </w:r>
          </w:p>
        </w:tc>
        <w:tc>
          <w:tcPr>
            <w:tcW w:w="355"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6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28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507"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388"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4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7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1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23"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39"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55"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6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28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189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54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5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一般公共服务支出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1,484.49</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1,484.49</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人大事务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2010106</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人大监督</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政府办公厅（室）及相关机构事务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1,290.20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1,290.20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2010308</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信访事务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统计信息事务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2010505</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专项统计业务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财政事务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其他财政事务支出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纪检监察事务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其他纪检监察事务支出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群众团体事务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其他群众团体事务支出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统战事务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其他统战事务支出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其他共产党事务支出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PrEx>
        <w:trPr>
          <w:trHeight w:val="299" w:hRule="atLeast"/>
        </w:trPr>
        <w:tc>
          <w:tcPr>
            <w:tcW w:w="507"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2013602</w:t>
            </w:r>
          </w:p>
        </w:tc>
        <w:tc>
          <w:tcPr>
            <w:tcW w:w="13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一般行政管理事务</w:t>
            </w:r>
          </w:p>
        </w:tc>
        <w:tc>
          <w:tcPr>
            <w:tcW w:w="54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市场监督管理事务</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其他市场监督管理事务</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国防动员</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2030607</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民兵</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公共安全支出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司法</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41.42</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41.42</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2040601</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2040605</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普法宣传</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其他公共安全支出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2049901</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其他公共安全支出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文化旅游体育与传媒支出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文化和旅游</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其他文化和旅游支出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其他文化体育与传媒支出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其他文化体育与传媒支出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社会保障和就业支出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1,592.08</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1,592.08</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18"/>
                <w:szCs w:val="18"/>
              </w:rPr>
            </w:pPr>
            <w:r>
              <w:rPr>
                <w:rFonts w:hint="eastAsia" w:ascii="宋体" w:hAnsi="宋体" w:eastAsia="宋体" w:cs="宋体"/>
                <w:b w:val="0"/>
                <w:bCs w:val="0"/>
                <w:i w:val="0"/>
                <w:iCs w:val="0"/>
                <w:kern w:val="0"/>
                <w:sz w:val="18"/>
                <w:szCs w:val="18"/>
              </w:rPr>
              <w:t>人力资源和社会保障管理事务</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其他人力资源和社会保障管理事务支出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民政管理事务</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2080208</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基层政权和社区建设</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2080299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其他民政管理事务支出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行政事业单位离退休</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2080505</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机关事业单位基本养老保险缴费支出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2080506</w:t>
            </w:r>
          </w:p>
        </w:tc>
        <w:tc>
          <w:tcPr>
            <w:tcW w:w="13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机关事业单位职业年金缴费支出</w:t>
            </w:r>
          </w:p>
        </w:tc>
        <w:tc>
          <w:tcPr>
            <w:tcW w:w="54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5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其他行政事业单位离退休支出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抚恤</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2080805</w:t>
            </w:r>
          </w:p>
        </w:tc>
        <w:tc>
          <w:tcPr>
            <w:tcW w:w="13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义务兵优待</w:t>
            </w:r>
          </w:p>
        </w:tc>
        <w:tc>
          <w:tcPr>
            <w:tcW w:w="54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社会福利</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2081002</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老年福利</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退役军人管理事务</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PrEx>
        <w:trPr>
          <w:trHeight w:val="299" w:hRule="atLeast"/>
        </w:trPr>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2082850</w:t>
            </w:r>
          </w:p>
        </w:tc>
        <w:tc>
          <w:tcPr>
            <w:tcW w:w="13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54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卫生健康支出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计划生育事务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其他计划生育事务支出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行政事业单位医疗</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行政单位医疗</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2101102</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事业单位医疗</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2101103</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公务员医疗补助</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其他行政事业单位医疗支出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城乡社区管理事务</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502.72</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502.72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2120104</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城管执法</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373.44</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373.44</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其他城乡社区管理事务支出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w:t>
            </w:r>
          </w:p>
        </w:tc>
        <w:tc>
          <w:tcPr>
            <w:tcW w:w="13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城乡社区规划与管理</w:t>
            </w:r>
          </w:p>
        </w:tc>
        <w:tc>
          <w:tcPr>
            <w:tcW w:w="54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2120201</w:t>
            </w:r>
          </w:p>
        </w:tc>
        <w:tc>
          <w:tcPr>
            <w:tcW w:w="13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城乡社区规划与管理</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w:t>
            </w:r>
          </w:p>
        </w:tc>
        <w:tc>
          <w:tcPr>
            <w:tcW w:w="13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城乡社区环境卫生</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2120501</w:t>
            </w:r>
          </w:p>
        </w:tc>
        <w:tc>
          <w:tcPr>
            <w:tcW w:w="13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城乡社区环境卫生</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w:t>
            </w:r>
          </w:p>
        </w:tc>
        <w:tc>
          <w:tcPr>
            <w:tcW w:w="13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其他城乡社区支出</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2129901</w:t>
            </w:r>
          </w:p>
        </w:tc>
        <w:tc>
          <w:tcPr>
            <w:tcW w:w="13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其他城乡社区支出</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w:t>
            </w:r>
          </w:p>
        </w:tc>
        <w:tc>
          <w:tcPr>
            <w:tcW w:w="13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农林水支出</w:t>
            </w:r>
          </w:p>
        </w:tc>
        <w:tc>
          <w:tcPr>
            <w:tcW w:w="54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5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农业</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407.97</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407.97</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2130104</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2130199</w:t>
            </w:r>
          </w:p>
        </w:tc>
        <w:tc>
          <w:tcPr>
            <w:tcW w:w="1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其他农业支出</w:t>
            </w:r>
          </w:p>
        </w:tc>
        <w:tc>
          <w:tcPr>
            <w:tcW w:w="5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5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w:t>
            </w:r>
          </w:p>
        </w:tc>
        <w:tc>
          <w:tcPr>
            <w:tcW w:w="13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水利</w:t>
            </w:r>
          </w:p>
        </w:tc>
        <w:tc>
          <w:tcPr>
            <w:tcW w:w="54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5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2130306</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水利工程运行与维护</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2130319</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江河湖库水系综合整治</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住房保障支出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w:t>
            </w:r>
          </w:p>
        </w:tc>
        <w:tc>
          <w:tcPr>
            <w:tcW w:w="1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住房改革支出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2210201</w:t>
            </w:r>
          </w:p>
        </w:tc>
        <w:tc>
          <w:tcPr>
            <w:tcW w:w="13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住房公积金</w:t>
            </w:r>
          </w:p>
        </w:tc>
        <w:tc>
          <w:tcPr>
            <w:tcW w:w="54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2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5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6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2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备注：本表反映部门本年度取得的各项收入情况。</w:t>
            </w:r>
          </w:p>
        </w:tc>
      </w:tr>
    </w:tbl>
    <w:p>
      <w:pPr>
        <w:spacing w:after="0"/>
        <w:rPr>
          <w:rFonts w:hint="eastAsia" w:ascii="方正仿宋_GBK" w:hAnsi="方正仿宋_GBK" w:eastAsia="方正仿宋_GBK" w:cs="方正仿宋_GBK"/>
          <w:b w:val="0"/>
          <w:bCs w:val="0"/>
          <w:sz w:val="32"/>
          <w:szCs w:val="32"/>
        </w:rPr>
        <w:sectPr>
          <w:pgSz w:w="16840" w:h="11910" w:orient="landscape"/>
          <w:pgMar w:top="1100" w:right="1340" w:bottom="1240" w:left="1480" w:header="0" w:footer="1054" w:gutter="0"/>
          <w:cols w:space="720" w:num="1"/>
        </w:sectPr>
      </w:pPr>
    </w:p>
    <w:tbl>
      <w:tblPr>
        <w:tblStyle w:val="6"/>
        <w:tblW w:w="5000" w:type="pct"/>
        <w:tblInd w:w="0" w:type="dxa"/>
        <w:shd w:val="clear" w:color="auto" w:fill="auto"/>
        <w:tblLayout w:type="autofit"/>
        <w:tblCellMar>
          <w:top w:w="15" w:type="dxa"/>
          <w:left w:w="15" w:type="dxa"/>
          <w:bottom w:w="15" w:type="dxa"/>
          <w:right w:w="15" w:type="dxa"/>
        </w:tblCellMar>
      </w:tblPr>
      <w:tblGrid>
        <w:gridCol w:w="1365"/>
        <w:gridCol w:w="4881"/>
        <w:gridCol w:w="1633"/>
        <w:gridCol w:w="1562"/>
        <w:gridCol w:w="1546"/>
        <w:gridCol w:w="947"/>
        <w:gridCol w:w="967"/>
        <w:gridCol w:w="1149"/>
      </w:tblGrid>
      <w:tr>
        <w:tblPrEx>
          <w:shd w:val="clear" w:color="auto" w:fill="auto"/>
          <w:tblCellMar>
            <w:top w:w="15" w:type="dxa"/>
            <w:left w:w="15" w:type="dxa"/>
            <w:bottom w:w="15" w:type="dxa"/>
            <w:right w:w="15" w:type="dxa"/>
          </w:tblCellMar>
        </w:tblPrEx>
        <w:trPr>
          <w:trHeight w:val="544" w:hRule="atLeast"/>
        </w:trPr>
        <w:tc>
          <w:tcPr>
            <w:tcW w:w="5000" w:type="pct"/>
            <w:gridSpan w:val="8"/>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支出决算表</w:t>
            </w:r>
          </w:p>
        </w:tc>
      </w:tr>
      <w:tr>
        <w:tblPrEx>
          <w:shd w:val="clear" w:color="auto" w:fill="auto"/>
          <w:tblCellMar>
            <w:top w:w="15" w:type="dxa"/>
            <w:left w:w="15" w:type="dxa"/>
            <w:bottom w:w="15" w:type="dxa"/>
            <w:right w:w="15" w:type="dxa"/>
          </w:tblCellMar>
        </w:tblPrEx>
        <w:trPr>
          <w:trHeight w:val="299" w:hRule="atLeast"/>
        </w:trPr>
        <w:tc>
          <w:tcPr>
            <w:tcW w:w="5000" w:type="pct"/>
            <w:gridSpan w:val="8"/>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单位：万元</w:t>
            </w:r>
          </w:p>
        </w:tc>
      </w:tr>
      <w:tr>
        <w:tblPrEx>
          <w:shd w:val="clear" w:color="auto" w:fill="auto"/>
          <w:tblCellMar>
            <w:top w:w="15" w:type="dxa"/>
            <w:left w:w="15" w:type="dxa"/>
            <w:bottom w:w="15" w:type="dxa"/>
            <w:right w:w="15" w:type="dxa"/>
          </w:tblCellMar>
        </w:tblPrEx>
        <w:trPr>
          <w:trHeight w:val="299" w:hRule="atLeast"/>
        </w:trPr>
        <w:tc>
          <w:tcPr>
            <w:tcW w:w="2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w:t>
            </w:r>
          </w:p>
        </w:tc>
        <w:tc>
          <w:tcPr>
            <w:tcW w:w="58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本年支出合计</w:t>
            </w:r>
          </w:p>
        </w:tc>
        <w:tc>
          <w:tcPr>
            <w:tcW w:w="556"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基本支出</w:t>
            </w:r>
          </w:p>
        </w:tc>
        <w:tc>
          <w:tcPr>
            <w:tcW w:w="55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项目支出</w:t>
            </w:r>
          </w:p>
        </w:tc>
        <w:tc>
          <w:tcPr>
            <w:tcW w:w="337"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上缴上级支出</w:t>
            </w:r>
          </w:p>
        </w:tc>
        <w:tc>
          <w:tcPr>
            <w:tcW w:w="344"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经营支出</w:t>
            </w:r>
          </w:p>
        </w:tc>
        <w:tc>
          <w:tcPr>
            <w:tcW w:w="406"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对附属单位补助支出</w:t>
            </w:r>
          </w:p>
        </w:tc>
      </w:tr>
      <w:tr>
        <w:tblPrEx>
          <w:shd w:val="clear" w:color="auto" w:fill="auto"/>
          <w:tblCellMar>
            <w:top w:w="15" w:type="dxa"/>
            <w:left w:w="15" w:type="dxa"/>
            <w:bottom w:w="15" w:type="dxa"/>
            <w:right w:w="15" w:type="dxa"/>
          </w:tblCellMar>
        </w:tblPrEx>
        <w:trPr>
          <w:trHeight w:val="299" w:hRule="atLeast"/>
        </w:trPr>
        <w:tc>
          <w:tcPr>
            <w:tcW w:w="486" w:type="pct"/>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功能分类科目编码</w:t>
            </w:r>
          </w:p>
        </w:tc>
        <w:tc>
          <w:tcPr>
            <w:tcW w:w="1737" w:type="pct"/>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项目（按“项”级功能分类科目）</w:t>
            </w:r>
          </w:p>
        </w:tc>
        <w:tc>
          <w:tcPr>
            <w:tcW w:w="58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37"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44"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486"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737"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8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37"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44"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486"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737"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8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37"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44"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2223"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5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55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1,945.45</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2,992.24</w:t>
            </w:r>
          </w:p>
        </w:tc>
        <w:tc>
          <w:tcPr>
            <w:tcW w:w="3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一般公共服务支出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1,484.49</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731.66</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人大事务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2010106</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人大监督</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政府办公厅（室）及相关机构事务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1,290.20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2010308</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信访事务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统计信息事务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专项统计业务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财政事务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其他财政事务支出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纪检监察事务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其他纪检监察事务支出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群众团体事务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其他群众团体事务支出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统战事务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其他统战事务支出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其他共产党事务支出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2013602</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一般行政管理事务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w:t>
            </w:r>
          </w:p>
        </w:tc>
        <w:tc>
          <w:tcPr>
            <w:tcW w:w="17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市场监督管理事务</w:t>
            </w:r>
          </w:p>
        </w:tc>
        <w:tc>
          <w:tcPr>
            <w:tcW w:w="58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2013899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其他市场监督管理事务</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国防动员</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2030607</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民兵</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公共安全支出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220.12</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司法</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41.42</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90"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2040605</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普法宣传</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其他公共安全支出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2049901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其他公共安全支出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文化旅游体育与传媒支出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122.39</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文化和旅游</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2070199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其他文化和旅游支出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其他文化体育与传媒支出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118.39</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2079999</w:t>
            </w:r>
          </w:p>
        </w:tc>
        <w:tc>
          <w:tcPr>
            <w:tcW w:w="17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其他文化体育与传媒支出</w:t>
            </w:r>
          </w:p>
        </w:tc>
        <w:tc>
          <w:tcPr>
            <w:tcW w:w="58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118.39</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w:t>
            </w:r>
          </w:p>
        </w:tc>
        <w:tc>
          <w:tcPr>
            <w:tcW w:w="17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社会保障和就业支出</w:t>
            </w:r>
          </w:p>
        </w:tc>
        <w:tc>
          <w:tcPr>
            <w:tcW w:w="5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1,592.08</w:t>
            </w:r>
          </w:p>
        </w:tc>
        <w:tc>
          <w:tcPr>
            <w:tcW w:w="55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382.10</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1,209.98</w:t>
            </w:r>
          </w:p>
        </w:tc>
        <w:tc>
          <w:tcPr>
            <w:tcW w:w="3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18"/>
                <w:szCs w:val="18"/>
              </w:rPr>
            </w:pPr>
            <w:r>
              <w:rPr>
                <w:rFonts w:hint="eastAsia" w:ascii="宋体" w:hAnsi="宋体" w:eastAsia="宋体" w:cs="宋体"/>
                <w:b w:val="0"/>
                <w:bCs w:val="0"/>
                <w:i w:val="0"/>
                <w:iCs w:val="0"/>
                <w:kern w:val="0"/>
                <w:sz w:val="18"/>
                <w:szCs w:val="18"/>
              </w:rPr>
              <w:t>人力资源和社会保障管理事务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178.07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17.64</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其他人力资源和社会保障管理事务支出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178.07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17.64</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民政管理事务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2080208</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基层政权和社区建设</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其他民政管理事务支出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行政事业单位离退休</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机关事业单位基本养老保险缴费支出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2080506</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机关事业单位职业年金缴费支出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其他行政事业单位离退休支出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抚恤</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义务兵优待</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w:t>
            </w:r>
          </w:p>
        </w:tc>
        <w:tc>
          <w:tcPr>
            <w:tcW w:w="17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社会福利</w:t>
            </w:r>
          </w:p>
        </w:tc>
        <w:tc>
          <w:tcPr>
            <w:tcW w:w="58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5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2081002</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老年福利</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退役军人管理事务</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2082850</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卫生健康支出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计划生育事务</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2100799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其他计划生育事务支出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行政事业单位医疗</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行政单位医疗</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2101102</w:t>
            </w:r>
          </w:p>
        </w:tc>
        <w:tc>
          <w:tcPr>
            <w:tcW w:w="17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事业单位医疗</w:t>
            </w:r>
          </w:p>
        </w:tc>
        <w:tc>
          <w:tcPr>
            <w:tcW w:w="5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55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2101103</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公务员医疗补助</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其他行政事业单位医疗支出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89.89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651.37</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城乡社区管理事务</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502.72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89.89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412.83</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2120104</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城管执法</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373.44</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3.31</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370.13</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其他城乡社区管理事务支出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城乡社区规划与管理</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城乡社区规划与管理</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城乡社区环境卫生</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2120501</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城乡社区环境卫生</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其他城乡社区支出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2129901</w:t>
            </w:r>
          </w:p>
        </w:tc>
        <w:tc>
          <w:tcPr>
            <w:tcW w:w="17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其他城乡社区支出</w:t>
            </w:r>
          </w:p>
        </w:tc>
        <w:tc>
          <w:tcPr>
            <w:tcW w:w="58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5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w:t>
            </w:r>
          </w:p>
        </w:tc>
        <w:tc>
          <w:tcPr>
            <w:tcW w:w="17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农林水支出</w:t>
            </w:r>
          </w:p>
        </w:tc>
        <w:tc>
          <w:tcPr>
            <w:tcW w:w="58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5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24.72</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w:t>
            </w:r>
          </w:p>
        </w:tc>
        <w:tc>
          <w:tcPr>
            <w:tcW w:w="17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农业</w:t>
            </w:r>
          </w:p>
        </w:tc>
        <w:tc>
          <w:tcPr>
            <w:tcW w:w="58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407.97</w:t>
            </w:r>
          </w:p>
        </w:tc>
        <w:tc>
          <w:tcPr>
            <w:tcW w:w="5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2130104</w:t>
            </w:r>
          </w:p>
        </w:tc>
        <w:tc>
          <w:tcPr>
            <w:tcW w:w="17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5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5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2130199</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其他农业支出</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w:t>
            </w:r>
          </w:p>
        </w:tc>
        <w:tc>
          <w:tcPr>
            <w:tcW w:w="17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水利</w:t>
            </w:r>
          </w:p>
        </w:tc>
        <w:tc>
          <w:tcPr>
            <w:tcW w:w="5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5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2130306</w:t>
            </w:r>
          </w:p>
        </w:tc>
        <w:tc>
          <w:tcPr>
            <w:tcW w:w="17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水利工程运行与维护</w:t>
            </w:r>
          </w:p>
        </w:tc>
        <w:tc>
          <w:tcPr>
            <w:tcW w:w="58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55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33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2130319</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江河湖库水系综合整治</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住房保障支出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住房改革支出</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2210201</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住房公积金</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2210203</w:t>
            </w:r>
          </w:p>
        </w:tc>
        <w:tc>
          <w:tcPr>
            <w:tcW w:w="17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购房补贴</w:t>
            </w:r>
          </w:p>
        </w:tc>
        <w:tc>
          <w:tcPr>
            <w:tcW w:w="5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55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3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0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备注：本表反映部门本年度各项支出情况。</w:t>
            </w:r>
          </w:p>
        </w:tc>
      </w:tr>
    </w:tbl>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tbl>
      <w:tblPr>
        <w:tblStyle w:val="6"/>
        <w:tblpPr w:leftFromText="180" w:rightFromText="180" w:vertAnchor="text" w:horzAnchor="page" w:tblpX="1604" w:tblpY="566"/>
        <w:tblOverlap w:val="never"/>
        <w:tblW w:w="4943" w:type="pct"/>
        <w:tblInd w:w="0" w:type="dxa"/>
        <w:shd w:val="clear" w:color="auto" w:fill="auto"/>
        <w:tblLayout w:type="autofit"/>
        <w:tblCellMar>
          <w:top w:w="15" w:type="dxa"/>
          <w:left w:w="15" w:type="dxa"/>
          <w:bottom w:w="15" w:type="dxa"/>
          <w:right w:w="15" w:type="dxa"/>
        </w:tblCellMar>
      </w:tblPr>
      <w:tblGrid>
        <w:gridCol w:w="2969"/>
        <w:gridCol w:w="2239"/>
        <w:gridCol w:w="3759"/>
        <w:gridCol w:w="1620"/>
        <w:gridCol w:w="1739"/>
        <w:gridCol w:w="1564"/>
      </w:tblGrid>
      <w:tr>
        <w:tblPrEx>
          <w:shd w:val="clear" w:color="auto" w:fill="auto"/>
          <w:tblCellMar>
            <w:top w:w="15" w:type="dxa"/>
            <w:left w:w="15" w:type="dxa"/>
            <w:bottom w:w="15" w:type="dxa"/>
            <w:right w:w="15" w:type="dxa"/>
          </w:tblCellMar>
        </w:tblPrEx>
        <w:trPr>
          <w:trHeight w:val="492" w:hRule="atLeast"/>
        </w:trPr>
        <w:tc>
          <w:tcPr>
            <w:tcW w:w="5000" w:type="pct"/>
            <w:gridSpan w:val="6"/>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财政拨款收入支出决算总表</w:t>
            </w:r>
          </w:p>
        </w:tc>
      </w:tr>
      <w:tr>
        <w:tblPrEx>
          <w:shd w:val="clear" w:color="auto" w:fill="auto"/>
          <w:tblCellMar>
            <w:top w:w="15" w:type="dxa"/>
            <w:left w:w="15" w:type="dxa"/>
            <w:bottom w:w="15" w:type="dxa"/>
            <w:right w:w="15" w:type="dxa"/>
          </w:tblCellMar>
        </w:tblPrEx>
        <w:trPr>
          <w:trHeight w:val="299" w:hRule="atLeast"/>
        </w:trPr>
        <w:tc>
          <w:tcPr>
            <w:tcW w:w="5000" w:type="pct"/>
            <w:gridSpan w:val="6"/>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单位：万元</w:t>
            </w:r>
          </w:p>
        </w:tc>
      </w:tr>
      <w:tr>
        <w:tblPrEx>
          <w:shd w:val="clear" w:color="auto" w:fill="auto"/>
          <w:tblCellMar>
            <w:top w:w="15" w:type="dxa"/>
            <w:left w:w="15" w:type="dxa"/>
            <w:bottom w:w="15" w:type="dxa"/>
            <w:right w:w="15" w:type="dxa"/>
          </w:tblCellMar>
        </w:tblPrEx>
        <w:trPr>
          <w:trHeight w:val="299" w:hRule="atLeast"/>
        </w:trPr>
        <w:tc>
          <w:tcPr>
            <w:tcW w:w="18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收     入</w:t>
            </w:r>
          </w:p>
        </w:tc>
        <w:tc>
          <w:tcPr>
            <w:tcW w:w="3124"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支     出</w:t>
            </w:r>
          </w:p>
        </w:tc>
      </w:tr>
      <w:tr>
        <w:tblPrEx>
          <w:shd w:val="clear" w:color="auto" w:fill="auto"/>
          <w:tblCellMar>
            <w:top w:w="15" w:type="dxa"/>
            <w:left w:w="15" w:type="dxa"/>
            <w:bottom w:w="15" w:type="dxa"/>
            <w:right w:w="15" w:type="dxa"/>
          </w:tblCellMar>
        </w:tblPrEx>
        <w:trPr>
          <w:trHeight w:val="272" w:hRule="atLeast"/>
        </w:trPr>
        <w:tc>
          <w:tcPr>
            <w:tcW w:w="106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    目</w:t>
            </w:r>
          </w:p>
        </w:tc>
        <w:tc>
          <w:tcPr>
            <w:tcW w:w="805"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c>
          <w:tcPr>
            <w:tcW w:w="1353"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w:t>
            </w:r>
          </w:p>
        </w:tc>
        <w:tc>
          <w:tcPr>
            <w:tcW w:w="1771"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r>
      <w:tr>
        <w:tblPrEx>
          <w:shd w:val="clear" w:color="auto" w:fill="auto"/>
          <w:tblCellMar>
            <w:top w:w="15" w:type="dxa"/>
            <w:left w:w="15" w:type="dxa"/>
            <w:bottom w:w="15" w:type="dxa"/>
            <w:right w:w="15" w:type="dxa"/>
          </w:tblCellMar>
        </w:tblPrEx>
        <w:trPr>
          <w:trHeight w:val="591" w:hRule="atLeast"/>
        </w:trPr>
        <w:tc>
          <w:tcPr>
            <w:tcW w:w="106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805"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35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小计</w:t>
            </w:r>
          </w:p>
        </w:tc>
        <w:tc>
          <w:tcPr>
            <w:tcW w:w="6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一般公共预算财政拨款</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政府性基金预算财政拨款</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一、一般公共预算财政拨款</w:t>
            </w:r>
          </w:p>
        </w:tc>
        <w:tc>
          <w:tcPr>
            <w:tcW w:w="80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135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一、一般公共服务支出</w:t>
            </w:r>
          </w:p>
        </w:tc>
        <w:tc>
          <w:tcPr>
            <w:tcW w:w="58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1,484.50</w:t>
            </w:r>
          </w:p>
        </w:tc>
        <w:tc>
          <w:tcPr>
            <w:tcW w:w="62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1,484.50</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二、政府性基金预算财政拨款</w:t>
            </w: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二、外交支出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三、国防支出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四、公共安全支出</w:t>
            </w:r>
          </w:p>
        </w:tc>
        <w:tc>
          <w:tcPr>
            <w:tcW w:w="58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62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56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五、教育支出</w:t>
            </w:r>
          </w:p>
        </w:tc>
        <w:tc>
          <w:tcPr>
            <w:tcW w:w="58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六、科学技术支出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七、文化旅游体育与传媒支出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八、社会保障和就业支出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1,592.07</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1,592.07</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九、卫生健康支出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十、节能环保支出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十一、城乡社区支出</w:t>
            </w:r>
          </w:p>
        </w:tc>
        <w:tc>
          <w:tcPr>
            <w:tcW w:w="5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62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561" w:type="pc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十二、农林水支出</w:t>
            </w:r>
          </w:p>
        </w:tc>
        <w:tc>
          <w:tcPr>
            <w:tcW w:w="58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62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56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十三、交通运输支出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十四、资源勘探信息等支出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十五、商业服务业等支出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十六、金融支出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十七、援助其他地区支出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十八、自然资源海洋气象等支出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十九、住房保障支出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二十、粮油物资储备支出</w:t>
            </w:r>
          </w:p>
        </w:tc>
        <w:tc>
          <w:tcPr>
            <w:tcW w:w="58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二十一、灾害防治及应急管理支出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二十二、其他支出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二十三、债务还本支出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二十四、债务付息支出</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本年收入合计</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本年支出合计</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年初财政拨款结转和结余</w:t>
            </w:r>
          </w:p>
        </w:tc>
        <w:tc>
          <w:tcPr>
            <w:tcW w:w="80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135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年末财政拨款结转和结余</w:t>
            </w:r>
          </w:p>
        </w:tc>
        <w:tc>
          <w:tcPr>
            <w:tcW w:w="5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6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385" w:hRule="atLeast"/>
        </w:trPr>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一、一般公共预算财政拨款</w:t>
            </w:r>
          </w:p>
        </w:tc>
        <w:tc>
          <w:tcPr>
            <w:tcW w:w="80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1353"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583"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626"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61"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tblCellMar>
            <w:top w:w="15" w:type="dxa"/>
            <w:left w:w="15" w:type="dxa"/>
            <w:bottom w:w="15" w:type="dxa"/>
            <w:right w:w="15" w:type="dxa"/>
          </w:tblCellMar>
        </w:tblPrEx>
        <w:trPr>
          <w:trHeight w:val="398" w:hRule="atLeast"/>
        </w:trPr>
        <w:tc>
          <w:tcPr>
            <w:tcW w:w="1069"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二、政府性基金预算财政拨款</w:t>
            </w:r>
          </w:p>
        </w:tc>
        <w:tc>
          <w:tcPr>
            <w:tcW w:w="80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353"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583"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626"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61" w:type="pct"/>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tblCellMar>
            <w:top w:w="15" w:type="dxa"/>
            <w:left w:w="15" w:type="dxa"/>
            <w:bottom w:w="15" w:type="dxa"/>
            <w:right w:w="15" w:type="dxa"/>
          </w:tblCellMar>
        </w:tblPrEx>
        <w:trPr>
          <w:trHeight w:val="299" w:hRule="atLeast"/>
        </w:trPr>
        <w:tc>
          <w:tcPr>
            <w:tcW w:w="1069" w:type="pct"/>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总计</w:t>
            </w:r>
          </w:p>
        </w:tc>
        <w:tc>
          <w:tcPr>
            <w:tcW w:w="805"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135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总计</w:t>
            </w:r>
          </w:p>
        </w:tc>
        <w:tc>
          <w:tcPr>
            <w:tcW w:w="58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62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56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000" w:type="pct"/>
            <w:gridSpan w:val="6"/>
            <w:tcBorders>
              <w:top w:val="single" w:color="auto" w:sz="4" w:space="0"/>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备注：本表反映部门本年度一般公共预算财政拨款和政府性基金预算财政拨款的总收支和年末结转结余情况。</w:t>
            </w:r>
          </w:p>
        </w:tc>
      </w:tr>
    </w:tbl>
    <w:p>
      <w:pPr>
        <w:spacing w:before="0" w:line="346" w:lineRule="exact"/>
        <w:ind w:left="109" w:right="0" w:firstLine="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pPr>
        <w:spacing w:before="83"/>
        <w:ind w:left="747" w:right="0" w:firstLine="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after="0"/>
        <w:jc w:val="left"/>
        <w:rPr>
          <w:rFonts w:hint="eastAsia" w:ascii="方正仿宋_GBK" w:hAnsi="方正仿宋_GBK" w:eastAsia="方正仿宋_GBK" w:cs="方正仿宋_GBK"/>
          <w:b w:val="0"/>
          <w:bCs w:val="0"/>
          <w:sz w:val="32"/>
          <w:szCs w:val="32"/>
        </w:rPr>
        <w:sectPr>
          <w:pgSz w:w="16840" w:h="11910" w:orient="landscape"/>
          <w:pgMar w:top="1100" w:right="1340" w:bottom="1320" w:left="1480" w:header="0" w:footer="1054" w:gutter="0"/>
          <w:cols w:space="720" w:num="1"/>
        </w:sectPr>
      </w:pPr>
    </w:p>
    <w:p>
      <w:pPr>
        <w:spacing w:before="11" w:line="240" w:lineRule="auto"/>
        <w:rPr>
          <w:rFonts w:hint="eastAsia" w:ascii="方正仿宋_GBK" w:hAnsi="方正仿宋_GBK" w:eastAsia="方正仿宋_GBK" w:cs="方正仿宋_GBK"/>
          <w:b w:val="0"/>
          <w:bCs w:val="0"/>
          <w:sz w:val="32"/>
          <w:szCs w:val="32"/>
        </w:rPr>
      </w:pPr>
    </w:p>
    <w:tbl>
      <w:tblPr>
        <w:tblStyle w:val="6"/>
        <w:tblW w:w="5000" w:type="pct"/>
        <w:tblInd w:w="0" w:type="dxa"/>
        <w:shd w:val="clear" w:color="auto" w:fill="auto"/>
        <w:tblLayout w:type="autofit"/>
        <w:tblCellMar>
          <w:top w:w="15" w:type="dxa"/>
          <w:left w:w="15" w:type="dxa"/>
          <w:bottom w:w="15" w:type="dxa"/>
          <w:right w:w="15" w:type="dxa"/>
        </w:tblCellMar>
      </w:tblPr>
      <w:tblGrid>
        <w:gridCol w:w="1474"/>
        <w:gridCol w:w="3346"/>
        <w:gridCol w:w="1366"/>
        <w:gridCol w:w="1886"/>
        <w:gridCol w:w="1526"/>
        <w:gridCol w:w="1546"/>
        <w:gridCol w:w="1807"/>
        <w:gridCol w:w="1099"/>
      </w:tblGrid>
      <w:tr>
        <w:tblPrEx>
          <w:shd w:val="clear" w:color="auto" w:fill="auto"/>
          <w:tblCellMar>
            <w:top w:w="15" w:type="dxa"/>
            <w:left w:w="15" w:type="dxa"/>
            <w:bottom w:w="15" w:type="dxa"/>
            <w:right w:w="15" w:type="dxa"/>
          </w:tblCellMar>
        </w:tblPrEx>
        <w:trPr>
          <w:trHeight w:val="840" w:hRule="atLeast"/>
        </w:trPr>
        <w:tc>
          <w:tcPr>
            <w:tcW w:w="5000" w:type="pct"/>
            <w:gridSpan w:val="8"/>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一般公共预算财政拨款收入支出决算表</w:t>
            </w:r>
          </w:p>
        </w:tc>
      </w:tr>
      <w:tr>
        <w:tblPrEx>
          <w:shd w:val="clear" w:color="auto" w:fill="auto"/>
          <w:tblCellMar>
            <w:top w:w="15" w:type="dxa"/>
            <w:left w:w="15" w:type="dxa"/>
            <w:bottom w:w="15" w:type="dxa"/>
            <w:right w:w="15" w:type="dxa"/>
          </w:tblCellMar>
        </w:tblPrEx>
        <w:trPr>
          <w:trHeight w:val="299" w:hRule="atLeast"/>
        </w:trPr>
        <w:tc>
          <w:tcPr>
            <w:tcW w:w="5000" w:type="pct"/>
            <w:gridSpan w:val="8"/>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单位：万元</w:t>
            </w:r>
          </w:p>
        </w:tc>
      </w:tr>
      <w:tr>
        <w:tblPrEx>
          <w:shd w:val="clear" w:color="auto" w:fill="auto"/>
          <w:tblCellMar>
            <w:top w:w="15" w:type="dxa"/>
            <w:left w:w="15" w:type="dxa"/>
            <w:bottom w:w="15" w:type="dxa"/>
            <w:right w:w="15" w:type="dxa"/>
          </w:tblCellMar>
        </w:tblPrEx>
        <w:trPr>
          <w:trHeight w:val="299" w:hRule="atLeast"/>
        </w:trPr>
        <w:tc>
          <w:tcPr>
            <w:tcW w:w="17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w:t>
            </w:r>
          </w:p>
        </w:tc>
        <w:tc>
          <w:tcPr>
            <w:tcW w:w="486"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年初结转结余</w:t>
            </w:r>
          </w:p>
        </w:tc>
        <w:tc>
          <w:tcPr>
            <w:tcW w:w="6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本年收入</w:t>
            </w:r>
          </w:p>
        </w:tc>
        <w:tc>
          <w:tcPr>
            <w:tcW w:w="1735" w:type="pct"/>
            <w:gridSpan w:val="3"/>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本年支出</w:t>
            </w:r>
          </w:p>
        </w:tc>
        <w:tc>
          <w:tcPr>
            <w:tcW w:w="39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年末结转和结余</w:t>
            </w:r>
          </w:p>
        </w:tc>
      </w:tr>
      <w:tr>
        <w:tblPrEx>
          <w:shd w:val="clear" w:color="auto" w:fill="auto"/>
          <w:tblCellMar>
            <w:top w:w="15" w:type="dxa"/>
            <w:left w:w="15" w:type="dxa"/>
            <w:bottom w:w="15" w:type="dxa"/>
            <w:right w:w="15" w:type="dxa"/>
          </w:tblCellMar>
        </w:tblPrEx>
        <w:trPr>
          <w:trHeight w:val="299" w:hRule="atLeast"/>
        </w:trPr>
        <w:tc>
          <w:tcPr>
            <w:tcW w:w="525" w:type="pct"/>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功能分类科目编码</w:t>
            </w:r>
          </w:p>
        </w:tc>
        <w:tc>
          <w:tcPr>
            <w:tcW w:w="1191" w:type="pct"/>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项目（按“项”级功能分类科目）</w:t>
            </w:r>
          </w:p>
        </w:tc>
        <w:tc>
          <w:tcPr>
            <w:tcW w:w="48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43"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55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基本支出</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项目支出</w:t>
            </w:r>
          </w:p>
        </w:tc>
        <w:tc>
          <w:tcPr>
            <w:tcW w:w="39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611" w:hRule="atLeast"/>
        </w:trPr>
        <w:tc>
          <w:tcPr>
            <w:tcW w:w="525"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191"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8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4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9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525" w:type="pct"/>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191" w:type="pct"/>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8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4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5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9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171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48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6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4,936.60</w:t>
            </w:r>
          </w:p>
        </w:tc>
        <w:tc>
          <w:tcPr>
            <w:tcW w:w="54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4,937.69</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1,945.45</w:t>
            </w:r>
          </w:p>
        </w:tc>
        <w:tc>
          <w:tcPr>
            <w:tcW w:w="6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2,992.24</w:t>
            </w:r>
          </w:p>
        </w:tc>
        <w:tc>
          <w:tcPr>
            <w:tcW w:w="39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一般公共服务支出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1,484.49</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1,484.49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731.66</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人大事务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2010106</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人大监督</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政府办公厅（室）及相关机构事务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1,290.20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1,290.20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752.83</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2010308</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信访事务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537.37</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统计信息事务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2010505</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专项统计业务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36.00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财政事务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2010699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其他财政事务支出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纪检监察事务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2011199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其他纪检监察事务支出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群众团体事务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2012999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其他群众团体事务支出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统战事务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2013499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其他统战事务支出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w:t>
            </w:r>
          </w:p>
        </w:tc>
        <w:tc>
          <w:tcPr>
            <w:tcW w:w="119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其他共产党事务支出</w:t>
            </w:r>
          </w:p>
        </w:tc>
        <w:tc>
          <w:tcPr>
            <w:tcW w:w="48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4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9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2013602</w:t>
            </w:r>
          </w:p>
        </w:tc>
        <w:tc>
          <w:tcPr>
            <w:tcW w:w="119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一般行政管理事务</w:t>
            </w:r>
          </w:p>
        </w:tc>
        <w:tc>
          <w:tcPr>
            <w:tcW w:w="486"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4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550"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106.07</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市场监督管理事务</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2013899</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其他市场监督管理事务</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国防支出</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国防动员</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2030607</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民兵</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公共安全支出</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258.54</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220.12</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司法</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41.42</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41.42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38.42</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2040605</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普法宣传</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其他公共安全支出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2049901</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其他公共安全支出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217.12</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文化旅游体育与传媒支出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251.31</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122.39</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文化和旅游</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2070199</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其他文化和旅游支出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其他文化体育与传媒支出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118.39</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2079999</w:t>
            </w:r>
          </w:p>
        </w:tc>
        <w:tc>
          <w:tcPr>
            <w:tcW w:w="119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其他文化体育与传媒支出</w:t>
            </w:r>
          </w:p>
        </w:tc>
        <w:tc>
          <w:tcPr>
            <w:tcW w:w="48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4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247.31</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128.92</w:t>
            </w:r>
          </w:p>
        </w:tc>
        <w:tc>
          <w:tcPr>
            <w:tcW w:w="6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118.39</w:t>
            </w:r>
          </w:p>
        </w:tc>
        <w:tc>
          <w:tcPr>
            <w:tcW w:w="39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社会保障和就业支出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1,592.08</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1,592.08</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382.10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1,209.98</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18"/>
                <w:szCs w:val="18"/>
              </w:rPr>
            </w:pPr>
            <w:r>
              <w:rPr>
                <w:rFonts w:hint="eastAsia" w:ascii="宋体" w:hAnsi="宋体" w:eastAsia="宋体" w:cs="宋体"/>
                <w:b w:val="0"/>
                <w:bCs w:val="0"/>
                <w:i w:val="0"/>
                <w:iCs w:val="0"/>
                <w:kern w:val="0"/>
                <w:sz w:val="18"/>
                <w:szCs w:val="18"/>
              </w:rPr>
              <w:t>人力资源和社会保障管理事务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178.07</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17.64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2080199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其他人力资源和社会保障管理事务支出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195.71</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178.07</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17.64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民政管理事务</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1,134.79</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2080208</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基层政权和社区建设</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1,094.83</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2080299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其他民政管理事务支出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39.96</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行政事业单位离退休</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194.35</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2080505</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机关事业单位基本养老保险缴费支出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2080506</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机关事业单位职业年金缴费支出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2080599</w:t>
            </w:r>
          </w:p>
        </w:tc>
        <w:tc>
          <w:tcPr>
            <w:tcW w:w="119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其他行政事业单位离退休支出</w:t>
            </w:r>
          </w:p>
        </w:tc>
        <w:tc>
          <w:tcPr>
            <w:tcW w:w="48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54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46.28</w:t>
            </w:r>
          </w:p>
        </w:tc>
        <w:tc>
          <w:tcPr>
            <w:tcW w:w="64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w:t>
            </w:r>
          </w:p>
        </w:tc>
        <w:tc>
          <w:tcPr>
            <w:tcW w:w="119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抚恤</w:t>
            </w:r>
          </w:p>
        </w:tc>
        <w:tc>
          <w:tcPr>
            <w:tcW w:w="486"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4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50"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2080805</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义务兵优待</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29.52</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社会福利</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2081002</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老年福利</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28.03</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退役军人管理事务</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2082850</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9.68</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卫生健康支出</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89.16</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计划生育事务</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2100799</w:t>
            </w:r>
          </w:p>
        </w:tc>
        <w:tc>
          <w:tcPr>
            <w:tcW w:w="119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其他计划生育事务支出</w:t>
            </w:r>
          </w:p>
        </w:tc>
        <w:tc>
          <w:tcPr>
            <w:tcW w:w="48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4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17.00</w:t>
            </w:r>
          </w:p>
        </w:tc>
        <w:tc>
          <w:tcPr>
            <w:tcW w:w="39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行政事业单位医疗</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72.16</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行政单位医疗</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33.55</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2101102</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事业单位医疗</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25.97</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2101103</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公务员医疗补助</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2101199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其他行政事业单位医疗支出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5.92</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w:t>
            </w:r>
          </w:p>
        </w:tc>
        <w:tc>
          <w:tcPr>
            <w:tcW w:w="119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城乡社区支出</w:t>
            </w:r>
          </w:p>
        </w:tc>
        <w:tc>
          <w:tcPr>
            <w:tcW w:w="48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54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741.26</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89.89</w:t>
            </w:r>
          </w:p>
        </w:tc>
        <w:tc>
          <w:tcPr>
            <w:tcW w:w="64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651.37</w:t>
            </w:r>
          </w:p>
        </w:tc>
        <w:tc>
          <w:tcPr>
            <w:tcW w:w="39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城乡社区管理事务</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502.72</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502.72</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89.89</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412.83</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2120101</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行政运行</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86.58</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2120104</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城管执法</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373.44</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373.44</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3.31</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370.13</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2120199</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其他城乡社区管理事务支出</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42.70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城乡社区规划与管理</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2120201</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城乡社区规划与管理</w:t>
            </w:r>
          </w:p>
        </w:tc>
        <w:tc>
          <w:tcPr>
            <w:tcW w:w="48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4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55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22.00</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w:t>
            </w:r>
          </w:p>
        </w:tc>
        <w:tc>
          <w:tcPr>
            <w:tcW w:w="119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城乡社区环境卫生</w:t>
            </w:r>
          </w:p>
        </w:tc>
        <w:tc>
          <w:tcPr>
            <w:tcW w:w="48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4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9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2120501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城乡社区环境卫生</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198.00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其他城乡社区支出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2129901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其他城乡社区支出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18.54</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农林水支出</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429.57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24.72</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农业</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407.97</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407.97</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2130104</w:t>
            </w:r>
          </w:p>
        </w:tc>
        <w:tc>
          <w:tcPr>
            <w:tcW w:w="119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事业运行</w:t>
            </w:r>
          </w:p>
        </w:tc>
        <w:tc>
          <w:tcPr>
            <w:tcW w:w="48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4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55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404.85</w:t>
            </w:r>
          </w:p>
        </w:tc>
        <w:tc>
          <w:tcPr>
            <w:tcW w:w="64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2130199</w:t>
            </w:r>
          </w:p>
        </w:tc>
        <w:tc>
          <w:tcPr>
            <w:tcW w:w="119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其他农业支出</w:t>
            </w:r>
          </w:p>
        </w:tc>
        <w:tc>
          <w:tcPr>
            <w:tcW w:w="486"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54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550"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3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水利</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21.60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2130306</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水利工程运行与维护</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2130319</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江河湖库水系综合整治</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1.60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住房保障支出</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w:t>
            </w:r>
          </w:p>
        </w:tc>
        <w:tc>
          <w:tcPr>
            <w:tcW w:w="119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住房改革支出</w:t>
            </w:r>
          </w:p>
        </w:tc>
        <w:tc>
          <w:tcPr>
            <w:tcW w:w="48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6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4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55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76.28</w:t>
            </w:r>
          </w:p>
        </w:tc>
        <w:tc>
          <w:tcPr>
            <w:tcW w:w="6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2210201</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住房公积金</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75.19</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tblCellMar>
            <w:top w:w="15" w:type="dxa"/>
            <w:left w:w="15" w:type="dxa"/>
            <w:bottom w:w="15" w:type="dxa"/>
            <w:right w:w="15" w:type="dxa"/>
          </w:tblCellMar>
        </w:tblPrEx>
        <w:trPr>
          <w:trHeight w:val="299" w:hRule="atLeast"/>
        </w:trPr>
        <w:tc>
          <w:tcPr>
            <w:tcW w:w="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2210203</w:t>
            </w:r>
          </w:p>
        </w:tc>
        <w:tc>
          <w:tcPr>
            <w:tcW w:w="11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购房补贴</w:t>
            </w:r>
          </w:p>
        </w:tc>
        <w:tc>
          <w:tcPr>
            <w:tcW w:w="48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6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5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1.09</w:t>
            </w:r>
          </w:p>
        </w:tc>
        <w:tc>
          <w:tcPr>
            <w:tcW w:w="6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609" w:type="pct"/>
            <w:gridSpan w:val="7"/>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备注：本表反映部门本年度一般公共预算财政拨款收支余情况。</w:t>
            </w:r>
          </w:p>
        </w:tc>
        <w:tc>
          <w:tcPr>
            <w:tcW w:w="390" w:type="pct"/>
            <w:tcBorders>
              <w:top w:val="nil"/>
              <w:left w:val="nil"/>
              <w:bottom w:val="nil"/>
              <w:right w:val="nil"/>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r>
    </w:tbl>
    <w:p>
      <w:pPr>
        <w:spacing w:before="82"/>
        <w:ind w:left="747" w:right="0" w:firstLine="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after="0"/>
        <w:jc w:val="left"/>
        <w:rPr>
          <w:rFonts w:hint="eastAsia" w:ascii="方正仿宋_GBK" w:hAnsi="方正仿宋_GBK" w:eastAsia="方正仿宋_GBK" w:cs="方正仿宋_GBK"/>
          <w:b w:val="0"/>
          <w:bCs w:val="0"/>
          <w:sz w:val="32"/>
          <w:szCs w:val="32"/>
        </w:rPr>
        <w:sectPr>
          <w:pgSz w:w="16840" w:h="11910" w:orient="landscape"/>
          <w:pgMar w:top="1100" w:right="1340" w:bottom="1240" w:left="1480" w:header="0" w:footer="1054" w:gutter="0"/>
          <w:cols w:space="720" w:num="1"/>
        </w:sectPr>
      </w:pPr>
    </w:p>
    <w:tbl>
      <w:tblPr>
        <w:tblStyle w:val="6"/>
        <w:tblW w:w="5000" w:type="pct"/>
        <w:tblInd w:w="0" w:type="dxa"/>
        <w:shd w:val="clear" w:color="auto" w:fill="auto"/>
        <w:tblLayout w:type="autofit"/>
        <w:tblCellMar>
          <w:top w:w="15" w:type="dxa"/>
          <w:left w:w="15" w:type="dxa"/>
          <w:bottom w:w="15" w:type="dxa"/>
          <w:right w:w="15" w:type="dxa"/>
        </w:tblCellMar>
      </w:tblPr>
      <w:tblGrid>
        <w:gridCol w:w="1123"/>
        <w:gridCol w:w="2928"/>
        <w:gridCol w:w="1183"/>
        <w:gridCol w:w="880"/>
        <w:gridCol w:w="2492"/>
        <w:gridCol w:w="1071"/>
        <w:gridCol w:w="880"/>
        <w:gridCol w:w="2515"/>
        <w:gridCol w:w="978"/>
      </w:tblGrid>
      <w:tr>
        <w:tblPrEx>
          <w:shd w:val="clear" w:color="auto" w:fill="auto"/>
          <w:tblCellMar>
            <w:top w:w="15" w:type="dxa"/>
            <w:left w:w="15" w:type="dxa"/>
            <w:bottom w:w="15" w:type="dxa"/>
            <w:right w:w="15" w:type="dxa"/>
          </w:tblCellMar>
        </w:tblPrEx>
        <w:trPr>
          <w:trHeight w:val="840" w:hRule="atLeast"/>
        </w:trPr>
        <w:tc>
          <w:tcPr>
            <w:tcW w:w="5000" w:type="pct"/>
            <w:gridSpan w:val="9"/>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一般公共预算财政拨款基本支出决算表</w:t>
            </w:r>
          </w:p>
        </w:tc>
      </w:tr>
      <w:tr>
        <w:tblPrEx>
          <w:shd w:val="clear" w:color="auto" w:fill="auto"/>
          <w:tblCellMar>
            <w:top w:w="15" w:type="dxa"/>
            <w:left w:w="15" w:type="dxa"/>
            <w:bottom w:w="15" w:type="dxa"/>
            <w:right w:w="15" w:type="dxa"/>
          </w:tblCellMar>
        </w:tblPrEx>
        <w:trPr>
          <w:trHeight w:val="299" w:hRule="atLeast"/>
        </w:trPr>
        <w:tc>
          <w:tcPr>
            <w:tcW w:w="5000" w:type="pct"/>
            <w:gridSpan w:val="9"/>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单位：万元</w:t>
            </w:r>
          </w:p>
        </w:tc>
      </w:tr>
      <w:tr>
        <w:tblPrEx>
          <w:shd w:val="clear" w:color="auto" w:fill="auto"/>
          <w:tblCellMar>
            <w:top w:w="15" w:type="dxa"/>
            <w:left w:w="15" w:type="dxa"/>
            <w:bottom w:w="15" w:type="dxa"/>
            <w:right w:w="15" w:type="dxa"/>
          </w:tblCellMar>
        </w:tblPrEx>
        <w:trPr>
          <w:trHeight w:val="299" w:hRule="atLeast"/>
        </w:trPr>
        <w:tc>
          <w:tcPr>
            <w:tcW w:w="186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人员经费</w:t>
            </w:r>
          </w:p>
        </w:tc>
        <w:tc>
          <w:tcPr>
            <w:tcW w:w="3136" w:type="pct"/>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公用经费</w:t>
            </w:r>
          </w:p>
        </w:tc>
      </w:tr>
      <w:tr>
        <w:tblPrEx>
          <w:shd w:val="clear" w:color="auto" w:fill="auto"/>
          <w:tblCellMar>
            <w:top w:w="15" w:type="dxa"/>
            <w:left w:w="15" w:type="dxa"/>
            <w:bottom w:w="15" w:type="dxa"/>
            <w:right w:w="15" w:type="dxa"/>
          </w:tblCellMar>
        </w:tblPrEx>
        <w:trPr>
          <w:trHeight w:val="299" w:hRule="atLeast"/>
        </w:trPr>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经济分类科目编码</w:t>
            </w:r>
          </w:p>
        </w:tc>
        <w:tc>
          <w:tcPr>
            <w:tcW w:w="1041"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经济分类科目（按“款”级功能分类科目）</w:t>
            </w:r>
          </w:p>
        </w:tc>
        <w:tc>
          <w:tcPr>
            <w:tcW w:w="42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金额</w:t>
            </w:r>
          </w:p>
        </w:tc>
        <w:tc>
          <w:tcPr>
            <w:tcW w:w="313"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经济分类科目编码</w:t>
            </w:r>
          </w:p>
        </w:tc>
        <w:tc>
          <w:tcPr>
            <w:tcW w:w="887"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经济分类科目（按“款”级功能分类科目）</w:t>
            </w:r>
          </w:p>
        </w:tc>
        <w:tc>
          <w:tcPr>
            <w:tcW w:w="38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金额</w:t>
            </w:r>
          </w:p>
        </w:tc>
        <w:tc>
          <w:tcPr>
            <w:tcW w:w="313"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经济分类科目编码</w:t>
            </w:r>
          </w:p>
        </w:tc>
        <w:tc>
          <w:tcPr>
            <w:tcW w:w="893"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经济分类科目（按“款”级功能分类科目）</w:t>
            </w:r>
          </w:p>
        </w:tc>
        <w:tc>
          <w:tcPr>
            <w:tcW w:w="346"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金额</w:t>
            </w:r>
          </w:p>
        </w:tc>
      </w:tr>
      <w:tr>
        <w:tblPrEx>
          <w:shd w:val="clear" w:color="auto" w:fill="auto"/>
          <w:tblCellMar>
            <w:top w:w="15" w:type="dxa"/>
            <w:left w:w="15" w:type="dxa"/>
            <w:bottom w:w="15" w:type="dxa"/>
            <w:right w:w="15" w:type="dxa"/>
          </w:tblCellMar>
        </w:tblPrEx>
        <w:trPr>
          <w:trHeight w:val="598" w:hRule="atLeast"/>
        </w:trPr>
        <w:tc>
          <w:tcPr>
            <w:tcW w:w="40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041"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2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1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887"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8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1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89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46"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w:t>
            </w:r>
          </w:p>
        </w:tc>
        <w:tc>
          <w:tcPr>
            <w:tcW w:w="10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工资福利支出</w:t>
            </w:r>
          </w:p>
        </w:tc>
        <w:tc>
          <w:tcPr>
            <w:tcW w:w="42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1,437.88</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w:t>
            </w:r>
          </w:p>
        </w:tc>
        <w:tc>
          <w:tcPr>
            <w:tcW w:w="88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商品和服务支出</w:t>
            </w:r>
          </w:p>
        </w:tc>
        <w:tc>
          <w:tcPr>
            <w:tcW w:w="3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429.67</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w:t>
            </w:r>
          </w:p>
        </w:tc>
        <w:tc>
          <w:tcPr>
            <w:tcW w:w="89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资本性支出</w:t>
            </w:r>
          </w:p>
        </w:tc>
        <w:tc>
          <w:tcPr>
            <w:tcW w:w="346"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17.26</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30101</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基本工资</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310.95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30201</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办公费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64.90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31001</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房屋建筑物购建</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30102</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津贴补贴</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188.19</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30202</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印刷费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31002</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办公设备购置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17.26</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30103</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奖金</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128.21</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30203</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咨询费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31003</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专用设备购置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30106</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伙食补助费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30204</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手续费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0.26</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31005</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基础设施建设</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30107</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绩效工资</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279.91</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30205</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水费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31006</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大型修缮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30108</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机关事业单位基本养老保险费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101.15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30206</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电费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0.90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31007</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信息网络及软件购置更新</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30109</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职业年金缴费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46.92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30207</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邮电费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20.61</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31008</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物资储备</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30110</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职工基本医疗保险缴费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108.35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30208</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取暖费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31009</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土地补偿</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30111</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公务员医疗补助缴费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6.72</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30209</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物业管理费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31010</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安置补助</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30112</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其他社会保障缴费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2.81</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30211</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差旅费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140.13</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31011</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地上附着物和青苗补偿</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30113</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住房公积金</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127.57</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30212</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因公出国（境）费用</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31012</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拆迁补偿</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30114</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医疗费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10.50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30213</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维修（护）费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0.39</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31013</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公务用车购置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30199</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其他工资福利支出</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126.60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30214</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租赁费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31019</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其他交通工具购置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对个人和家庭的补助</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60.65</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30215</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会议费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31021</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文物和陈列品购置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30301</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离休费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30216</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培训费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1.06</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31022</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无形资产购置</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30302</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退休费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30217</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公务接待费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31099</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其他资本性支出</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327"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30303</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退职（役）费</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30218</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专用材料费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对企业补助</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30304</w:t>
            </w: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抚恤金</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30224</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被装购置费</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31201</w:t>
            </w: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资本金注入</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30305</w:t>
            </w:r>
          </w:p>
        </w:tc>
        <w:tc>
          <w:tcPr>
            <w:tcW w:w="104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生活补助</w:t>
            </w:r>
          </w:p>
        </w:tc>
        <w:tc>
          <w:tcPr>
            <w:tcW w:w="42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49.13</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30225</w:t>
            </w:r>
          </w:p>
        </w:tc>
        <w:tc>
          <w:tcPr>
            <w:tcW w:w="887"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专用燃料费</w:t>
            </w:r>
          </w:p>
        </w:tc>
        <w:tc>
          <w:tcPr>
            <w:tcW w:w="381"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31203</w:t>
            </w:r>
          </w:p>
        </w:tc>
        <w:tc>
          <w:tcPr>
            <w:tcW w:w="893"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政府投资基金股权投资</w:t>
            </w:r>
          </w:p>
        </w:tc>
        <w:tc>
          <w:tcPr>
            <w:tcW w:w="346"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30306</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救济费</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30226</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劳务费</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1.29</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31204</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费用补贴</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30307</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医疗费补助</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11.51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30227</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委托业务费</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31205</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利息补贴</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30308</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助学金</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30228</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工会经费</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12.24</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31299</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其他对企业补助</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30309</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奖励金</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30229</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福利费</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8.08</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其他支出</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30310</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个人农业生产补贴</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30231</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公务用车运行维护费</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14.19</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39906</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赠与</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30399</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其他个人和家庭的补助支出</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30239</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其他交通费用</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35.64</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39907</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国家赔偿费用支出</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30240</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税金及附加费用</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39908</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对民间非营利组织和群众性自治组织补贴</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30299</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其他商品和服务支出</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128.53</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39999</w:t>
            </w:r>
          </w:p>
        </w:tc>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其他支出</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4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307</w:t>
            </w:r>
          </w:p>
        </w:tc>
        <w:tc>
          <w:tcPr>
            <w:tcW w:w="88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债务利息及费用支出</w:t>
            </w:r>
          </w:p>
        </w:tc>
        <w:tc>
          <w:tcPr>
            <w:tcW w:w="38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93"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346" w:type="pct"/>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30701</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国内债务付息</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30702</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国外债务付息</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30703</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国内债务发行费用</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shd w:val="clear" w:color="auto" w:fill="auto"/>
          <w:tblCellMar>
            <w:top w:w="15" w:type="dxa"/>
            <w:left w:w="15" w:type="dxa"/>
            <w:bottom w:w="15" w:type="dxa"/>
            <w:right w:w="15" w:type="dxa"/>
          </w:tblCellMar>
        </w:tblPrEx>
        <w:trPr>
          <w:trHeight w:val="299" w:hRule="atLeast"/>
        </w:trPr>
        <w:tc>
          <w:tcPr>
            <w:tcW w:w="4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04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30704</w:t>
            </w:r>
          </w:p>
        </w:tc>
        <w:tc>
          <w:tcPr>
            <w:tcW w:w="88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国外债务发行费用</w:t>
            </w:r>
          </w:p>
        </w:tc>
        <w:tc>
          <w:tcPr>
            <w:tcW w:w="3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893"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tblCellMar>
            <w:top w:w="15" w:type="dxa"/>
            <w:left w:w="15" w:type="dxa"/>
            <w:bottom w:w="15" w:type="dxa"/>
            <w:right w:w="15" w:type="dxa"/>
          </w:tblCellMar>
        </w:tblPrEx>
        <w:trPr>
          <w:trHeight w:val="299" w:hRule="atLeast"/>
        </w:trPr>
        <w:tc>
          <w:tcPr>
            <w:tcW w:w="144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人员经费合计</w:t>
            </w:r>
          </w:p>
        </w:tc>
        <w:tc>
          <w:tcPr>
            <w:tcW w:w="4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1,498.53</w:t>
            </w:r>
          </w:p>
        </w:tc>
        <w:tc>
          <w:tcPr>
            <w:tcW w:w="2789" w:type="pct"/>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公用经费合计</w:t>
            </w:r>
          </w:p>
        </w:tc>
        <w:tc>
          <w:tcPr>
            <w:tcW w:w="3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446.93</w:t>
            </w:r>
          </w:p>
        </w:tc>
      </w:tr>
      <w:tr>
        <w:tblPrEx>
          <w:tblCellMar>
            <w:top w:w="15" w:type="dxa"/>
            <w:left w:w="15" w:type="dxa"/>
            <w:bottom w:w="15" w:type="dxa"/>
            <w:right w:w="15" w:type="dxa"/>
          </w:tblCellMar>
        </w:tblPrEx>
        <w:trPr>
          <w:trHeight w:val="299"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注：本表反映部门本年度一般公共预算财政拨款基本支出明细情况。</w:t>
            </w:r>
          </w:p>
        </w:tc>
      </w:tr>
    </w:tbl>
    <w:p>
      <w:pPr>
        <w:spacing w:before="78"/>
        <w:ind w:left="747" w:right="0" w:firstLine="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after="0"/>
        <w:jc w:val="left"/>
        <w:rPr>
          <w:rFonts w:hint="eastAsia" w:ascii="方正仿宋_GBK" w:hAnsi="方正仿宋_GBK" w:eastAsia="方正仿宋_GBK" w:cs="方正仿宋_GBK"/>
          <w:b w:val="0"/>
          <w:bCs w:val="0"/>
          <w:sz w:val="32"/>
          <w:szCs w:val="32"/>
        </w:rPr>
        <w:sectPr>
          <w:pgSz w:w="16840" w:h="11910" w:orient="landscape"/>
          <w:pgMar w:top="1100" w:right="1340" w:bottom="1320" w:left="1480" w:header="0" w:footer="1054" w:gutter="0"/>
          <w:cols w:space="720" w:num="1"/>
        </w:sectPr>
      </w:pPr>
    </w:p>
    <w:tbl>
      <w:tblPr>
        <w:tblStyle w:val="6"/>
        <w:tblW w:w="5000" w:type="pct"/>
        <w:tblInd w:w="0" w:type="dxa"/>
        <w:shd w:val="clear" w:color="auto" w:fill="auto"/>
        <w:tblLayout w:type="autofit"/>
        <w:tblCellMar>
          <w:top w:w="15" w:type="dxa"/>
          <w:left w:w="15" w:type="dxa"/>
          <w:bottom w:w="15" w:type="dxa"/>
          <w:right w:w="15" w:type="dxa"/>
        </w:tblCellMar>
      </w:tblPr>
      <w:tblGrid>
        <w:gridCol w:w="3212"/>
        <w:gridCol w:w="3178"/>
        <w:gridCol w:w="1484"/>
        <w:gridCol w:w="1293"/>
        <w:gridCol w:w="1144"/>
        <w:gridCol w:w="1427"/>
        <w:gridCol w:w="1458"/>
        <w:gridCol w:w="854"/>
      </w:tblGrid>
      <w:tr>
        <w:tblPrEx>
          <w:shd w:val="clear" w:color="auto" w:fill="auto"/>
          <w:tblCellMar>
            <w:top w:w="15" w:type="dxa"/>
            <w:left w:w="15" w:type="dxa"/>
            <w:bottom w:w="15" w:type="dxa"/>
            <w:right w:w="15" w:type="dxa"/>
          </w:tblCellMar>
        </w:tblPrEx>
        <w:trPr>
          <w:trHeight w:val="544" w:hRule="atLeast"/>
        </w:trPr>
        <w:tc>
          <w:tcPr>
            <w:tcW w:w="5000" w:type="pct"/>
            <w:gridSpan w:val="8"/>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政府性基金预算财政拨款收入支出决算表</w:t>
            </w:r>
          </w:p>
        </w:tc>
      </w:tr>
      <w:tr>
        <w:tblPrEx>
          <w:shd w:val="clear" w:color="auto" w:fill="auto"/>
          <w:tblCellMar>
            <w:top w:w="15" w:type="dxa"/>
            <w:left w:w="15" w:type="dxa"/>
            <w:bottom w:w="15" w:type="dxa"/>
            <w:right w:w="15" w:type="dxa"/>
          </w:tblCellMar>
        </w:tblPrEx>
        <w:trPr>
          <w:trHeight w:val="299" w:hRule="atLeast"/>
        </w:trPr>
        <w:tc>
          <w:tcPr>
            <w:tcW w:w="5000" w:type="pct"/>
            <w:gridSpan w:val="8"/>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公开部门：重庆市大渡口区八桥镇人民政府</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单位：万元</w:t>
            </w:r>
          </w:p>
        </w:tc>
      </w:tr>
      <w:tr>
        <w:tblPrEx>
          <w:shd w:val="clear" w:color="auto" w:fill="auto"/>
          <w:tblCellMar>
            <w:top w:w="15" w:type="dxa"/>
            <w:left w:w="15" w:type="dxa"/>
            <w:bottom w:w="15" w:type="dxa"/>
            <w:right w:w="15" w:type="dxa"/>
          </w:tblCellMar>
        </w:tblPrEx>
        <w:trPr>
          <w:trHeight w:val="299" w:hRule="atLeast"/>
        </w:trPr>
        <w:tc>
          <w:tcPr>
            <w:tcW w:w="22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w:t>
            </w:r>
          </w:p>
        </w:tc>
        <w:tc>
          <w:tcPr>
            <w:tcW w:w="528"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年初结转和结余</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本年收入</w:t>
            </w:r>
          </w:p>
        </w:tc>
        <w:tc>
          <w:tcPr>
            <w:tcW w:w="143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本年支出</w:t>
            </w:r>
          </w:p>
        </w:tc>
        <w:tc>
          <w:tcPr>
            <w:tcW w:w="301"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年末结转和结余</w:t>
            </w:r>
          </w:p>
        </w:tc>
      </w:tr>
      <w:tr>
        <w:tblPrEx>
          <w:shd w:val="clear" w:color="auto" w:fill="auto"/>
          <w:tblCellMar>
            <w:top w:w="15" w:type="dxa"/>
            <w:left w:w="15" w:type="dxa"/>
            <w:bottom w:w="15" w:type="dxa"/>
            <w:right w:w="15" w:type="dxa"/>
          </w:tblCellMar>
        </w:tblPrEx>
        <w:trPr>
          <w:trHeight w:val="299" w:hRule="atLeast"/>
        </w:trPr>
        <w:tc>
          <w:tcPr>
            <w:tcW w:w="114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功能分类科目编码</w:t>
            </w:r>
          </w:p>
        </w:tc>
        <w:tc>
          <w:tcPr>
            <w:tcW w:w="1130"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项目（按“项”级功能分类科目）</w:t>
            </w:r>
          </w:p>
        </w:tc>
        <w:tc>
          <w:tcPr>
            <w:tcW w:w="52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基本支出</w:t>
            </w:r>
          </w:p>
        </w:tc>
        <w:tc>
          <w:tcPr>
            <w:tcW w:w="518"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项目支出</w:t>
            </w:r>
          </w:p>
        </w:tc>
        <w:tc>
          <w:tcPr>
            <w:tcW w:w="30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114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130"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2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1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0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tblCellMar>
            <w:top w:w="15" w:type="dxa"/>
            <w:left w:w="15" w:type="dxa"/>
            <w:bottom w:w="15" w:type="dxa"/>
            <w:right w:w="15" w:type="dxa"/>
          </w:tblCellMar>
        </w:tblPrEx>
        <w:trPr>
          <w:trHeight w:val="598" w:hRule="atLeast"/>
        </w:trPr>
        <w:tc>
          <w:tcPr>
            <w:tcW w:w="114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1130"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2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518"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c>
          <w:tcPr>
            <w:tcW w:w="301"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rPr>
                <w:rFonts w:hint="default" w:ascii="Times New Roman" w:hAnsi="Times New Roman" w:cs="Times New Roman"/>
                <w:b w:val="0"/>
                <w:bCs w:val="0"/>
                <w:sz w:val="20"/>
                <w:szCs w:val="20"/>
              </w:rPr>
            </w:pPr>
          </w:p>
        </w:tc>
      </w:tr>
      <w:tr>
        <w:tblPrEx>
          <w:shd w:val="clear" w:color="auto" w:fill="auto"/>
          <w:tblCellMar>
            <w:top w:w="15" w:type="dxa"/>
            <w:left w:w="15" w:type="dxa"/>
            <w:bottom w:w="15" w:type="dxa"/>
            <w:right w:w="15" w:type="dxa"/>
          </w:tblCellMar>
        </w:tblPrEx>
        <w:trPr>
          <w:trHeight w:val="299" w:hRule="atLeast"/>
        </w:trPr>
        <w:tc>
          <w:tcPr>
            <w:tcW w:w="22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合计</w:t>
            </w:r>
          </w:p>
        </w:tc>
        <w:tc>
          <w:tcPr>
            <w:tcW w:w="528"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18"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01"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tblCellMar>
            <w:top w:w="15" w:type="dxa"/>
            <w:left w:w="15" w:type="dxa"/>
            <w:bottom w:w="15" w:type="dxa"/>
            <w:right w:w="15" w:type="dxa"/>
          </w:tblCellMar>
        </w:tblPrEx>
        <w:trPr>
          <w:trHeight w:val="299" w:hRule="atLeast"/>
        </w:trPr>
        <w:tc>
          <w:tcPr>
            <w:tcW w:w="11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1130"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528"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518"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c>
          <w:tcPr>
            <w:tcW w:w="301"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right"/>
              <w:rPr>
                <w:rFonts w:hint="eastAsia" w:ascii="宋体" w:hAnsi="宋体" w:eastAsia="宋体" w:cs="宋体"/>
                <w:b w:val="0"/>
                <w:bCs w:val="0"/>
                <w:i w:val="0"/>
                <w:iCs w:val="0"/>
                <w:kern w:val="0"/>
                <w:sz w:val="20"/>
                <w:szCs w:val="20"/>
              </w:rPr>
            </w:pPr>
          </w:p>
        </w:tc>
      </w:tr>
      <w:tr>
        <w:tblPrEx>
          <w:shd w:val="clear" w:color="auto" w:fill="auto"/>
          <w:tblCellMar>
            <w:top w:w="15" w:type="dxa"/>
            <w:left w:w="15" w:type="dxa"/>
            <w:bottom w:w="15" w:type="dxa"/>
            <w:right w:w="15" w:type="dxa"/>
          </w:tblCellMar>
        </w:tblPrEx>
        <w:trPr>
          <w:trHeight w:val="299" w:hRule="atLeast"/>
        </w:trPr>
        <w:tc>
          <w:tcPr>
            <w:tcW w:w="5000" w:type="pct"/>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备注：本单位无政府性基金收入，也没有使用政府性基金安排的支出，故本表无数据。</w:t>
            </w:r>
          </w:p>
        </w:tc>
      </w:tr>
    </w:tbl>
    <w:p>
      <w:pPr>
        <w:spacing w:before="11" w:line="240" w:lineRule="auto"/>
        <w:rPr>
          <w:rFonts w:hint="eastAsia" w:ascii="方正仿宋_GBK" w:hAnsi="方正仿宋_GBK" w:eastAsia="方正仿宋_GBK" w:cs="方正仿宋_GBK"/>
          <w:b w:val="0"/>
          <w:bCs w:val="0"/>
          <w:sz w:val="32"/>
          <w:szCs w:val="32"/>
        </w:rPr>
      </w:pPr>
    </w:p>
    <w:p>
      <w:pPr>
        <w:spacing w:before="10" w:line="240" w:lineRule="auto"/>
        <w:rPr>
          <w:rFonts w:hint="eastAsia" w:ascii="方正仿宋_GBK" w:hAnsi="方正仿宋_GBK" w:eastAsia="方正仿宋_GBK" w:cs="方正仿宋_GBK"/>
          <w:b w:val="0"/>
          <w:bCs w:val="0"/>
          <w:sz w:val="32"/>
          <w:szCs w:val="32"/>
        </w:rPr>
      </w:pPr>
    </w:p>
    <w:p>
      <w:pPr>
        <w:spacing w:before="0" w:line="417" w:lineRule="exact"/>
        <w:ind w:left="747" w:right="0" w:firstLine="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w w:val="100"/>
          <w:sz w:val="32"/>
          <w:szCs w:val="32"/>
        </w:rPr>
        <w:t xml:space="preserve">  </w:t>
      </w:r>
    </w:p>
    <w:p>
      <w:pPr>
        <w:spacing w:after="0" w:line="417" w:lineRule="exact"/>
        <w:jc w:val="left"/>
        <w:rPr>
          <w:rFonts w:hint="eastAsia" w:ascii="方正仿宋_GBK" w:hAnsi="方正仿宋_GBK" w:eastAsia="方正仿宋_GBK" w:cs="方正仿宋_GBK"/>
          <w:b w:val="0"/>
          <w:bCs w:val="0"/>
          <w:sz w:val="32"/>
          <w:szCs w:val="32"/>
        </w:rPr>
        <w:sectPr>
          <w:pgSz w:w="16840" w:h="11910" w:orient="landscape"/>
          <w:pgMar w:top="1100" w:right="1340" w:bottom="1320" w:left="1480" w:header="0" w:footer="1054" w:gutter="0"/>
          <w:cols w:space="720" w:num="1"/>
        </w:sectPr>
      </w:pPr>
    </w:p>
    <w:tbl>
      <w:tblPr>
        <w:tblStyle w:val="6"/>
        <w:tblW w:w="5000" w:type="pct"/>
        <w:tblInd w:w="0" w:type="dxa"/>
        <w:shd w:val="clear" w:color="auto" w:fill="auto"/>
        <w:tblLayout w:type="autofit"/>
        <w:tblCellMar>
          <w:top w:w="15" w:type="dxa"/>
          <w:left w:w="15" w:type="dxa"/>
          <w:bottom w:w="15" w:type="dxa"/>
          <w:right w:w="15" w:type="dxa"/>
        </w:tblCellMar>
      </w:tblPr>
      <w:tblGrid>
        <w:gridCol w:w="4703"/>
        <w:gridCol w:w="1515"/>
        <w:gridCol w:w="1335"/>
        <w:gridCol w:w="5064"/>
        <w:gridCol w:w="1433"/>
      </w:tblGrid>
      <w:tr>
        <w:tblPrEx>
          <w:shd w:val="clear" w:color="auto" w:fill="auto"/>
          <w:tblCellMar>
            <w:top w:w="15" w:type="dxa"/>
            <w:left w:w="15" w:type="dxa"/>
            <w:bottom w:w="15" w:type="dxa"/>
            <w:right w:w="15"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b w:val="0"/>
                <w:bCs w:val="0"/>
                <w:i w:val="0"/>
                <w:iCs w:val="0"/>
                <w:kern w:val="0"/>
                <w:sz w:val="18"/>
                <w:szCs w:val="18"/>
              </w:rPr>
            </w:pPr>
            <w:r>
              <w:rPr>
                <w:rFonts w:hint="eastAsia" w:ascii="黑体" w:hAnsi="宋体" w:eastAsia="黑体" w:cs="黑体"/>
                <w:b w:val="0"/>
                <w:bCs w:val="0"/>
                <w:i w:val="0"/>
                <w:iCs w:val="0"/>
                <w:kern w:val="0"/>
                <w:sz w:val="44"/>
                <w:szCs w:val="44"/>
              </w:rPr>
              <w:t>机构运行信息表</w:t>
            </w:r>
          </w:p>
        </w:tc>
      </w:tr>
      <w:tr>
        <w:tblPrEx>
          <w:shd w:val="clear" w:color="auto" w:fill="auto"/>
          <w:tblCellMar>
            <w:top w:w="15" w:type="dxa"/>
            <w:left w:w="15" w:type="dxa"/>
            <w:bottom w:w="15" w:type="dxa"/>
            <w:right w:w="15" w:type="dxa"/>
          </w:tblCellMar>
        </w:tblPrEx>
        <w:trPr>
          <w:trHeight w:val="299" w:hRule="atLeast"/>
        </w:trPr>
        <w:tc>
          <w:tcPr>
            <w:tcW w:w="5000" w:type="pct"/>
            <w:gridSpan w:val="5"/>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 xml:space="preserve">公开部门：重庆市大渡口区八桥镇人民政府     </w:t>
            </w:r>
            <w:r>
              <w:rPr>
                <w:rFonts w:hint="eastAsia" w:ascii="宋体" w:hAnsi="宋体" w:eastAsia="宋体" w:cs="宋体"/>
                <w:b w:val="0"/>
                <w:bCs w:val="0"/>
                <w:i w:val="0"/>
                <w:iCs w:val="0"/>
                <w:kern w:val="0"/>
                <w:sz w:val="24"/>
                <w:szCs w:val="24"/>
                <w:lang w:val="en-US" w:eastAsia="zh-CN"/>
              </w:rPr>
              <w:t xml:space="preserve">                                                           </w:t>
            </w:r>
            <w:r>
              <w:rPr>
                <w:rFonts w:hint="eastAsia" w:ascii="宋体" w:hAnsi="宋体" w:eastAsia="宋体" w:cs="宋体"/>
                <w:b w:val="0"/>
                <w:bCs w:val="0"/>
                <w:i w:val="0"/>
                <w:iCs w:val="0"/>
                <w:kern w:val="0"/>
                <w:sz w:val="24"/>
                <w:szCs w:val="24"/>
              </w:rPr>
              <w:t xml:space="preserve">    单位：万元</w:t>
            </w:r>
          </w:p>
        </w:tc>
      </w:tr>
      <w:tr>
        <w:tblPrEx>
          <w:shd w:val="clear" w:color="auto" w:fill="auto"/>
          <w:tblCellMar>
            <w:top w:w="15" w:type="dxa"/>
            <w:left w:w="15" w:type="dxa"/>
            <w:bottom w:w="15" w:type="dxa"/>
            <w:right w:w="15" w:type="dxa"/>
          </w:tblCellMar>
        </w:tblPrEx>
        <w:trPr>
          <w:trHeight w:val="449" w:hRule="atLeast"/>
        </w:trPr>
        <w:tc>
          <w:tcPr>
            <w:tcW w:w="1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  目</w:t>
            </w:r>
          </w:p>
        </w:tc>
        <w:tc>
          <w:tcPr>
            <w:tcW w:w="5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预算数</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c>
          <w:tcPr>
            <w:tcW w:w="18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项  目</w:t>
            </w:r>
          </w:p>
        </w:tc>
        <w:tc>
          <w:tcPr>
            <w:tcW w:w="50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决算数</w:t>
            </w:r>
          </w:p>
        </w:tc>
      </w:tr>
      <w:tr>
        <w:tblPrEx>
          <w:shd w:val="clear" w:color="auto" w:fill="auto"/>
          <w:tblCellMar>
            <w:top w:w="15" w:type="dxa"/>
            <w:left w:w="15" w:type="dxa"/>
            <w:bottom w:w="15" w:type="dxa"/>
            <w:right w:w="15" w:type="dxa"/>
          </w:tblCellMar>
        </w:tblPrEx>
        <w:trPr>
          <w:trHeight w:val="299" w:hRule="atLeast"/>
        </w:trPr>
        <w:tc>
          <w:tcPr>
            <w:tcW w:w="1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一、“三公”经费支出</w:t>
            </w:r>
          </w:p>
        </w:tc>
        <w:tc>
          <w:tcPr>
            <w:tcW w:w="5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18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四、机关运行经费</w:t>
            </w:r>
          </w:p>
        </w:tc>
        <w:tc>
          <w:tcPr>
            <w:tcW w:w="50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157.51</w:t>
            </w:r>
          </w:p>
        </w:tc>
      </w:tr>
      <w:tr>
        <w:tblPrEx>
          <w:shd w:val="clear" w:color="auto" w:fill="auto"/>
          <w:tblCellMar>
            <w:top w:w="15" w:type="dxa"/>
            <w:left w:w="15" w:type="dxa"/>
            <w:bottom w:w="15" w:type="dxa"/>
            <w:right w:w="15" w:type="dxa"/>
          </w:tblCellMar>
        </w:tblPrEx>
        <w:trPr>
          <w:trHeight w:val="299" w:hRule="atLeast"/>
        </w:trPr>
        <w:tc>
          <w:tcPr>
            <w:tcW w:w="1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（一）支出合计</w:t>
            </w:r>
          </w:p>
        </w:tc>
        <w:tc>
          <w:tcPr>
            <w:tcW w:w="5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59.56</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32.09</w:t>
            </w:r>
          </w:p>
        </w:tc>
        <w:tc>
          <w:tcPr>
            <w:tcW w:w="18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（一）行政单位</w:t>
            </w:r>
          </w:p>
        </w:tc>
        <w:tc>
          <w:tcPr>
            <w:tcW w:w="50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157.51</w:t>
            </w:r>
          </w:p>
        </w:tc>
      </w:tr>
      <w:tr>
        <w:tblPrEx>
          <w:shd w:val="clear" w:color="auto" w:fill="auto"/>
          <w:tblCellMar>
            <w:top w:w="15" w:type="dxa"/>
            <w:left w:w="15" w:type="dxa"/>
            <w:bottom w:w="15" w:type="dxa"/>
            <w:right w:w="15" w:type="dxa"/>
          </w:tblCellMar>
        </w:tblPrEx>
        <w:trPr>
          <w:trHeight w:val="299" w:hRule="atLeast"/>
        </w:trPr>
        <w:tc>
          <w:tcPr>
            <w:tcW w:w="167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1．因公出国（境）费</w:t>
            </w:r>
          </w:p>
        </w:tc>
        <w:tc>
          <w:tcPr>
            <w:tcW w:w="53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02"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（二）参照公务员法管理事业单位</w:t>
            </w:r>
          </w:p>
        </w:tc>
        <w:tc>
          <w:tcPr>
            <w:tcW w:w="50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2．公务用车购置及运行维护费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51.56</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32.09</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五、国有资产占用情况</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（1）公务用车购置费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17.90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（一）车辆数合计（辆）</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13</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（2）公务用车运行维护费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51.56</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14.19</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1.副部（省）级及以上领导用车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3．公务接待费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2.主要领导干部用车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（1）国内接待费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8.00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3.机要通信用车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其中：外事接待费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4.应急保障用车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（2）国（境）外接待费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5.执法执勤用车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（二）相关统计数</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6.特种专业技术用车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1．因公出国（境）团组数（个）</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7.离退休干部用车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2．因公出国（境）人次数（人）</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8.其他用车</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3．公务用车购置数（辆）</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（二）单价50万元（含）以上通用设备（台，套）</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4．公务用车保有量（辆）</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5</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（三）单价100万（含）元以上专用设备（台，套）</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5．国内公务接待批次（个）</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六、政府采购支出信息</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其中：外事接待批次（个）</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（一）政府采购支出合计</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1,257.23</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6．国内公务接待人次（人）</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1．政府采购货物支出</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146.45</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其中：外事接待人次（人）</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2．政府采购工程支出</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191.89</w:t>
            </w:r>
          </w:p>
        </w:tc>
      </w:tr>
      <w:tr>
        <w:tblPrEx>
          <w:shd w:val="clear" w:color="auto" w:fill="auto"/>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7．国（境）外公务接待批次（个）</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3．政府采购服务支出</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918.90</w:t>
            </w:r>
          </w:p>
        </w:tc>
      </w:tr>
      <w:tr>
        <w:tblPrEx>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8．国（境）外公务接待人次（人）</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（二）政府采购授予中小企业合同金额</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1,059.45</w:t>
            </w:r>
          </w:p>
        </w:tc>
      </w:tr>
      <w:tr>
        <w:tblPrEx>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二、会议费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1.38</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 xml:space="preserve">        其中：授予小微企业合同金额</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1,051.32</w:t>
            </w:r>
          </w:p>
        </w:tc>
      </w:tr>
      <w:tr>
        <w:tblPrEx>
          <w:tblCellMar>
            <w:top w:w="15" w:type="dxa"/>
            <w:left w:w="15" w:type="dxa"/>
            <w:bottom w:w="15" w:type="dxa"/>
            <w:right w:w="15" w:type="dxa"/>
          </w:tblCellMar>
        </w:tblPrEx>
        <w:trPr>
          <w:trHeight w:val="299" w:hRule="atLeast"/>
        </w:trPr>
        <w:tc>
          <w:tcPr>
            <w:tcW w:w="16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三、培训费</w:t>
            </w:r>
          </w:p>
        </w:tc>
        <w:tc>
          <w:tcPr>
            <w:tcW w:w="53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0.00</w:t>
            </w:r>
          </w:p>
        </w:tc>
        <w:tc>
          <w:tcPr>
            <w:tcW w:w="4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22.30</w:t>
            </w:r>
          </w:p>
        </w:tc>
        <w:tc>
          <w:tcPr>
            <w:tcW w:w="1802"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宋体" w:hAnsi="宋体" w:eastAsia="宋体" w:cs="宋体"/>
                <w:b w:val="0"/>
                <w:bCs w:val="0"/>
                <w:i w:val="0"/>
                <w:iCs w:val="0"/>
                <w:kern w:val="0"/>
                <w:sz w:val="20"/>
                <w:szCs w:val="20"/>
              </w:rPr>
            </w:pPr>
          </w:p>
        </w:tc>
      </w:tr>
      <w:tr>
        <w:tblPrEx>
          <w:tblCellMar>
            <w:top w:w="15" w:type="dxa"/>
            <w:left w:w="15" w:type="dxa"/>
            <w:bottom w:w="15" w:type="dxa"/>
            <w:right w:w="15" w:type="dxa"/>
          </w:tblCellMar>
        </w:tblPrEx>
        <w:trPr>
          <w:trHeight w:val="29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b w:val="0"/>
                <w:bCs w:val="0"/>
                <w:i w:val="0"/>
                <w:iCs w:val="0"/>
                <w:kern w:val="0"/>
                <w:sz w:val="20"/>
                <w:szCs w:val="20"/>
              </w:rPr>
            </w:pPr>
            <w:r>
              <w:rPr>
                <w:rFonts w:hint="eastAsia" w:ascii="宋体" w:hAnsi="宋体" w:eastAsia="宋体" w:cs="宋体"/>
                <w:b w:val="0"/>
                <w:bCs w:val="0"/>
                <w:i w:val="0"/>
                <w:iCs w:val="0"/>
                <w:kern w:val="0"/>
                <w:sz w:val="20"/>
                <w:szCs w:val="20"/>
              </w:rPr>
              <w:t>备注：预算数年初部门预算批复数，决算数包括当年财政拨款预算和以前年度结转结余资金安排的实际支出。</w:t>
            </w:r>
          </w:p>
        </w:tc>
      </w:tr>
    </w:tbl>
    <w:p>
      <w:pPr>
        <w:spacing w:before="9" w:line="240" w:lineRule="auto"/>
        <w:rPr>
          <w:rFonts w:hint="eastAsia" w:ascii="方正仿宋_GBK" w:hAnsi="方正仿宋_GBK" w:eastAsia="方正仿宋_GBK" w:cs="方正仿宋_GBK"/>
          <w:b w:val="0"/>
          <w:bCs w:val="0"/>
          <w:sz w:val="32"/>
          <w:szCs w:val="32"/>
        </w:rPr>
      </w:pPr>
    </w:p>
    <w:sectPr>
      <w:pgSz w:w="16840" w:h="11910" w:orient="landscape"/>
      <w:pgMar w:top="1100" w:right="1340" w:bottom="1260" w:left="1480" w:header="0" w:footer="10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KIJ CJK">
    <w:altName w:val="Segoe Print"/>
    <w:panose1 w:val="00000000000000000000"/>
    <w:charset w:val="00"/>
    <w:family w:val="swiss"/>
    <w:pitch w:val="default"/>
    <w:sig w:usb0="00000000" w:usb1="00000000" w:usb2="00000000" w:usb3="00000000" w:csb0="00000000" w:csb1="00000000"/>
  </w:font>
  <w:font w:name="WenQuanYi Micro Hei">
    <w:altName w:val="Segoe Print"/>
    <w:panose1 w:val="00000000000000000000"/>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4097" o:spid="_x0000_s4097" o:spt="202" type="#_x0000_t202" style="position:absolute;left:0pt;margin-left:413.5pt;margin-top:527pt;height:12.6pt;width:15.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4"/>
                  <w:ind w:left="64" w:right="0" w:firstLine="0"/>
                  <w:jc w:val="left"/>
                  <w:rPr>
                    <w:rFonts w:hint="eastAsia" w:ascii="方正仿宋_GBK" w:hAnsi="方正仿宋_GBK" w:eastAsia="方正仿宋_GBK" w:cs="方正仿宋_GBK"/>
                    <w:sz w:val="18"/>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sz w:val="18"/>
                  </w:rPr>
                  <w:instrText xml:space="preserve"> PAGE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IzNTRjZjljMDlmOGU1OWUwOTI2MzVlODZhOTEzZjUifQ=="/>
  </w:docVars>
  <w:rsids>
    <w:rsidRoot w:val="00000000"/>
    <w:rsid w:val="0319018E"/>
    <w:rsid w:val="0AA23017"/>
    <w:rsid w:val="0B434AC1"/>
    <w:rsid w:val="0B47528E"/>
    <w:rsid w:val="0CD36800"/>
    <w:rsid w:val="0EB5755E"/>
    <w:rsid w:val="121A0E46"/>
    <w:rsid w:val="133C7520"/>
    <w:rsid w:val="16926EF0"/>
    <w:rsid w:val="1B2E38E7"/>
    <w:rsid w:val="1CE6136E"/>
    <w:rsid w:val="21612757"/>
    <w:rsid w:val="21B06DAE"/>
    <w:rsid w:val="232D3CF2"/>
    <w:rsid w:val="24EE3F8E"/>
    <w:rsid w:val="25600FF3"/>
    <w:rsid w:val="2E245928"/>
    <w:rsid w:val="30B91E06"/>
    <w:rsid w:val="3451674E"/>
    <w:rsid w:val="34795BD3"/>
    <w:rsid w:val="371C216A"/>
    <w:rsid w:val="3F082F44"/>
    <w:rsid w:val="3F9E7AF6"/>
    <w:rsid w:val="43FA26AF"/>
    <w:rsid w:val="44146414"/>
    <w:rsid w:val="46911E7A"/>
    <w:rsid w:val="469761C0"/>
    <w:rsid w:val="48233117"/>
    <w:rsid w:val="4BC8217A"/>
    <w:rsid w:val="4BFA18C3"/>
    <w:rsid w:val="4DA207AA"/>
    <w:rsid w:val="502D1E82"/>
    <w:rsid w:val="51D567D7"/>
    <w:rsid w:val="58B41FB0"/>
    <w:rsid w:val="5CB75A4E"/>
    <w:rsid w:val="5E892179"/>
    <w:rsid w:val="644A3B12"/>
    <w:rsid w:val="65420191"/>
    <w:rsid w:val="65CC5FF5"/>
    <w:rsid w:val="686B73F7"/>
    <w:rsid w:val="68C521A1"/>
    <w:rsid w:val="73C76F42"/>
    <w:rsid w:val="7B047D70"/>
    <w:rsid w:val="7B4A6A6B"/>
    <w:rsid w:val="7B7B7910"/>
    <w:rsid w:val="7C4876E2"/>
    <w:rsid w:val="7C4A5393"/>
    <w:rsid w:val="7DD67A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qFormat/>
    <w:uiPriority w:val="1"/>
    <w:pPr>
      <w:spacing w:before="14"/>
      <w:ind w:left="2111" w:right="2246"/>
      <w:jc w:val="center"/>
      <w:outlineLvl w:val="1"/>
    </w:pPr>
    <w:rPr>
      <w:rFonts w:ascii="UKIJ CJK" w:hAnsi="UKIJ CJK" w:eastAsia="UKIJ CJK" w:cs="UKIJ CJK"/>
      <w:sz w:val="36"/>
      <w:szCs w:val="36"/>
      <w:lang w:val="en-US" w:eastAsia="zh-CN" w:bidi="ar-SA"/>
    </w:rPr>
  </w:style>
  <w:style w:type="paragraph" w:styleId="3">
    <w:name w:val="heading 2"/>
    <w:basedOn w:val="1"/>
    <w:next w:val="1"/>
    <w:qFormat/>
    <w:uiPriority w:val="1"/>
    <w:pPr>
      <w:spacing w:line="600" w:lineRule="exact"/>
      <w:ind w:left="25"/>
      <w:jc w:val="center"/>
      <w:outlineLvl w:val="2"/>
    </w:pPr>
    <w:rPr>
      <w:rFonts w:ascii="Noto Sans Mono CJK JP Bold" w:hAnsi="Noto Sans Mono CJK JP Bold" w:eastAsia="Noto Sans Mono CJK JP Bold" w:cs="Noto Sans Mono CJK JP Bold"/>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1"/>
    <w:rPr>
      <w:rFonts w:ascii="WenQuanYi Micro Hei" w:hAnsi="WenQuanYi Micro Hei" w:eastAsia="WenQuanYi Micro Hei" w:cs="WenQuanYi Micro Hei"/>
      <w:sz w:val="28"/>
      <w:szCs w:val="2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0"/>
      <w:ind w:left="109" w:firstLine="561"/>
    </w:pPr>
    <w:rPr>
      <w:rFonts w:ascii="WenQuanYi Micro Hei" w:hAnsi="WenQuanYi Micro Hei" w:eastAsia="WenQuanYi Micro Hei" w:cs="WenQuanYi Micro Hei"/>
      <w:lang w:val="en-US" w:eastAsia="zh-CN" w:bidi="ar-SA"/>
    </w:rPr>
  </w:style>
  <w:style w:type="paragraph" w:customStyle="1" w:styleId="10">
    <w:name w:val="Table Paragraph"/>
    <w:basedOn w:val="1"/>
    <w:qFormat/>
    <w:uiPriority w:val="1"/>
    <w:pPr>
      <w:spacing w:line="311" w:lineRule="exact"/>
      <w:jc w:val="right"/>
    </w:pPr>
    <w:rPr>
      <w:rFonts w:ascii="Noto Sans Mono CJK JP Bold" w:hAnsi="Noto Sans Mono CJK JP Bold" w:eastAsia="Noto Sans Mono CJK JP Bold" w:cs="Noto Sans Mono CJK JP Bold"/>
      <w:lang w:val="en-US" w:eastAsia="zh-CN" w:bidi="ar-SA"/>
    </w:rPr>
  </w:style>
  <w:style w:type="paragraph" w:customStyle="1" w:styleId="11">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15502</Words>
  <Characters>24384</Characters>
  <TotalTime>16</TotalTime>
  <ScaleCrop>false</ScaleCrop>
  <LinksUpToDate>false</LinksUpToDate>
  <CharactersWithSpaces>25582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2021-06-07T06:38:00Z</dcterms:created>
  <dc:creator>admin</dc:creator>
  <cp:lastModifiedBy>吃熊猫的竹子</cp:lastModifiedBy>
  <dcterms:modified xsi:type="dcterms:W3CDTF">2022-07-29T03:22:49Z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Microsoft® Word 2016</vt:lpwstr>
  </property>
  <property fmtid="{D5CDD505-2E9C-101B-9397-08002B2CF9AE}" pid="4" name="LastSaved">
    <vt:filetime>2021-06-07T00:00:00Z</vt:filetime>
  </property>
  <property fmtid="{D5CDD505-2E9C-101B-9397-08002B2CF9AE}" pid="5" name="KSOProductBuildVer">
    <vt:lpwstr>2052-11.1.0.11875</vt:lpwstr>
  </property>
  <property fmtid="{D5CDD505-2E9C-101B-9397-08002B2CF9AE}" pid="6" name="ICV">
    <vt:lpwstr>E8BB6E83EEF2460F812FD01B45C4D81E</vt:lpwstr>
  </property>
</Properties>
</file>