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4FA2E0">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jc w:val="center"/>
        <w:textAlignment w:val="auto"/>
        <w:outlineLvl w:val="9"/>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重庆市大渡口区八桥镇退役军人服务站</w:t>
      </w:r>
    </w:p>
    <w:p w14:paraId="023797C0">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jc w:val="center"/>
        <w:textAlignment w:val="auto"/>
        <w:outlineLvl w:val="9"/>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2023年度决算公开说明</w:t>
      </w:r>
    </w:p>
    <w:p w14:paraId="756568C0">
      <w:pPr>
        <w:pStyle w:val="6"/>
        <w:keepNext w:val="0"/>
        <w:keepLines w:val="0"/>
        <w:pageBreakBefore w:val="0"/>
        <w:widowControl/>
        <w:shd w:val="clear" w:color="auto" w:fill="FFFFFF"/>
        <w:kinsoku/>
        <w:wordWrap/>
        <w:overflowPunct/>
        <w:topLinePunct w:val="0"/>
        <w:autoSpaceDN/>
        <w:bidi w:val="0"/>
        <w:adjustRightInd/>
        <w:spacing w:beforeAutospacing="0" w:afterAutospacing="0" w:line="360" w:lineRule="auto"/>
        <w:textAlignment w:val="auto"/>
        <w:rPr>
          <w:rFonts w:hint="default" w:ascii="Times New Roman" w:hAnsi="Times New Roman" w:eastAsia="黑体" w:cs="Times New Roman"/>
          <w:sz w:val="32"/>
          <w:szCs w:val="32"/>
        </w:rPr>
      </w:pPr>
      <w:r>
        <w:rPr>
          <w:rStyle w:val="10"/>
          <w:rFonts w:hint="default" w:ascii="Times New Roman" w:hAnsi="Times New Roman" w:eastAsia="黑体" w:cs="Times New Roman"/>
          <w:sz w:val="32"/>
          <w:szCs w:val="32"/>
          <w:shd w:val="clear" w:color="auto" w:fill="FFFFFF"/>
        </w:rPr>
        <w:t>一、单位基本情况</w:t>
      </w:r>
    </w:p>
    <w:p w14:paraId="3FEF4392">
      <w:pPr>
        <w:pStyle w:val="6"/>
        <w:keepNext w:val="0"/>
        <w:keepLines w:val="0"/>
        <w:pageBreakBefore w:val="0"/>
        <w:widowControl/>
        <w:shd w:val="clear" w:color="auto" w:fill="FFFFFF"/>
        <w:kinsoku/>
        <w:wordWrap/>
        <w:overflowPunct/>
        <w:topLinePunct w:val="0"/>
        <w:autoSpaceDN/>
        <w:bidi w:val="0"/>
        <w:adjustRightInd/>
        <w:spacing w:beforeAutospacing="0" w:afterAutospacing="0" w:line="360" w:lineRule="auto"/>
        <w:ind w:firstLine="420"/>
        <w:textAlignment w:val="auto"/>
        <w:rPr>
          <w:rStyle w:val="10"/>
          <w:rFonts w:hint="default" w:ascii="Times New Roman" w:hAnsi="Times New Roman" w:eastAsia="楷体" w:cs="Times New Roman"/>
          <w:sz w:val="32"/>
          <w:szCs w:val="32"/>
          <w:shd w:val="clear" w:color="auto" w:fill="FFFFFF"/>
        </w:rPr>
      </w:pPr>
      <w:r>
        <w:rPr>
          <w:rStyle w:val="10"/>
          <w:rFonts w:hint="default" w:ascii="Times New Roman" w:hAnsi="Times New Roman" w:eastAsia="楷体" w:cs="Times New Roman"/>
          <w:sz w:val="32"/>
          <w:szCs w:val="32"/>
          <w:shd w:val="clear" w:color="auto" w:fill="FFFFFF"/>
        </w:rPr>
        <w:t>（一）职能职责</w:t>
      </w:r>
    </w:p>
    <w:p w14:paraId="194602D1">
      <w:pPr>
        <w:keepNext w:val="0"/>
        <w:keepLines w:val="0"/>
        <w:pageBreakBefore w:val="0"/>
        <w:widowControl/>
        <w:kinsoku/>
        <w:wordWrap/>
        <w:overflowPunct/>
        <w:topLinePunct w:val="0"/>
        <w:autoSpaceDN/>
        <w:bidi w:val="0"/>
        <w:adjustRightInd/>
        <w:spacing w:beforeAutospacing="0" w:afterAutospacing="0" w:line="360" w:lineRule="auto"/>
        <w:ind w:firstLine="640" w:firstLineChars="200"/>
        <w:textAlignment w:val="auto"/>
        <w:rPr>
          <w:rFonts w:hint="default" w:ascii="Times New Roman" w:hAnsi="Times New Roman" w:eastAsia="方正仿宋_GBK" w:cs="Times New Roman"/>
          <w:sz w:val="32"/>
          <w:lang w:val="en-US" w:eastAsia="zh-CN"/>
        </w:rPr>
      </w:pPr>
      <w:r>
        <w:rPr>
          <w:rFonts w:hint="default" w:ascii="Times New Roman" w:hAnsi="Times New Roman" w:eastAsia="方正仿宋_GBK" w:cs="Times New Roman"/>
          <w:sz w:val="32"/>
          <w:lang w:val="en-US" w:eastAsia="zh-CN"/>
        </w:rPr>
        <w:t>1.宣传贯彻退役军人有关政策法规，保障退役军人合法权益。</w:t>
      </w:r>
    </w:p>
    <w:p w14:paraId="260ECDDF">
      <w:pPr>
        <w:keepNext w:val="0"/>
        <w:keepLines w:val="0"/>
        <w:pageBreakBefore w:val="0"/>
        <w:widowControl/>
        <w:kinsoku/>
        <w:wordWrap/>
        <w:overflowPunct/>
        <w:topLinePunct w:val="0"/>
        <w:autoSpaceDN/>
        <w:bidi w:val="0"/>
        <w:adjustRightInd/>
        <w:spacing w:beforeAutospacing="0" w:afterAutospacing="0" w:line="360" w:lineRule="auto"/>
        <w:ind w:firstLine="640" w:firstLineChars="200"/>
        <w:textAlignment w:val="auto"/>
        <w:rPr>
          <w:rFonts w:hint="default" w:ascii="Times New Roman" w:hAnsi="Times New Roman" w:eastAsia="方正仿宋_GBK" w:cs="Times New Roman"/>
          <w:sz w:val="32"/>
          <w:lang w:val="en-US" w:eastAsia="zh-CN"/>
        </w:rPr>
      </w:pPr>
      <w:r>
        <w:rPr>
          <w:rFonts w:hint="default" w:ascii="Times New Roman" w:hAnsi="Times New Roman" w:eastAsia="方正仿宋_GBK" w:cs="Times New Roman"/>
          <w:sz w:val="32"/>
          <w:lang w:val="en-US" w:eastAsia="zh-CN"/>
        </w:rPr>
        <w:t>2.组织开展辖区拥军优属工作。</w:t>
      </w:r>
    </w:p>
    <w:p w14:paraId="4DCD7195">
      <w:pPr>
        <w:keepNext w:val="0"/>
        <w:keepLines w:val="0"/>
        <w:pageBreakBefore w:val="0"/>
        <w:widowControl/>
        <w:kinsoku/>
        <w:wordWrap/>
        <w:overflowPunct/>
        <w:topLinePunct w:val="0"/>
        <w:autoSpaceDN/>
        <w:bidi w:val="0"/>
        <w:adjustRightInd/>
        <w:spacing w:beforeAutospacing="0" w:afterAutospacing="0" w:line="360" w:lineRule="auto"/>
        <w:ind w:firstLine="640" w:firstLineChars="200"/>
        <w:textAlignment w:val="auto"/>
        <w:rPr>
          <w:rFonts w:hint="default" w:ascii="Times New Roman" w:hAnsi="Times New Roman" w:eastAsia="方正仿宋_GBK" w:cs="Times New Roman"/>
          <w:sz w:val="32"/>
          <w:lang w:val="en-US" w:eastAsia="zh-CN"/>
        </w:rPr>
      </w:pPr>
      <w:r>
        <w:rPr>
          <w:rFonts w:hint="default" w:ascii="Times New Roman" w:hAnsi="Times New Roman" w:eastAsia="方正仿宋_GBK" w:cs="Times New Roman"/>
          <w:sz w:val="32"/>
          <w:lang w:val="en-US" w:eastAsia="zh-CN"/>
        </w:rPr>
        <w:t>3.负责辖区军队转业干部、复员干部、自主就业退役士兵的相关服务管理工作，落实退役军人特殊保障政策。</w:t>
      </w:r>
    </w:p>
    <w:p w14:paraId="5D3CD1CF">
      <w:pPr>
        <w:keepNext w:val="0"/>
        <w:keepLines w:val="0"/>
        <w:pageBreakBefore w:val="0"/>
        <w:widowControl/>
        <w:kinsoku/>
        <w:wordWrap/>
        <w:overflowPunct/>
        <w:topLinePunct w:val="0"/>
        <w:autoSpaceDN/>
        <w:bidi w:val="0"/>
        <w:adjustRightInd/>
        <w:spacing w:beforeAutospacing="0" w:afterAutospacing="0" w:line="360" w:lineRule="auto"/>
        <w:ind w:firstLine="640" w:firstLineChars="200"/>
        <w:textAlignment w:val="auto"/>
        <w:rPr>
          <w:rFonts w:hint="default" w:ascii="Times New Roman" w:hAnsi="Times New Roman" w:eastAsia="方正仿宋_GBK" w:cs="Times New Roman"/>
          <w:sz w:val="32"/>
          <w:lang w:val="en-US" w:eastAsia="zh-CN"/>
        </w:rPr>
      </w:pPr>
      <w:r>
        <w:rPr>
          <w:rFonts w:hint="default" w:ascii="Times New Roman" w:hAnsi="Times New Roman" w:eastAsia="方正仿宋_GBK" w:cs="Times New Roman"/>
          <w:sz w:val="32"/>
          <w:lang w:val="en-US" w:eastAsia="zh-CN"/>
        </w:rPr>
        <w:t>4.协助做好退役军人行政关系、组织关系、供给关系转接和档案移交，推动将退役军人流动党员纳入党的基层组织，配合组织部门做好教育管理。</w:t>
      </w:r>
    </w:p>
    <w:p w14:paraId="54088E77">
      <w:pPr>
        <w:keepNext w:val="0"/>
        <w:keepLines w:val="0"/>
        <w:pageBreakBefore w:val="0"/>
        <w:widowControl/>
        <w:kinsoku/>
        <w:wordWrap/>
        <w:overflowPunct/>
        <w:topLinePunct w:val="0"/>
        <w:autoSpaceDN/>
        <w:bidi w:val="0"/>
        <w:adjustRightInd/>
        <w:spacing w:beforeAutospacing="0" w:afterAutospacing="0" w:line="360" w:lineRule="auto"/>
        <w:ind w:firstLine="640" w:firstLineChars="200"/>
        <w:textAlignment w:val="auto"/>
        <w:rPr>
          <w:rFonts w:hint="default" w:ascii="Times New Roman" w:hAnsi="Times New Roman" w:eastAsia="方正仿宋_GBK" w:cs="Times New Roman"/>
          <w:sz w:val="32"/>
          <w:lang w:val="en-US" w:eastAsia="zh-CN"/>
        </w:rPr>
      </w:pPr>
      <w:r>
        <w:rPr>
          <w:rFonts w:hint="default" w:ascii="Times New Roman" w:hAnsi="Times New Roman" w:eastAsia="方正仿宋_GBK" w:cs="Times New Roman"/>
          <w:sz w:val="32"/>
          <w:lang w:val="en-US" w:eastAsia="zh-CN"/>
        </w:rPr>
        <w:t>5.负责辖区退役军人思想政治、权益维护、走访慰问、就业创业指导、帮扶援助、政策咨询、信息采集、联络接待以及涉退役军人舆情的收集、引导等工作。</w:t>
      </w:r>
    </w:p>
    <w:p w14:paraId="59AA857A">
      <w:pPr>
        <w:keepNext w:val="0"/>
        <w:keepLines w:val="0"/>
        <w:pageBreakBefore w:val="0"/>
        <w:widowControl/>
        <w:kinsoku/>
        <w:wordWrap/>
        <w:overflowPunct/>
        <w:topLinePunct w:val="0"/>
        <w:autoSpaceDN/>
        <w:bidi w:val="0"/>
        <w:adjustRightInd/>
        <w:spacing w:beforeAutospacing="0" w:afterAutospacing="0" w:line="360" w:lineRule="auto"/>
        <w:ind w:firstLine="640" w:firstLineChars="200"/>
        <w:textAlignment w:val="auto"/>
        <w:rPr>
          <w:rStyle w:val="10"/>
          <w:rFonts w:hint="default" w:ascii="Times New Roman" w:hAnsi="Times New Roman" w:eastAsia="楷体" w:cs="Times New Roman"/>
          <w:sz w:val="32"/>
          <w:szCs w:val="32"/>
          <w:shd w:val="clear" w:color="auto" w:fill="FFFFFF"/>
        </w:rPr>
      </w:pPr>
      <w:r>
        <w:rPr>
          <w:rFonts w:hint="default" w:ascii="Times New Roman" w:hAnsi="Times New Roman" w:eastAsia="方正仿宋_GBK" w:cs="Times New Roman"/>
          <w:sz w:val="32"/>
          <w:lang w:val="en-US" w:eastAsia="zh-CN"/>
        </w:rPr>
        <w:t>6.完成镇党委、政府以及上级业务主管部门交办的其他工作任务。</w:t>
      </w:r>
    </w:p>
    <w:p w14:paraId="1C89F675">
      <w:pPr>
        <w:pStyle w:val="6"/>
        <w:keepNext w:val="0"/>
        <w:keepLines w:val="0"/>
        <w:pageBreakBefore w:val="0"/>
        <w:widowControl/>
        <w:shd w:val="clear" w:color="auto" w:fill="FFFFFF"/>
        <w:kinsoku/>
        <w:wordWrap/>
        <w:overflowPunct/>
        <w:topLinePunct w:val="0"/>
        <w:autoSpaceDN/>
        <w:bidi w:val="0"/>
        <w:adjustRightInd/>
        <w:spacing w:beforeAutospacing="0" w:afterAutospacing="0" w:line="360" w:lineRule="auto"/>
        <w:ind w:firstLine="420"/>
        <w:textAlignment w:val="auto"/>
        <w:rPr>
          <w:rStyle w:val="10"/>
          <w:rFonts w:hint="default" w:ascii="Times New Roman" w:hAnsi="Times New Roman" w:eastAsia="楷体" w:cs="Times New Roman"/>
          <w:sz w:val="32"/>
          <w:szCs w:val="32"/>
          <w:shd w:val="clear" w:color="auto" w:fill="FFFFFF"/>
        </w:rPr>
      </w:pPr>
      <w:r>
        <w:rPr>
          <w:rStyle w:val="10"/>
          <w:rFonts w:hint="default" w:ascii="Times New Roman" w:hAnsi="Times New Roman" w:eastAsia="楷体" w:cs="Times New Roman"/>
          <w:sz w:val="32"/>
          <w:szCs w:val="32"/>
          <w:shd w:val="clear" w:color="auto" w:fill="FFFFFF"/>
        </w:rPr>
        <w:t>（二）机构设置</w:t>
      </w:r>
    </w:p>
    <w:p w14:paraId="6C85344B">
      <w:pPr>
        <w:pStyle w:val="6"/>
        <w:keepNext w:val="0"/>
        <w:keepLines w:val="0"/>
        <w:pageBreakBefore w:val="0"/>
        <w:widowControl/>
        <w:shd w:val="clear" w:color="auto" w:fill="FFFFFF"/>
        <w:kinsoku/>
        <w:wordWrap/>
        <w:overflowPunct/>
        <w:topLinePunct w:val="0"/>
        <w:autoSpaceDN/>
        <w:bidi w:val="0"/>
        <w:adjustRightInd/>
        <w:spacing w:beforeAutospacing="0" w:afterAutospacing="0" w:line="360" w:lineRule="auto"/>
        <w:ind w:firstLine="320" w:firstLineChars="100"/>
        <w:textAlignment w:val="auto"/>
        <w:rPr>
          <w:rStyle w:val="10"/>
          <w:rFonts w:hint="default" w:ascii="Times New Roman" w:hAnsi="Times New Roman" w:eastAsia="楷体" w:cs="Times New Roman"/>
          <w:sz w:val="32"/>
          <w:szCs w:val="32"/>
          <w:shd w:val="clear" w:color="auto" w:fill="FFFFFF"/>
        </w:rPr>
      </w:pPr>
      <w:r>
        <w:rPr>
          <w:rFonts w:hint="default" w:ascii="Times New Roman" w:hAnsi="Times New Roman" w:eastAsia="方正仿宋_GBK" w:cs="Times New Roman"/>
          <w:sz w:val="32"/>
          <w:szCs w:val="24"/>
          <w:lang w:val="en-US" w:eastAsia="zh-CN" w:bidi="ar-SA"/>
        </w:rPr>
        <w:t>本单位未设置下属机构。</w:t>
      </w:r>
    </w:p>
    <w:p w14:paraId="13E1A020">
      <w:pPr>
        <w:pStyle w:val="6"/>
        <w:keepNext w:val="0"/>
        <w:keepLines w:val="0"/>
        <w:pageBreakBefore w:val="0"/>
        <w:widowControl/>
        <w:shd w:val="clear" w:color="auto" w:fill="FFFFFF"/>
        <w:kinsoku/>
        <w:wordWrap/>
        <w:overflowPunct/>
        <w:topLinePunct w:val="0"/>
        <w:autoSpaceDN/>
        <w:bidi w:val="0"/>
        <w:adjustRightInd/>
        <w:spacing w:beforeAutospacing="0" w:afterAutospacing="0" w:line="360" w:lineRule="auto"/>
        <w:textAlignment w:val="auto"/>
        <w:rPr>
          <w:rStyle w:val="10"/>
          <w:rFonts w:hint="default" w:ascii="Times New Roman" w:hAnsi="Times New Roman" w:eastAsia="黑体" w:cs="Times New Roman"/>
          <w:sz w:val="32"/>
          <w:szCs w:val="32"/>
          <w:shd w:val="clear" w:color="auto" w:fill="FFFFFF"/>
        </w:rPr>
      </w:pPr>
      <w:r>
        <w:rPr>
          <w:rStyle w:val="10"/>
          <w:rFonts w:hint="default" w:ascii="Times New Roman" w:hAnsi="Times New Roman" w:eastAsia="黑体" w:cs="Times New Roman"/>
          <w:sz w:val="32"/>
          <w:szCs w:val="32"/>
          <w:shd w:val="clear" w:color="auto" w:fill="FFFFFF"/>
        </w:rPr>
        <w:t>二、单位决算情况说明</w:t>
      </w:r>
    </w:p>
    <w:p w14:paraId="5D791F34">
      <w:pPr>
        <w:pStyle w:val="11"/>
        <w:keepNext w:val="0"/>
        <w:keepLines w:val="0"/>
        <w:pageBreakBefore w:val="0"/>
        <w:widowControl/>
        <w:kinsoku/>
        <w:wordWrap/>
        <w:overflowPunct/>
        <w:topLinePunct w:val="0"/>
        <w:autoSpaceDE w:val="0"/>
        <w:autoSpaceDN/>
        <w:bidi w:val="0"/>
        <w:adjustRightInd/>
        <w:spacing w:beforeAutospacing="0" w:afterAutospacing="0" w:line="360" w:lineRule="auto"/>
        <w:ind w:firstLine="643"/>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（一）收入支出决算总体情况说明</w:t>
      </w:r>
    </w:p>
    <w:p w14:paraId="6F018D55">
      <w:pPr>
        <w:pStyle w:val="6"/>
        <w:keepNext w:val="0"/>
        <w:keepLines w:val="0"/>
        <w:pageBreakBefore w:val="0"/>
        <w:widowControl/>
        <w:kinsoku/>
        <w:wordWrap/>
        <w:overflowPunct/>
        <w:topLinePunct w:val="0"/>
        <w:autoSpaceDN/>
        <w:bidi w:val="0"/>
        <w:adjustRightInd/>
        <w:snapToGrid w:val="0"/>
        <w:spacing w:before="0" w:beforeAutospacing="0" w:after="0" w:afterAutospacing="0" w:line="360" w:lineRule="auto"/>
        <w:ind w:firstLine="643" w:firstLineChars="200"/>
        <w:jc w:val="both"/>
        <w:textAlignment w:val="auto"/>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1.总体情况。</w:t>
      </w:r>
      <w:r>
        <w:rPr>
          <w:rFonts w:hint="default" w:ascii="Times New Roman" w:hAnsi="Times New Roman" w:eastAsia="方正仿宋_GBK" w:cs="Times New Roman"/>
          <w:sz w:val="32"/>
          <w:szCs w:val="32"/>
          <w:shd w:val="clear" w:color="auto" w:fill="FFFFFF"/>
        </w:rPr>
        <w:t>2023年度收入总计62.08万元，支出总计</w:t>
      </w:r>
      <w:r>
        <w:rPr>
          <w:rFonts w:hint="default" w:ascii="Times New Roman" w:hAnsi="Times New Roman" w:eastAsia="方正仿宋_GBK" w:cs="Times New Roman"/>
          <w:sz w:val="32"/>
          <w:szCs w:val="32"/>
        </w:rPr>
        <w:t>62.08</w:t>
      </w:r>
      <w:r>
        <w:rPr>
          <w:rFonts w:hint="default" w:ascii="Times New Roman" w:hAnsi="Times New Roman" w:eastAsia="方正仿宋_GBK" w:cs="Times New Roman"/>
          <w:sz w:val="32"/>
          <w:szCs w:val="32"/>
          <w:shd w:val="clear" w:color="auto" w:fill="FFFFFF"/>
        </w:rPr>
        <w:t>万元。收支较上年决算数增加62.08万元，增长100.00%，主要原因是</w:t>
      </w:r>
      <w:r>
        <w:rPr>
          <w:rFonts w:hint="default" w:ascii="Times New Roman" w:hAnsi="Times New Roman" w:eastAsia="方正仿宋_GBK" w:cs="Times New Roman"/>
          <w:sz w:val="32"/>
          <w:szCs w:val="32"/>
          <w:shd w:val="clear" w:color="auto" w:fill="FFFFFF"/>
          <w:lang w:val="en-US" w:eastAsia="zh-CN"/>
        </w:rPr>
        <w:t>2022年本单位未独立编制决算。</w:t>
      </w:r>
    </w:p>
    <w:p w14:paraId="37035E16">
      <w:pPr>
        <w:pStyle w:val="6"/>
        <w:keepNext w:val="0"/>
        <w:keepLines w:val="0"/>
        <w:pageBreakBefore w:val="0"/>
        <w:widowControl/>
        <w:kinsoku/>
        <w:wordWrap/>
        <w:overflowPunct/>
        <w:topLinePunct w:val="0"/>
        <w:autoSpaceDN/>
        <w:bidi w:val="0"/>
        <w:adjustRightInd/>
        <w:snapToGrid w:val="0"/>
        <w:spacing w:before="0" w:beforeAutospacing="0" w:after="0" w:afterAutospacing="0" w:line="360" w:lineRule="auto"/>
        <w:ind w:firstLine="643" w:firstLineChars="200"/>
        <w:jc w:val="both"/>
        <w:textAlignment w:val="auto"/>
        <w:rPr>
          <w:rFonts w:hint="default" w:ascii="Times New Roman" w:hAnsi="Times New Roman" w:eastAsia="方正仿宋_GBK" w:cs="Times New Roman"/>
          <w:sz w:val="32"/>
          <w:szCs w:val="32"/>
          <w:shd w:val="clear" w:color="auto" w:fill="FFFFFF"/>
        </w:rPr>
      </w:pPr>
      <w:r>
        <w:rPr>
          <w:rStyle w:val="10"/>
          <w:rFonts w:hint="default" w:ascii="Times New Roman" w:hAnsi="Times New Roman" w:eastAsia="方正仿宋_GBK" w:cs="Times New Roman"/>
          <w:sz w:val="32"/>
          <w:szCs w:val="32"/>
          <w:shd w:val="clear" w:color="auto" w:fill="FFFFFF"/>
        </w:rPr>
        <w:t>2.收入情况。</w:t>
      </w:r>
      <w:r>
        <w:rPr>
          <w:rFonts w:hint="default" w:ascii="Times New Roman" w:hAnsi="Times New Roman" w:eastAsia="方正仿宋_GBK" w:cs="Times New Roman"/>
          <w:sz w:val="32"/>
          <w:szCs w:val="32"/>
          <w:shd w:val="clear" w:color="auto" w:fill="FFFFFF"/>
        </w:rPr>
        <w:t>2023年度收入合计62.08万元，较上年决算数增加62.08万元，增长100.00%，主要原因是</w:t>
      </w:r>
      <w:r>
        <w:rPr>
          <w:rFonts w:hint="default" w:ascii="Times New Roman" w:hAnsi="Times New Roman" w:eastAsia="方正仿宋_GBK" w:cs="Times New Roman"/>
          <w:sz w:val="32"/>
          <w:szCs w:val="32"/>
          <w:shd w:val="clear" w:color="auto" w:fill="FFFFFF"/>
          <w:lang w:val="en-US" w:eastAsia="zh-CN"/>
        </w:rPr>
        <w:t>2022年本单位未独立编制决算。</w:t>
      </w:r>
      <w:r>
        <w:rPr>
          <w:rFonts w:hint="default" w:ascii="Times New Roman" w:hAnsi="Times New Roman" w:eastAsia="方正仿宋_GBK" w:cs="Times New Roman"/>
          <w:sz w:val="32"/>
          <w:szCs w:val="32"/>
          <w:shd w:val="clear" w:color="auto" w:fill="FFFFFF"/>
        </w:rPr>
        <w:t>其中：财政拨款收入</w:t>
      </w:r>
      <w:r>
        <w:rPr>
          <w:rFonts w:hint="default" w:ascii="Times New Roman" w:hAnsi="Times New Roman" w:eastAsia="方正仿宋_GBK" w:cs="Times New Roman"/>
          <w:sz w:val="32"/>
          <w:szCs w:val="32"/>
        </w:rPr>
        <w:t>62.08</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100.00</w:t>
      </w:r>
      <w:r>
        <w:rPr>
          <w:rFonts w:hint="default" w:ascii="Times New Roman" w:hAnsi="Times New Roman" w:eastAsia="方正仿宋_GBK" w:cs="Times New Roman"/>
          <w:sz w:val="32"/>
          <w:szCs w:val="32"/>
          <w:shd w:val="clear" w:color="auto" w:fill="FFFFFF"/>
        </w:rPr>
        <w:t>%；事业收入</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万元，占0.00%；经营收入</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万元，占0.00%；其他收入</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万元，占0.00%。此外，使用非财政拨款结余和专用结余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万元，年初结转和结余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w:t>
      </w:r>
    </w:p>
    <w:p w14:paraId="0258FD32">
      <w:pPr>
        <w:pStyle w:val="6"/>
        <w:keepNext w:val="0"/>
        <w:keepLines w:val="0"/>
        <w:pageBreakBefore w:val="0"/>
        <w:widowControl/>
        <w:kinsoku/>
        <w:wordWrap/>
        <w:overflowPunct/>
        <w:topLinePunct w:val="0"/>
        <w:autoSpaceDN/>
        <w:bidi w:val="0"/>
        <w:adjustRightInd/>
        <w:snapToGrid w:val="0"/>
        <w:spacing w:before="0" w:beforeAutospacing="0" w:after="0" w:afterAutospacing="0" w:line="360" w:lineRule="auto"/>
        <w:ind w:firstLine="643" w:firstLineChars="200"/>
        <w:jc w:val="both"/>
        <w:textAlignment w:val="auto"/>
        <w:rPr>
          <w:rFonts w:hint="default" w:ascii="Times New Roman" w:hAnsi="Times New Roman" w:eastAsia="方正仿宋_GBK" w:cs="Times New Roman"/>
          <w:sz w:val="32"/>
          <w:szCs w:val="32"/>
          <w:shd w:val="clear" w:color="auto" w:fill="FFFFFF"/>
        </w:rPr>
      </w:pPr>
      <w:r>
        <w:rPr>
          <w:rStyle w:val="10"/>
          <w:rFonts w:hint="default" w:ascii="Times New Roman" w:hAnsi="Times New Roman" w:eastAsia="方正仿宋_GBK" w:cs="Times New Roman"/>
          <w:sz w:val="32"/>
          <w:szCs w:val="32"/>
          <w:shd w:val="clear" w:color="auto" w:fill="FFFFFF"/>
        </w:rPr>
        <w:t>3.支出情况。</w:t>
      </w:r>
      <w:r>
        <w:rPr>
          <w:rFonts w:hint="default" w:ascii="Times New Roman" w:hAnsi="Times New Roman" w:eastAsia="方正仿宋_GBK" w:cs="Times New Roman"/>
          <w:sz w:val="32"/>
          <w:szCs w:val="32"/>
          <w:shd w:val="clear" w:color="auto" w:fill="FFFFFF"/>
        </w:rPr>
        <w:t>2023年度支出合计</w:t>
      </w:r>
      <w:r>
        <w:rPr>
          <w:rFonts w:hint="default" w:ascii="Times New Roman" w:hAnsi="Times New Roman" w:eastAsia="方正仿宋_GBK" w:cs="Times New Roman"/>
          <w:sz w:val="32"/>
          <w:szCs w:val="32"/>
        </w:rPr>
        <w:t>62.08</w:t>
      </w:r>
      <w:r>
        <w:rPr>
          <w:rFonts w:hint="default" w:ascii="Times New Roman" w:hAnsi="Times New Roman" w:eastAsia="方正仿宋_GBK" w:cs="Times New Roman"/>
          <w:sz w:val="32"/>
          <w:szCs w:val="32"/>
          <w:shd w:val="clear" w:color="auto" w:fill="FFFFFF"/>
        </w:rPr>
        <w:t>万元，较上年决算数增加62.08万元，增长100.00%，主要原因是</w:t>
      </w:r>
      <w:r>
        <w:rPr>
          <w:rFonts w:hint="default" w:ascii="Times New Roman" w:hAnsi="Times New Roman" w:eastAsia="方正仿宋_GBK" w:cs="Times New Roman"/>
          <w:sz w:val="32"/>
          <w:szCs w:val="32"/>
          <w:shd w:val="clear" w:color="auto" w:fill="FFFFFF"/>
          <w:lang w:val="en-US" w:eastAsia="zh-CN"/>
        </w:rPr>
        <w:t>2022年本单位未独立编制决算。</w:t>
      </w:r>
      <w:r>
        <w:rPr>
          <w:rFonts w:hint="default" w:ascii="Times New Roman" w:hAnsi="Times New Roman" w:eastAsia="方正仿宋_GBK" w:cs="Times New Roman"/>
          <w:sz w:val="32"/>
          <w:szCs w:val="32"/>
          <w:shd w:val="clear" w:color="auto" w:fill="FFFFFF"/>
        </w:rPr>
        <w:t>其中：基本支出</w:t>
      </w:r>
      <w:r>
        <w:rPr>
          <w:rFonts w:hint="default" w:ascii="Times New Roman" w:hAnsi="Times New Roman" w:eastAsia="方正仿宋_GBK" w:cs="Times New Roman"/>
          <w:sz w:val="32"/>
          <w:szCs w:val="32"/>
        </w:rPr>
        <w:t>62.08</w:t>
      </w:r>
      <w:r>
        <w:rPr>
          <w:rFonts w:hint="default" w:ascii="Times New Roman" w:hAnsi="Times New Roman" w:eastAsia="方正仿宋_GBK" w:cs="Times New Roman"/>
          <w:sz w:val="32"/>
          <w:szCs w:val="32"/>
          <w:shd w:val="clear" w:color="auto" w:fill="FFFFFF"/>
        </w:rPr>
        <w:t>万元，占100.00%；项目支出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万元，占0.00%；经营支出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万元，占0.00%。此外，结余分配</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w:t>
      </w:r>
    </w:p>
    <w:p w14:paraId="4907EF80">
      <w:pPr>
        <w:pStyle w:val="6"/>
        <w:keepNext w:val="0"/>
        <w:keepLines w:val="0"/>
        <w:pageBreakBefore w:val="0"/>
        <w:widowControl/>
        <w:kinsoku/>
        <w:wordWrap/>
        <w:overflowPunct/>
        <w:topLinePunct w:val="0"/>
        <w:autoSpaceDN/>
        <w:bidi w:val="0"/>
        <w:adjustRightInd/>
        <w:snapToGrid w:val="0"/>
        <w:spacing w:before="0" w:beforeAutospacing="0" w:after="0" w:afterAutospacing="0" w:line="360" w:lineRule="auto"/>
        <w:ind w:firstLine="643" w:firstLineChars="200"/>
        <w:jc w:val="both"/>
        <w:textAlignment w:val="auto"/>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4.结转结余情况。</w:t>
      </w:r>
      <w:r>
        <w:rPr>
          <w:rFonts w:hint="default" w:ascii="Times New Roman" w:hAnsi="Times New Roman" w:eastAsia="方正仿宋_GBK" w:cs="Times New Roman"/>
          <w:sz w:val="32"/>
          <w:szCs w:val="32"/>
          <w:shd w:val="clear" w:color="auto" w:fill="FFFFFF"/>
        </w:rPr>
        <w:t>2023年度年末结转和结余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万元，较上年决</w:t>
      </w:r>
      <w:r>
        <w:rPr>
          <w:rFonts w:hint="default" w:ascii="Times New Roman" w:hAnsi="Times New Roman" w:eastAsia="方正仿宋_GBK" w:cs="Times New Roman"/>
          <w:color w:val="auto"/>
          <w:sz w:val="32"/>
          <w:szCs w:val="32"/>
          <w:shd w:val="clear" w:color="auto" w:fill="FFFFFF"/>
        </w:rPr>
        <w:t>算数无增减。</w:t>
      </w:r>
    </w:p>
    <w:p w14:paraId="7FD05833">
      <w:pPr>
        <w:pStyle w:val="11"/>
        <w:keepNext w:val="0"/>
        <w:keepLines w:val="0"/>
        <w:pageBreakBefore w:val="0"/>
        <w:widowControl/>
        <w:kinsoku/>
        <w:wordWrap/>
        <w:overflowPunct/>
        <w:topLinePunct w:val="0"/>
        <w:autoSpaceDE w:val="0"/>
        <w:autoSpaceDN/>
        <w:bidi w:val="0"/>
        <w:adjustRightInd/>
        <w:spacing w:beforeAutospacing="0" w:afterAutospacing="0" w:line="360" w:lineRule="auto"/>
        <w:ind w:firstLine="643"/>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（二）财政拨款收入支出决算总体情况说明</w:t>
      </w:r>
    </w:p>
    <w:p w14:paraId="41910E61">
      <w:pPr>
        <w:pStyle w:val="6"/>
        <w:keepNext w:val="0"/>
        <w:keepLines w:val="0"/>
        <w:pageBreakBefore w:val="0"/>
        <w:widowControl/>
        <w:kinsoku/>
        <w:wordWrap/>
        <w:overflowPunct/>
        <w:topLinePunct w:val="0"/>
        <w:autoSpaceDN/>
        <w:bidi w:val="0"/>
        <w:adjustRightInd/>
        <w:snapToGrid w:val="0"/>
        <w:spacing w:before="0" w:beforeAutospacing="0" w:after="0" w:afterAutospacing="0" w:line="360" w:lineRule="auto"/>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2023年度财政拨款收、支总计62.08万元。与2022年相比，财政拨款收、支总计各增加62.08万元，增长100.00%。主要原因是</w:t>
      </w:r>
      <w:r>
        <w:rPr>
          <w:rFonts w:hint="default" w:ascii="Times New Roman" w:hAnsi="Times New Roman" w:eastAsia="方正仿宋_GBK" w:cs="Times New Roman"/>
          <w:sz w:val="32"/>
          <w:szCs w:val="32"/>
          <w:shd w:val="clear" w:color="auto" w:fill="FFFFFF"/>
          <w:lang w:val="en-US" w:eastAsia="zh-CN"/>
        </w:rPr>
        <w:t>2022年本单位未独立编制决算。</w:t>
      </w:r>
    </w:p>
    <w:p w14:paraId="188BC107">
      <w:pPr>
        <w:pStyle w:val="11"/>
        <w:keepNext w:val="0"/>
        <w:keepLines w:val="0"/>
        <w:pageBreakBefore w:val="0"/>
        <w:widowControl/>
        <w:kinsoku/>
        <w:wordWrap/>
        <w:overflowPunct/>
        <w:topLinePunct w:val="0"/>
        <w:autoSpaceDE w:val="0"/>
        <w:autoSpaceDN/>
        <w:bidi w:val="0"/>
        <w:adjustRightInd/>
        <w:spacing w:beforeAutospacing="0" w:afterAutospacing="0" w:line="360" w:lineRule="auto"/>
        <w:ind w:firstLine="643"/>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（三）一般公共预算财政拨款收入支出决算情况说明</w:t>
      </w:r>
    </w:p>
    <w:p w14:paraId="52812475">
      <w:pPr>
        <w:pStyle w:val="6"/>
        <w:keepNext w:val="0"/>
        <w:keepLines w:val="0"/>
        <w:pageBreakBefore w:val="0"/>
        <w:widowControl/>
        <w:kinsoku/>
        <w:wordWrap/>
        <w:overflowPunct/>
        <w:topLinePunct w:val="0"/>
        <w:autoSpaceDN/>
        <w:bidi w:val="0"/>
        <w:adjustRightInd/>
        <w:snapToGrid w:val="0"/>
        <w:spacing w:before="0" w:beforeAutospacing="0" w:after="0" w:afterAutospacing="0" w:line="360" w:lineRule="auto"/>
        <w:ind w:firstLine="643" w:firstLineChars="200"/>
        <w:jc w:val="both"/>
        <w:textAlignment w:val="auto"/>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1.收入情况。</w:t>
      </w:r>
      <w:r>
        <w:rPr>
          <w:rFonts w:hint="default" w:ascii="Times New Roman" w:hAnsi="Times New Roman" w:eastAsia="方正仿宋_GBK" w:cs="Times New Roman"/>
          <w:sz w:val="32"/>
          <w:szCs w:val="32"/>
          <w:shd w:val="clear" w:color="auto" w:fill="FFFFFF"/>
        </w:rPr>
        <w:t>2023年度一般公共预算财政拨款收入</w:t>
      </w:r>
      <w:r>
        <w:rPr>
          <w:rFonts w:hint="default" w:ascii="Times New Roman" w:hAnsi="Times New Roman" w:eastAsia="方正仿宋_GBK" w:cs="Times New Roman"/>
          <w:sz w:val="32"/>
          <w:szCs w:val="32"/>
        </w:rPr>
        <w:t>62.08</w:t>
      </w:r>
      <w:r>
        <w:rPr>
          <w:rFonts w:hint="default" w:ascii="Times New Roman" w:hAnsi="Times New Roman" w:eastAsia="方正仿宋_GBK" w:cs="Times New Roman"/>
          <w:sz w:val="32"/>
          <w:szCs w:val="32"/>
          <w:shd w:val="clear" w:color="auto" w:fill="FFFFFF"/>
        </w:rPr>
        <w:t>万元，较上年决算数增加62.08万元，增长100.00%。主要原因是</w:t>
      </w:r>
      <w:r>
        <w:rPr>
          <w:rFonts w:hint="default" w:ascii="Times New Roman" w:hAnsi="Times New Roman" w:eastAsia="方正仿宋_GBK" w:cs="Times New Roman"/>
          <w:sz w:val="32"/>
          <w:szCs w:val="32"/>
          <w:shd w:val="clear" w:color="auto" w:fill="FFFFFF"/>
          <w:lang w:val="en-US" w:eastAsia="zh-CN"/>
        </w:rPr>
        <w:t>2022年本单位未独立编制决算。</w:t>
      </w:r>
      <w:r>
        <w:rPr>
          <w:rFonts w:hint="default" w:ascii="Times New Roman" w:hAnsi="Times New Roman" w:eastAsia="方正仿宋_GBK" w:cs="Times New Roman"/>
          <w:sz w:val="32"/>
          <w:szCs w:val="32"/>
          <w:shd w:val="clear" w:color="auto" w:fill="FFFFFF"/>
        </w:rPr>
        <w:t>较年初预算数增加5.58万元，增长9.88%。主要原因是</w:t>
      </w:r>
      <w:r>
        <w:rPr>
          <w:rFonts w:hint="eastAsia" w:ascii="Times New Roman" w:hAnsi="Times New Roman" w:eastAsia="方正仿宋_GBK" w:cs="Times New Roman"/>
          <w:color w:val="auto"/>
          <w:sz w:val="32"/>
          <w:szCs w:val="32"/>
          <w:shd w:val="clear" w:color="auto" w:fill="FFFFFF"/>
          <w:lang w:eastAsia="zh-CN"/>
        </w:rPr>
        <w:t>年中追加2021-2022年度超额绩效</w:t>
      </w:r>
      <w:r>
        <w:rPr>
          <w:rFonts w:hint="eastAsia" w:ascii="Times New Roman" w:hAnsi="Times New Roman" w:eastAsia="方正仿宋_GBK" w:cs="Times New Roman"/>
          <w:color w:val="auto"/>
          <w:sz w:val="32"/>
          <w:szCs w:val="32"/>
          <w:shd w:val="clear" w:color="auto" w:fill="FFFFFF"/>
          <w:lang w:val="en-US" w:eastAsia="zh-CN"/>
        </w:rPr>
        <w:t>8.32万元，公积金调减2.54万元。</w:t>
      </w:r>
      <w:r>
        <w:rPr>
          <w:rFonts w:hint="default" w:ascii="Times New Roman" w:hAnsi="Times New Roman" w:eastAsia="方正仿宋_GBK" w:cs="Times New Roman"/>
          <w:sz w:val="32"/>
          <w:szCs w:val="32"/>
          <w:shd w:val="clear" w:color="auto" w:fill="FFFFFF"/>
        </w:rPr>
        <w:t>此外，年初财政拨款结转和结余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w:t>
      </w:r>
    </w:p>
    <w:p w14:paraId="41A3D878">
      <w:pPr>
        <w:pStyle w:val="6"/>
        <w:keepNext w:val="0"/>
        <w:keepLines w:val="0"/>
        <w:pageBreakBefore w:val="0"/>
        <w:widowControl/>
        <w:kinsoku/>
        <w:wordWrap/>
        <w:overflowPunct/>
        <w:topLinePunct w:val="0"/>
        <w:autoSpaceDN/>
        <w:bidi w:val="0"/>
        <w:adjustRightInd/>
        <w:snapToGrid w:val="0"/>
        <w:spacing w:before="0" w:beforeAutospacing="0" w:after="0" w:afterAutospacing="0" w:line="360" w:lineRule="auto"/>
        <w:ind w:firstLine="643" w:firstLineChars="200"/>
        <w:jc w:val="both"/>
        <w:textAlignment w:val="auto"/>
        <w:rPr>
          <w:rFonts w:hint="eastAsia" w:ascii="Times New Roman" w:hAnsi="Times New Roman" w:eastAsia="方正仿宋_GBK" w:cs="Times New Roman"/>
          <w:color w:val="auto"/>
          <w:sz w:val="32"/>
          <w:szCs w:val="32"/>
          <w:shd w:val="clear" w:color="auto" w:fill="FFFFFF"/>
          <w:lang w:val="en-US" w:eastAsia="zh-CN"/>
        </w:rPr>
      </w:pPr>
      <w:r>
        <w:rPr>
          <w:rStyle w:val="10"/>
          <w:rFonts w:hint="default" w:ascii="Times New Roman" w:hAnsi="Times New Roman" w:eastAsia="方正仿宋_GBK" w:cs="Times New Roman"/>
          <w:sz w:val="32"/>
          <w:szCs w:val="32"/>
          <w:shd w:val="clear" w:color="auto" w:fill="FFFFFF"/>
        </w:rPr>
        <w:t>2.支出情况。</w:t>
      </w:r>
      <w:r>
        <w:rPr>
          <w:rFonts w:hint="default" w:ascii="Times New Roman" w:hAnsi="Times New Roman" w:eastAsia="方正仿宋_GBK" w:cs="Times New Roman"/>
          <w:sz w:val="32"/>
          <w:szCs w:val="32"/>
          <w:shd w:val="clear" w:color="auto" w:fill="FFFFFF"/>
        </w:rPr>
        <w:t>2023年度一般公共预算财政拨款支出</w:t>
      </w:r>
      <w:r>
        <w:rPr>
          <w:rFonts w:hint="default" w:ascii="Times New Roman" w:hAnsi="Times New Roman" w:eastAsia="方正仿宋_GBK" w:cs="Times New Roman"/>
          <w:sz w:val="32"/>
          <w:szCs w:val="32"/>
        </w:rPr>
        <w:t>62.08</w:t>
      </w:r>
      <w:r>
        <w:rPr>
          <w:rFonts w:hint="default" w:ascii="Times New Roman" w:hAnsi="Times New Roman" w:eastAsia="方正仿宋_GBK" w:cs="Times New Roman"/>
          <w:sz w:val="32"/>
          <w:szCs w:val="32"/>
          <w:shd w:val="clear" w:color="auto" w:fill="FFFFFF"/>
        </w:rPr>
        <w:t>万元，较上年决算数增加62.08万元，增长100.00%。主要原因是</w:t>
      </w:r>
      <w:r>
        <w:rPr>
          <w:rFonts w:hint="default" w:ascii="Times New Roman" w:hAnsi="Times New Roman" w:eastAsia="方正仿宋_GBK" w:cs="Times New Roman"/>
          <w:sz w:val="32"/>
          <w:szCs w:val="32"/>
          <w:shd w:val="clear" w:color="auto" w:fill="FFFFFF"/>
          <w:lang w:val="en-US" w:eastAsia="zh-CN"/>
        </w:rPr>
        <w:t>2022年本单位未独立编制决算。</w:t>
      </w:r>
      <w:r>
        <w:rPr>
          <w:rFonts w:hint="default" w:ascii="Times New Roman" w:hAnsi="Times New Roman" w:eastAsia="方正仿宋_GBK" w:cs="Times New Roman"/>
          <w:sz w:val="32"/>
          <w:szCs w:val="32"/>
          <w:shd w:val="clear" w:color="auto" w:fill="FFFFFF"/>
        </w:rPr>
        <w:t>较年初预算数增加5.58万元，增长9.88%。主要原因是</w:t>
      </w:r>
      <w:r>
        <w:rPr>
          <w:rFonts w:hint="eastAsia" w:ascii="Times New Roman" w:hAnsi="Times New Roman" w:eastAsia="方正仿宋_GBK" w:cs="Times New Roman"/>
          <w:color w:val="auto"/>
          <w:sz w:val="32"/>
          <w:szCs w:val="32"/>
          <w:shd w:val="clear" w:color="auto" w:fill="FFFFFF"/>
          <w:lang w:eastAsia="zh-CN"/>
        </w:rPr>
        <w:t>年中追加2021-2022年度超额绩效</w:t>
      </w:r>
      <w:r>
        <w:rPr>
          <w:rFonts w:hint="eastAsia" w:ascii="Times New Roman" w:hAnsi="Times New Roman" w:eastAsia="方正仿宋_GBK" w:cs="Times New Roman"/>
          <w:color w:val="auto"/>
          <w:sz w:val="32"/>
          <w:szCs w:val="32"/>
          <w:shd w:val="clear" w:color="auto" w:fill="FFFFFF"/>
          <w:lang w:val="en-US" w:eastAsia="zh-CN"/>
        </w:rPr>
        <w:t>8.32万元，公积金调减2.55万元。</w:t>
      </w:r>
    </w:p>
    <w:p w14:paraId="55FB745B">
      <w:pPr>
        <w:pStyle w:val="6"/>
        <w:keepNext w:val="0"/>
        <w:keepLines w:val="0"/>
        <w:pageBreakBefore w:val="0"/>
        <w:widowControl/>
        <w:kinsoku/>
        <w:wordWrap/>
        <w:overflowPunct/>
        <w:topLinePunct w:val="0"/>
        <w:autoSpaceDN/>
        <w:bidi w:val="0"/>
        <w:adjustRightInd/>
        <w:snapToGrid w:val="0"/>
        <w:spacing w:before="0" w:beforeAutospacing="0" w:after="0" w:afterAutospacing="0" w:line="360" w:lineRule="auto"/>
        <w:ind w:firstLine="643" w:firstLineChars="200"/>
        <w:jc w:val="both"/>
        <w:textAlignment w:val="auto"/>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3.结转结余情况。</w:t>
      </w:r>
      <w:r>
        <w:rPr>
          <w:rFonts w:hint="default" w:ascii="Times New Roman" w:hAnsi="Times New Roman" w:eastAsia="方正仿宋_GBK" w:cs="Times New Roman"/>
          <w:sz w:val="32"/>
          <w:szCs w:val="32"/>
          <w:shd w:val="clear" w:color="auto" w:fill="FFFFFF"/>
        </w:rPr>
        <w:t>2023年度年末一般公共预算财政拨款结转和结余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万元，较上年决算数无</w:t>
      </w:r>
      <w:r>
        <w:rPr>
          <w:rFonts w:hint="default" w:ascii="Times New Roman" w:hAnsi="Times New Roman" w:eastAsia="方正仿宋_GBK" w:cs="Times New Roman"/>
          <w:color w:val="auto"/>
          <w:sz w:val="32"/>
          <w:szCs w:val="32"/>
          <w:shd w:val="clear" w:color="auto" w:fill="FFFFFF"/>
        </w:rPr>
        <w:t>增减。</w:t>
      </w:r>
    </w:p>
    <w:p w14:paraId="2899EF91">
      <w:pPr>
        <w:pStyle w:val="6"/>
        <w:keepNext w:val="0"/>
        <w:keepLines w:val="0"/>
        <w:pageBreakBefore w:val="0"/>
        <w:widowControl/>
        <w:kinsoku/>
        <w:wordWrap/>
        <w:overflowPunct/>
        <w:topLinePunct w:val="0"/>
        <w:autoSpaceDN/>
        <w:bidi w:val="0"/>
        <w:adjustRightInd/>
        <w:snapToGrid w:val="0"/>
        <w:spacing w:before="0" w:beforeAutospacing="0" w:after="0" w:afterAutospacing="0" w:line="360" w:lineRule="auto"/>
        <w:ind w:firstLine="643" w:firstLineChars="200"/>
        <w:jc w:val="both"/>
        <w:textAlignment w:val="auto"/>
        <w:rPr>
          <w:rFonts w:hint="default" w:ascii="Times New Roman" w:hAnsi="Times New Roman" w:eastAsia="方正仿宋_GBK" w:cs="Times New Roman"/>
          <w:color w:val="FF0000"/>
          <w:sz w:val="32"/>
          <w:szCs w:val="32"/>
          <w:highlight w:val="cyan"/>
          <w:shd w:val="clear" w:color="auto" w:fill="FFFFFF"/>
        </w:rPr>
      </w:pPr>
      <w:r>
        <w:rPr>
          <w:rStyle w:val="10"/>
          <w:rFonts w:hint="default" w:ascii="Times New Roman" w:hAnsi="Times New Roman" w:eastAsia="方正仿宋_GBK" w:cs="Times New Roman"/>
          <w:sz w:val="32"/>
          <w:szCs w:val="32"/>
          <w:shd w:val="clear" w:color="auto" w:fill="FFFFFF"/>
        </w:rPr>
        <w:t xml:space="preserve"> 4.比较情况。</w:t>
      </w:r>
      <w:r>
        <w:rPr>
          <w:rFonts w:hint="default" w:ascii="Times New Roman" w:hAnsi="Times New Roman" w:eastAsia="方正仿宋_GBK" w:cs="Times New Roman"/>
          <w:sz w:val="32"/>
          <w:szCs w:val="32"/>
          <w:shd w:val="clear" w:color="auto" w:fill="FFFFFF"/>
        </w:rPr>
        <w:t>本单位2023年度一般公共预算财政拨款支出主要用于以下几个方面：</w:t>
      </w:r>
    </w:p>
    <w:p w14:paraId="5136C70D">
      <w:pPr>
        <w:pStyle w:val="6"/>
        <w:keepNext w:val="0"/>
        <w:keepLines w:val="0"/>
        <w:pageBreakBefore w:val="0"/>
        <w:widowControl/>
        <w:kinsoku/>
        <w:wordWrap/>
        <w:overflowPunct/>
        <w:topLinePunct w:val="0"/>
        <w:autoSpaceDN/>
        <w:bidi w:val="0"/>
        <w:adjustRightInd/>
        <w:snapToGrid w:val="0"/>
        <w:spacing w:before="0" w:beforeAutospacing="0" w:after="0" w:afterAutospacing="0" w:line="360" w:lineRule="auto"/>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w:t>
      </w:r>
      <w:r>
        <w:rPr>
          <w:rFonts w:hint="eastAsia" w:ascii="Times New Roman" w:hAnsi="Times New Roman" w:eastAsia="方正仿宋_GBK" w:cs="Times New Roman"/>
          <w:sz w:val="32"/>
          <w:szCs w:val="32"/>
          <w:shd w:val="clear" w:color="auto" w:fill="FFFFFF"/>
          <w:lang w:val="en-US" w:eastAsia="zh-CN"/>
        </w:rPr>
        <w:t>1</w:t>
      </w:r>
      <w:r>
        <w:rPr>
          <w:rFonts w:hint="default" w:ascii="Times New Roman" w:hAnsi="Times New Roman" w:eastAsia="方正仿宋_GBK" w:cs="Times New Roman"/>
          <w:sz w:val="32"/>
          <w:szCs w:val="32"/>
          <w:shd w:val="clear" w:color="auto" w:fill="FFFFFF"/>
        </w:rPr>
        <w:t>）社会保障与就业支出</w:t>
      </w:r>
      <w:r>
        <w:rPr>
          <w:rFonts w:hint="default" w:ascii="Times New Roman" w:hAnsi="Times New Roman" w:eastAsia="方正仿宋_GBK" w:cs="Times New Roman"/>
          <w:sz w:val="32"/>
          <w:szCs w:val="32"/>
        </w:rPr>
        <w:t>59.67</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96.13</w:t>
      </w:r>
      <w:r>
        <w:rPr>
          <w:rFonts w:hint="default" w:ascii="Times New Roman" w:hAnsi="Times New Roman" w:eastAsia="方正仿宋_GBK" w:cs="Times New Roman"/>
          <w:sz w:val="32"/>
          <w:szCs w:val="32"/>
          <w:shd w:val="clear" w:color="auto" w:fill="FFFFFF"/>
        </w:rPr>
        <w:t>%，较年初预算数增加8.71万元，增长17.09%，主要原因是</w:t>
      </w:r>
      <w:r>
        <w:rPr>
          <w:rFonts w:hint="eastAsia" w:ascii="Times New Roman" w:hAnsi="Times New Roman" w:eastAsia="方正仿宋_GBK" w:cs="Times New Roman"/>
          <w:color w:val="auto"/>
          <w:sz w:val="32"/>
          <w:szCs w:val="32"/>
          <w:shd w:val="clear" w:color="auto" w:fill="FFFFFF"/>
          <w:lang w:eastAsia="zh-CN"/>
        </w:rPr>
        <w:t>年中追加2021-2022年度超额绩效</w:t>
      </w:r>
      <w:r>
        <w:rPr>
          <w:rFonts w:hint="eastAsia" w:ascii="Times New Roman" w:hAnsi="Times New Roman" w:eastAsia="方正仿宋_GBK" w:cs="Times New Roman"/>
          <w:color w:val="auto"/>
          <w:sz w:val="32"/>
          <w:szCs w:val="32"/>
          <w:shd w:val="clear" w:color="auto" w:fill="FFFFFF"/>
          <w:lang w:val="en-US" w:eastAsia="zh-CN"/>
        </w:rPr>
        <w:t>8.32万元</w:t>
      </w:r>
      <w:r>
        <w:rPr>
          <w:rFonts w:hint="default" w:ascii="Times New Roman" w:hAnsi="Times New Roman" w:eastAsia="方正仿宋_GBK" w:cs="Times New Roman"/>
          <w:color w:val="auto"/>
          <w:sz w:val="32"/>
          <w:szCs w:val="32"/>
          <w:shd w:val="clear" w:color="auto" w:fill="FFFFFF"/>
        </w:rPr>
        <w:t>。</w:t>
      </w:r>
    </w:p>
    <w:p w14:paraId="67CA930C">
      <w:pPr>
        <w:pStyle w:val="6"/>
        <w:keepNext w:val="0"/>
        <w:keepLines w:val="0"/>
        <w:pageBreakBefore w:val="0"/>
        <w:widowControl/>
        <w:kinsoku/>
        <w:wordWrap/>
        <w:overflowPunct/>
        <w:topLinePunct w:val="0"/>
        <w:autoSpaceDN/>
        <w:bidi w:val="0"/>
        <w:adjustRightInd/>
        <w:snapToGrid w:val="0"/>
        <w:spacing w:before="0" w:beforeAutospacing="0" w:after="0" w:afterAutospacing="0" w:line="360" w:lineRule="auto"/>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w:t>
      </w:r>
      <w:r>
        <w:rPr>
          <w:rFonts w:hint="eastAsia" w:ascii="Times New Roman" w:hAnsi="Times New Roman" w:eastAsia="方正仿宋_GBK" w:cs="Times New Roman"/>
          <w:sz w:val="32"/>
          <w:szCs w:val="32"/>
          <w:shd w:val="clear" w:color="auto" w:fill="FFFFFF"/>
          <w:lang w:val="en-US" w:eastAsia="zh-CN"/>
        </w:rPr>
        <w:t>2</w:t>
      </w:r>
      <w:r>
        <w:rPr>
          <w:rFonts w:hint="default" w:ascii="Times New Roman" w:hAnsi="Times New Roman" w:eastAsia="方正仿宋_GBK" w:cs="Times New Roman"/>
          <w:sz w:val="32"/>
          <w:szCs w:val="32"/>
          <w:shd w:val="clear" w:color="auto" w:fill="FFFFFF"/>
        </w:rPr>
        <w:t>）卫生健康支出</w:t>
      </w:r>
      <w:r>
        <w:rPr>
          <w:rFonts w:hint="default" w:ascii="Times New Roman" w:hAnsi="Times New Roman" w:eastAsia="方正仿宋_GBK" w:cs="Times New Roman"/>
          <w:sz w:val="32"/>
          <w:szCs w:val="32"/>
        </w:rPr>
        <w:t>2.12</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3.42</w:t>
      </w:r>
      <w:r>
        <w:rPr>
          <w:rFonts w:hint="default" w:ascii="Times New Roman" w:hAnsi="Times New Roman" w:eastAsia="方正仿宋_GBK" w:cs="Times New Roman"/>
          <w:sz w:val="32"/>
          <w:szCs w:val="32"/>
          <w:shd w:val="clear" w:color="auto" w:fill="FFFFFF"/>
        </w:rPr>
        <w:t>%，较年初预算数减少0.60万元，下降22.06%，主要原因是</w:t>
      </w:r>
      <w:r>
        <w:rPr>
          <w:rFonts w:hint="default" w:ascii="Times New Roman" w:hAnsi="Times New Roman" w:eastAsia="方正仿宋_GBK" w:cs="Times New Roman"/>
          <w:color w:val="auto"/>
          <w:sz w:val="32"/>
          <w:szCs w:val="32"/>
          <w:shd w:val="clear" w:color="auto" w:fill="FFFFFF"/>
          <w:lang w:eastAsia="zh-CN"/>
        </w:rPr>
        <w:t>年终大额医疗互助金、基本医疗保险剩余</w:t>
      </w:r>
      <w:r>
        <w:rPr>
          <w:rFonts w:hint="eastAsia" w:ascii="Times New Roman" w:hAnsi="Times New Roman" w:eastAsia="方正仿宋_GBK" w:cs="Times New Roman"/>
          <w:color w:val="auto"/>
          <w:sz w:val="32"/>
          <w:szCs w:val="32"/>
          <w:shd w:val="clear" w:color="auto" w:fill="FFFFFF"/>
          <w:lang w:val="en-US" w:eastAsia="zh-CN"/>
        </w:rPr>
        <w:t>0.60</w:t>
      </w:r>
      <w:r>
        <w:rPr>
          <w:rFonts w:hint="default" w:ascii="Times New Roman" w:hAnsi="Times New Roman" w:eastAsia="方正仿宋_GBK" w:cs="Times New Roman"/>
          <w:color w:val="auto"/>
          <w:sz w:val="32"/>
          <w:szCs w:val="32"/>
          <w:shd w:val="clear" w:color="auto" w:fill="FFFFFF"/>
          <w:lang w:val="en-US" w:eastAsia="zh-CN"/>
        </w:rPr>
        <w:t>万元未使用</w:t>
      </w:r>
      <w:r>
        <w:rPr>
          <w:rFonts w:hint="default" w:ascii="Times New Roman" w:hAnsi="Times New Roman" w:eastAsia="方正仿宋_GBK" w:cs="Times New Roman"/>
          <w:color w:val="auto"/>
          <w:sz w:val="32"/>
          <w:szCs w:val="32"/>
          <w:shd w:val="clear" w:color="auto" w:fill="FFFFFF"/>
        </w:rPr>
        <w:t>。</w:t>
      </w:r>
    </w:p>
    <w:p w14:paraId="556AB6BD">
      <w:pPr>
        <w:keepNext w:val="0"/>
        <w:keepLines w:val="0"/>
        <w:pageBreakBefore w:val="0"/>
        <w:widowControl/>
        <w:kinsoku/>
        <w:wordWrap/>
        <w:overflowPunct/>
        <w:topLinePunct w:val="0"/>
        <w:autoSpaceDN/>
        <w:bidi w:val="0"/>
        <w:adjustRightInd/>
        <w:spacing w:beforeAutospacing="0" w:afterAutospacing="0" w:line="360" w:lineRule="auto"/>
        <w:ind w:firstLine="640" w:firstLineChars="200"/>
        <w:textAlignment w:val="auto"/>
        <w:rPr>
          <w:rFonts w:hint="default" w:ascii="Times New Roman" w:hAnsi="Times New Roman" w:eastAsia="方正仿宋_GBK" w:cs="Times New Roman"/>
          <w:color w:val="FF0000"/>
          <w:sz w:val="32"/>
          <w:szCs w:val="32"/>
          <w:shd w:val="clear" w:color="auto" w:fill="FFFFFF"/>
        </w:rPr>
      </w:pPr>
      <w:r>
        <w:rPr>
          <w:rFonts w:hint="default" w:ascii="Times New Roman" w:hAnsi="Times New Roman" w:eastAsia="方正仿宋_GBK" w:cs="Times New Roman"/>
          <w:sz w:val="32"/>
          <w:szCs w:val="32"/>
          <w:shd w:val="clear" w:color="auto" w:fill="FFFFFF"/>
        </w:rPr>
        <w:t>（</w:t>
      </w:r>
      <w:r>
        <w:rPr>
          <w:rFonts w:hint="eastAsia" w:ascii="Times New Roman" w:hAnsi="Times New Roman" w:eastAsia="方正仿宋_GBK" w:cs="Times New Roman"/>
          <w:sz w:val="32"/>
          <w:szCs w:val="32"/>
          <w:shd w:val="clear" w:color="auto" w:fill="FFFFFF"/>
          <w:lang w:val="en-US" w:eastAsia="zh-CN"/>
        </w:rPr>
        <w:t>3</w:t>
      </w: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rPr>
        <w:t>住房保障支出0.28</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0.46</w:t>
      </w:r>
      <w:r>
        <w:rPr>
          <w:rFonts w:hint="default" w:ascii="Times New Roman" w:hAnsi="Times New Roman" w:eastAsia="方正仿宋_GBK" w:cs="Times New Roman"/>
          <w:sz w:val="32"/>
          <w:szCs w:val="32"/>
          <w:shd w:val="clear" w:color="auto" w:fill="FFFFFF"/>
        </w:rPr>
        <w:t>%，较年初预算数减少2.55万元，下降90.11%，主要原因是</w:t>
      </w:r>
      <w:r>
        <w:rPr>
          <w:rFonts w:hint="eastAsia" w:ascii="Times New Roman" w:hAnsi="Times New Roman" w:eastAsia="方正仿宋_GBK" w:cs="Times New Roman"/>
          <w:color w:val="auto"/>
          <w:sz w:val="32"/>
          <w:szCs w:val="32"/>
          <w:shd w:val="clear" w:color="auto" w:fill="FFFFFF"/>
          <w:lang w:val="en-US" w:eastAsia="zh-CN"/>
        </w:rPr>
        <w:t>在编人员住房公积金基数调整。</w:t>
      </w:r>
      <w:bookmarkStart w:id="0" w:name="_GoBack"/>
      <w:bookmarkEnd w:id="0"/>
    </w:p>
    <w:p w14:paraId="4C807B78">
      <w:pPr>
        <w:pStyle w:val="11"/>
        <w:keepNext w:val="0"/>
        <w:keepLines w:val="0"/>
        <w:pageBreakBefore w:val="0"/>
        <w:widowControl/>
        <w:kinsoku/>
        <w:wordWrap/>
        <w:overflowPunct/>
        <w:topLinePunct w:val="0"/>
        <w:autoSpaceDE w:val="0"/>
        <w:autoSpaceDN/>
        <w:bidi w:val="0"/>
        <w:adjustRightInd/>
        <w:spacing w:beforeAutospacing="0" w:afterAutospacing="0" w:line="360" w:lineRule="auto"/>
        <w:ind w:firstLine="643"/>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（四）一般公共预算财政拨款基本支出决算情况说明</w:t>
      </w:r>
    </w:p>
    <w:p w14:paraId="687C6CC0">
      <w:pPr>
        <w:pStyle w:val="16"/>
        <w:keepNext w:val="0"/>
        <w:keepLines w:val="0"/>
        <w:pageBreakBefore w:val="0"/>
        <w:widowControl/>
        <w:suppressLineNumbers w:val="0"/>
        <w:kinsoku/>
        <w:wordWrap/>
        <w:overflowPunct/>
        <w:topLinePunct w:val="0"/>
        <w:autoSpaceDE w:val="0"/>
        <w:autoSpaceDN/>
        <w:bidi w:val="0"/>
        <w:adjustRightInd/>
        <w:spacing w:before="0" w:beforeAutospacing="0" w:after="157" w:afterAutospacing="0" w:line="360" w:lineRule="auto"/>
        <w:ind w:left="0" w:firstLine="640" w:firstLineChars="200"/>
        <w:jc w:val="both"/>
        <w:textAlignment w:val="auto"/>
        <w:rPr>
          <w:rFonts w:hint="default" w:ascii="Times New Roman" w:hAnsi="Times New Roman" w:eastAsia="方正仿宋_GBK" w:cs="Times New Roman"/>
          <w:kern w:val="0"/>
          <w:sz w:val="32"/>
          <w:szCs w:val="32"/>
          <w:shd w:val="clear" w:fill="FFFFFF"/>
        </w:rPr>
      </w:pPr>
      <w:r>
        <w:rPr>
          <w:rFonts w:hint="default" w:ascii="Times New Roman" w:hAnsi="Times New Roman" w:eastAsia="方正仿宋_GBK" w:cs="Times New Roman"/>
          <w:sz w:val="32"/>
          <w:szCs w:val="32"/>
          <w:shd w:val="clear" w:color="auto" w:fill="FFFFFF"/>
        </w:rPr>
        <w:t> 2023年度一般公共财政拨款基本支出</w:t>
      </w:r>
      <w:r>
        <w:rPr>
          <w:rFonts w:hint="default" w:ascii="Times New Roman" w:hAnsi="Times New Roman" w:eastAsia="方正仿宋_GBK" w:cs="Times New Roman"/>
          <w:sz w:val="32"/>
          <w:szCs w:val="32"/>
        </w:rPr>
        <w:t>62.08</w:t>
      </w:r>
      <w:r>
        <w:rPr>
          <w:rFonts w:hint="default" w:ascii="Times New Roman" w:hAnsi="Times New Roman" w:eastAsia="方正仿宋_GBK" w:cs="Times New Roman"/>
          <w:sz w:val="32"/>
          <w:szCs w:val="32"/>
          <w:shd w:val="clear" w:color="auto" w:fill="FFFFFF"/>
        </w:rPr>
        <w:t>万元。其中：人员经费</w:t>
      </w:r>
      <w:r>
        <w:rPr>
          <w:rFonts w:hint="default" w:ascii="Times New Roman" w:hAnsi="Times New Roman" w:eastAsia="方正仿宋_GBK" w:cs="Times New Roman"/>
          <w:sz w:val="32"/>
          <w:szCs w:val="32"/>
        </w:rPr>
        <w:t>48.49</w:t>
      </w:r>
      <w:r>
        <w:rPr>
          <w:rFonts w:hint="default" w:ascii="Times New Roman" w:hAnsi="Times New Roman" w:eastAsia="方正仿宋_GBK" w:cs="Times New Roman"/>
          <w:sz w:val="32"/>
          <w:szCs w:val="32"/>
          <w:shd w:val="clear" w:color="auto" w:fill="FFFFFF"/>
        </w:rPr>
        <w:t>万元，较上年决算数增加48.49万元，增长100.00%，主要原因是</w:t>
      </w:r>
      <w:r>
        <w:rPr>
          <w:rFonts w:hint="default" w:ascii="Times New Roman" w:hAnsi="Times New Roman" w:eastAsia="方正仿宋_GBK" w:cs="Times New Roman"/>
          <w:sz w:val="32"/>
          <w:szCs w:val="32"/>
          <w:shd w:val="clear" w:color="auto" w:fill="FFFFFF"/>
          <w:lang w:val="en-US" w:eastAsia="zh-CN"/>
        </w:rPr>
        <w:t>2022年本单位未独立编制决算。</w:t>
      </w:r>
      <w:r>
        <w:rPr>
          <w:rFonts w:hint="default" w:ascii="Times New Roman" w:hAnsi="Times New Roman" w:eastAsia="方正仿宋_GBK" w:cs="Times New Roman"/>
          <w:sz w:val="32"/>
          <w:szCs w:val="32"/>
          <w:shd w:val="clear" w:color="auto" w:fill="FFFFFF"/>
        </w:rPr>
        <w:t>人员经费用途主要包括</w:t>
      </w:r>
      <w:r>
        <w:rPr>
          <w:rFonts w:hint="default" w:ascii="Times New Roman" w:hAnsi="Times New Roman" w:eastAsia="方正仿宋_GBK" w:cs="Times New Roman"/>
          <w:kern w:val="0"/>
          <w:sz w:val="32"/>
          <w:szCs w:val="32"/>
          <w:shd w:val="clear" w:fill="FFFFFF"/>
        </w:rPr>
        <w:t>单位在编在册人员、退休人员工资福利、五险两金缴纳、医疗费用</w:t>
      </w:r>
      <w:r>
        <w:rPr>
          <w:rFonts w:hint="default" w:ascii="Times New Roman" w:hAnsi="Times New Roman" w:eastAsia="方正仿宋_GBK" w:cs="Times New Roman"/>
          <w:color w:val="auto"/>
          <w:sz w:val="32"/>
          <w:szCs w:val="32"/>
          <w:shd w:val="clear" w:color="auto" w:fill="FFFFFF"/>
        </w:rPr>
        <w:t>。</w:t>
      </w:r>
      <w:r>
        <w:rPr>
          <w:rFonts w:hint="default" w:ascii="Times New Roman" w:hAnsi="Times New Roman" w:eastAsia="方正仿宋_GBK" w:cs="Times New Roman"/>
          <w:sz w:val="32"/>
          <w:szCs w:val="32"/>
          <w:shd w:val="clear" w:color="auto" w:fill="FFFFFF"/>
        </w:rPr>
        <w:t>公用经费</w:t>
      </w:r>
      <w:r>
        <w:rPr>
          <w:rFonts w:hint="default" w:ascii="Times New Roman" w:hAnsi="Times New Roman" w:eastAsia="方正仿宋_GBK" w:cs="Times New Roman"/>
          <w:sz w:val="32"/>
          <w:szCs w:val="32"/>
        </w:rPr>
        <w:t>13.59</w:t>
      </w:r>
      <w:r>
        <w:rPr>
          <w:rFonts w:hint="default" w:ascii="Times New Roman" w:hAnsi="Times New Roman" w:eastAsia="方正仿宋_GBK" w:cs="Times New Roman"/>
          <w:sz w:val="32"/>
          <w:szCs w:val="32"/>
          <w:shd w:val="clear" w:color="auto" w:fill="FFFFFF"/>
        </w:rPr>
        <w:t>万元，较上年决算数增加13.59万元，增长100.00%，主要原因是</w:t>
      </w:r>
      <w:r>
        <w:rPr>
          <w:rFonts w:hint="default" w:ascii="Times New Roman" w:hAnsi="Times New Roman" w:eastAsia="方正仿宋_GBK" w:cs="Times New Roman"/>
          <w:sz w:val="32"/>
          <w:szCs w:val="32"/>
          <w:shd w:val="clear" w:color="auto" w:fill="FFFFFF"/>
          <w:lang w:val="en-US" w:eastAsia="zh-CN"/>
        </w:rPr>
        <w:t>2022年本单位未独立编制决算。</w:t>
      </w:r>
      <w:r>
        <w:rPr>
          <w:rFonts w:hint="default" w:ascii="Times New Roman" w:hAnsi="Times New Roman" w:eastAsia="方正仿宋_GBK" w:cs="Times New Roman"/>
          <w:sz w:val="32"/>
          <w:szCs w:val="32"/>
          <w:shd w:val="clear" w:color="auto" w:fill="FFFFFF"/>
        </w:rPr>
        <w:t>公用经费用途主要包括</w:t>
      </w:r>
      <w:r>
        <w:rPr>
          <w:rFonts w:hint="default" w:ascii="Times New Roman" w:hAnsi="Times New Roman" w:eastAsia="方正仿宋_GBK" w:cs="Times New Roman"/>
          <w:kern w:val="0"/>
          <w:sz w:val="32"/>
          <w:szCs w:val="32"/>
          <w:shd w:val="clear" w:fill="FFFFFF"/>
        </w:rPr>
        <w:t>办公费、水费、电费、邮电费、差旅费、会议费、劳务费及公务用车运行维护费等日常公用经费。</w:t>
      </w:r>
    </w:p>
    <w:p w14:paraId="1170AA59">
      <w:pPr>
        <w:pStyle w:val="11"/>
        <w:keepNext w:val="0"/>
        <w:keepLines w:val="0"/>
        <w:pageBreakBefore w:val="0"/>
        <w:widowControl/>
        <w:kinsoku/>
        <w:wordWrap/>
        <w:overflowPunct/>
        <w:topLinePunct w:val="0"/>
        <w:autoSpaceDE w:val="0"/>
        <w:autoSpaceDN/>
        <w:bidi w:val="0"/>
        <w:adjustRightInd/>
        <w:snapToGrid/>
        <w:spacing w:beforeAutospacing="0" w:afterAutospacing="0" w:line="360" w:lineRule="auto"/>
        <w:ind w:firstLine="643"/>
        <w:textAlignment w:val="auto"/>
        <w:outlineLvl w:val="9"/>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（五）政府性基金预算收支决算情况说明</w:t>
      </w:r>
    </w:p>
    <w:p w14:paraId="37BFC204">
      <w:pPr>
        <w:pStyle w:val="16"/>
        <w:keepNext w:val="0"/>
        <w:keepLines w:val="0"/>
        <w:pageBreakBefore w:val="0"/>
        <w:widowControl/>
        <w:suppressLineNumbers w:val="0"/>
        <w:kinsoku/>
        <w:wordWrap/>
        <w:overflowPunct/>
        <w:topLinePunct w:val="0"/>
        <w:autoSpaceDE w:val="0"/>
        <w:autoSpaceDN/>
        <w:bidi w:val="0"/>
        <w:adjustRightInd/>
        <w:spacing w:before="0" w:beforeAutospacing="0" w:after="157" w:afterAutospacing="0" w:line="360" w:lineRule="auto"/>
        <w:ind w:left="0" w:firstLine="640" w:firstLineChars="200"/>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本单位2023年度无政府性基金预算财政拨款收支。</w:t>
      </w:r>
    </w:p>
    <w:p w14:paraId="17D0CFA7">
      <w:pPr>
        <w:pStyle w:val="11"/>
        <w:keepNext w:val="0"/>
        <w:keepLines w:val="0"/>
        <w:pageBreakBefore w:val="0"/>
        <w:widowControl/>
        <w:kinsoku/>
        <w:wordWrap/>
        <w:overflowPunct/>
        <w:topLinePunct w:val="0"/>
        <w:autoSpaceDE w:val="0"/>
        <w:autoSpaceDN/>
        <w:bidi w:val="0"/>
        <w:adjustRightInd/>
        <w:snapToGrid/>
        <w:spacing w:beforeAutospacing="0" w:afterAutospacing="0" w:line="360" w:lineRule="auto"/>
        <w:ind w:firstLine="643"/>
        <w:textAlignment w:val="auto"/>
        <w:outlineLvl w:val="9"/>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（六）国有资本经营预算财政拨款支出决算情况说明</w:t>
      </w:r>
    </w:p>
    <w:p w14:paraId="6DF6560C">
      <w:pPr>
        <w:pStyle w:val="16"/>
        <w:keepNext w:val="0"/>
        <w:keepLines w:val="0"/>
        <w:pageBreakBefore w:val="0"/>
        <w:widowControl/>
        <w:suppressLineNumbers w:val="0"/>
        <w:kinsoku/>
        <w:wordWrap/>
        <w:overflowPunct/>
        <w:topLinePunct w:val="0"/>
        <w:autoSpaceDE w:val="0"/>
        <w:autoSpaceDN/>
        <w:bidi w:val="0"/>
        <w:adjustRightInd/>
        <w:spacing w:before="0" w:beforeAutospacing="0" w:after="157" w:afterAutospacing="0" w:line="360" w:lineRule="auto"/>
        <w:ind w:left="0" w:firstLine="640" w:firstLineChars="200"/>
        <w:jc w:val="both"/>
        <w:textAlignment w:val="auto"/>
        <w:rPr>
          <w:rFonts w:hint="default" w:ascii="Times New Roman" w:hAnsi="Times New Roman" w:eastAsia="方正仿宋_GBK" w:cs="Times New Roman"/>
          <w:kern w:val="0"/>
          <w:sz w:val="32"/>
          <w:szCs w:val="32"/>
          <w:shd w:val="clear" w:fill="FFFFFF"/>
        </w:rPr>
      </w:pPr>
      <w:r>
        <w:rPr>
          <w:rFonts w:hint="default" w:ascii="Times New Roman" w:hAnsi="Times New Roman" w:eastAsia="方正仿宋_GBK" w:cs="Times New Roman"/>
          <w:sz w:val="32"/>
          <w:szCs w:val="32"/>
          <w:shd w:val="clear" w:color="auto" w:fill="FFFFFF"/>
        </w:rPr>
        <w:t>本单位2023年度无国有资本经营预算财政拨款支出。</w:t>
      </w:r>
    </w:p>
    <w:p w14:paraId="0E2E9869">
      <w:pPr>
        <w:pStyle w:val="6"/>
        <w:keepNext w:val="0"/>
        <w:keepLines w:val="0"/>
        <w:pageBreakBefore w:val="0"/>
        <w:widowControl/>
        <w:shd w:val="clear" w:color="auto" w:fill="FFFFFF"/>
        <w:kinsoku/>
        <w:wordWrap/>
        <w:overflowPunct/>
        <w:topLinePunct w:val="0"/>
        <w:autoSpaceDN/>
        <w:bidi w:val="0"/>
        <w:adjustRightInd/>
        <w:spacing w:beforeAutospacing="0" w:afterAutospacing="0" w:line="360" w:lineRule="auto"/>
        <w:textAlignment w:val="auto"/>
        <w:rPr>
          <w:rStyle w:val="10"/>
          <w:rFonts w:hint="default" w:ascii="Times New Roman" w:hAnsi="Times New Roman" w:eastAsia="黑体" w:cs="Times New Roman"/>
          <w:sz w:val="32"/>
          <w:szCs w:val="32"/>
          <w:shd w:val="clear" w:color="auto" w:fill="FFFFFF"/>
        </w:rPr>
      </w:pPr>
      <w:r>
        <w:rPr>
          <w:rStyle w:val="10"/>
          <w:rFonts w:hint="default" w:ascii="Times New Roman" w:hAnsi="Times New Roman" w:eastAsia="黑体" w:cs="Times New Roman"/>
          <w:sz w:val="32"/>
          <w:szCs w:val="32"/>
          <w:shd w:val="clear" w:color="auto" w:fill="FFFFFF"/>
        </w:rPr>
        <w:t>三、“三公”经费情况说明</w:t>
      </w:r>
    </w:p>
    <w:p w14:paraId="7115AF2E">
      <w:pPr>
        <w:pStyle w:val="11"/>
        <w:keepNext w:val="0"/>
        <w:keepLines w:val="0"/>
        <w:pageBreakBefore w:val="0"/>
        <w:widowControl/>
        <w:kinsoku/>
        <w:wordWrap/>
        <w:overflowPunct/>
        <w:topLinePunct w:val="0"/>
        <w:autoSpaceDE w:val="0"/>
        <w:autoSpaceDN/>
        <w:bidi w:val="0"/>
        <w:adjustRightInd/>
        <w:spacing w:beforeAutospacing="0" w:afterAutospacing="0" w:line="360" w:lineRule="auto"/>
        <w:ind w:firstLine="964" w:firstLineChars="300"/>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（一）“三公”经费支出总体情况说明</w:t>
      </w:r>
    </w:p>
    <w:p w14:paraId="18584776">
      <w:pPr>
        <w:pStyle w:val="6"/>
        <w:keepNext w:val="0"/>
        <w:keepLines w:val="0"/>
        <w:pageBreakBefore w:val="0"/>
        <w:widowControl/>
        <w:kinsoku/>
        <w:wordWrap/>
        <w:overflowPunct/>
        <w:topLinePunct w:val="0"/>
        <w:autoSpaceDN/>
        <w:bidi w:val="0"/>
        <w:adjustRightInd/>
        <w:snapToGrid w:val="0"/>
        <w:spacing w:before="0" w:beforeAutospacing="0" w:after="0" w:afterAutospacing="0" w:line="360" w:lineRule="auto"/>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shd w:val="clear" w:color="auto" w:fill="FFFFFF"/>
        </w:rPr>
        <w:t>2023年度“三公”经费支出共计</w:t>
      </w:r>
      <w:r>
        <w:rPr>
          <w:rFonts w:hint="default" w:ascii="Times New Roman" w:hAnsi="Times New Roman" w:eastAsia="方正仿宋_GBK" w:cs="Times New Roman"/>
          <w:color w:val="auto"/>
          <w:sz w:val="32"/>
          <w:szCs w:val="32"/>
        </w:rPr>
        <w:t>0.00</w:t>
      </w:r>
      <w:r>
        <w:rPr>
          <w:rFonts w:hint="default" w:ascii="Times New Roman" w:hAnsi="Times New Roman" w:eastAsia="方正仿宋_GBK" w:cs="Times New Roman"/>
          <w:color w:val="auto"/>
          <w:sz w:val="32"/>
          <w:szCs w:val="32"/>
          <w:shd w:val="clear" w:color="auto" w:fill="FFFFFF"/>
        </w:rPr>
        <w:t>万元，较年初预算数无增减。</w:t>
      </w:r>
    </w:p>
    <w:p w14:paraId="5575F7DD">
      <w:pPr>
        <w:pStyle w:val="11"/>
        <w:keepNext w:val="0"/>
        <w:keepLines w:val="0"/>
        <w:pageBreakBefore w:val="0"/>
        <w:widowControl/>
        <w:numPr>
          <w:ilvl w:val="0"/>
          <w:numId w:val="0"/>
        </w:numPr>
        <w:kinsoku/>
        <w:wordWrap/>
        <w:overflowPunct/>
        <w:topLinePunct w:val="0"/>
        <w:autoSpaceDE w:val="0"/>
        <w:autoSpaceDN/>
        <w:bidi w:val="0"/>
        <w:adjustRightInd/>
        <w:spacing w:beforeAutospacing="0" w:afterAutospacing="0" w:line="360" w:lineRule="auto"/>
        <w:ind w:firstLine="964" w:firstLineChars="300"/>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w:t>
      </w:r>
      <w:r>
        <w:rPr>
          <w:rFonts w:hint="eastAsia" w:ascii="Times New Roman" w:hAnsi="Times New Roman" w:eastAsia="楷体" w:cs="Times New Roman"/>
          <w:b/>
          <w:bCs/>
          <w:sz w:val="32"/>
          <w:szCs w:val="32"/>
          <w:shd w:val="clear" w:color="auto" w:fill="FFFFFF"/>
          <w:lang w:eastAsia="zh-CN"/>
        </w:rPr>
        <w:t>二</w:t>
      </w:r>
      <w:r>
        <w:rPr>
          <w:rFonts w:hint="default" w:ascii="Times New Roman" w:hAnsi="Times New Roman" w:eastAsia="楷体" w:cs="Times New Roman"/>
          <w:b/>
          <w:bCs/>
          <w:sz w:val="32"/>
          <w:szCs w:val="32"/>
          <w:shd w:val="clear" w:color="auto" w:fill="FFFFFF"/>
        </w:rPr>
        <w:t>）“三公”经费分项支出情况</w:t>
      </w:r>
    </w:p>
    <w:p w14:paraId="733B4E16">
      <w:pPr>
        <w:pStyle w:val="6"/>
        <w:keepNext w:val="0"/>
        <w:keepLines w:val="0"/>
        <w:pageBreakBefore w:val="0"/>
        <w:widowControl/>
        <w:kinsoku/>
        <w:wordWrap/>
        <w:overflowPunct/>
        <w:topLinePunct w:val="0"/>
        <w:autoSpaceDN/>
        <w:bidi w:val="0"/>
        <w:adjustRightInd/>
        <w:snapToGrid w:val="0"/>
        <w:spacing w:before="0" w:beforeAutospacing="0" w:after="0" w:afterAutospacing="0" w:line="360" w:lineRule="auto"/>
        <w:ind w:firstLine="640" w:firstLineChars="200"/>
        <w:jc w:val="both"/>
        <w:textAlignment w:val="auto"/>
        <w:rPr>
          <w:rFonts w:hint="default" w:ascii="Times New Roman" w:hAnsi="Times New Roman" w:eastAsia="方正仿宋_GBK" w:cs="Times New Roman"/>
          <w:kern w:val="0"/>
          <w:sz w:val="32"/>
          <w:szCs w:val="32"/>
          <w:shd w:val="clear" w:fill="FFFFFF"/>
        </w:rPr>
      </w:pPr>
      <w:r>
        <w:rPr>
          <w:rFonts w:hint="default" w:ascii="Times New Roman" w:hAnsi="Times New Roman" w:eastAsia="方正仿宋_GBK" w:cs="Times New Roman"/>
          <w:kern w:val="0"/>
          <w:sz w:val="32"/>
          <w:szCs w:val="32"/>
          <w:shd w:val="clear" w:fill="FFFFFF"/>
        </w:rPr>
        <w:t>2023年度本部门（单位）因公出国（境）费用0.00万元，费用支出较年初预算数无增减，较上年支出数无增减。</w:t>
      </w:r>
    </w:p>
    <w:p w14:paraId="1B130749">
      <w:pPr>
        <w:pStyle w:val="6"/>
        <w:keepNext w:val="0"/>
        <w:keepLines w:val="0"/>
        <w:pageBreakBefore w:val="0"/>
        <w:widowControl/>
        <w:kinsoku/>
        <w:wordWrap/>
        <w:overflowPunct/>
        <w:topLinePunct w:val="0"/>
        <w:autoSpaceDN/>
        <w:bidi w:val="0"/>
        <w:adjustRightInd/>
        <w:snapToGrid w:val="0"/>
        <w:spacing w:before="0" w:beforeAutospacing="0" w:after="0" w:afterAutospacing="0" w:line="360" w:lineRule="auto"/>
        <w:ind w:firstLine="640" w:firstLineChars="200"/>
        <w:jc w:val="both"/>
        <w:textAlignment w:val="auto"/>
        <w:rPr>
          <w:rFonts w:hint="default" w:ascii="Times New Roman" w:hAnsi="Times New Roman" w:eastAsia="方正仿宋_GBK" w:cs="Times New Roman"/>
          <w:kern w:val="0"/>
          <w:sz w:val="32"/>
          <w:szCs w:val="32"/>
          <w:shd w:val="clear" w:fill="FFFFFF"/>
        </w:rPr>
      </w:pPr>
      <w:r>
        <w:rPr>
          <w:rFonts w:hint="default" w:ascii="Times New Roman" w:hAnsi="Times New Roman" w:eastAsia="方正仿宋_GBK" w:cs="Times New Roman"/>
          <w:kern w:val="0"/>
          <w:sz w:val="32"/>
          <w:szCs w:val="32"/>
          <w:shd w:val="clear" w:fill="FFFFFF"/>
        </w:rPr>
        <w:t>公务车购置费0.00万元，费用支出较年初预算数无增减，较上年支出数无增减。</w:t>
      </w:r>
    </w:p>
    <w:p w14:paraId="1D7A816D">
      <w:pPr>
        <w:pStyle w:val="6"/>
        <w:keepNext w:val="0"/>
        <w:keepLines w:val="0"/>
        <w:pageBreakBefore w:val="0"/>
        <w:widowControl/>
        <w:kinsoku/>
        <w:wordWrap/>
        <w:overflowPunct/>
        <w:topLinePunct w:val="0"/>
        <w:autoSpaceDN/>
        <w:bidi w:val="0"/>
        <w:adjustRightInd/>
        <w:snapToGrid w:val="0"/>
        <w:spacing w:before="0" w:beforeAutospacing="0" w:after="0" w:afterAutospacing="0" w:line="360" w:lineRule="auto"/>
        <w:ind w:firstLine="640" w:firstLineChars="200"/>
        <w:jc w:val="both"/>
        <w:textAlignment w:val="auto"/>
        <w:rPr>
          <w:rFonts w:hint="default" w:ascii="Times New Roman" w:hAnsi="Times New Roman" w:eastAsia="方正仿宋_GBK" w:cs="Times New Roman"/>
          <w:kern w:val="0"/>
          <w:sz w:val="32"/>
          <w:szCs w:val="32"/>
          <w:shd w:val="clear" w:fill="FFFFFF"/>
        </w:rPr>
      </w:pPr>
      <w:r>
        <w:rPr>
          <w:rFonts w:hint="default" w:ascii="Times New Roman" w:hAnsi="Times New Roman" w:eastAsia="方正仿宋_GBK" w:cs="Times New Roman"/>
          <w:kern w:val="0"/>
          <w:sz w:val="32"/>
          <w:szCs w:val="32"/>
          <w:shd w:val="clear" w:fill="FFFFFF"/>
        </w:rPr>
        <w:t>公务车运行维护费0.00万元，费用支出较年初预算数无增减，较上年支出数无增减。</w:t>
      </w:r>
    </w:p>
    <w:p w14:paraId="5DB1AFC2">
      <w:pPr>
        <w:pStyle w:val="6"/>
        <w:keepNext w:val="0"/>
        <w:keepLines w:val="0"/>
        <w:pageBreakBefore w:val="0"/>
        <w:widowControl/>
        <w:kinsoku/>
        <w:wordWrap/>
        <w:overflowPunct/>
        <w:topLinePunct w:val="0"/>
        <w:autoSpaceDN/>
        <w:bidi w:val="0"/>
        <w:adjustRightInd/>
        <w:snapToGrid w:val="0"/>
        <w:spacing w:before="0" w:beforeAutospacing="0" w:after="0" w:afterAutospacing="0" w:line="360" w:lineRule="auto"/>
        <w:ind w:firstLine="640" w:firstLineChars="200"/>
        <w:jc w:val="both"/>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方正仿宋_GBK" w:cs="Times New Roman"/>
          <w:kern w:val="0"/>
          <w:sz w:val="32"/>
          <w:szCs w:val="32"/>
          <w:shd w:val="clear" w:fill="FFFFFF"/>
        </w:rPr>
        <w:t>公务接待费0.00万元，费用支出较年初预算数无增减，较上年支出数无增减。</w:t>
      </w:r>
    </w:p>
    <w:p w14:paraId="273B3886">
      <w:pPr>
        <w:pStyle w:val="11"/>
        <w:keepNext w:val="0"/>
        <w:keepLines w:val="0"/>
        <w:pageBreakBefore w:val="0"/>
        <w:widowControl/>
        <w:kinsoku/>
        <w:wordWrap/>
        <w:overflowPunct/>
        <w:topLinePunct w:val="0"/>
        <w:autoSpaceDE w:val="0"/>
        <w:autoSpaceDN/>
        <w:bidi w:val="0"/>
        <w:adjustRightInd/>
        <w:spacing w:beforeAutospacing="0" w:afterAutospacing="0" w:line="360" w:lineRule="auto"/>
        <w:ind w:firstLine="964" w:firstLineChars="300"/>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（三）“三公”经费实物量情况</w:t>
      </w:r>
    </w:p>
    <w:p w14:paraId="49C9E38C">
      <w:pPr>
        <w:pStyle w:val="6"/>
        <w:keepNext w:val="0"/>
        <w:keepLines w:val="0"/>
        <w:pageBreakBefore w:val="0"/>
        <w:widowControl/>
        <w:kinsoku/>
        <w:wordWrap/>
        <w:overflowPunct/>
        <w:topLinePunct w:val="0"/>
        <w:autoSpaceDN/>
        <w:bidi w:val="0"/>
        <w:adjustRightInd/>
        <w:snapToGrid w:val="0"/>
        <w:spacing w:before="0" w:beforeAutospacing="0" w:after="0" w:afterAutospacing="0" w:line="360" w:lineRule="auto"/>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2023年度本单位因公出国（境）共计</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个团组，</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人；公务用车购置</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辆，公务车保有量为</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辆；国内公务接待</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批次</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人，其中：国内外事接待</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批次，</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人；国（境）外公务接待</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批次，</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人。2023年本单位人均接待费</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元，车均购置费</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万元，车均维护费</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万元。</w:t>
      </w:r>
    </w:p>
    <w:p w14:paraId="65346DB0">
      <w:pPr>
        <w:pStyle w:val="6"/>
        <w:keepNext w:val="0"/>
        <w:keepLines w:val="0"/>
        <w:pageBreakBefore w:val="0"/>
        <w:widowControl/>
        <w:shd w:val="clear" w:color="auto" w:fill="FFFFFF"/>
        <w:kinsoku/>
        <w:wordWrap/>
        <w:overflowPunct/>
        <w:topLinePunct w:val="0"/>
        <w:autoSpaceDN/>
        <w:bidi w:val="0"/>
        <w:adjustRightInd/>
        <w:spacing w:beforeAutospacing="0" w:afterAutospacing="0" w:line="360" w:lineRule="auto"/>
        <w:textAlignment w:val="auto"/>
        <w:rPr>
          <w:rStyle w:val="10"/>
          <w:rFonts w:hint="default" w:ascii="Times New Roman" w:hAnsi="Times New Roman" w:eastAsia="方正仿宋_GBK" w:cs="Times New Roman"/>
          <w:sz w:val="32"/>
          <w:szCs w:val="32"/>
          <w:shd w:val="clear" w:color="auto" w:fill="FFFFFF"/>
        </w:rPr>
      </w:pPr>
      <w:r>
        <w:rPr>
          <w:rStyle w:val="10"/>
          <w:rFonts w:hint="default" w:ascii="Times New Roman" w:hAnsi="Times New Roman" w:eastAsia="黑体" w:cs="Times New Roman"/>
          <w:sz w:val="32"/>
          <w:szCs w:val="32"/>
          <w:shd w:val="clear" w:color="auto" w:fill="FFFFFF"/>
        </w:rPr>
        <w:t>四、其他需要说明的事项</w:t>
      </w:r>
    </w:p>
    <w:p w14:paraId="2166B412">
      <w:pPr>
        <w:pStyle w:val="11"/>
        <w:keepNext w:val="0"/>
        <w:keepLines w:val="0"/>
        <w:pageBreakBefore w:val="0"/>
        <w:widowControl/>
        <w:kinsoku/>
        <w:wordWrap/>
        <w:overflowPunct/>
        <w:topLinePunct w:val="0"/>
        <w:autoSpaceDE w:val="0"/>
        <w:autoSpaceDN/>
        <w:bidi w:val="0"/>
        <w:adjustRightInd/>
        <w:spacing w:beforeAutospacing="0" w:afterAutospacing="0" w:line="360" w:lineRule="auto"/>
        <w:ind w:firstLine="643"/>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（一）财政拨款会议费和培训费情况说明</w:t>
      </w:r>
    </w:p>
    <w:p w14:paraId="66202B97">
      <w:pPr>
        <w:pStyle w:val="6"/>
        <w:keepNext w:val="0"/>
        <w:keepLines w:val="0"/>
        <w:pageBreakBefore w:val="0"/>
        <w:widowControl/>
        <w:kinsoku/>
        <w:wordWrap/>
        <w:overflowPunct/>
        <w:topLinePunct w:val="0"/>
        <w:autoSpaceDN/>
        <w:bidi w:val="0"/>
        <w:adjustRightInd/>
        <w:snapToGrid w:val="0"/>
        <w:spacing w:before="0" w:beforeAutospacing="0" w:after="0" w:afterAutospacing="0" w:line="360" w:lineRule="auto"/>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本年度会议费支出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万元，较上年决算数无增减</w:t>
      </w:r>
      <w:r>
        <w:rPr>
          <w:rFonts w:hint="eastAsia"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本年度培训费支出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万元，较上年决算数无变化。</w:t>
      </w:r>
    </w:p>
    <w:p w14:paraId="7D5F3430">
      <w:pPr>
        <w:pStyle w:val="11"/>
        <w:keepNext w:val="0"/>
        <w:keepLines w:val="0"/>
        <w:pageBreakBefore w:val="0"/>
        <w:widowControl/>
        <w:kinsoku/>
        <w:wordWrap/>
        <w:overflowPunct/>
        <w:topLinePunct w:val="0"/>
        <w:autoSpaceDE w:val="0"/>
        <w:autoSpaceDN/>
        <w:bidi w:val="0"/>
        <w:adjustRightInd/>
        <w:spacing w:beforeAutospacing="0" w:afterAutospacing="0" w:line="360" w:lineRule="auto"/>
        <w:ind w:firstLine="643"/>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（二）机关运行经费情况说明</w:t>
      </w:r>
    </w:p>
    <w:p w14:paraId="6F5093C2">
      <w:pPr>
        <w:pStyle w:val="11"/>
        <w:keepNext w:val="0"/>
        <w:keepLines w:val="0"/>
        <w:pageBreakBefore w:val="0"/>
        <w:widowControl/>
        <w:kinsoku/>
        <w:wordWrap/>
        <w:overflowPunct/>
        <w:topLinePunct w:val="0"/>
        <w:autoSpaceDE w:val="0"/>
        <w:autoSpaceDN/>
        <w:bidi w:val="0"/>
        <w:adjustRightInd/>
        <w:spacing w:beforeAutospacing="0" w:afterAutospacing="0" w:line="360" w:lineRule="auto"/>
        <w:ind w:firstLine="643"/>
        <w:textAlignment w:val="auto"/>
        <w:rPr>
          <w:rFonts w:hint="default"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lang w:eastAsia="zh-CN"/>
        </w:rPr>
        <w:t>本</w:t>
      </w:r>
      <w:r>
        <w:rPr>
          <w:rFonts w:hint="default" w:ascii="Times New Roman" w:hAnsi="Times New Roman" w:eastAsia="方正仿宋_GBK" w:cs="Times New Roman"/>
          <w:color w:val="auto"/>
          <w:sz w:val="32"/>
          <w:szCs w:val="32"/>
        </w:rPr>
        <w:t>单位不在机关运行经费统计范围之内。</w:t>
      </w:r>
    </w:p>
    <w:p w14:paraId="5F883D97">
      <w:pPr>
        <w:pStyle w:val="11"/>
        <w:keepNext w:val="0"/>
        <w:keepLines w:val="0"/>
        <w:pageBreakBefore w:val="0"/>
        <w:widowControl/>
        <w:kinsoku/>
        <w:wordWrap/>
        <w:overflowPunct/>
        <w:topLinePunct w:val="0"/>
        <w:autoSpaceDE w:val="0"/>
        <w:autoSpaceDN/>
        <w:bidi w:val="0"/>
        <w:adjustRightInd/>
        <w:spacing w:beforeAutospacing="0" w:afterAutospacing="0" w:line="360" w:lineRule="auto"/>
        <w:ind w:firstLine="643"/>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（三）国有资产占用情况说明</w:t>
      </w:r>
    </w:p>
    <w:p w14:paraId="75CECB48">
      <w:pPr>
        <w:pStyle w:val="6"/>
        <w:keepNext w:val="0"/>
        <w:keepLines w:val="0"/>
        <w:pageBreakBefore w:val="0"/>
        <w:widowControl/>
        <w:kinsoku/>
        <w:wordWrap/>
        <w:overflowPunct/>
        <w:topLinePunct w:val="0"/>
        <w:autoSpaceDN/>
        <w:bidi w:val="0"/>
        <w:adjustRightInd/>
        <w:snapToGrid w:val="0"/>
        <w:spacing w:before="0" w:beforeAutospacing="0" w:after="0" w:afterAutospacing="0" w:line="360" w:lineRule="auto"/>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截至2023年12月31日，本单位共有车辆</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辆，其中，副部（省）级及以上领导用车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辆、主要负责人用车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辆、机要通信用车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辆、应急保障用车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辆、执法执勤用车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辆，特种专业技术用车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辆，离退休干部用车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辆。单价100万元（含）以上专用设备</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台（套）。</w:t>
      </w:r>
    </w:p>
    <w:p w14:paraId="37BB9710">
      <w:pPr>
        <w:pStyle w:val="11"/>
        <w:keepNext w:val="0"/>
        <w:keepLines w:val="0"/>
        <w:pageBreakBefore w:val="0"/>
        <w:widowControl/>
        <w:kinsoku/>
        <w:wordWrap/>
        <w:overflowPunct/>
        <w:topLinePunct w:val="0"/>
        <w:autoSpaceDE w:val="0"/>
        <w:autoSpaceDN/>
        <w:bidi w:val="0"/>
        <w:adjustRightInd/>
        <w:spacing w:beforeAutospacing="0" w:afterAutospacing="0" w:line="360" w:lineRule="auto"/>
        <w:ind w:firstLine="643"/>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（四）政府采购支出情况说明</w:t>
      </w:r>
    </w:p>
    <w:p w14:paraId="6BA02F30">
      <w:pPr>
        <w:pStyle w:val="6"/>
        <w:keepNext w:val="0"/>
        <w:keepLines w:val="0"/>
        <w:pageBreakBefore w:val="0"/>
        <w:widowControl/>
        <w:kinsoku/>
        <w:wordWrap/>
        <w:overflowPunct/>
        <w:topLinePunct w:val="0"/>
        <w:autoSpaceDN/>
        <w:bidi w:val="0"/>
        <w:adjustRightInd/>
        <w:snapToGrid w:val="0"/>
        <w:spacing w:before="0" w:beforeAutospacing="0" w:after="0" w:afterAutospacing="0" w:line="360" w:lineRule="auto"/>
        <w:ind w:firstLine="640" w:firstLineChars="200"/>
        <w:jc w:val="both"/>
        <w:textAlignment w:val="auto"/>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仿宋_GBK" w:cs="Times New Roman"/>
          <w:color w:val="auto"/>
          <w:sz w:val="32"/>
          <w:szCs w:val="32"/>
          <w:shd w:val="clear" w:color="auto" w:fill="FFFFFF"/>
        </w:rPr>
        <w:t>2023年度我单位未发生政府采购事项，无相关经费支出。</w:t>
      </w:r>
    </w:p>
    <w:p w14:paraId="184F267D">
      <w:pPr>
        <w:pStyle w:val="6"/>
        <w:keepNext w:val="0"/>
        <w:keepLines w:val="0"/>
        <w:pageBreakBefore w:val="0"/>
        <w:widowControl/>
        <w:numPr>
          <w:ilvl w:val="0"/>
          <w:numId w:val="1"/>
        </w:numPr>
        <w:shd w:val="clear" w:color="auto" w:fill="FFFFFF"/>
        <w:tabs>
          <w:tab w:val="left" w:pos="4848"/>
        </w:tabs>
        <w:kinsoku/>
        <w:wordWrap/>
        <w:overflowPunct/>
        <w:topLinePunct w:val="0"/>
        <w:autoSpaceDN/>
        <w:bidi w:val="0"/>
        <w:adjustRightInd/>
        <w:spacing w:beforeAutospacing="0" w:afterAutospacing="0" w:line="360" w:lineRule="auto"/>
        <w:textAlignment w:val="auto"/>
        <w:rPr>
          <w:rStyle w:val="10"/>
          <w:rFonts w:hint="default" w:ascii="Times New Roman" w:hAnsi="Times New Roman" w:eastAsia="黑体" w:cs="Times New Roman"/>
          <w:sz w:val="32"/>
          <w:szCs w:val="32"/>
          <w:shd w:val="clear" w:color="auto" w:fill="FFFFFF"/>
        </w:rPr>
      </w:pPr>
      <w:r>
        <w:rPr>
          <w:rStyle w:val="10"/>
          <w:rFonts w:hint="default" w:ascii="Times New Roman" w:hAnsi="Times New Roman" w:eastAsia="黑体" w:cs="Times New Roman"/>
          <w:sz w:val="32"/>
          <w:szCs w:val="32"/>
          <w:shd w:val="clear" w:color="auto" w:fill="FFFFFF"/>
        </w:rPr>
        <w:t>预算绩效管理情况说明</w:t>
      </w:r>
      <w:r>
        <w:rPr>
          <w:rStyle w:val="10"/>
          <w:rFonts w:hint="eastAsia" w:ascii="Times New Roman" w:hAnsi="Times New Roman" w:eastAsia="黑体" w:cs="Times New Roman"/>
          <w:sz w:val="32"/>
          <w:szCs w:val="32"/>
          <w:shd w:val="clear" w:color="auto" w:fill="FFFFFF"/>
          <w:lang w:eastAsia="zh-CN"/>
        </w:rPr>
        <w:tab/>
      </w:r>
    </w:p>
    <w:p w14:paraId="2AC8C52E">
      <w:pPr>
        <w:pStyle w:val="11"/>
        <w:keepNext w:val="0"/>
        <w:keepLines w:val="0"/>
        <w:pageBreakBefore w:val="0"/>
        <w:widowControl/>
        <w:kinsoku/>
        <w:wordWrap/>
        <w:overflowPunct/>
        <w:topLinePunct w:val="0"/>
        <w:autoSpaceDE w:val="0"/>
        <w:autoSpaceDN/>
        <w:bidi w:val="0"/>
        <w:adjustRightInd/>
        <w:spacing w:beforeAutospacing="0" w:afterAutospacing="0" w:line="360" w:lineRule="auto"/>
        <w:ind w:firstLine="643"/>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（一）单位自评情况</w:t>
      </w:r>
    </w:p>
    <w:p w14:paraId="7D0C864A">
      <w:pPr>
        <w:pStyle w:val="11"/>
        <w:keepNext w:val="0"/>
        <w:keepLines w:val="0"/>
        <w:pageBreakBefore w:val="0"/>
        <w:widowControl/>
        <w:kinsoku/>
        <w:wordWrap/>
        <w:overflowPunct/>
        <w:topLinePunct w:val="0"/>
        <w:autoSpaceDE w:val="0"/>
        <w:autoSpaceDN/>
        <w:bidi w:val="0"/>
        <w:adjustRightInd/>
        <w:spacing w:beforeAutospacing="0" w:afterAutospacing="0" w:line="360" w:lineRule="auto"/>
        <w:ind w:firstLine="640"/>
        <w:textAlignment w:val="auto"/>
        <w:rPr>
          <w:rFonts w:hint="default" w:ascii="Times New Roman" w:hAnsi="Times New Roman" w:eastAsia="方正仿宋_GBK" w:cs="Times New Roman"/>
          <w:sz w:val="32"/>
          <w:szCs w:val="32"/>
          <w:shd w:val="clear" w:color="auto" w:fill="FFFFFF"/>
          <w:lang w:eastAsia="zh-CN"/>
        </w:rPr>
      </w:pPr>
      <w:r>
        <w:rPr>
          <w:rFonts w:hint="default" w:ascii="Times New Roman" w:hAnsi="Times New Roman" w:eastAsia="方正仿宋_GBK" w:cs="Times New Roman"/>
          <w:sz w:val="32"/>
          <w:szCs w:val="32"/>
          <w:shd w:val="clear" w:color="auto" w:fill="FFFFFF"/>
          <w:lang w:eastAsia="zh-CN"/>
        </w:rPr>
        <w:t>本单位无</w:t>
      </w:r>
      <w:r>
        <w:rPr>
          <w:rFonts w:hint="default" w:ascii="Times New Roman" w:hAnsi="Times New Roman" w:eastAsia="方正仿宋_GBK" w:cs="Times New Roman"/>
          <w:sz w:val="32"/>
          <w:szCs w:val="32"/>
          <w:shd w:val="clear" w:color="auto" w:fill="FFFFFF"/>
        </w:rPr>
        <w:t>财政拨款项目支出资金</w:t>
      </w:r>
      <w:r>
        <w:rPr>
          <w:rFonts w:hint="default" w:ascii="Times New Roman" w:hAnsi="Times New Roman" w:eastAsia="方正仿宋_GBK" w:cs="Times New Roman"/>
          <w:sz w:val="32"/>
          <w:szCs w:val="32"/>
          <w:shd w:val="clear" w:color="auto" w:fill="FFFFFF"/>
          <w:lang w:eastAsia="zh-CN"/>
        </w:rPr>
        <w:t>，不涉及项目绩效自评。</w:t>
      </w:r>
    </w:p>
    <w:p w14:paraId="3C44680D">
      <w:pPr>
        <w:pStyle w:val="11"/>
        <w:keepNext w:val="0"/>
        <w:keepLines w:val="0"/>
        <w:pageBreakBefore w:val="0"/>
        <w:widowControl/>
        <w:kinsoku/>
        <w:wordWrap/>
        <w:overflowPunct/>
        <w:topLinePunct w:val="0"/>
        <w:autoSpaceDE w:val="0"/>
        <w:autoSpaceDN/>
        <w:bidi w:val="0"/>
        <w:adjustRightInd/>
        <w:spacing w:beforeAutospacing="0" w:afterAutospacing="0" w:line="360" w:lineRule="auto"/>
        <w:ind w:firstLine="640"/>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（二）单位绩效评价情况</w:t>
      </w:r>
    </w:p>
    <w:p w14:paraId="4B3EE56B">
      <w:pPr>
        <w:pStyle w:val="11"/>
        <w:keepNext w:val="0"/>
        <w:keepLines w:val="0"/>
        <w:pageBreakBefore w:val="0"/>
        <w:widowControl/>
        <w:kinsoku/>
        <w:wordWrap/>
        <w:overflowPunct/>
        <w:topLinePunct w:val="0"/>
        <w:autoSpaceDE w:val="0"/>
        <w:autoSpaceDN/>
        <w:bidi w:val="0"/>
        <w:adjustRightInd/>
        <w:spacing w:beforeAutospacing="0" w:afterAutospacing="0" w:line="360" w:lineRule="auto"/>
        <w:ind w:firstLine="640"/>
        <w:textAlignment w:val="auto"/>
        <w:rPr>
          <w:rFonts w:hint="default" w:ascii="Times New Roman" w:hAnsi="Times New Roman" w:eastAsia="方正仿宋_GBK" w:cs="Times New Roman"/>
          <w:sz w:val="32"/>
          <w:szCs w:val="32"/>
          <w:shd w:val="clear" w:color="auto" w:fill="FFFFFF"/>
          <w:lang w:eastAsia="zh-CN"/>
        </w:rPr>
      </w:pPr>
      <w:r>
        <w:rPr>
          <w:rFonts w:hint="default" w:ascii="Times New Roman" w:hAnsi="Times New Roman" w:eastAsia="方正仿宋_GBK" w:cs="Times New Roman"/>
          <w:sz w:val="32"/>
          <w:szCs w:val="32"/>
          <w:shd w:val="clear" w:color="auto" w:fill="FFFFFF"/>
          <w:lang w:eastAsia="zh-CN"/>
        </w:rPr>
        <w:t>我单位未组织开展绩效评价。</w:t>
      </w:r>
    </w:p>
    <w:p w14:paraId="0081B0E8">
      <w:pPr>
        <w:pStyle w:val="11"/>
        <w:keepNext w:val="0"/>
        <w:keepLines w:val="0"/>
        <w:pageBreakBefore w:val="0"/>
        <w:widowControl/>
        <w:kinsoku/>
        <w:wordWrap/>
        <w:overflowPunct/>
        <w:topLinePunct w:val="0"/>
        <w:autoSpaceDE w:val="0"/>
        <w:autoSpaceDN/>
        <w:bidi w:val="0"/>
        <w:adjustRightInd/>
        <w:spacing w:beforeAutospacing="0" w:afterAutospacing="0" w:line="360" w:lineRule="auto"/>
        <w:ind w:firstLine="643"/>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（三）财政绩效评价情况</w:t>
      </w:r>
    </w:p>
    <w:p w14:paraId="1D8B9EE6">
      <w:pPr>
        <w:pStyle w:val="11"/>
        <w:keepNext w:val="0"/>
        <w:keepLines w:val="0"/>
        <w:pageBreakBefore w:val="0"/>
        <w:widowControl/>
        <w:kinsoku/>
        <w:wordWrap/>
        <w:overflowPunct/>
        <w:topLinePunct w:val="0"/>
        <w:autoSpaceDE w:val="0"/>
        <w:autoSpaceDN/>
        <w:bidi w:val="0"/>
        <w:adjustRightInd/>
        <w:spacing w:beforeAutospacing="0" w:afterAutospacing="0" w:line="360" w:lineRule="auto"/>
        <w:ind w:firstLine="640"/>
        <w:textAlignment w:val="auto"/>
        <w:rPr>
          <w:rStyle w:val="10"/>
          <w:rFonts w:hint="default" w:ascii="Times New Roman" w:hAnsi="Times New Roman" w:eastAsia="黑体" w:cs="Times New Roman"/>
          <w:sz w:val="32"/>
          <w:szCs w:val="32"/>
          <w:shd w:val="clear" w:color="auto" w:fill="FFFFFF"/>
        </w:rPr>
      </w:pPr>
      <w:r>
        <w:rPr>
          <w:rFonts w:hint="default" w:ascii="Times New Roman" w:hAnsi="Times New Roman" w:eastAsia="方正仿宋_GBK" w:cs="Times New Roman"/>
          <w:sz w:val="32"/>
          <w:szCs w:val="32"/>
          <w:shd w:val="clear" w:color="auto" w:fill="FFFFFF"/>
          <w:lang w:eastAsia="zh-CN"/>
        </w:rPr>
        <w:t>区财政局未委托第三方对我单位开展绩效评价。</w:t>
      </w:r>
    </w:p>
    <w:p w14:paraId="7C28BD66">
      <w:pPr>
        <w:pStyle w:val="6"/>
        <w:keepNext w:val="0"/>
        <w:keepLines w:val="0"/>
        <w:pageBreakBefore w:val="0"/>
        <w:widowControl/>
        <w:shd w:val="clear" w:color="auto" w:fill="FFFFFF"/>
        <w:kinsoku/>
        <w:wordWrap/>
        <w:overflowPunct/>
        <w:topLinePunct w:val="0"/>
        <w:autoSpaceDN/>
        <w:bidi w:val="0"/>
        <w:adjustRightInd/>
        <w:spacing w:beforeAutospacing="0" w:afterAutospacing="0" w:line="360" w:lineRule="auto"/>
        <w:textAlignment w:val="auto"/>
        <w:rPr>
          <w:rStyle w:val="10"/>
          <w:rFonts w:hint="default" w:ascii="Times New Roman" w:hAnsi="Times New Roman" w:eastAsia="方正仿宋_GBK" w:cs="Times New Roman"/>
          <w:sz w:val="32"/>
          <w:szCs w:val="32"/>
          <w:shd w:val="clear" w:color="auto" w:fill="FFFFFF"/>
        </w:rPr>
      </w:pPr>
      <w:r>
        <w:rPr>
          <w:rStyle w:val="10"/>
          <w:rFonts w:hint="default" w:ascii="Times New Roman" w:hAnsi="Times New Roman" w:eastAsia="方正仿宋_GBK" w:cs="Times New Roman"/>
          <w:sz w:val="32"/>
          <w:szCs w:val="32"/>
          <w:shd w:val="clear" w:color="auto" w:fill="FFFFFF"/>
        </w:rPr>
        <w:t> </w:t>
      </w:r>
      <w:r>
        <w:rPr>
          <w:rStyle w:val="10"/>
          <w:rFonts w:hint="default" w:ascii="Times New Roman" w:hAnsi="Times New Roman" w:eastAsia="黑体" w:cs="Times New Roman"/>
          <w:sz w:val="32"/>
          <w:szCs w:val="32"/>
          <w:shd w:val="clear" w:color="auto" w:fill="FFFFFF"/>
        </w:rPr>
        <w:t>六、专业名词解释</w:t>
      </w:r>
    </w:p>
    <w:p w14:paraId="2014E87B">
      <w:pPr>
        <w:pStyle w:val="6"/>
        <w:keepNext w:val="0"/>
        <w:keepLines w:val="0"/>
        <w:pageBreakBefore w:val="0"/>
        <w:widowControl/>
        <w:kinsoku/>
        <w:wordWrap/>
        <w:overflowPunct/>
        <w:topLinePunct w:val="0"/>
        <w:autoSpaceDN/>
        <w:bidi w:val="0"/>
        <w:adjustRightInd/>
        <w:snapToGrid w:val="0"/>
        <w:spacing w:before="0" w:beforeAutospacing="0" w:after="0" w:afterAutospacing="0" w:line="360" w:lineRule="auto"/>
        <w:ind w:firstLine="643"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shd w:val="clear" w:color="auto" w:fill="FFFFFF"/>
        </w:rPr>
        <w:t> </w:t>
      </w:r>
      <w:r>
        <w:rPr>
          <w:rFonts w:hint="default" w:ascii="Times New Roman" w:hAnsi="Times New Roman" w:eastAsia="楷体" w:cs="Times New Roman"/>
          <w:b/>
          <w:bCs/>
          <w:sz w:val="32"/>
          <w:szCs w:val="32"/>
          <w:shd w:val="clear" w:color="auto" w:fill="FFFFFF"/>
        </w:rPr>
        <w:t>（一）财政拨款收入：</w:t>
      </w:r>
      <w:r>
        <w:rPr>
          <w:rFonts w:hint="default" w:ascii="Times New Roman" w:hAnsi="Times New Roman" w:eastAsia="方正仿宋_GBK" w:cs="Times New Roman"/>
          <w:sz w:val="32"/>
          <w:szCs w:val="32"/>
          <w:shd w:val="clear" w:color="auto" w:fill="FFFFFF"/>
        </w:rPr>
        <w:t>指本年度从本级财政部门取得的财政拨款，包括一般公共预算财政拨款和政府性基金预算财政拨款。</w:t>
      </w:r>
    </w:p>
    <w:p w14:paraId="6E536B69">
      <w:pPr>
        <w:pStyle w:val="6"/>
        <w:keepNext w:val="0"/>
        <w:keepLines w:val="0"/>
        <w:pageBreakBefore w:val="0"/>
        <w:widowControl/>
        <w:kinsoku/>
        <w:wordWrap/>
        <w:overflowPunct/>
        <w:topLinePunct w:val="0"/>
        <w:autoSpaceDN/>
        <w:bidi w:val="0"/>
        <w:adjustRightInd/>
        <w:snapToGrid w:val="0"/>
        <w:spacing w:before="0" w:beforeAutospacing="0" w:after="0" w:afterAutospacing="0" w:line="360" w:lineRule="auto"/>
        <w:ind w:firstLine="643" w:firstLineChars="200"/>
        <w:jc w:val="both"/>
        <w:textAlignment w:val="auto"/>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 </w:t>
      </w:r>
      <w:r>
        <w:rPr>
          <w:rStyle w:val="10"/>
          <w:rFonts w:hint="default" w:ascii="Times New Roman" w:hAnsi="Times New Roman" w:eastAsia="楷体" w:cs="Times New Roman"/>
          <w:sz w:val="32"/>
          <w:szCs w:val="32"/>
          <w:shd w:val="clear" w:color="auto" w:fill="FFFFFF"/>
        </w:rPr>
        <w:t>（二）事业收入</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指事业单位开展专业业务活动及其辅助活动取得的现金流入；事业单位收到的财政专户实际核拨的教育收费等资金在此反映。</w:t>
      </w:r>
    </w:p>
    <w:p w14:paraId="215A3A67">
      <w:pPr>
        <w:pStyle w:val="6"/>
        <w:keepNext w:val="0"/>
        <w:keepLines w:val="0"/>
        <w:pageBreakBefore w:val="0"/>
        <w:widowControl/>
        <w:kinsoku/>
        <w:wordWrap/>
        <w:overflowPunct/>
        <w:topLinePunct w:val="0"/>
        <w:autoSpaceDN/>
        <w:bidi w:val="0"/>
        <w:adjustRightInd/>
        <w:snapToGrid w:val="0"/>
        <w:spacing w:before="0" w:beforeAutospacing="0" w:after="0" w:afterAutospacing="0" w:line="360" w:lineRule="auto"/>
        <w:ind w:firstLine="643" w:firstLineChars="200"/>
        <w:jc w:val="both"/>
        <w:textAlignment w:val="auto"/>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 </w:t>
      </w:r>
      <w:r>
        <w:rPr>
          <w:rStyle w:val="10"/>
          <w:rFonts w:hint="default" w:ascii="Times New Roman" w:hAnsi="Times New Roman" w:eastAsia="楷体" w:cs="Times New Roman"/>
          <w:sz w:val="32"/>
          <w:szCs w:val="32"/>
          <w:shd w:val="clear" w:color="auto" w:fill="FFFFFF"/>
        </w:rPr>
        <w:t>（三）经营收入</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指事业单位在专业业务活动及其辅助活动之外开展非独立核算经营活动取得的现金流入。</w:t>
      </w:r>
    </w:p>
    <w:p w14:paraId="29F06360">
      <w:pPr>
        <w:pStyle w:val="6"/>
        <w:keepNext w:val="0"/>
        <w:keepLines w:val="0"/>
        <w:pageBreakBefore w:val="0"/>
        <w:widowControl/>
        <w:kinsoku/>
        <w:wordWrap/>
        <w:overflowPunct/>
        <w:topLinePunct w:val="0"/>
        <w:autoSpaceDN/>
        <w:bidi w:val="0"/>
        <w:adjustRightInd/>
        <w:snapToGrid w:val="0"/>
        <w:spacing w:before="0" w:beforeAutospacing="0" w:after="0" w:afterAutospacing="0" w:line="360" w:lineRule="auto"/>
        <w:ind w:firstLine="643" w:firstLineChars="200"/>
        <w:jc w:val="both"/>
        <w:textAlignment w:val="auto"/>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 </w:t>
      </w:r>
      <w:r>
        <w:rPr>
          <w:rStyle w:val="10"/>
          <w:rFonts w:hint="default" w:ascii="Times New Roman" w:hAnsi="Times New Roman" w:eastAsia="楷体" w:cs="Times New Roman"/>
          <w:sz w:val="32"/>
          <w:szCs w:val="32"/>
          <w:shd w:val="clear" w:color="auto" w:fill="FFFFFF"/>
        </w:rPr>
        <w:t>（四）其他收入</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14:paraId="389C2C58">
      <w:pPr>
        <w:pStyle w:val="6"/>
        <w:keepNext w:val="0"/>
        <w:keepLines w:val="0"/>
        <w:pageBreakBefore w:val="0"/>
        <w:widowControl/>
        <w:kinsoku/>
        <w:wordWrap/>
        <w:overflowPunct/>
        <w:topLinePunct w:val="0"/>
        <w:autoSpaceDN/>
        <w:bidi w:val="0"/>
        <w:adjustRightInd/>
        <w:snapToGrid w:val="0"/>
        <w:spacing w:before="0" w:beforeAutospacing="0" w:after="0" w:afterAutospacing="0" w:line="360" w:lineRule="auto"/>
        <w:ind w:firstLine="643" w:firstLineChars="200"/>
        <w:jc w:val="both"/>
        <w:textAlignment w:val="auto"/>
        <w:rPr>
          <w:rFonts w:hint="default" w:ascii="Times New Roman" w:hAnsi="Times New Roman" w:eastAsia="方正仿宋_GBK" w:cs="Times New Roman"/>
          <w:sz w:val="32"/>
          <w:szCs w:val="32"/>
        </w:rPr>
      </w:pPr>
      <w:r>
        <w:rPr>
          <w:rStyle w:val="10"/>
          <w:rFonts w:hint="default" w:ascii="Times New Roman" w:hAnsi="Times New Roman" w:eastAsia="楷体" w:cs="Times New Roman"/>
          <w:sz w:val="32"/>
          <w:szCs w:val="32"/>
          <w:shd w:val="clear" w:color="auto" w:fill="FFFFFF"/>
        </w:rPr>
        <w:t>（五）使用非财政拨款结余</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14:paraId="5D3DEC43">
      <w:pPr>
        <w:pStyle w:val="6"/>
        <w:keepNext w:val="0"/>
        <w:keepLines w:val="0"/>
        <w:pageBreakBefore w:val="0"/>
        <w:widowControl/>
        <w:kinsoku/>
        <w:wordWrap/>
        <w:overflowPunct/>
        <w:topLinePunct w:val="0"/>
        <w:autoSpaceDN/>
        <w:bidi w:val="0"/>
        <w:adjustRightInd/>
        <w:snapToGrid w:val="0"/>
        <w:spacing w:before="0" w:beforeAutospacing="0" w:after="0" w:afterAutospacing="0" w:line="360" w:lineRule="auto"/>
        <w:ind w:firstLine="643" w:firstLineChars="200"/>
        <w:jc w:val="both"/>
        <w:textAlignment w:val="auto"/>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 </w:t>
      </w:r>
      <w:r>
        <w:rPr>
          <w:rStyle w:val="10"/>
          <w:rFonts w:hint="default" w:ascii="Times New Roman" w:hAnsi="Times New Roman" w:eastAsia="楷体" w:cs="Times New Roman"/>
          <w:sz w:val="32"/>
          <w:szCs w:val="32"/>
          <w:shd w:val="clear" w:color="auto" w:fill="FFFFFF"/>
        </w:rPr>
        <w:t>（六）年初结转和结余</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指单位上年结转本年使用的基本支出结转、项目支出结转和结余、经营结余。</w:t>
      </w:r>
    </w:p>
    <w:p w14:paraId="51CA78BC">
      <w:pPr>
        <w:pStyle w:val="6"/>
        <w:keepNext w:val="0"/>
        <w:keepLines w:val="0"/>
        <w:pageBreakBefore w:val="0"/>
        <w:widowControl/>
        <w:kinsoku/>
        <w:wordWrap/>
        <w:overflowPunct/>
        <w:topLinePunct w:val="0"/>
        <w:autoSpaceDN/>
        <w:bidi w:val="0"/>
        <w:adjustRightInd/>
        <w:snapToGrid w:val="0"/>
        <w:spacing w:before="0" w:beforeAutospacing="0" w:after="0" w:afterAutospacing="0" w:line="360" w:lineRule="auto"/>
        <w:ind w:firstLine="643" w:firstLineChars="200"/>
        <w:jc w:val="both"/>
        <w:textAlignment w:val="auto"/>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 </w:t>
      </w:r>
      <w:r>
        <w:rPr>
          <w:rStyle w:val="10"/>
          <w:rFonts w:hint="default" w:ascii="Times New Roman" w:hAnsi="Times New Roman" w:eastAsia="楷体" w:cs="Times New Roman"/>
          <w:sz w:val="32"/>
          <w:szCs w:val="32"/>
          <w:shd w:val="clear" w:color="auto" w:fill="FFFFFF"/>
        </w:rPr>
        <w:t>（七）结余分配</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指单位按照国家有关规定，缴纳所得税、提取专用基金、转入非财政拨款结余等当年结余的分配情况。</w:t>
      </w:r>
    </w:p>
    <w:p w14:paraId="1BDF8285">
      <w:pPr>
        <w:pStyle w:val="6"/>
        <w:keepNext w:val="0"/>
        <w:keepLines w:val="0"/>
        <w:pageBreakBefore w:val="0"/>
        <w:widowControl/>
        <w:kinsoku/>
        <w:wordWrap/>
        <w:overflowPunct/>
        <w:topLinePunct w:val="0"/>
        <w:autoSpaceDN/>
        <w:bidi w:val="0"/>
        <w:adjustRightInd/>
        <w:snapToGrid w:val="0"/>
        <w:spacing w:before="0" w:beforeAutospacing="0" w:after="0" w:afterAutospacing="0" w:line="360" w:lineRule="auto"/>
        <w:ind w:firstLine="643" w:firstLineChars="200"/>
        <w:jc w:val="both"/>
        <w:textAlignment w:val="auto"/>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 </w:t>
      </w:r>
      <w:r>
        <w:rPr>
          <w:rStyle w:val="10"/>
          <w:rFonts w:hint="default" w:ascii="Times New Roman" w:hAnsi="Times New Roman" w:eastAsia="楷体" w:cs="Times New Roman"/>
          <w:sz w:val="32"/>
          <w:szCs w:val="32"/>
          <w:shd w:val="clear" w:color="auto" w:fill="FFFFFF"/>
        </w:rPr>
        <w:t>（八）年末结转和结余</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指单位结转下年的基本支出结转、项目支出结转和结余、经营结余。</w:t>
      </w:r>
    </w:p>
    <w:p w14:paraId="558ED139">
      <w:pPr>
        <w:pStyle w:val="6"/>
        <w:keepNext w:val="0"/>
        <w:keepLines w:val="0"/>
        <w:pageBreakBefore w:val="0"/>
        <w:widowControl/>
        <w:kinsoku/>
        <w:wordWrap/>
        <w:overflowPunct/>
        <w:topLinePunct w:val="0"/>
        <w:autoSpaceDN/>
        <w:bidi w:val="0"/>
        <w:adjustRightInd/>
        <w:snapToGrid w:val="0"/>
        <w:spacing w:before="0" w:beforeAutospacing="0" w:after="0" w:afterAutospacing="0" w:line="360" w:lineRule="auto"/>
        <w:ind w:firstLine="643" w:firstLineChars="200"/>
        <w:jc w:val="both"/>
        <w:textAlignment w:val="auto"/>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 </w:t>
      </w:r>
      <w:r>
        <w:rPr>
          <w:rStyle w:val="10"/>
          <w:rFonts w:hint="default" w:ascii="Times New Roman" w:hAnsi="Times New Roman" w:eastAsia="楷体" w:cs="Times New Roman"/>
          <w:sz w:val="32"/>
          <w:szCs w:val="32"/>
          <w:shd w:val="clear" w:color="auto" w:fill="FFFFFF"/>
        </w:rPr>
        <w:t>（九）基本支出</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14:paraId="0D12FF8E">
      <w:pPr>
        <w:pStyle w:val="6"/>
        <w:keepNext w:val="0"/>
        <w:keepLines w:val="0"/>
        <w:pageBreakBefore w:val="0"/>
        <w:widowControl/>
        <w:kinsoku/>
        <w:wordWrap/>
        <w:overflowPunct/>
        <w:topLinePunct w:val="0"/>
        <w:autoSpaceDN/>
        <w:bidi w:val="0"/>
        <w:adjustRightInd/>
        <w:snapToGrid w:val="0"/>
        <w:spacing w:before="0" w:beforeAutospacing="0" w:after="0" w:afterAutospacing="0" w:line="360" w:lineRule="auto"/>
        <w:ind w:firstLine="643" w:firstLineChars="200"/>
        <w:jc w:val="both"/>
        <w:textAlignment w:val="auto"/>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 </w:t>
      </w:r>
      <w:r>
        <w:rPr>
          <w:rStyle w:val="10"/>
          <w:rFonts w:hint="default" w:ascii="Times New Roman" w:hAnsi="Times New Roman" w:eastAsia="楷体" w:cs="Times New Roman"/>
          <w:sz w:val="32"/>
          <w:szCs w:val="32"/>
          <w:shd w:val="clear" w:color="auto" w:fill="FFFFFF"/>
        </w:rPr>
        <w:t>（十）项目支出</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指在基本支出之外为完成特定行政任务和事业发展目标所发生的支出。</w:t>
      </w:r>
    </w:p>
    <w:p w14:paraId="36D82175">
      <w:pPr>
        <w:pStyle w:val="6"/>
        <w:keepNext w:val="0"/>
        <w:keepLines w:val="0"/>
        <w:pageBreakBefore w:val="0"/>
        <w:widowControl/>
        <w:kinsoku/>
        <w:wordWrap/>
        <w:overflowPunct/>
        <w:topLinePunct w:val="0"/>
        <w:autoSpaceDN/>
        <w:bidi w:val="0"/>
        <w:adjustRightInd/>
        <w:snapToGrid w:val="0"/>
        <w:spacing w:before="0" w:beforeAutospacing="0" w:after="0" w:afterAutospacing="0" w:line="360" w:lineRule="auto"/>
        <w:ind w:firstLine="643" w:firstLineChars="200"/>
        <w:jc w:val="both"/>
        <w:textAlignment w:val="auto"/>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 </w:t>
      </w:r>
      <w:r>
        <w:rPr>
          <w:rStyle w:val="10"/>
          <w:rFonts w:hint="default" w:ascii="Times New Roman" w:hAnsi="Times New Roman" w:eastAsia="楷体" w:cs="Times New Roman"/>
          <w:sz w:val="32"/>
          <w:szCs w:val="32"/>
          <w:shd w:val="clear" w:color="auto" w:fill="FFFFFF"/>
        </w:rPr>
        <w:t>（十一）经营支出</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指事业单位在专业业务活动及其辅助活动之外开展非独立核算经营活动发生的支出。</w:t>
      </w:r>
    </w:p>
    <w:p w14:paraId="5F7A68AA">
      <w:pPr>
        <w:pStyle w:val="6"/>
        <w:keepNext w:val="0"/>
        <w:keepLines w:val="0"/>
        <w:pageBreakBefore w:val="0"/>
        <w:widowControl/>
        <w:kinsoku/>
        <w:wordWrap/>
        <w:overflowPunct/>
        <w:topLinePunct w:val="0"/>
        <w:autoSpaceDN/>
        <w:bidi w:val="0"/>
        <w:adjustRightInd/>
        <w:snapToGrid w:val="0"/>
        <w:spacing w:before="0" w:beforeAutospacing="0" w:after="0" w:afterAutospacing="0" w:line="360" w:lineRule="auto"/>
        <w:ind w:firstLine="643" w:firstLineChars="200"/>
        <w:jc w:val="both"/>
        <w:textAlignment w:val="auto"/>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 </w:t>
      </w:r>
      <w:r>
        <w:rPr>
          <w:rStyle w:val="10"/>
          <w:rFonts w:hint="default" w:ascii="Times New Roman" w:hAnsi="Times New Roman" w:eastAsia="楷体" w:cs="Times New Roman"/>
          <w:sz w:val="32"/>
          <w:szCs w:val="32"/>
          <w:shd w:val="clear" w:color="auto" w:fill="FFFFFF"/>
        </w:rPr>
        <w:t>（十二）“三公”经费</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57F37BB5">
      <w:pPr>
        <w:pStyle w:val="6"/>
        <w:keepNext w:val="0"/>
        <w:keepLines w:val="0"/>
        <w:pageBreakBefore w:val="0"/>
        <w:widowControl/>
        <w:kinsoku/>
        <w:wordWrap/>
        <w:overflowPunct/>
        <w:topLinePunct w:val="0"/>
        <w:autoSpaceDN/>
        <w:bidi w:val="0"/>
        <w:adjustRightInd/>
        <w:snapToGrid w:val="0"/>
        <w:spacing w:before="0" w:beforeAutospacing="0" w:after="0" w:afterAutospacing="0" w:line="360" w:lineRule="auto"/>
        <w:ind w:firstLine="643" w:firstLineChars="200"/>
        <w:jc w:val="both"/>
        <w:textAlignment w:val="auto"/>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 </w:t>
      </w:r>
      <w:r>
        <w:rPr>
          <w:rStyle w:val="10"/>
          <w:rFonts w:hint="default" w:ascii="Times New Roman" w:hAnsi="Times New Roman" w:eastAsia="楷体" w:cs="Times New Roman"/>
          <w:sz w:val="32"/>
          <w:szCs w:val="32"/>
          <w:shd w:val="clear" w:color="auto" w:fill="FFFFFF"/>
        </w:rPr>
        <w:t>（十三）机关运行经费</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0A03B201">
      <w:pPr>
        <w:pStyle w:val="6"/>
        <w:keepNext w:val="0"/>
        <w:keepLines w:val="0"/>
        <w:pageBreakBefore w:val="0"/>
        <w:widowControl/>
        <w:kinsoku/>
        <w:wordWrap/>
        <w:overflowPunct/>
        <w:topLinePunct w:val="0"/>
        <w:autoSpaceDN/>
        <w:bidi w:val="0"/>
        <w:adjustRightInd/>
        <w:snapToGrid w:val="0"/>
        <w:spacing w:before="0" w:beforeAutospacing="0" w:after="0" w:afterAutospacing="0" w:line="360" w:lineRule="auto"/>
        <w:ind w:firstLine="643" w:firstLineChars="200"/>
        <w:jc w:val="both"/>
        <w:textAlignment w:val="auto"/>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 </w:t>
      </w:r>
      <w:r>
        <w:rPr>
          <w:rStyle w:val="10"/>
          <w:rFonts w:hint="default" w:ascii="Times New Roman" w:hAnsi="Times New Roman" w:eastAsia="楷体" w:cs="Times New Roman"/>
          <w:sz w:val="32"/>
          <w:szCs w:val="32"/>
          <w:shd w:val="clear" w:color="auto" w:fill="FFFFFF"/>
        </w:rPr>
        <w:t>（十四）工资福利支出（支出经济分类科目类级）</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反映单位开支的在职职工和编制外长期聘用人员的各类劳动报酬，以及为上述人员缴纳的各项社会保险费等。</w:t>
      </w:r>
    </w:p>
    <w:p w14:paraId="0825414B">
      <w:pPr>
        <w:pStyle w:val="6"/>
        <w:keepNext w:val="0"/>
        <w:keepLines w:val="0"/>
        <w:pageBreakBefore w:val="0"/>
        <w:widowControl/>
        <w:kinsoku/>
        <w:wordWrap/>
        <w:overflowPunct/>
        <w:topLinePunct w:val="0"/>
        <w:autoSpaceDN/>
        <w:bidi w:val="0"/>
        <w:adjustRightInd/>
        <w:snapToGrid w:val="0"/>
        <w:spacing w:before="0" w:beforeAutospacing="0" w:after="0" w:afterAutospacing="0" w:line="360" w:lineRule="auto"/>
        <w:ind w:firstLine="643" w:firstLineChars="200"/>
        <w:jc w:val="both"/>
        <w:textAlignment w:val="auto"/>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 </w:t>
      </w:r>
      <w:r>
        <w:rPr>
          <w:rStyle w:val="10"/>
          <w:rFonts w:hint="default" w:ascii="Times New Roman" w:hAnsi="Times New Roman" w:eastAsia="楷体" w:cs="Times New Roman"/>
          <w:sz w:val="32"/>
          <w:szCs w:val="32"/>
          <w:shd w:val="clear" w:color="auto" w:fill="FFFFFF"/>
        </w:rPr>
        <w:t>（十五）商品和服务支出（支出经济分类科目类级）</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反映单位购买商品和服务的支出（不包括用于购置固定资产的支出、战略性和应急储备支出）。</w:t>
      </w:r>
    </w:p>
    <w:p w14:paraId="691106D6">
      <w:pPr>
        <w:pStyle w:val="6"/>
        <w:keepNext w:val="0"/>
        <w:keepLines w:val="0"/>
        <w:pageBreakBefore w:val="0"/>
        <w:widowControl/>
        <w:kinsoku/>
        <w:wordWrap/>
        <w:overflowPunct/>
        <w:topLinePunct w:val="0"/>
        <w:autoSpaceDN/>
        <w:bidi w:val="0"/>
        <w:adjustRightInd/>
        <w:snapToGrid w:val="0"/>
        <w:spacing w:before="0" w:beforeAutospacing="0" w:after="0" w:afterAutospacing="0" w:line="360" w:lineRule="auto"/>
        <w:ind w:firstLine="643" w:firstLineChars="200"/>
        <w:jc w:val="both"/>
        <w:textAlignment w:val="auto"/>
        <w:rPr>
          <w:rFonts w:hint="default" w:ascii="Times New Roman" w:hAnsi="Times New Roman" w:eastAsia="方正仿宋_GBK" w:cs="Times New Roman"/>
          <w:sz w:val="32"/>
          <w:szCs w:val="32"/>
        </w:rPr>
      </w:pPr>
      <w:r>
        <w:rPr>
          <w:rStyle w:val="10"/>
          <w:rFonts w:hint="default" w:ascii="Times New Roman" w:hAnsi="Times New Roman" w:eastAsia="楷体" w:cs="Times New Roman"/>
          <w:sz w:val="32"/>
          <w:szCs w:val="32"/>
          <w:shd w:val="clear" w:color="auto" w:fill="FFFFFF"/>
        </w:rPr>
        <w:t> （十六）对个人和家庭的补助（支出经济分类科目类级）</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反映用于对个人和家庭的补助支出。</w:t>
      </w:r>
    </w:p>
    <w:p w14:paraId="481C9A17">
      <w:pPr>
        <w:pStyle w:val="6"/>
        <w:keepNext w:val="0"/>
        <w:keepLines w:val="0"/>
        <w:pageBreakBefore w:val="0"/>
        <w:widowControl/>
        <w:kinsoku/>
        <w:wordWrap/>
        <w:overflowPunct/>
        <w:topLinePunct w:val="0"/>
        <w:autoSpaceDN/>
        <w:bidi w:val="0"/>
        <w:adjustRightInd/>
        <w:snapToGrid w:val="0"/>
        <w:spacing w:before="0" w:beforeAutospacing="0" w:after="0" w:afterAutospacing="0" w:line="360" w:lineRule="auto"/>
        <w:ind w:firstLine="643" w:firstLineChars="200"/>
        <w:jc w:val="both"/>
        <w:textAlignment w:val="auto"/>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 </w:t>
      </w:r>
      <w:r>
        <w:rPr>
          <w:rStyle w:val="10"/>
          <w:rFonts w:hint="default" w:ascii="Times New Roman" w:hAnsi="Times New Roman" w:eastAsia="楷体" w:cs="Times New Roman"/>
          <w:sz w:val="32"/>
          <w:szCs w:val="32"/>
          <w:shd w:val="clear" w:color="auto" w:fill="FFFFFF"/>
        </w:rPr>
        <w:t>（十七）其他资本性支出（支出经济分类科目类级）</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14:paraId="4056B2EC">
      <w:pPr>
        <w:pStyle w:val="6"/>
        <w:keepNext w:val="0"/>
        <w:keepLines w:val="0"/>
        <w:pageBreakBefore w:val="0"/>
        <w:widowControl/>
        <w:shd w:val="clear" w:color="auto" w:fill="FFFFFF"/>
        <w:kinsoku/>
        <w:wordWrap/>
        <w:overflowPunct/>
        <w:topLinePunct w:val="0"/>
        <w:autoSpaceDN/>
        <w:bidi w:val="0"/>
        <w:adjustRightInd/>
        <w:spacing w:beforeAutospacing="0" w:afterAutospacing="0" w:line="360" w:lineRule="auto"/>
        <w:textAlignment w:val="auto"/>
        <w:rPr>
          <w:rStyle w:val="10"/>
          <w:rFonts w:hint="default" w:ascii="Times New Roman" w:hAnsi="Times New Roman" w:eastAsia="方正仿宋_GBK" w:cs="Times New Roman"/>
          <w:sz w:val="32"/>
          <w:szCs w:val="32"/>
          <w:shd w:val="clear" w:color="auto" w:fill="FFFFFF"/>
        </w:rPr>
      </w:pPr>
      <w:r>
        <w:rPr>
          <w:rStyle w:val="10"/>
          <w:rFonts w:hint="default" w:ascii="Times New Roman" w:hAnsi="Times New Roman" w:eastAsia="方正仿宋_GBK" w:cs="Times New Roman"/>
          <w:sz w:val="32"/>
          <w:szCs w:val="32"/>
          <w:shd w:val="clear" w:color="auto" w:fill="FFFFFF"/>
        </w:rPr>
        <w:t xml:space="preserve">  </w:t>
      </w:r>
      <w:r>
        <w:rPr>
          <w:rStyle w:val="10"/>
          <w:rFonts w:hint="default" w:ascii="Times New Roman" w:hAnsi="Times New Roman" w:eastAsia="黑体" w:cs="Times New Roman"/>
          <w:sz w:val="32"/>
          <w:szCs w:val="32"/>
          <w:shd w:val="clear" w:color="auto" w:fill="FFFFFF"/>
        </w:rPr>
        <w:t>七、决算公开联系方式及信息反馈渠道</w:t>
      </w:r>
    </w:p>
    <w:p w14:paraId="5152BA85">
      <w:pPr>
        <w:pStyle w:val="6"/>
        <w:keepNext w:val="0"/>
        <w:keepLines w:val="0"/>
        <w:pageBreakBefore w:val="0"/>
        <w:widowControl/>
        <w:kinsoku/>
        <w:wordWrap/>
        <w:overflowPunct/>
        <w:topLinePunct w:val="0"/>
        <w:autoSpaceDN/>
        <w:bidi w:val="0"/>
        <w:adjustRightInd/>
        <w:snapToGrid w:val="0"/>
        <w:spacing w:before="0" w:beforeAutospacing="0" w:after="0" w:afterAutospacing="0" w:line="360" w:lineRule="auto"/>
        <w:ind w:firstLine="640" w:firstLineChars="200"/>
        <w:jc w:val="both"/>
        <w:textAlignment w:val="auto"/>
        <w:rPr>
          <w:rFonts w:hint="eastAsia"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shd w:val="clear" w:color="auto" w:fill="FFFFFF"/>
        </w:rPr>
        <w:t>本单位决算公开信息反馈和联系方式：</w:t>
      </w:r>
      <w:r>
        <w:rPr>
          <w:rFonts w:hint="default" w:ascii="Times New Roman" w:hAnsi="Times New Roman" w:eastAsia="方正仿宋_GBK" w:cs="Times New Roman"/>
          <w:color w:val="auto"/>
          <w:sz w:val="32"/>
          <w:szCs w:val="32"/>
          <w:shd w:val="clear" w:color="auto" w:fill="FFFFFF"/>
        </w:rPr>
        <w:t>023-</w:t>
      </w:r>
      <w:r>
        <w:rPr>
          <w:rFonts w:hint="eastAsia" w:ascii="Times New Roman" w:hAnsi="Times New Roman" w:eastAsia="方正仿宋_GBK" w:cs="Times New Roman"/>
          <w:color w:val="auto"/>
          <w:sz w:val="32"/>
          <w:szCs w:val="32"/>
          <w:shd w:val="clear" w:color="auto" w:fill="FFFFFF"/>
          <w:lang w:val="en-US" w:eastAsia="zh-CN"/>
        </w:rPr>
        <w:t>68917216</w:t>
      </w:r>
    </w:p>
    <w:p w14:paraId="5B78BEFB">
      <w:pPr>
        <w:pStyle w:val="11"/>
        <w:keepNext w:val="0"/>
        <w:keepLines w:val="0"/>
        <w:pageBreakBefore w:val="0"/>
        <w:widowControl/>
        <w:kinsoku/>
        <w:wordWrap/>
        <w:overflowPunct/>
        <w:topLinePunct w:val="0"/>
        <w:autoSpaceDE w:val="0"/>
        <w:autoSpaceDN/>
        <w:bidi w:val="0"/>
        <w:adjustRightInd/>
        <w:spacing w:beforeAutospacing="0" w:afterAutospacing="0" w:line="360" w:lineRule="auto"/>
        <w:ind w:firstLine="0" w:firstLineChars="0"/>
        <w:textAlignment w:val="auto"/>
        <w:rPr>
          <w:rStyle w:val="10"/>
          <w:rFonts w:hint="default" w:ascii="Times New Roman" w:hAnsi="Times New Roman" w:eastAsia="方正仿宋_GBK" w:cs="Times New Roman"/>
          <w:sz w:val="32"/>
          <w:szCs w:val="32"/>
          <w:shd w:val="clear" w:color="auto" w:fill="FFFF00"/>
        </w:rPr>
        <w:sectPr>
          <w:footerReference r:id="rId3" w:type="default"/>
          <w:pgSz w:w="11915" w:h="16840"/>
          <w:pgMar w:top="1440" w:right="1800" w:bottom="1440" w:left="1800" w:header="851" w:footer="992" w:gutter="0"/>
          <w:pgNumType w:fmt="numberInDash"/>
          <w:cols w:space="720" w:num="1"/>
          <w:docGrid w:type="lines" w:linePitch="312" w:charSpace="0"/>
        </w:sectPr>
      </w:pPr>
    </w:p>
    <w:p w14:paraId="6ACF9829">
      <w:pPr>
        <w:spacing w:line="400" w:lineRule="exact"/>
        <w:jc w:val="both"/>
        <w:textAlignment w:val="bottom"/>
        <w:rPr>
          <w:rFonts w:hint="default" w:ascii="Times New Roman" w:hAnsi="Times New Roman" w:cs="Times New Roman"/>
          <w:b/>
          <w:color w:val="000000"/>
          <w:sz w:val="32"/>
          <w:szCs w:val="32"/>
        </w:rPr>
      </w:pPr>
    </w:p>
    <w:tbl>
      <w:tblPr>
        <w:tblStyle w:val="7"/>
        <w:tblW w:w="15393" w:type="dxa"/>
        <w:tblInd w:w="0" w:type="dxa"/>
        <w:tblLayout w:type="fixed"/>
        <w:tblCellMar>
          <w:top w:w="0" w:type="dxa"/>
          <w:left w:w="0" w:type="dxa"/>
          <w:bottom w:w="0" w:type="dxa"/>
          <w:right w:w="0" w:type="dxa"/>
        </w:tblCellMar>
      </w:tblPr>
      <w:tblGrid>
        <w:gridCol w:w="5122"/>
        <w:gridCol w:w="2020"/>
        <w:gridCol w:w="4809"/>
        <w:gridCol w:w="3442"/>
      </w:tblGrid>
      <w:tr w14:paraId="729BA30C">
        <w:tblPrEx>
          <w:tblCellMar>
            <w:top w:w="0" w:type="dxa"/>
            <w:left w:w="0" w:type="dxa"/>
            <w:bottom w:w="0" w:type="dxa"/>
            <w:right w:w="0" w:type="dxa"/>
          </w:tblCellMar>
        </w:tblPrEx>
        <w:trPr>
          <w:trHeight w:val="232" w:hRule="atLeast"/>
        </w:trPr>
        <w:tc>
          <w:tcPr>
            <w:tcW w:w="15393" w:type="dxa"/>
            <w:gridSpan w:val="4"/>
            <w:tcBorders>
              <w:top w:val="nil"/>
              <w:left w:val="nil"/>
              <w:bottom w:val="nil"/>
              <w:right w:val="nil"/>
            </w:tcBorders>
            <w:shd w:val="clear" w:color="auto" w:fill="auto"/>
            <w:tcMar>
              <w:top w:w="15" w:type="dxa"/>
              <w:left w:w="15" w:type="dxa"/>
              <w:right w:w="15" w:type="dxa"/>
            </w:tcMar>
            <w:vAlign w:val="bottom"/>
          </w:tcPr>
          <w:p w14:paraId="1F836898">
            <w:pPr>
              <w:spacing w:line="400" w:lineRule="exact"/>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收入支出决算总表</w:t>
            </w:r>
          </w:p>
        </w:tc>
      </w:tr>
      <w:tr w14:paraId="3FEC8E88">
        <w:tblPrEx>
          <w:tblCellMar>
            <w:top w:w="0" w:type="dxa"/>
            <w:left w:w="0" w:type="dxa"/>
            <w:bottom w:w="0" w:type="dxa"/>
            <w:right w:w="0" w:type="dxa"/>
          </w:tblCellMar>
        </w:tblPrEx>
        <w:trPr>
          <w:trHeight w:val="232" w:hRule="atLeast"/>
        </w:trPr>
        <w:tc>
          <w:tcPr>
            <w:tcW w:w="5122" w:type="dxa"/>
            <w:tcBorders>
              <w:top w:val="nil"/>
              <w:left w:val="nil"/>
              <w:bottom w:val="nil"/>
              <w:right w:val="nil"/>
            </w:tcBorders>
            <w:shd w:val="clear" w:color="auto" w:fill="auto"/>
            <w:tcMar>
              <w:top w:w="15" w:type="dxa"/>
              <w:left w:w="15" w:type="dxa"/>
              <w:right w:w="15" w:type="dxa"/>
            </w:tcMar>
            <w:vAlign w:val="bottom"/>
          </w:tcPr>
          <w:p w14:paraId="4AD922C4">
            <w:pPr>
              <w:spacing w:line="200" w:lineRule="exact"/>
              <w:rPr>
                <w:rFonts w:hint="default" w:ascii="Times New Roman" w:hAnsi="Times New Roman" w:cs="Times New Roman"/>
                <w:color w:val="000000"/>
                <w:sz w:val="20"/>
                <w:szCs w:val="20"/>
              </w:rPr>
            </w:pPr>
          </w:p>
        </w:tc>
        <w:tc>
          <w:tcPr>
            <w:tcW w:w="2020" w:type="dxa"/>
            <w:tcBorders>
              <w:top w:val="nil"/>
              <w:left w:val="nil"/>
              <w:bottom w:val="nil"/>
              <w:right w:val="nil"/>
            </w:tcBorders>
            <w:shd w:val="clear" w:color="auto" w:fill="auto"/>
            <w:tcMar>
              <w:top w:w="15" w:type="dxa"/>
              <w:left w:w="15" w:type="dxa"/>
              <w:right w:w="15" w:type="dxa"/>
            </w:tcMar>
            <w:vAlign w:val="bottom"/>
          </w:tcPr>
          <w:p w14:paraId="35505021">
            <w:pPr>
              <w:spacing w:line="200" w:lineRule="exact"/>
              <w:jc w:val="right"/>
              <w:rPr>
                <w:rFonts w:hint="default" w:ascii="Times New Roman" w:hAnsi="Times New Roman" w:cs="Times New Roman"/>
                <w:color w:val="000000"/>
                <w:sz w:val="20"/>
                <w:szCs w:val="20"/>
              </w:rPr>
            </w:pPr>
          </w:p>
        </w:tc>
        <w:tc>
          <w:tcPr>
            <w:tcW w:w="4809" w:type="dxa"/>
            <w:tcBorders>
              <w:top w:val="nil"/>
              <w:left w:val="nil"/>
              <w:bottom w:val="nil"/>
              <w:right w:val="nil"/>
            </w:tcBorders>
            <w:shd w:val="clear" w:color="auto" w:fill="auto"/>
            <w:tcMar>
              <w:top w:w="15" w:type="dxa"/>
              <w:left w:w="15" w:type="dxa"/>
              <w:right w:w="15" w:type="dxa"/>
            </w:tcMar>
            <w:vAlign w:val="bottom"/>
          </w:tcPr>
          <w:p w14:paraId="1761FFBF">
            <w:pPr>
              <w:spacing w:line="200" w:lineRule="exact"/>
              <w:rPr>
                <w:rFonts w:hint="default" w:ascii="Times New Roman" w:hAnsi="Times New Roman" w:cs="Times New Roman"/>
                <w:color w:val="000000"/>
                <w:sz w:val="20"/>
                <w:szCs w:val="20"/>
              </w:rPr>
            </w:pPr>
          </w:p>
        </w:tc>
        <w:tc>
          <w:tcPr>
            <w:tcW w:w="3442" w:type="dxa"/>
            <w:tcBorders>
              <w:top w:val="nil"/>
              <w:left w:val="nil"/>
              <w:bottom w:val="nil"/>
              <w:right w:val="nil"/>
            </w:tcBorders>
            <w:shd w:val="clear" w:color="auto" w:fill="auto"/>
            <w:tcMar>
              <w:top w:w="15" w:type="dxa"/>
              <w:left w:w="15" w:type="dxa"/>
              <w:right w:w="15" w:type="dxa"/>
            </w:tcMar>
            <w:vAlign w:val="bottom"/>
          </w:tcPr>
          <w:p w14:paraId="547FF95F">
            <w:pPr>
              <w:spacing w:line="28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公开01表</w:t>
            </w:r>
          </w:p>
        </w:tc>
      </w:tr>
      <w:tr w14:paraId="29D08075">
        <w:tblPrEx>
          <w:tblCellMar>
            <w:top w:w="0" w:type="dxa"/>
            <w:left w:w="0" w:type="dxa"/>
            <w:bottom w:w="0" w:type="dxa"/>
            <w:right w:w="0" w:type="dxa"/>
          </w:tblCellMar>
        </w:tblPrEx>
        <w:trPr>
          <w:trHeight w:val="232" w:hRule="atLeast"/>
        </w:trPr>
        <w:tc>
          <w:tcPr>
            <w:tcW w:w="7142" w:type="dxa"/>
            <w:gridSpan w:val="2"/>
            <w:tcBorders>
              <w:top w:val="nil"/>
              <w:left w:val="nil"/>
              <w:bottom w:val="nil"/>
              <w:right w:val="nil"/>
            </w:tcBorders>
            <w:shd w:val="clear" w:color="auto" w:fill="auto"/>
            <w:tcMar>
              <w:top w:w="15" w:type="dxa"/>
              <w:left w:w="15" w:type="dxa"/>
              <w:right w:w="15" w:type="dxa"/>
            </w:tcMar>
            <w:vAlign w:val="bottom"/>
          </w:tcPr>
          <w:p w14:paraId="4022AD5D">
            <w:pPr>
              <w:spacing w:line="200" w:lineRule="exact"/>
              <w:rPr>
                <w:rFonts w:hint="default" w:ascii="Times New Roman" w:hAnsi="Times New Roman" w:cs="Times New Roman"/>
                <w:color w:val="000000"/>
                <w:sz w:val="22"/>
                <w:szCs w:val="22"/>
              </w:rPr>
            </w:pPr>
            <w:r>
              <w:rPr>
                <w:rFonts w:hint="default" w:ascii="Times New Roman" w:hAnsi="Times New Roman" w:cs="Times New Roman"/>
                <w:sz w:val="20"/>
                <w:szCs w:val="20"/>
              </w:rPr>
              <w:t>公开单位：</w:t>
            </w:r>
            <w:r>
              <w:rPr>
                <w:rFonts w:hint="default" w:ascii="Times New Roman" w:hAnsi="Times New Roman" w:cs="Times New Roman"/>
                <w:sz w:val="20"/>
                <w:u w:color="auto"/>
              </w:rPr>
              <w:t>重庆市大渡口区八桥镇退役军人服务站</w:t>
            </w:r>
          </w:p>
        </w:tc>
        <w:tc>
          <w:tcPr>
            <w:tcW w:w="4809" w:type="dxa"/>
            <w:tcBorders>
              <w:top w:val="nil"/>
              <w:left w:val="nil"/>
              <w:bottom w:val="nil"/>
              <w:right w:val="nil"/>
            </w:tcBorders>
            <w:shd w:val="clear" w:color="auto" w:fill="auto"/>
            <w:tcMar>
              <w:top w:w="15" w:type="dxa"/>
              <w:left w:w="15" w:type="dxa"/>
              <w:right w:w="15" w:type="dxa"/>
            </w:tcMar>
            <w:vAlign w:val="bottom"/>
          </w:tcPr>
          <w:p w14:paraId="0EB54B91">
            <w:pPr>
              <w:spacing w:line="200" w:lineRule="exact"/>
              <w:rPr>
                <w:rFonts w:hint="default" w:ascii="Times New Roman" w:hAnsi="Times New Roman" w:cs="Times New Roman"/>
                <w:color w:val="000000"/>
                <w:sz w:val="22"/>
                <w:szCs w:val="22"/>
              </w:rPr>
            </w:pPr>
          </w:p>
        </w:tc>
        <w:tc>
          <w:tcPr>
            <w:tcW w:w="3442" w:type="dxa"/>
            <w:tcBorders>
              <w:top w:val="nil"/>
              <w:left w:val="nil"/>
              <w:bottom w:val="nil"/>
              <w:right w:val="nil"/>
            </w:tcBorders>
            <w:shd w:val="clear" w:color="auto" w:fill="auto"/>
            <w:tcMar>
              <w:top w:w="15" w:type="dxa"/>
              <w:left w:w="15" w:type="dxa"/>
              <w:right w:w="15" w:type="dxa"/>
            </w:tcMar>
            <w:vAlign w:val="bottom"/>
          </w:tcPr>
          <w:p w14:paraId="7577E2CC">
            <w:pPr>
              <w:spacing w:line="28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14:paraId="291FF0E7">
        <w:tblPrEx>
          <w:tblCellMar>
            <w:top w:w="0" w:type="dxa"/>
            <w:left w:w="0" w:type="dxa"/>
            <w:bottom w:w="0" w:type="dxa"/>
            <w:right w:w="0" w:type="dxa"/>
          </w:tblCellMar>
        </w:tblPrEx>
        <w:trPr>
          <w:trHeight w:val="243" w:hRule="atLeast"/>
        </w:trPr>
        <w:tc>
          <w:tcPr>
            <w:tcW w:w="7142"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5F6C8FC">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收入</w:t>
            </w:r>
          </w:p>
        </w:tc>
        <w:tc>
          <w:tcPr>
            <w:tcW w:w="8251" w:type="dxa"/>
            <w:gridSpan w:val="2"/>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635B044F">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支出</w:t>
            </w:r>
          </w:p>
        </w:tc>
      </w:tr>
      <w:tr w14:paraId="6B5ECAFA">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5C885C5">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202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DFC2E47">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决算数</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8868668">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w:t>
            </w:r>
          </w:p>
        </w:tc>
        <w:tc>
          <w:tcPr>
            <w:tcW w:w="3442"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440B931">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决算数</w:t>
            </w:r>
          </w:p>
        </w:tc>
      </w:tr>
      <w:tr w14:paraId="2E7EDAD0">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88C5043">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一、一般公共预算财政拨款收入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7605BB6">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62.08</w:t>
            </w:r>
            <w:r>
              <w:rPr>
                <w:rFonts w:hint="default" w:ascii="Times New Roman" w:hAnsi="Times New Roman" w:cs="Times New Roman"/>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F2C6511">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一、一般公共服务支出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3ED6715">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48659A21">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00681EB">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二、政府性基金预算财政拨款收入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AD87569">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D6355E8">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二、外交支出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98AF578">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1C1BA25B">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C068B25">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三、国有资本经营预算财政拨款收入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A2E48D6">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6FAA864">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三、国防支出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DBFA089">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608F471C">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21E4451">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四、上级补助收入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76519A7">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BA20D15">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四、公共安全支出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4BC853D">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5B6B243F">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943D665">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五、事业收入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C27AF6A">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D6026BC">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五、教育支出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BC90ABB">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32748DC2">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F8166ED">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六、经营收入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D2533F0">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3BC7DFC">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六、科学技术支出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B4CDF63">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33EEEE8A">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B220E03">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七、附属单位上缴收入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763D153">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7E7BB0F">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七、文化旅游体育与传媒支出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95B5837">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56A78127">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6CC4F30">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八、其他收入</w:t>
            </w:r>
          </w:p>
        </w:tc>
        <w:tc>
          <w:tcPr>
            <w:tcW w:w="2020" w:type="dxa"/>
            <w:tcBorders>
              <w:top w:val="nil"/>
              <w:left w:val="nil"/>
              <w:bottom w:val="nil"/>
              <w:right w:val="single" w:color="000000" w:sz="4" w:space="0"/>
            </w:tcBorders>
            <w:shd w:val="clear" w:color="auto" w:fill="auto"/>
            <w:tcMar>
              <w:top w:w="15" w:type="dxa"/>
              <w:left w:w="15" w:type="dxa"/>
              <w:right w:w="15" w:type="dxa"/>
            </w:tcMar>
            <w:vAlign w:val="center"/>
          </w:tcPr>
          <w:p w14:paraId="5E07D461">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6C877BE">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八、社会保障和就业支出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859A3D5">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59.67</w:t>
            </w:r>
            <w:r>
              <w:rPr>
                <w:rFonts w:hint="default" w:ascii="Times New Roman" w:hAnsi="Times New Roman" w:cs="Times New Roman"/>
                <w:color w:val="000000"/>
                <w:sz w:val="20"/>
                <w:u w:color="auto"/>
              </w:rPr>
              <w:t xml:space="preserve"> </w:t>
            </w:r>
          </w:p>
        </w:tc>
      </w:tr>
      <w:tr w14:paraId="13B55156">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60BB6ED">
            <w:pPr>
              <w:spacing w:line="240" w:lineRule="exact"/>
              <w:rPr>
                <w:rFonts w:hint="default" w:ascii="Times New Roman" w:hAnsi="Times New Roman" w:cs="Times New Roman"/>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02A67AEE">
            <w:pPr>
              <w:spacing w:line="240" w:lineRule="exact"/>
              <w:jc w:val="right"/>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947072E">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九、卫生健康支出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8CA24FF">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2.12</w:t>
            </w:r>
            <w:r>
              <w:rPr>
                <w:rFonts w:hint="default" w:ascii="Times New Roman" w:hAnsi="Times New Roman" w:cs="Times New Roman"/>
                <w:color w:val="000000"/>
                <w:sz w:val="20"/>
                <w:u w:color="auto"/>
              </w:rPr>
              <w:t xml:space="preserve"> </w:t>
            </w:r>
          </w:p>
        </w:tc>
      </w:tr>
      <w:tr w14:paraId="614AD631">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6976350">
            <w:pPr>
              <w:spacing w:line="240" w:lineRule="exact"/>
              <w:rPr>
                <w:rFonts w:hint="default" w:ascii="Times New Roman" w:hAnsi="Times New Roman" w:cs="Times New Roman"/>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6DC55677">
            <w:pPr>
              <w:spacing w:line="240" w:lineRule="exact"/>
              <w:jc w:val="right"/>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D799312">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十、节能环保支出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C2BF409">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78634EFC">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C01D698">
            <w:pPr>
              <w:spacing w:line="240" w:lineRule="exact"/>
              <w:rPr>
                <w:rFonts w:hint="default" w:ascii="Times New Roman" w:hAnsi="Times New Roman" w:cs="Times New Roman"/>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24264BA9">
            <w:pPr>
              <w:spacing w:line="240" w:lineRule="exact"/>
              <w:jc w:val="right"/>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2B971F1">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十一、城乡社区支出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3A5896F">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27156D4F">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B4E24FA">
            <w:pPr>
              <w:spacing w:line="240" w:lineRule="exact"/>
              <w:rPr>
                <w:rFonts w:hint="default" w:ascii="Times New Roman" w:hAnsi="Times New Roman" w:cs="Times New Roman"/>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557DB574">
            <w:pPr>
              <w:spacing w:line="240" w:lineRule="exact"/>
              <w:jc w:val="right"/>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A1A722B">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十二、农林水支出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36346E5">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599A1E29">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93B6F75">
            <w:pPr>
              <w:spacing w:line="240" w:lineRule="exact"/>
              <w:rPr>
                <w:rFonts w:hint="default" w:ascii="Times New Roman" w:hAnsi="Times New Roman" w:cs="Times New Roman"/>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0C56FA">
            <w:pPr>
              <w:spacing w:line="240" w:lineRule="exact"/>
              <w:jc w:val="right"/>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A42CDFB">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十三、交通运输支出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3DE30F1">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3173E498">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B568B4D">
            <w:pPr>
              <w:spacing w:line="240" w:lineRule="exact"/>
              <w:rPr>
                <w:rFonts w:hint="default" w:ascii="Times New Roman" w:hAnsi="Times New Roman" w:cs="Times New Roman"/>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3F52F49">
            <w:pPr>
              <w:spacing w:line="240" w:lineRule="exact"/>
              <w:jc w:val="right"/>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83F9579">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十四、资源勘探工业信息等支出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B2193B2">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63A6040E">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C3E93B6">
            <w:pPr>
              <w:spacing w:line="240" w:lineRule="exact"/>
              <w:rPr>
                <w:rFonts w:hint="default" w:ascii="Times New Roman" w:hAnsi="Times New Roman" w:cs="Times New Roman"/>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E967F5F">
            <w:pPr>
              <w:spacing w:line="240" w:lineRule="exact"/>
              <w:jc w:val="right"/>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FA6C58A">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十五、商业服务业等支出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00E1CE6">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722B6838">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3E2C3F8">
            <w:pPr>
              <w:spacing w:line="240" w:lineRule="exact"/>
              <w:rPr>
                <w:rFonts w:hint="default" w:ascii="Times New Roman" w:hAnsi="Times New Roman" w:cs="Times New Roman"/>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102BD49">
            <w:pPr>
              <w:spacing w:line="240" w:lineRule="exact"/>
              <w:jc w:val="right"/>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B6F39E5">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十六、金融支出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34C8B9E">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53727AC0">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C8FFAB4">
            <w:pPr>
              <w:spacing w:line="240" w:lineRule="exact"/>
              <w:rPr>
                <w:rFonts w:hint="default" w:ascii="Times New Roman" w:hAnsi="Times New Roman" w:cs="Times New Roman"/>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57A1D55">
            <w:pPr>
              <w:spacing w:line="240" w:lineRule="exact"/>
              <w:jc w:val="right"/>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14CEA80">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十七、援助其他地区支出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995CFDC">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27518B55">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C5E26C3">
            <w:pPr>
              <w:spacing w:line="240" w:lineRule="exact"/>
              <w:rPr>
                <w:rFonts w:hint="default" w:ascii="Times New Roman" w:hAnsi="Times New Roman" w:cs="Times New Roman"/>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35BFD2B">
            <w:pPr>
              <w:spacing w:line="240" w:lineRule="exact"/>
              <w:jc w:val="right"/>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AA52C7D">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十八、自然资源海洋气象等支出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BE33FDB">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7F7D4300">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357C20B">
            <w:pPr>
              <w:spacing w:line="240" w:lineRule="exact"/>
              <w:rPr>
                <w:rFonts w:hint="default" w:ascii="Times New Roman" w:hAnsi="Times New Roman" w:cs="Times New Roman"/>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4155182">
            <w:pPr>
              <w:spacing w:line="240" w:lineRule="exact"/>
              <w:jc w:val="right"/>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8184F66">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十九、住房保障支出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5586015">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0.28</w:t>
            </w:r>
            <w:r>
              <w:rPr>
                <w:rFonts w:hint="default" w:ascii="Times New Roman" w:hAnsi="Times New Roman" w:cs="Times New Roman"/>
                <w:color w:val="000000"/>
                <w:sz w:val="20"/>
                <w:u w:color="auto"/>
              </w:rPr>
              <w:t xml:space="preserve"> </w:t>
            </w:r>
          </w:p>
        </w:tc>
      </w:tr>
      <w:tr w14:paraId="6DE9B938">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1353708">
            <w:pPr>
              <w:spacing w:line="240" w:lineRule="exact"/>
              <w:rPr>
                <w:rFonts w:hint="default" w:ascii="Times New Roman" w:hAnsi="Times New Roman" w:cs="Times New Roman"/>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B428DBB">
            <w:pPr>
              <w:spacing w:line="240" w:lineRule="exact"/>
              <w:jc w:val="right"/>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D4FD81F">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二十、粮油物资储备支出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A5172E0">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454CA147">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2D51A4F">
            <w:pPr>
              <w:spacing w:line="240" w:lineRule="exact"/>
              <w:rPr>
                <w:rFonts w:hint="default" w:ascii="Times New Roman" w:hAnsi="Times New Roman" w:cs="Times New Roman"/>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A182FCB">
            <w:pPr>
              <w:spacing w:line="240" w:lineRule="exact"/>
              <w:jc w:val="right"/>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4FE4B58">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二十一、国有资本经营预算支出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AFD7C3E">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51F9A0FD">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D2284D9">
            <w:pPr>
              <w:spacing w:line="240" w:lineRule="exact"/>
              <w:rPr>
                <w:rFonts w:hint="default" w:ascii="Times New Roman" w:hAnsi="Times New Roman" w:cs="Times New Roman"/>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48C988C">
            <w:pPr>
              <w:spacing w:line="240" w:lineRule="exact"/>
              <w:jc w:val="right"/>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7AA57D1">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二十二、灾害防治及应急管理支出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F5FDE37">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6C4FAA9A">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FC72C62">
            <w:pPr>
              <w:spacing w:line="240" w:lineRule="exact"/>
              <w:rPr>
                <w:rFonts w:hint="default" w:ascii="Times New Roman" w:hAnsi="Times New Roman" w:cs="Times New Roman"/>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EC22C15">
            <w:pPr>
              <w:spacing w:line="240" w:lineRule="exact"/>
              <w:jc w:val="right"/>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582728A">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二十三、其他支出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A1B087B">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12D58614">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7CE2427">
            <w:pPr>
              <w:spacing w:line="240" w:lineRule="exact"/>
              <w:jc w:val="center"/>
              <w:rPr>
                <w:rFonts w:hint="default" w:ascii="Times New Roman" w:hAnsi="Times New Roman" w:cs="Times New Roman"/>
                <w:b/>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BA0F47D">
            <w:pPr>
              <w:spacing w:line="240" w:lineRule="exact"/>
              <w:jc w:val="right"/>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53485EE">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二十四、债务还本支出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CEE9588">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0370399A">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81D3F99">
            <w:pPr>
              <w:spacing w:line="240" w:lineRule="exact"/>
              <w:rPr>
                <w:rFonts w:hint="default" w:ascii="Times New Roman" w:hAnsi="Times New Roman" w:cs="Times New Roman"/>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E934AAC">
            <w:pPr>
              <w:spacing w:line="240" w:lineRule="exact"/>
              <w:jc w:val="right"/>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0B8C55E">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二十五、债务付息支出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E051D72">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71DC5B4F">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1F2CCB7">
            <w:pPr>
              <w:spacing w:line="240" w:lineRule="exact"/>
              <w:rPr>
                <w:rFonts w:hint="default" w:ascii="Times New Roman" w:hAnsi="Times New Roman" w:cs="Times New Roman"/>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75FD0E2">
            <w:pPr>
              <w:spacing w:line="240" w:lineRule="exact"/>
              <w:jc w:val="right"/>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2818898">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二十六、抗疫特别国债安排的支出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A3B69E0">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147556F2">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BD4D251">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本年收入合计</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A3A475D">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62.08</w:t>
            </w:r>
            <w:r>
              <w:rPr>
                <w:rFonts w:hint="default" w:ascii="Times New Roman" w:hAnsi="Times New Roman" w:cs="Times New Roman"/>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F5FEA20">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本年支出合计</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E1FA748">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62.08</w:t>
            </w:r>
            <w:r>
              <w:rPr>
                <w:rFonts w:hint="default" w:ascii="Times New Roman" w:hAnsi="Times New Roman" w:cs="Times New Roman"/>
                <w:color w:val="000000"/>
                <w:sz w:val="20"/>
                <w:u w:color="auto"/>
              </w:rPr>
              <w:t xml:space="preserve"> </w:t>
            </w:r>
          </w:p>
        </w:tc>
      </w:tr>
      <w:tr w14:paraId="70EF65B3">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152AB18">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使用非财政拨款结余和专用结余</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97D1157">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F19BAD7">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结余分配</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E465B9B">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0C93C9BB">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5611CB6">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年初结转和结余</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84773CB">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04FF4B6">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年末结转和结余</w:t>
            </w:r>
          </w:p>
        </w:tc>
        <w:tc>
          <w:tcPr>
            <w:tcW w:w="3442"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14:paraId="6DDB2DC4">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1AA10512">
        <w:tblPrEx>
          <w:tblCellMar>
            <w:top w:w="0" w:type="dxa"/>
            <w:left w:w="0" w:type="dxa"/>
            <w:bottom w:w="0" w:type="dxa"/>
            <w:right w:w="0" w:type="dxa"/>
          </w:tblCellMar>
        </w:tblPrEx>
        <w:trPr>
          <w:trHeight w:val="25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08A5258">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总计</w:t>
            </w: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97369E">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62.08</w:t>
            </w:r>
            <w:r>
              <w:rPr>
                <w:rFonts w:hint="default" w:ascii="Times New Roman" w:hAnsi="Times New Roman" w:cs="Times New Roman"/>
                <w:color w:val="000000"/>
                <w:sz w:val="20"/>
                <w:u w:color="auto"/>
              </w:rPr>
              <w:t xml:space="preserve"> </w:t>
            </w:r>
          </w:p>
        </w:tc>
        <w:tc>
          <w:tcPr>
            <w:tcW w:w="4809" w:type="dxa"/>
            <w:tcBorders>
              <w:top w:val="nil"/>
              <w:left w:val="nil"/>
              <w:bottom w:val="single" w:color="000000" w:sz="4" w:space="0"/>
              <w:right w:val="single" w:color="auto" w:sz="4" w:space="0"/>
            </w:tcBorders>
            <w:shd w:val="clear" w:color="FFFFFF" w:fill="C0C0C0"/>
            <w:tcMar>
              <w:top w:w="15" w:type="dxa"/>
              <w:left w:w="15" w:type="dxa"/>
              <w:right w:w="15" w:type="dxa"/>
            </w:tcMar>
            <w:vAlign w:val="center"/>
          </w:tcPr>
          <w:p w14:paraId="727B8C27">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总计</w:t>
            </w:r>
          </w:p>
        </w:tc>
        <w:tc>
          <w:tcPr>
            <w:tcW w:w="344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F07DF1A">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62.08</w:t>
            </w:r>
            <w:r>
              <w:rPr>
                <w:rFonts w:hint="default" w:ascii="Times New Roman" w:hAnsi="Times New Roman" w:cs="Times New Roman"/>
                <w:color w:val="000000"/>
                <w:sz w:val="20"/>
                <w:u w:color="auto"/>
              </w:rPr>
              <w:t xml:space="preserve"> </w:t>
            </w:r>
          </w:p>
        </w:tc>
      </w:tr>
    </w:tbl>
    <w:p w14:paraId="25E161E9">
      <w:pPr>
        <w:spacing w:line="240" w:lineRule="exact"/>
        <w:rPr>
          <w:rFonts w:hint="default" w:ascii="Times New Roman" w:hAnsi="Times New Roman" w:cs="Times New Roman"/>
          <w:sz w:val="20"/>
          <w:szCs w:val="20"/>
        </w:rPr>
      </w:pPr>
      <w:r>
        <w:rPr>
          <w:rFonts w:hint="default" w:ascii="Times New Roman" w:hAnsi="Times New Roman" w:cs="Times New Roman"/>
          <w:sz w:val="20"/>
          <w:szCs w:val="20"/>
        </w:rPr>
        <w:t>备注：1.本表反映单位本年度的总收支和年末结转结余情况。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 xml:space="preserve">      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p>
    <w:tbl>
      <w:tblPr>
        <w:tblStyle w:val="7"/>
        <w:tblW w:w="15378" w:type="dxa"/>
        <w:tblInd w:w="0" w:type="dxa"/>
        <w:tblLayout w:type="fixed"/>
        <w:tblCellMar>
          <w:top w:w="0" w:type="dxa"/>
          <w:left w:w="0" w:type="dxa"/>
          <w:bottom w:w="0" w:type="dxa"/>
          <w:right w:w="0" w:type="dxa"/>
        </w:tblCellMar>
      </w:tblPr>
      <w:tblGrid>
        <w:gridCol w:w="1702"/>
        <w:gridCol w:w="3171"/>
        <w:gridCol w:w="1233"/>
        <w:gridCol w:w="1233"/>
        <w:gridCol w:w="1233"/>
        <w:gridCol w:w="1233"/>
        <w:gridCol w:w="1366"/>
        <w:gridCol w:w="1307"/>
        <w:gridCol w:w="1439"/>
        <w:gridCol w:w="1461"/>
      </w:tblGrid>
      <w:tr w14:paraId="14978BBD">
        <w:tblPrEx>
          <w:tblCellMar>
            <w:top w:w="0" w:type="dxa"/>
            <w:left w:w="0" w:type="dxa"/>
            <w:bottom w:w="0" w:type="dxa"/>
            <w:right w:w="0" w:type="dxa"/>
          </w:tblCellMar>
        </w:tblPrEx>
        <w:trPr>
          <w:trHeight w:val="641" w:hRule="atLeast"/>
        </w:trPr>
        <w:tc>
          <w:tcPr>
            <w:tcW w:w="15378" w:type="dxa"/>
            <w:gridSpan w:val="10"/>
            <w:tcBorders>
              <w:top w:val="nil"/>
              <w:left w:val="nil"/>
              <w:bottom w:val="nil"/>
              <w:right w:val="nil"/>
            </w:tcBorders>
            <w:shd w:val="clear" w:color="auto" w:fill="auto"/>
            <w:tcMar>
              <w:top w:w="15" w:type="dxa"/>
              <w:left w:w="15" w:type="dxa"/>
              <w:right w:w="15" w:type="dxa"/>
            </w:tcMar>
            <w:vAlign w:val="bottom"/>
          </w:tcPr>
          <w:p w14:paraId="4727C940">
            <w:pPr>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收入决算表</w:t>
            </w:r>
          </w:p>
        </w:tc>
      </w:tr>
      <w:tr w14:paraId="50C83388">
        <w:tblPrEx>
          <w:tblCellMar>
            <w:top w:w="0" w:type="dxa"/>
            <w:left w:w="0" w:type="dxa"/>
            <w:bottom w:w="0" w:type="dxa"/>
            <w:right w:w="0" w:type="dxa"/>
          </w:tblCellMar>
        </w:tblPrEx>
        <w:trPr>
          <w:trHeight w:val="328" w:hRule="atLeast"/>
        </w:trPr>
        <w:tc>
          <w:tcPr>
            <w:tcW w:w="6106" w:type="dxa"/>
            <w:gridSpan w:val="3"/>
            <w:vMerge w:val="restart"/>
            <w:tcBorders>
              <w:top w:val="nil"/>
              <w:left w:val="nil"/>
              <w:right w:val="nil"/>
            </w:tcBorders>
            <w:shd w:val="clear" w:color="auto" w:fill="auto"/>
            <w:tcMar>
              <w:top w:w="15" w:type="dxa"/>
              <w:left w:w="15" w:type="dxa"/>
              <w:right w:w="15" w:type="dxa"/>
            </w:tcMar>
            <w:vAlign w:val="bottom"/>
          </w:tcPr>
          <w:p w14:paraId="0F7D96B6">
            <w:pPr>
              <w:rPr>
                <w:rFonts w:hint="default" w:ascii="Times New Roman" w:hAnsi="Times New Roman" w:cs="Times New Roman"/>
                <w:color w:val="000000"/>
                <w:sz w:val="20"/>
                <w:szCs w:val="20"/>
              </w:rPr>
            </w:pPr>
            <w:r>
              <w:rPr>
                <w:rFonts w:hint="default" w:ascii="Times New Roman" w:hAnsi="Times New Roman" w:cs="Times New Roman"/>
                <w:sz w:val="20"/>
                <w:szCs w:val="20"/>
              </w:rPr>
              <w:t>公开单位：</w:t>
            </w:r>
            <w:r>
              <w:rPr>
                <w:rFonts w:hint="default" w:ascii="Times New Roman" w:hAnsi="Times New Roman" w:cs="Times New Roman"/>
                <w:sz w:val="20"/>
                <w:u w:color="auto"/>
              </w:rPr>
              <w:t>重庆市大渡口区八桥镇退役军人服务站</w:t>
            </w:r>
          </w:p>
        </w:tc>
        <w:tc>
          <w:tcPr>
            <w:tcW w:w="1233" w:type="dxa"/>
            <w:tcBorders>
              <w:top w:val="nil"/>
              <w:left w:val="nil"/>
              <w:bottom w:val="nil"/>
              <w:right w:val="nil"/>
            </w:tcBorders>
            <w:shd w:val="clear" w:color="auto" w:fill="auto"/>
            <w:tcMar>
              <w:top w:w="15" w:type="dxa"/>
              <w:left w:w="15" w:type="dxa"/>
              <w:right w:w="15" w:type="dxa"/>
            </w:tcMar>
            <w:vAlign w:val="bottom"/>
          </w:tcPr>
          <w:p w14:paraId="5107B4F9">
            <w:pPr>
              <w:rPr>
                <w:rFonts w:hint="default" w:ascii="Times New Roman" w:hAnsi="Times New Roman" w:cs="Times New Roman"/>
                <w:color w:val="000000"/>
                <w:sz w:val="20"/>
                <w:szCs w:val="20"/>
              </w:rPr>
            </w:pPr>
          </w:p>
        </w:tc>
        <w:tc>
          <w:tcPr>
            <w:tcW w:w="1233" w:type="dxa"/>
            <w:tcBorders>
              <w:top w:val="nil"/>
              <w:left w:val="nil"/>
              <w:bottom w:val="nil"/>
              <w:right w:val="nil"/>
            </w:tcBorders>
            <w:shd w:val="clear" w:color="auto" w:fill="auto"/>
            <w:tcMar>
              <w:top w:w="15" w:type="dxa"/>
              <w:left w:w="15" w:type="dxa"/>
              <w:right w:w="15" w:type="dxa"/>
            </w:tcMar>
            <w:vAlign w:val="bottom"/>
          </w:tcPr>
          <w:p w14:paraId="15CB9739">
            <w:pPr>
              <w:rPr>
                <w:rFonts w:hint="default" w:ascii="Times New Roman" w:hAnsi="Times New Roman" w:cs="Times New Roman"/>
                <w:color w:val="000000"/>
                <w:sz w:val="20"/>
                <w:szCs w:val="20"/>
              </w:rPr>
            </w:pPr>
          </w:p>
        </w:tc>
        <w:tc>
          <w:tcPr>
            <w:tcW w:w="1233" w:type="dxa"/>
            <w:tcBorders>
              <w:top w:val="nil"/>
              <w:left w:val="nil"/>
              <w:bottom w:val="nil"/>
              <w:right w:val="nil"/>
            </w:tcBorders>
            <w:shd w:val="clear" w:color="auto" w:fill="auto"/>
            <w:tcMar>
              <w:top w:w="15" w:type="dxa"/>
              <w:left w:w="15" w:type="dxa"/>
              <w:right w:w="15" w:type="dxa"/>
            </w:tcMar>
            <w:vAlign w:val="bottom"/>
          </w:tcPr>
          <w:p w14:paraId="0F9D9DBF">
            <w:pPr>
              <w:rPr>
                <w:rFonts w:hint="default" w:ascii="Times New Roman" w:hAnsi="Times New Roman" w:cs="Times New Roman"/>
                <w:color w:val="000000"/>
                <w:sz w:val="20"/>
                <w:szCs w:val="20"/>
              </w:rPr>
            </w:pPr>
          </w:p>
        </w:tc>
        <w:tc>
          <w:tcPr>
            <w:tcW w:w="1366" w:type="dxa"/>
            <w:tcBorders>
              <w:top w:val="nil"/>
              <w:left w:val="nil"/>
              <w:bottom w:val="nil"/>
              <w:right w:val="nil"/>
            </w:tcBorders>
            <w:shd w:val="clear" w:color="auto" w:fill="auto"/>
            <w:tcMar>
              <w:top w:w="15" w:type="dxa"/>
              <w:left w:w="15" w:type="dxa"/>
              <w:right w:w="15" w:type="dxa"/>
            </w:tcMar>
            <w:vAlign w:val="bottom"/>
          </w:tcPr>
          <w:p w14:paraId="07525734">
            <w:pPr>
              <w:rPr>
                <w:rFonts w:hint="default" w:ascii="Times New Roman" w:hAnsi="Times New Roman" w:cs="Times New Roman"/>
                <w:color w:val="000000"/>
                <w:sz w:val="20"/>
                <w:szCs w:val="20"/>
              </w:rPr>
            </w:pPr>
          </w:p>
        </w:tc>
        <w:tc>
          <w:tcPr>
            <w:tcW w:w="1307" w:type="dxa"/>
            <w:tcBorders>
              <w:top w:val="nil"/>
              <w:left w:val="nil"/>
              <w:bottom w:val="nil"/>
              <w:right w:val="nil"/>
            </w:tcBorders>
            <w:shd w:val="clear" w:color="auto" w:fill="auto"/>
            <w:tcMar>
              <w:top w:w="15" w:type="dxa"/>
              <w:left w:w="15" w:type="dxa"/>
              <w:right w:w="15" w:type="dxa"/>
            </w:tcMar>
            <w:vAlign w:val="bottom"/>
          </w:tcPr>
          <w:p w14:paraId="27A61ACA">
            <w:pPr>
              <w:rPr>
                <w:rFonts w:hint="default" w:ascii="Times New Roman" w:hAnsi="Times New Roman" w:cs="Times New Roman"/>
                <w:color w:val="000000"/>
                <w:sz w:val="20"/>
                <w:szCs w:val="20"/>
              </w:rPr>
            </w:pPr>
          </w:p>
        </w:tc>
        <w:tc>
          <w:tcPr>
            <w:tcW w:w="1439" w:type="dxa"/>
            <w:tcBorders>
              <w:top w:val="nil"/>
              <w:left w:val="nil"/>
              <w:bottom w:val="nil"/>
              <w:right w:val="nil"/>
            </w:tcBorders>
            <w:shd w:val="clear" w:color="auto" w:fill="auto"/>
            <w:tcMar>
              <w:top w:w="15" w:type="dxa"/>
              <w:left w:w="15" w:type="dxa"/>
              <w:right w:w="15" w:type="dxa"/>
            </w:tcMar>
            <w:vAlign w:val="bottom"/>
          </w:tcPr>
          <w:p w14:paraId="26BC3E63">
            <w:pPr>
              <w:rPr>
                <w:rFonts w:hint="default" w:ascii="Times New Roman" w:hAnsi="Times New Roman" w:cs="Times New Roman"/>
                <w:color w:val="000000"/>
                <w:sz w:val="20"/>
                <w:szCs w:val="20"/>
              </w:rPr>
            </w:pPr>
          </w:p>
        </w:tc>
        <w:tc>
          <w:tcPr>
            <w:tcW w:w="1461" w:type="dxa"/>
            <w:tcBorders>
              <w:top w:val="nil"/>
              <w:left w:val="nil"/>
              <w:bottom w:val="nil"/>
              <w:right w:val="nil"/>
            </w:tcBorders>
            <w:shd w:val="clear" w:color="auto" w:fill="auto"/>
            <w:tcMar>
              <w:top w:w="15" w:type="dxa"/>
              <w:left w:w="15" w:type="dxa"/>
              <w:right w:w="15" w:type="dxa"/>
            </w:tcMar>
            <w:vAlign w:val="bottom"/>
          </w:tcPr>
          <w:p w14:paraId="7B4B6BF5">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公开02表</w:t>
            </w:r>
          </w:p>
        </w:tc>
      </w:tr>
      <w:tr w14:paraId="4BB9F3B3">
        <w:tblPrEx>
          <w:tblCellMar>
            <w:top w:w="0" w:type="dxa"/>
            <w:left w:w="0" w:type="dxa"/>
            <w:bottom w:w="0" w:type="dxa"/>
            <w:right w:w="0" w:type="dxa"/>
          </w:tblCellMar>
        </w:tblPrEx>
        <w:trPr>
          <w:trHeight w:val="328" w:hRule="atLeast"/>
        </w:trPr>
        <w:tc>
          <w:tcPr>
            <w:tcW w:w="6106" w:type="dxa"/>
            <w:gridSpan w:val="3"/>
            <w:vMerge w:val="continue"/>
            <w:tcBorders>
              <w:left w:val="nil"/>
              <w:bottom w:val="nil"/>
              <w:right w:val="nil"/>
            </w:tcBorders>
            <w:shd w:val="clear" w:color="auto" w:fill="auto"/>
            <w:tcMar>
              <w:top w:w="15" w:type="dxa"/>
              <w:left w:w="15" w:type="dxa"/>
              <w:right w:w="15" w:type="dxa"/>
            </w:tcMar>
            <w:vAlign w:val="bottom"/>
          </w:tcPr>
          <w:p w14:paraId="5F9F56DE">
            <w:pPr>
              <w:rPr>
                <w:rFonts w:hint="default" w:ascii="Times New Roman" w:hAnsi="Times New Roman" w:cs="Times New Roman"/>
                <w:color w:val="000000"/>
                <w:sz w:val="20"/>
                <w:szCs w:val="20"/>
              </w:rPr>
            </w:pPr>
          </w:p>
        </w:tc>
        <w:tc>
          <w:tcPr>
            <w:tcW w:w="1233" w:type="dxa"/>
            <w:tcBorders>
              <w:top w:val="nil"/>
              <w:left w:val="nil"/>
              <w:bottom w:val="nil"/>
              <w:right w:val="nil"/>
            </w:tcBorders>
            <w:shd w:val="clear" w:color="auto" w:fill="auto"/>
            <w:tcMar>
              <w:top w:w="15" w:type="dxa"/>
              <w:left w:w="15" w:type="dxa"/>
              <w:right w:w="15" w:type="dxa"/>
            </w:tcMar>
            <w:vAlign w:val="bottom"/>
          </w:tcPr>
          <w:p w14:paraId="2273CC17">
            <w:pPr>
              <w:rPr>
                <w:rFonts w:hint="default" w:ascii="Times New Roman" w:hAnsi="Times New Roman" w:cs="Times New Roman"/>
                <w:color w:val="000000"/>
                <w:sz w:val="20"/>
                <w:szCs w:val="20"/>
              </w:rPr>
            </w:pPr>
          </w:p>
        </w:tc>
        <w:tc>
          <w:tcPr>
            <w:tcW w:w="1233" w:type="dxa"/>
            <w:tcBorders>
              <w:top w:val="nil"/>
              <w:left w:val="nil"/>
              <w:bottom w:val="nil"/>
              <w:right w:val="nil"/>
            </w:tcBorders>
            <w:shd w:val="clear" w:color="auto" w:fill="auto"/>
            <w:tcMar>
              <w:top w:w="15" w:type="dxa"/>
              <w:left w:w="15" w:type="dxa"/>
              <w:right w:w="15" w:type="dxa"/>
            </w:tcMar>
            <w:vAlign w:val="bottom"/>
          </w:tcPr>
          <w:p w14:paraId="7CD1B182">
            <w:pPr>
              <w:rPr>
                <w:rFonts w:hint="default" w:ascii="Times New Roman" w:hAnsi="Times New Roman" w:cs="Times New Roman"/>
                <w:color w:val="000000"/>
                <w:sz w:val="20"/>
                <w:szCs w:val="20"/>
              </w:rPr>
            </w:pPr>
          </w:p>
        </w:tc>
        <w:tc>
          <w:tcPr>
            <w:tcW w:w="1233" w:type="dxa"/>
            <w:tcBorders>
              <w:top w:val="nil"/>
              <w:left w:val="nil"/>
              <w:bottom w:val="nil"/>
              <w:right w:val="nil"/>
            </w:tcBorders>
            <w:shd w:val="clear" w:color="auto" w:fill="auto"/>
            <w:tcMar>
              <w:top w:w="15" w:type="dxa"/>
              <w:left w:w="15" w:type="dxa"/>
              <w:right w:w="15" w:type="dxa"/>
            </w:tcMar>
            <w:vAlign w:val="bottom"/>
          </w:tcPr>
          <w:p w14:paraId="0085E1A8">
            <w:pPr>
              <w:rPr>
                <w:rFonts w:hint="default" w:ascii="Times New Roman" w:hAnsi="Times New Roman" w:cs="Times New Roman"/>
                <w:color w:val="000000"/>
                <w:sz w:val="20"/>
                <w:szCs w:val="20"/>
              </w:rPr>
            </w:pPr>
          </w:p>
        </w:tc>
        <w:tc>
          <w:tcPr>
            <w:tcW w:w="1366" w:type="dxa"/>
            <w:tcBorders>
              <w:top w:val="nil"/>
              <w:left w:val="nil"/>
              <w:bottom w:val="nil"/>
              <w:right w:val="nil"/>
            </w:tcBorders>
            <w:shd w:val="clear" w:color="auto" w:fill="auto"/>
            <w:tcMar>
              <w:top w:w="15" w:type="dxa"/>
              <w:left w:w="15" w:type="dxa"/>
              <w:right w:w="15" w:type="dxa"/>
            </w:tcMar>
            <w:vAlign w:val="bottom"/>
          </w:tcPr>
          <w:p w14:paraId="233CB5CF">
            <w:pPr>
              <w:rPr>
                <w:rFonts w:hint="default" w:ascii="Times New Roman" w:hAnsi="Times New Roman" w:cs="Times New Roman"/>
                <w:color w:val="000000"/>
                <w:sz w:val="20"/>
                <w:szCs w:val="20"/>
              </w:rPr>
            </w:pPr>
          </w:p>
        </w:tc>
        <w:tc>
          <w:tcPr>
            <w:tcW w:w="1307" w:type="dxa"/>
            <w:tcBorders>
              <w:top w:val="nil"/>
              <w:left w:val="nil"/>
              <w:bottom w:val="nil"/>
              <w:right w:val="nil"/>
            </w:tcBorders>
            <w:shd w:val="clear" w:color="auto" w:fill="auto"/>
            <w:tcMar>
              <w:top w:w="15" w:type="dxa"/>
              <w:left w:w="15" w:type="dxa"/>
              <w:right w:w="15" w:type="dxa"/>
            </w:tcMar>
            <w:vAlign w:val="bottom"/>
          </w:tcPr>
          <w:p w14:paraId="35FFEEC7">
            <w:pPr>
              <w:rPr>
                <w:rFonts w:hint="default" w:ascii="Times New Roman" w:hAnsi="Times New Roman" w:cs="Times New Roman"/>
                <w:color w:val="000000"/>
                <w:sz w:val="20"/>
                <w:szCs w:val="20"/>
              </w:rPr>
            </w:pPr>
          </w:p>
        </w:tc>
        <w:tc>
          <w:tcPr>
            <w:tcW w:w="1439" w:type="dxa"/>
            <w:tcBorders>
              <w:top w:val="nil"/>
              <w:left w:val="nil"/>
              <w:bottom w:val="nil"/>
              <w:right w:val="nil"/>
            </w:tcBorders>
            <w:shd w:val="clear" w:color="auto" w:fill="auto"/>
            <w:tcMar>
              <w:top w:w="15" w:type="dxa"/>
              <w:left w:w="15" w:type="dxa"/>
              <w:right w:w="15" w:type="dxa"/>
            </w:tcMar>
            <w:vAlign w:val="bottom"/>
          </w:tcPr>
          <w:p w14:paraId="32A28CC0">
            <w:pPr>
              <w:rPr>
                <w:rFonts w:hint="default" w:ascii="Times New Roman" w:hAnsi="Times New Roman" w:cs="Times New Roman"/>
                <w:color w:val="000000"/>
                <w:sz w:val="20"/>
                <w:szCs w:val="20"/>
              </w:rPr>
            </w:pPr>
          </w:p>
        </w:tc>
        <w:tc>
          <w:tcPr>
            <w:tcW w:w="1461" w:type="dxa"/>
            <w:tcBorders>
              <w:top w:val="nil"/>
              <w:left w:val="nil"/>
              <w:bottom w:val="nil"/>
              <w:right w:val="nil"/>
            </w:tcBorders>
            <w:shd w:val="clear" w:color="auto" w:fill="auto"/>
            <w:tcMar>
              <w:top w:w="15" w:type="dxa"/>
              <w:left w:w="15" w:type="dxa"/>
              <w:right w:w="15" w:type="dxa"/>
            </w:tcMar>
            <w:vAlign w:val="bottom"/>
          </w:tcPr>
          <w:p w14:paraId="403DB45A">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14:paraId="43F4A8F2">
        <w:tblPrEx>
          <w:tblCellMar>
            <w:top w:w="0" w:type="dxa"/>
            <w:left w:w="0" w:type="dxa"/>
            <w:bottom w:w="0" w:type="dxa"/>
            <w:right w:w="0" w:type="dxa"/>
          </w:tblCellMar>
        </w:tblPrEx>
        <w:trPr>
          <w:trHeight w:val="431" w:hRule="atLeast"/>
        </w:trPr>
        <w:tc>
          <w:tcPr>
            <w:tcW w:w="4873" w:type="dxa"/>
            <w:gridSpan w:val="2"/>
            <w:tcBorders>
              <w:top w:val="single" w:color="000000" w:sz="4" w:space="0"/>
              <w:left w:val="single" w:color="000000" w:sz="4" w:space="0"/>
              <w:bottom w:val="single" w:color="000000" w:sz="4" w:space="0"/>
              <w:right w:val="nil"/>
            </w:tcBorders>
            <w:shd w:val="clear" w:color="auto" w:fill="D0CECE"/>
            <w:tcMar>
              <w:top w:w="15" w:type="dxa"/>
              <w:left w:w="15" w:type="dxa"/>
              <w:right w:w="15" w:type="dxa"/>
            </w:tcMar>
            <w:vAlign w:val="bottom"/>
          </w:tcPr>
          <w:p w14:paraId="3DB69C3C">
            <w:pPr>
              <w:jc w:val="center"/>
              <w:textAlignment w:val="bottom"/>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D0033AB">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本年收入合计</w:t>
            </w: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2FC517C">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财政拨款收入</w:t>
            </w: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E3311A3">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上级补助收入</w:t>
            </w:r>
          </w:p>
        </w:tc>
        <w:tc>
          <w:tcPr>
            <w:tcW w:w="2599"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14:paraId="7948BDC5">
            <w:pPr>
              <w:jc w:val="center"/>
              <w:textAlignment w:val="bottom"/>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事业收入</w:t>
            </w:r>
          </w:p>
        </w:tc>
        <w:tc>
          <w:tcPr>
            <w:tcW w:w="130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4FD505E">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经营收入</w:t>
            </w:r>
          </w:p>
        </w:tc>
        <w:tc>
          <w:tcPr>
            <w:tcW w:w="143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AF564D3">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附属单位上缴收入</w:t>
            </w:r>
          </w:p>
        </w:tc>
        <w:tc>
          <w:tcPr>
            <w:tcW w:w="146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9C16451">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其他收入</w:t>
            </w:r>
          </w:p>
        </w:tc>
      </w:tr>
      <w:tr w14:paraId="54FEA4B2">
        <w:tblPrEx>
          <w:tblCellMar>
            <w:top w:w="0" w:type="dxa"/>
            <w:left w:w="0" w:type="dxa"/>
            <w:bottom w:w="0" w:type="dxa"/>
            <w:right w:w="0" w:type="dxa"/>
          </w:tblCellMar>
        </w:tblPrEx>
        <w:trPr>
          <w:trHeight w:val="334" w:hRule="atLeast"/>
        </w:trPr>
        <w:tc>
          <w:tcPr>
            <w:tcW w:w="1702"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27C0D13">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功能分类科目编码</w:t>
            </w:r>
          </w:p>
        </w:tc>
        <w:tc>
          <w:tcPr>
            <w:tcW w:w="3171" w:type="dxa"/>
            <w:vMerge w:val="restart"/>
            <w:tcBorders>
              <w:top w:val="nil"/>
              <w:left w:val="nil"/>
              <w:bottom w:val="single" w:color="000000" w:sz="4" w:space="0"/>
              <w:right w:val="nil"/>
            </w:tcBorders>
            <w:shd w:val="clear" w:color="FFFFFF" w:fill="C0C0C0"/>
            <w:tcMar>
              <w:top w:w="15" w:type="dxa"/>
              <w:left w:w="15" w:type="dxa"/>
              <w:right w:w="15" w:type="dxa"/>
            </w:tcMar>
            <w:vAlign w:val="center"/>
          </w:tcPr>
          <w:p w14:paraId="20F5724F">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项目（按“项”级功能分类科目）</w:t>
            </w: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EE5AF1D">
            <w:pPr>
              <w:jc w:val="center"/>
              <w:rPr>
                <w:rFonts w:hint="default" w:ascii="Times New Roman" w:hAnsi="Times New Roman" w:cs="Times New Roman"/>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42220A0">
            <w:pPr>
              <w:jc w:val="center"/>
              <w:rPr>
                <w:rFonts w:hint="default" w:ascii="Times New Roman" w:hAnsi="Times New Roman" w:cs="Times New Roman"/>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71ED2E3">
            <w:pPr>
              <w:jc w:val="center"/>
              <w:rPr>
                <w:rFonts w:hint="default" w:ascii="Times New Roman" w:hAnsi="Times New Roman" w:cs="Times New Roman"/>
                <w:b/>
                <w:color w:val="000000"/>
                <w:sz w:val="20"/>
                <w:szCs w:val="20"/>
              </w:rPr>
            </w:pP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7C7EA27">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小计</w:t>
            </w:r>
          </w:p>
        </w:tc>
        <w:tc>
          <w:tcPr>
            <w:tcW w:w="136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34111BB">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其中：教育收费</w:t>
            </w: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6C7660A">
            <w:pPr>
              <w:jc w:val="center"/>
              <w:rPr>
                <w:rFonts w:hint="default" w:ascii="Times New Roman" w:hAnsi="Times New Roman" w:cs="Times New Roman"/>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C0427BC">
            <w:pPr>
              <w:jc w:val="center"/>
              <w:rPr>
                <w:rFonts w:hint="default" w:ascii="Times New Roman" w:hAnsi="Times New Roman" w:cs="Times New Roman"/>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C89ECB9">
            <w:pPr>
              <w:jc w:val="center"/>
              <w:rPr>
                <w:rFonts w:hint="default" w:ascii="Times New Roman" w:hAnsi="Times New Roman" w:cs="Times New Roman"/>
                <w:b/>
                <w:color w:val="000000"/>
                <w:sz w:val="20"/>
                <w:szCs w:val="20"/>
              </w:rPr>
            </w:pPr>
          </w:p>
        </w:tc>
      </w:tr>
      <w:tr w14:paraId="48AA8739">
        <w:tblPrEx>
          <w:tblCellMar>
            <w:top w:w="0" w:type="dxa"/>
            <w:left w:w="0" w:type="dxa"/>
            <w:bottom w:w="0" w:type="dxa"/>
            <w:right w:w="0" w:type="dxa"/>
          </w:tblCellMar>
        </w:tblPrEx>
        <w:trPr>
          <w:trHeight w:val="334" w:hRule="atLeast"/>
        </w:trPr>
        <w:tc>
          <w:tcPr>
            <w:tcW w:w="170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BE958BD">
            <w:pPr>
              <w:jc w:val="center"/>
              <w:rPr>
                <w:rFonts w:hint="default" w:ascii="Times New Roman" w:hAnsi="Times New Roman" w:cs="Times New Roman"/>
                <w:b/>
                <w:color w:val="000000"/>
                <w:sz w:val="20"/>
                <w:szCs w:val="20"/>
              </w:rPr>
            </w:pPr>
          </w:p>
        </w:tc>
        <w:tc>
          <w:tcPr>
            <w:tcW w:w="3171"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14:paraId="33BAF20C">
            <w:pPr>
              <w:jc w:val="center"/>
              <w:rPr>
                <w:rFonts w:hint="default" w:ascii="Times New Roman" w:hAnsi="Times New Roman" w:cs="Times New Roman"/>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8CC33D7">
            <w:pPr>
              <w:jc w:val="center"/>
              <w:rPr>
                <w:rFonts w:hint="default" w:ascii="Times New Roman" w:hAnsi="Times New Roman" w:cs="Times New Roman"/>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94072F6">
            <w:pPr>
              <w:jc w:val="center"/>
              <w:rPr>
                <w:rFonts w:hint="default" w:ascii="Times New Roman" w:hAnsi="Times New Roman" w:cs="Times New Roman"/>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47914F8">
            <w:pPr>
              <w:jc w:val="center"/>
              <w:rPr>
                <w:rFonts w:hint="default" w:ascii="Times New Roman" w:hAnsi="Times New Roman" w:cs="Times New Roman"/>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45AE91E">
            <w:pPr>
              <w:jc w:val="center"/>
              <w:rPr>
                <w:rFonts w:hint="default" w:ascii="Times New Roman" w:hAnsi="Times New Roman" w:cs="Times New Roman"/>
                <w:b/>
                <w:color w:val="000000"/>
                <w:sz w:val="20"/>
                <w:szCs w:val="20"/>
              </w:rPr>
            </w:pPr>
          </w:p>
        </w:tc>
        <w:tc>
          <w:tcPr>
            <w:tcW w:w="136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A52F9CF">
            <w:pPr>
              <w:jc w:val="center"/>
              <w:rPr>
                <w:rFonts w:hint="default" w:ascii="Times New Roman" w:hAnsi="Times New Roman" w:cs="Times New Roman"/>
                <w:b/>
                <w:color w:val="000000"/>
                <w:sz w:val="20"/>
                <w:szCs w:val="20"/>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AE70510">
            <w:pPr>
              <w:jc w:val="center"/>
              <w:rPr>
                <w:rFonts w:hint="default" w:ascii="Times New Roman" w:hAnsi="Times New Roman" w:cs="Times New Roman"/>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B40E021">
            <w:pPr>
              <w:jc w:val="center"/>
              <w:rPr>
                <w:rFonts w:hint="default" w:ascii="Times New Roman" w:hAnsi="Times New Roman" w:cs="Times New Roman"/>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971FBDB">
            <w:pPr>
              <w:jc w:val="center"/>
              <w:rPr>
                <w:rFonts w:hint="default" w:ascii="Times New Roman" w:hAnsi="Times New Roman" w:cs="Times New Roman"/>
                <w:b/>
                <w:color w:val="000000"/>
                <w:sz w:val="20"/>
                <w:szCs w:val="20"/>
              </w:rPr>
            </w:pPr>
          </w:p>
        </w:tc>
      </w:tr>
      <w:tr w14:paraId="14CE81BA">
        <w:tblPrEx>
          <w:tblCellMar>
            <w:top w:w="0" w:type="dxa"/>
            <w:left w:w="0" w:type="dxa"/>
            <w:bottom w:w="0" w:type="dxa"/>
            <w:right w:w="0" w:type="dxa"/>
          </w:tblCellMar>
        </w:tblPrEx>
        <w:trPr>
          <w:trHeight w:val="334" w:hRule="atLeast"/>
        </w:trPr>
        <w:tc>
          <w:tcPr>
            <w:tcW w:w="170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EC6CEEC">
            <w:pPr>
              <w:jc w:val="center"/>
              <w:rPr>
                <w:rFonts w:hint="default" w:ascii="Times New Roman" w:hAnsi="Times New Roman" w:cs="Times New Roman"/>
                <w:b/>
                <w:color w:val="000000"/>
                <w:sz w:val="20"/>
                <w:szCs w:val="20"/>
              </w:rPr>
            </w:pPr>
          </w:p>
        </w:tc>
        <w:tc>
          <w:tcPr>
            <w:tcW w:w="3171"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14:paraId="7692FEB4">
            <w:pPr>
              <w:jc w:val="center"/>
              <w:rPr>
                <w:rFonts w:hint="default" w:ascii="Times New Roman" w:hAnsi="Times New Roman" w:cs="Times New Roman"/>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3DC32A6">
            <w:pPr>
              <w:jc w:val="center"/>
              <w:rPr>
                <w:rFonts w:hint="default" w:ascii="Times New Roman" w:hAnsi="Times New Roman" w:cs="Times New Roman"/>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5F34577">
            <w:pPr>
              <w:jc w:val="center"/>
              <w:rPr>
                <w:rFonts w:hint="default" w:ascii="Times New Roman" w:hAnsi="Times New Roman" w:cs="Times New Roman"/>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1674560">
            <w:pPr>
              <w:jc w:val="center"/>
              <w:rPr>
                <w:rFonts w:hint="default" w:ascii="Times New Roman" w:hAnsi="Times New Roman" w:cs="Times New Roman"/>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D2049F9">
            <w:pPr>
              <w:jc w:val="center"/>
              <w:rPr>
                <w:rFonts w:hint="default" w:ascii="Times New Roman" w:hAnsi="Times New Roman" w:cs="Times New Roman"/>
                <w:b/>
                <w:color w:val="000000"/>
                <w:sz w:val="20"/>
                <w:szCs w:val="20"/>
              </w:rPr>
            </w:pPr>
          </w:p>
        </w:tc>
        <w:tc>
          <w:tcPr>
            <w:tcW w:w="136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0733AB5">
            <w:pPr>
              <w:jc w:val="center"/>
              <w:rPr>
                <w:rFonts w:hint="default" w:ascii="Times New Roman" w:hAnsi="Times New Roman" w:cs="Times New Roman"/>
                <w:b/>
                <w:color w:val="000000"/>
                <w:sz w:val="20"/>
                <w:szCs w:val="20"/>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8E939B0">
            <w:pPr>
              <w:jc w:val="center"/>
              <w:rPr>
                <w:rFonts w:hint="default" w:ascii="Times New Roman" w:hAnsi="Times New Roman" w:cs="Times New Roman"/>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5FEADD4">
            <w:pPr>
              <w:jc w:val="center"/>
              <w:rPr>
                <w:rFonts w:hint="default" w:ascii="Times New Roman" w:hAnsi="Times New Roman" w:cs="Times New Roman"/>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94F4EEC">
            <w:pPr>
              <w:jc w:val="center"/>
              <w:rPr>
                <w:rFonts w:hint="default" w:ascii="Times New Roman" w:hAnsi="Times New Roman" w:cs="Times New Roman"/>
                <w:b/>
                <w:color w:val="000000"/>
                <w:sz w:val="20"/>
                <w:szCs w:val="20"/>
              </w:rPr>
            </w:pPr>
          </w:p>
        </w:tc>
      </w:tr>
      <w:tr w14:paraId="01332097">
        <w:tblPrEx>
          <w:tblCellMar>
            <w:top w:w="0" w:type="dxa"/>
            <w:left w:w="0" w:type="dxa"/>
            <w:bottom w:w="0" w:type="dxa"/>
            <w:right w:w="0" w:type="dxa"/>
          </w:tblCellMar>
        </w:tblPrEx>
        <w:trPr>
          <w:trHeight w:val="334" w:hRule="atLeast"/>
        </w:trPr>
        <w:tc>
          <w:tcPr>
            <w:tcW w:w="170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ED987E0">
            <w:pPr>
              <w:jc w:val="center"/>
              <w:rPr>
                <w:rFonts w:hint="default" w:ascii="Times New Roman" w:hAnsi="Times New Roman" w:cs="Times New Roman"/>
                <w:b/>
                <w:color w:val="000000"/>
                <w:sz w:val="20"/>
                <w:szCs w:val="20"/>
              </w:rPr>
            </w:pPr>
          </w:p>
        </w:tc>
        <w:tc>
          <w:tcPr>
            <w:tcW w:w="3171"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14:paraId="6C379519">
            <w:pPr>
              <w:jc w:val="center"/>
              <w:rPr>
                <w:rFonts w:hint="default" w:ascii="Times New Roman" w:hAnsi="Times New Roman" w:cs="Times New Roman"/>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5ED6F40">
            <w:pPr>
              <w:jc w:val="center"/>
              <w:rPr>
                <w:rFonts w:hint="default" w:ascii="Times New Roman" w:hAnsi="Times New Roman" w:cs="Times New Roman"/>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3ED8C1E">
            <w:pPr>
              <w:jc w:val="center"/>
              <w:rPr>
                <w:rFonts w:hint="default" w:ascii="Times New Roman" w:hAnsi="Times New Roman" w:cs="Times New Roman"/>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0367C35">
            <w:pPr>
              <w:jc w:val="center"/>
              <w:rPr>
                <w:rFonts w:hint="default" w:ascii="Times New Roman" w:hAnsi="Times New Roman" w:cs="Times New Roman"/>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5D44615">
            <w:pPr>
              <w:jc w:val="center"/>
              <w:rPr>
                <w:rFonts w:hint="default" w:ascii="Times New Roman" w:hAnsi="Times New Roman" w:cs="Times New Roman"/>
                <w:b/>
                <w:color w:val="000000"/>
                <w:sz w:val="20"/>
                <w:szCs w:val="20"/>
              </w:rPr>
            </w:pPr>
          </w:p>
        </w:tc>
        <w:tc>
          <w:tcPr>
            <w:tcW w:w="136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85D3076">
            <w:pPr>
              <w:jc w:val="center"/>
              <w:rPr>
                <w:rFonts w:hint="default" w:ascii="Times New Roman" w:hAnsi="Times New Roman" w:cs="Times New Roman"/>
                <w:b/>
                <w:color w:val="000000"/>
                <w:sz w:val="20"/>
                <w:szCs w:val="20"/>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43C5FBB">
            <w:pPr>
              <w:jc w:val="center"/>
              <w:rPr>
                <w:rFonts w:hint="default" w:ascii="Times New Roman" w:hAnsi="Times New Roman" w:cs="Times New Roman"/>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C8AAD75">
            <w:pPr>
              <w:jc w:val="center"/>
              <w:rPr>
                <w:rFonts w:hint="default" w:ascii="Times New Roman" w:hAnsi="Times New Roman" w:cs="Times New Roman"/>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2E02D71">
            <w:pPr>
              <w:jc w:val="center"/>
              <w:rPr>
                <w:rFonts w:hint="default" w:ascii="Times New Roman" w:hAnsi="Times New Roman" w:cs="Times New Roman"/>
                <w:b/>
                <w:color w:val="000000"/>
                <w:sz w:val="20"/>
                <w:szCs w:val="20"/>
              </w:rPr>
            </w:pPr>
          </w:p>
        </w:tc>
      </w:tr>
      <w:tr w14:paraId="5371076E">
        <w:tblPrEx>
          <w:tblCellMar>
            <w:top w:w="0" w:type="dxa"/>
            <w:left w:w="0" w:type="dxa"/>
            <w:bottom w:w="0" w:type="dxa"/>
            <w:right w:w="0" w:type="dxa"/>
          </w:tblCellMar>
        </w:tblPrEx>
        <w:trPr>
          <w:trHeight w:val="338" w:hRule="atLeast"/>
        </w:trPr>
        <w:tc>
          <w:tcPr>
            <w:tcW w:w="4873"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538874E">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12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32F166F">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62.08</w:t>
            </w:r>
            <w:r>
              <w:rPr>
                <w:rFonts w:hint="default" w:ascii="Times New Roman" w:hAnsi="Times New Roman" w:cs="Times New Roman"/>
                <w:b/>
                <w:color w:val="000000"/>
                <w:sz w:val="20"/>
                <w:u w:color="auto"/>
              </w:rPr>
              <w:t xml:space="preserve"> </w:t>
            </w:r>
          </w:p>
        </w:tc>
        <w:tc>
          <w:tcPr>
            <w:tcW w:w="12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289D686">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62.08</w:t>
            </w:r>
            <w:r>
              <w:rPr>
                <w:rFonts w:hint="default" w:ascii="Times New Roman" w:hAnsi="Times New Roman" w:cs="Times New Roman"/>
                <w:b/>
                <w:color w:val="000000"/>
                <w:sz w:val="20"/>
                <w:u w:color="auto"/>
              </w:rPr>
              <w:t xml:space="preserve"> </w:t>
            </w:r>
          </w:p>
        </w:tc>
        <w:tc>
          <w:tcPr>
            <w:tcW w:w="12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A01CEE3">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12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A6EA79C">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136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4F1B094">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13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F8CEFC9">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14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84111C8">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14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4244B57">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r>
      <w:tr w14:paraId="10B10285">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9DEDE1">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243C12E">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社会保障和就业支出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30D5C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59.67</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8F932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59.67</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4CA8A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AC2C7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00BB2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550FD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22B6C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86AE3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207A752C">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299077">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20805</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33B7932">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行政事业单位养老支出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BD3C5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5.79</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92634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5.79</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11727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35A19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1A04B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470B2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088BC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0D817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5EE0C43A">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2CCB8C">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2080505</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B536139">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机关事业单位基本养老保险缴费支出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716E8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3.86</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6736F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3.86</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08E37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1332E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0A75F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A0E4B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B06CF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C8818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2EB64279">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493D1C">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2080506</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1C41275">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机关事业单位职业年金缴费支出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1B941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1.93</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9374B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1.93</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AF290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DE93C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D945A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B7BF9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D9B92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E476F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6F9E86C9">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B46EEA">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20828</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6D05945">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退役军人管理事务</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014B2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53.88</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276F6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53.88</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C27B2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1F832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1C728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4E811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F003F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654AC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0002DE7E">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56832B">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2082850</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275CC07">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事业运行</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38763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53.88</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FA7FB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53.88</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F0A58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477B9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E2711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94B46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7E5AF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78851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66CE8FBF">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42ADCB">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9D56AD9">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卫生健康支出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A8271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2.12</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D4923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2.12</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9B036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49E47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B81EA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ABD6A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3D2CF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125D0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24BC5D4A">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0DF33E">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21011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60C230C">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行政事业单位医疗</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CD688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2.12</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80CD1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2.12</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C245A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E0248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20341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38799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78304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96D00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2427CB9D">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A5C44B">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2101102</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C41A1E7">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事业单位医疗</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6BD26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1.64</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87B19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1.64</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9EB12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FBE01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7B0A4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02558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1DCB0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4E97B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22F336FD">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F7EB96">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2101199</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B84DFD8">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其他行政事业单位医疗支出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93139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0.48</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B337A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0.48</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B0984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E06C5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58F11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15D5D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81781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44855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7A09FEE1">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3F1729">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22C591B">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住房保障支出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22454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0.28</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7705C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0.28</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0A16B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BB0E9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C4CBA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40C4C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4C3DE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79758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7A4840B6">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F005DB">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22102</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3CC8AB3">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住房改革支出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885AB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0.28</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F0F61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0.28</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6EF1A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A216F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9BF1B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CD171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88239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CF3C2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349FC6CC">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558D0D">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2210201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D44E16E">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住房公积金</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DD789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0.28</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8C583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0.28</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E59F8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9BC68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3CA4A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7EEA3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1233A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C22DD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bl>
    <w:p w14:paraId="68E93E39">
      <w:pPr>
        <w:ind w:left="600" w:hanging="600" w:hangingChars="300"/>
        <w:rPr>
          <w:rFonts w:hint="default" w:ascii="Times New Roman" w:hAnsi="Times New Roman" w:cs="Times New Roman"/>
          <w:sz w:val="20"/>
          <w:szCs w:val="20"/>
        </w:rPr>
      </w:pPr>
      <w:r>
        <w:rPr>
          <w:rFonts w:hint="default" w:ascii="Times New Roman" w:hAnsi="Times New Roman" w:cs="Times New Roman"/>
          <w:sz w:val="20"/>
          <w:szCs w:val="20"/>
        </w:rPr>
        <w:t>备注：1.本表反映单位本年度取得的各项收入情况。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p>
    <w:p w14:paraId="220D291E">
      <w:pPr>
        <w:rPr>
          <w:rFonts w:hint="default" w:ascii="Times New Roman" w:hAnsi="Times New Roman" w:cs="Times New Roman"/>
          <w:sz w:val="20"/>
          <w:szCs w:val="20"/>
        </w:rPr>
      </w:pPr>
      <w:r>
        <w:rPr>
          <w:rFonts w:hint="default" w:ascii="Times New Roman" w:hAnsi="Times New Roman" w:cs="Times New Roman"/>
          <w:sz w:val="20"/>
          <w:szCs w:val="20"/>
        </w:rPr>
        <w:br w:type="page"/>
      </w:r>
    </w:p>
    <w:tbl>
      <w:tblPr>
        <w:tblStyle w:val="7"/>
        <w:tblW w:w="15378" w:type="dxa"/>
        <w:tblInd w:w="0" w:type="dxa"/>
        <w:tblLayout w:type="fixed"/>
        <w:tblCellMar>
          <w:top w:w="0" w:type="dxa"/>
          <w:left w:w="0" w:type="dxa"/>
          <w:bottom w:w="0" w:type="dxa"/>
          <w:right w:w="0" w:type="dxa"/>
        </w:tblCellMar>
      </w:tblPr>
      <w:tblGrid>
        <w:gridCol w:w="1803"/>
        <w:gridCol w:w="3355"/>
        <w:gridCol w:w="1701"/>
        <w:gridCol w:w="1701"/>
        <w:gridCol w:w="1701"/>
        <w:gridCol w:w="1685"/>
        <w:gridCol w:w="1685"/>
        <w:gridCol w:w="1747"/>
      </w:tblGrid>
      <w:tr w14:paraId="1EABFA17">
        <w:tblPrEx>
          <w:tblCellMar>
            <w:top w:w="0" w:type="dxa"/>
            <w:left w:w="0" w:type="dxa"/>
            <w:bottom w:w="0" w:type="dxa"/>
            <w:right w:w="0" w:type="dxa"/>
          </w:tblCellMar>
        </w:tblPrEx>
        <w:trPr>
          <w:trHeight w:val="654" w:hRule="atLeast"/>
        </w:trPr>
        <w:tc>
          <w:tcPr>
            <w:tcW w:w="15378" w:type="dxa"/>
            <w:gridSpan w:val="8"/>
            <w:tcBorders>
              <w:top w:val="nil"/>
              <w:left w:val="nil"/>
              <w:bottom w:val="nil"/>
              <w:right w:val="nil"/>
            </w:tcBorders>
            <w:shd w:val="clear" w:color="auto" w:fill="auto"/>
            <w:tcMar>
              <w:top w:w="15" w:type="dxa"/>
              <w:left w:w="15" w:type="dxa"/>
              <w:right w:w="15" w:type="dxa"/>
            </w:tcMar>
            <w:vAlign w:val="bottom"/>
          </w:tcPr>
          <w:p w14:paraId="794C0A5B">
            <w:pPr>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支出决算表</w:t>
            </w:r>
          </w:p>
        </w:tc>
      </w:tr>
      <w:tr w14:paraId="42CC99BF">
        <w:tblPrEx>
          <w:tblCellMar>
            <w:top w:w="0" w:type="dxa"/>
            <w:left w:w="0" w:type="dxa"/>
            <w:bottom w:w="0" w:type="dxa"/>
            <w:right w:w="0" w:type="dxa"/>
          </w:tblCellMar>
        </w:tblPrEx>
        <w:trPr>
          <w:trHeight w:val="342" w:hRule="atLeast"/>
        </w:trPr>
        <w:tc>
          <w:tcPr>
            <w:tcW w:w="6859" w:type="dxa"/>
            <w:gridSpan w:val="3"/>
            <w:vMerge w:val="restart"/>
            <w:tcBorders>
              <w:top w:val="nil"/>
              <w:left w:val="nil"/>
              <w:right w:val="nil"/>
            </w:tcBorders>
            <w:shd w:val="clear" w:color="auto" w:fill="auto"/>
            <w:tcMar>
              <w:top w:w="15" w:type="dxa"/>
              <w:left w:w="15" w:type="dxa"/>
              <w:right w:w="15" w:type="dxa"/>
            </w:tcMar>
            <w:vAlign w:val="bottom"/>
          </w:tcPr>
          <w:p w14:paraId="0E89A251">
            <w:pPr>
              <w:rPr>
                <w:rFonts w:hint="default" w:ascii="Times New Roman" w:hAnsi="Times New Roman" w:cs="Times New Roman"/>
                <w:color w:val="000000"/>
                <w:sz w:val="20"/>
                <w:szCs w:val="20"/>
              </w:rPr>
            </w:pPr>
            <w:r>
              <w:rPr>
                <w:rFonts w:hint="default" w:ascii="Times New Roman" w:hAnsi="Times New Roman" w:cs="Times New Roman"/>
                <w:sz w:val="20"/>
                <w:szCs w:val="20"/>
              </w:rPr>
              <w:t>公开单位</w:t>
            </w:r>
            <w:r>
              <w:rPr>
                <w:rFonts w:hint="default" w:ascii="Times New Roman" w:hAnsi="Times New Roman" w:cs="Times New Roman"/>
                <w:color w:val="000000"/>
                <w:sz w:val="20"/>
                <w:szCs w:val="20"/>
              </w:rPr>
              <w:t xml:space="preserve">： </w:t>
            </w:r>
            <w:r>
              <w:rPr>
                <w:rFonts w:hint="default" w:ascii="Times New Roman" w:hAnsi="Times New Roman" w:cs="Times New Roman"/>
                <w:color w:val="000000"/>
                <w:sz w:val="20"/>
                <w:u w:color="auto"/>
              </w:rPr>
              <w:t xml:space="preserve">重庆市大渡口区八桥镇退役军人服务站 </w:t>
            </w:r>
          </w:p>
        </w:tc>
        <w:tc>
          <w:tcPr>
            <w:tcW w:w="1701" w:type="dxa"/>
            <w:tcBorders>
              <w:top w:val="nil"/>
              <w:left w:val="nil"/>
              <w:bottom w:val="nil"/>
              <w:right w:val="nil"/>
            </w:tcBorders>
            <w:shd w:val="clear" w:color="auto" w:fill="auto"/>
            <w:tcMar>
              <w:top w:w="15" w:type="dxa"/>
              <w:left w:w="15" w:type="dxa"/>
              <w:right w:w="15" w:type="dxa"/>
            </w:tcMar>
            <w:vAlign w:val="bottom"/>
          </w:tcPr>
          <w:p w14:paraId="0EA622C7">
            <w:pPr>
              <w:rPr>
                <w:rFonts w:hint="default" w:ascii="Times New Roman" w:hAnsi="Times New Roman" w:cs="Times New Roman"/>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14:paraId="43487C7B">
            <w:pPr>
              <w:rPr>
                <w:rFonts w:hint="default" w:ascii="Times New Roman" w:hAnsi="Times New Roman" w:cs="Times New Roman"/>
                <w:color w:val="000000"/>
                <w:sz w:val="20"/>
                <w:szCs w:val="20"/>
              </w:rPr>
            </w:pPr>
          </w:p>
        </w:tc>
        <w:tc>
          <w:tcPr>
            <w:tcW w:w="1685" w:type="dxa"/>
            <w:tcBorders>
              <w:top w:val="nil"/>
              <w:left w:val="nil"/>
              <w:bottom w:val="nil"/>
              <w:right w:val="nil"/>
            </w:tcBorders>
            <w:shd w:val="clear" w:color="auto" w:fill="auto"/>
            <w:tcMar>
              <w:top w:w="15" w:type="dxa"/>
              <w:left w:w="15" w:type="dxa"/>
              <w:right w:w="15" w:type="dxa"/>
            </w:tcMar>
            <w:vAlign w:val="bottom"/>
          </w:tcPr>
          <w:p w14:paraId="5D0E2BAE">
            <w:pPr>
              <w:rPr>
                <w:rFonts w:hint="default" w:ascii="Times New Roman" w:hAnsi="Times New Roman" w:cs="Times New Roman"/>
                <w:color w:val="000000"/>
                <w:sz w:val="20"/>
                <w:szCs w:val="20"/>
              </w:rPr>
            </w:pPr>
          </w:p>
        </w:tc>
        <w:tc>
          <w:tcPr>
            <w:tcW w:w="1685" w:type="dxa"/>
            <w:tcBorders>
              <w:top w:val="nil"/>
              <w:left w:val="nil"/>
              <w:bottom w:val="nil"/>
              <w:right w:val="nil"/>
            </w:tcBorders>
            <w:shd w:val="clear" w:color="auto" w:fill="auto"/>
            <w:tcMar>
              <w:top w:w="15" w:type="dxa"/>
              <w:left w:w="15" w:type="dxa"/>
              <w:right w:w="15" w:type="dxa"/>
            </w:tcMar>
            <w:vAlign w:val="bottom"/>
          </w:tcPr>
          <w:p w14:paraId="673AB86F">
            <w:pPr>
              <w:rPr>
                <w:rFonts w:hint="default" w:ascii="Times New Roman" w:hAnsi="Times New Roman" w:cs="Times New Roman"/>
                <w:color w:val="000000"/>
                <w:sz w:val="20"/>
                <w:szCs w:val="20"/>
              </w:rPr>
            </w:pPr>
          </w:p>
        </w:tc>
        <w:tc>
          <w:tcPr>
            <w:tcW w:w="1747" w:type="dxa"/>
            <w:tcBorders>
              <w:top w:val="nil"/>
              <w:left w:val="nil"/>
              <w:bottom w:val="nil"/>
              <w:right w:val="nil"/>
            </w:tcBorders>
            <w:shd w:val="clear" w:color="auto" w:fill="auto"/>
            <w:tcMar>
              <w:top w:w="15" w:type="dxa"/>
              <w:left w:w="15" w:type="dxa"/>
              <w:right w:w="15" w:type="dxa"/>
            </w:tcMar>
            <w:vAlign w:val="bottom"/>
          </w:tcPr>
          <w:p w14:paraId="0A295F98">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公开03表</w:t>
            </w:r>
          </w:p>
        </w:tc>
      </w:tr>
      <w:tr w14:paraId="69957A0E">
        <w:tblPrEx>
          <w:tblCellMar>
            <w:top w:w="0" w:type="dxa"/>
            <w:left w:w="0" w:type="dxa"/>
            <w:bottom w:w="0" w:type="dxa"/>
            <w:right w:w="0" w:type="dxa"/>
          </w:tblCellMar>
        </w:tblPrEx>
        <w:trPr>
          <w:trHeight w:val="342" w:hRule="atLeast"/>
        </w:trPr>
        <w:tc>
          <w:tcPr>
            <w:tcW w:w="6859" w:type="dxa"/>
            <w:gridSpan w:val="3"/>
            <w:vMerge w:val="continue"/>
            <w:tcBorders>
              <w:left w:val="nil"/>
              <w:bottom w:val="nil"/>
              <w:right w:val="nil"/>
            </w:tcBorders>
            <w:shd w:val="clear" w:color="auto" w:fill="auto"/>
            <w:tcMar>
              <w:top w:w="15" w:type="dxa"/>
              <w:left w:w="15" w:type="dxa"/>
              <w:right w:w="15" w:type="dxa"/>
            </w:tcMar>
            <w:vAlign w:val="bottom"/>
          </w:tcPr>
          <w:p w14:paraId="1378739F">
            <w:pPr>
              <w:rPr>
                <w:rFonts w:hint="default" w:ascii="Times New Roman" w:hAnsi="Times New Roman" w:cs="Times New Roman"/>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14:paraId="79E3DE1C">
            <w:pPr>
              <w:rPr>
                <w:rFonts w:hint="default" w:ascii="Times New Roman" w:hAnsi="Times New Roman" w:cs="Times New Roman"/>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14:paraId="1DDE391B">
            <w:pPr>
              <w:rPr>
                <w:rFonts w:hint="default" w:ascii="Times New Roman" w:hAnsi="Times New Roman" w:cs="Times New Roman"/>
                <w:color w:val="000000"/>
                <w:sz w:val="20"/>
                <w:szCs w:val="20"/>
              </w:rPr>
            </w:pPr>
          </w:p>
        </w:tc>
        <w:tc>
          <w:tcPr>
            <w:tcW w:w="1685" w:type="dxa"/>
            <w:tcBorders>
              <w:top w:val="nil"/>
              <w:left w:val="nil"/>
              <w:bottom w:val="nil"/>
              <w:right w:val="nil"/>
            </w:tcBorders>
            <w:shd w:val="clear" w:color="auto" w:fill="auto"/>
            <w:tcMar>
              <w:top w:w="15" w:type="dxa"/>
              <w:left w:w="15" w:type="dxa"/>
              <w:right w:w="15" w:type="dxa"/>
            </w:tcMar>
            <w:vAlign w:val="bottom"/>
          </w:tcPr>
          <w:p w14:paraId="429692BC">
            <w:pPr>
              <w:rPr>
                <w:rFonts w:hint="default" w:ascii="Times New Roman" w:hAnsi="Times New Roman" w:cs="Times New Roman"/>
                <w:color w:val="000000"/>
                <w:sz w:val="20"/>
                <w:szCs w:val="20"/>
              </w:rPr>
            </w:pPr>
          </w:p>
        </w:tc>
        <w:tc>
          <w:tcPr>
            <w:tcW w:w="1685" w:type="dxa"/>
            <w:tcBorders>
              <w:top w:val="nil"/>
              <w:left w:val="nil"/>
              <w:bottom w:val="nil"/>
              <w:right w:val="nil"/>
            </w:tcBorders>
            <w:shd w:val="clear" w:color="auto" w:fill="auto"/>
            <w:tcMar>
              <w:top w:w="15" w:type="dxa"/>
              <w:left w:w="15" w:type="dxa"/>
              <w:right w:w="15" w:type="dxa"/>
            </w:tcMar>
            <w:vAlign w:val="bottom"/>
          </w:tcPr>
          <w:p w14:paraId="598FB982">
            <w:pPr>
              <w:rPr>
                <w:rFonts w:hint="default" w:ascii="Times New Roman" w:hAnsi="Times New Roman" w:cs="Times New Roman"/>
                <w:color w:val="000000"/>
                <w:sz w:val="20"/>
                <w:szCs w:val="20"/>
              </w:rPr>
            </w:pPr>
          </w:p>
        </w:tc>
        <w:tc>
          <w:tcPr>
            <w:tcW w:w="1747" w:type="dxa"/>
            <w:tcBorders>
              <w:top w:val="nil"/>
              <w:left w:val="nil"/>
              <w:bottom w:val="nil"/>
              <w:right w:val="nil"/>
            </w:tcBorders>
            <w:shd w:val="clear" w:color="auto" w:fill="auto"/>
            <w:tcMar>
              <w:top w:w="15" w:type="dxa"/>
              <w:left w:w="15" w:type="dxa"/>
              <w:right w:w="15" w:type="dxa"/>
            </w:tcMar>
            <w:vAlign w:val="bottom"/>
          </w:tcPr>
          <w:p w14:paraId="69F597F7">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14:paraId="6B17B4CE">
        <w:tblPrEx>
          <w:tblCellMar>
            <w:top w:w="0" w:type="dxa"/>
            <w:left w:w="0" w:type="dxa"/>
            <w:bottom w:w="0" w:type="dxa"/>
            <w:right w:w="0" w:type="dxa"/>
          </w:tblCellMar>
        </w:tblPrEx>
        <w:trPr>
          <w:trHeight w:val="362" w:hRule="atLeast"/>
        </w:trPr>
        <w:tc>
          <w:tcPr>
            <w:tcW w:w="5158"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14:paraId="52399476">
            <w:pPr>
              <w:jc w:val="center"/>
              <w:textAlignment w:val="bottom"/>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B69A433">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本年支出合计</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75C6A5A">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基本支出</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45EC3B3">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项目支出</w:t>
            </w:r>
          </w:p>
        </w:tc>
        <w:tc>
          <w:tcPr>
            <w:tcW w:w="168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5B043CB">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上缴上级支出</w:t>
            </w:r>
          </w:p>
        </w:tc>
        <w:tc>
          <w:tcPr>
            <w:tcW w:w="168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DFF085A">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经营支出</w:t>
            </w:r>
          </w:p>
        </w:tc>
        <w:tc>
          <w:tcPr>
            <w:tcW w:w="174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7A1BE55">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对附属单位补助支出</w:t>
            </w:r>
          </w:p>
        </w:tc>
      </w:tr>
      <w:tr w14:paraId="70B0151C">
        <w:tblPrEx>
          <w:tblCellMar>
            <w:top w:w="0" w:type="dxa"/>
            <w:left w:w="0" w:type="dxa"/>
            <w:bottom w:w="0" w:type="dxa"/>
            <w:right w:w="0" w:type="dxa"/>
          </w:tblCellMar>
        </w:tblPrEx>
        <w:trPr>
          <w:trHeight w:val="338" w:hRule="atLeast"/>
        </w:trPr>
        <w:tc>
          <w:tcPr>
            <w:tcW w:w="1803"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5D1B6A3">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功能分类科目编码</w:t>
            </w:r>
          </w:p>
        </w:tc>
        <w:tc>
          <w:tcPr>
            <w:tcW w:w="3355" w:type="dxa"/>
            <w:vMerge w:val="restart"/>
            <w:tcBorders>
              <w:top w:val="nil"/>
              <w:left w:val="nil"/>
              <w:bottom w:val="single" w:color="000000" w:sz="4" w:space="0"/>
              <w:right w:val="nil"/>
            </w:tcBorders>
            <w:shd w:val="clear" w:color="FFFFFF" w:fill="C0C0C0"/>
            <w:tcMar>
              <w:top w:w="15" w:type="dxa"/>
              <w:left w:w="15" w:type="dxa"/>
              <w:right w:w="15" w:type="dxa"/>
            </w:tcMar>
            <w:vAlign w:val="center"/>
          </w:tcPr>
          <w:p w14:paraId="1CDF56C1">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项目（按“项”级功能分类科目）</w:t>
            </w: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136F95C">
            <w:pPr>
              <w:jc w:val="center"/>
              <w:rPr>
                <w:rFonts w:hint="default" w:ascii="Times New Roman" w:hAnsi="Times New Roman" w:cs="Times New Roman"/>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7C541EB">
            <w:pPr>
              <w:jc w:val="center"/>
              <w:rPr>
                <w:rFonts w:hint="default" w:ascii="Times New Roman" w:hAnsi="Times New Roman" w:cs="Times New Roman"/>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27D842E">
            <w:pPr>
              <w:jc w:val="center"/>
              <w:rPr>
                <w:rFonts w:hint="default" w:ascii="Times New Roman" w:hAnsi="Times New Roman" w:cs="Times New Roman"/>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94DA1F9">
            <w:pPr>
              <w:jc w:val="center"/>
              <w:rPr>
                <w:rFonts w:hint="default" w:ascii="Times New Roman" w:hAnsi="Times New Roman" w:cs="Times New Roman"/>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CE0FCCB">
            <w:pPr>
              <w:jc w:val="center"/>
              <w:rPr>
                <w:rFonts w:hint="default" w:ascii="Times New Roman" w:hAnsi="Times New Roman" w:cs="Times New Roman"/>
                <w:b/>
                <w:color w:val="000000"/>
                <w:sz w:val="20"/>
                <w:szCs w:val="20"/>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8E929AD">
            <w:pPr>
              <w:jc w:val="center"/>
              <w:rPr>
                <w:rFonts w:hint="default" w:ascii="Times New Roman" w:hAnsi="Times New Roman" w:cs="Times New Roman"/>
                <w:b/>
                <w:color w:val="000000"/>
                <w:sz w:val="20"/>
                <w:szCs w:val="20"/>
              </w:rPr>
            </w:pPr>
          </w:p>
        </w:tc>
      </w:tr>
      <w:tr w14:paraId="06EFDAFC">
        <w:tblPrEx>
          <w:tblCellMar>
            <w:top w:w="0" w:type="dxa"/>
            <w:left w:w="0" w:type="dxa"/>
            <w:bottom w:w="0" w:type="dxa"/>
            <w:right w:w="0" w:type="dxa"/>
          </w:tblCellMar>
        </w:tblPrEx>
        <w:trPr>
          <w:trHeight w:val="338" w:hRule="atLeast"/>
        </w:trPr>
        <w:tc>
          <w:tcPr>
            <w:tcW w:w="1803"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8CC7596">
            <w:pPr>
              <w:jc w:val="center"/>
              <w:rPr>
                <w:rFonts w:hint="default" w:ascii="Times New Roman" w:hAnsi="Times New Roman" w:cs="Times New Roman"/>
                <w:b/>
                <w:color w:val="000000"/>
                <w:sz w:val="20"/>
                <w:szCs w:val="20"/>
              </w:rPr>
            </w:pPr>
          </w:p>
        </w:tc>
        <w:tc>
          <w:tcPr>
            <w:tcW w:w="3355"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14:paraId="47B29589">
            <w:pPr>
              <w:jc w:val="center"/>
              <w:rPr>
                <w:rFonts w:hint="default" w:ascii="Times New Roman" w:hAnsi="Times New Roman" w:cs="Times New Roman"/>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9C4CFB7">
            <w:pPr>
              <w:jc w:val="center"/>
              <w:rPr>
                <w:rFonts w:hint="default" w:ascii="Times New Roman" w:hAnsi="Times New Roman" w:cs="Times New Roman"/>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5521EAA">
            <w:pPr>
              <w:jc w:val="center"/>
              <w:rPr>
                <w:rFonts w:hint="default" w:ascii="Times New Roman" w:hAnsi="Times New Roman" w:cs="Times New Roman"/>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3CC4B2E">
            <w:pPr>
              <w:jc w:val="center"/>
              <w:rPr>
                <w:rFonts w:hint="default" w:ascii="Times New Roman" w:hAnsi="Times New Roman" w:cs="Times New Roman"/>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2B07C2E">
            <w:pPr>
              <w:jc w:val="center"/>
              <w:rPr>
                <w:rFonts w:hint="default" w:ascii="Times New Roman" w:hAnsi="Times New Roman" w:cs="Times New Roman"/>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B410BF8">
            <w:pPr>
              <w:jc w:val="center"/>
              <w:rPr>
                <w:rFonts w:hint="default" w:ascii="Times New Roman" w:hAnsi="Times New Roman" w:cs="Times New Roman"/>
                <w:b/>
                <w:color w:val="000000"/>
                <w:sz w:val="20"/>
                <w:szCs w:val="20"/>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3913E3B">
            <w:pPr>
              <w:jc w:val="center"/>
              <w:rPr>
                <w:rFonts w:hint="default" w:ascii="Times New Roman" w:hAnsi="Times New Roman" w:cs="Times New Roman"/>
                <w:b/>
                <w:color w:val="000000"/>
                <w:sz w:val="20"/>
                <w:szCs w:val="20"/>
              </w:rPr>
            </w:pPr>
          </w:p>
        </w:tc>
      </w:tr>
      <w:tr w14:paraId="564A73F1">
        <w:tblPrEx>
          <w:tblCellMar>
            <w:top w:w="0" w:type="dxa"/>
            <w:left w:w="0" w:type="dxa"/>
            <w:bottom w:w="0" w:type="dxa"/>
            <w:right w:w="0" w:type="dxa"/>
          </w:tblCellMar>
        </w:tblPrEx>
        <w:trPr>
          <w:trHeight w:val="338" w:hRule="atLeast"/>
        </w:trPr>
        <w:tc>
          <w:tcPr>
            <w:tcW w:w="1803"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8AE2FC7">
            <w:pPr>
              <w:jc w:val="center"/>
              <w:rPr>
                <w:rFonts w:hint="default" w:ascii="Times New Roman" w:hAnsi="Times New Roman" w:cs="Times New Roman"/>
                <w:b/>
                <w:color w:val="000000"/>
                <w:sz w:val="20"/>
                <w:szCs w:val="20"/>
              </w:rPr>
            </w:pPr>
          </w:p>
        </w:tc>
        <w:tc>
          <w:tcPr>
            <w:tcW w:w="3355"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14:paraId="4BA73B00">
            <w:pPr>
              <w:jc w:val="center"/>
              <w:rPr>
                <w:rFonts w:hint="default" w:ascii="Times New Roman" w:hAnsi="Times New Roman" w:cs="Times New Roman"/>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4C7F5A5">
            <w:pPr>
              <w:jc w:val="center"/>
              <w:rPr>
                <w:rFonts w:hint="default" w:ascii="Times New Roman" w:hAnsi="Times New Roman" w:cs="Times New Roman"/>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A96DEB8">
            <w:pPr>
              <w:jc w:val="center"/>
              <w:rPr>
                <w:rFonts w:hint="default" w:ascii="Times New Roman" w:hAnsi="Times New Roman" w:cs="Times New Roman"/>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DA554DE">
            <w:pPr>
              <w:jc w:val="center"/>
              <w:rPr>
                <w:rFonts w:hint="default" w:ascii="Times New Roman" w:hAnsi="Times New Roman" w:cs="Times New Roman"/>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AF7CA1B">
            <w:pPr>
              <w:jc w:val="center"/>
              <w:rPr>
                <w:rFonts w:hint="default" w:ascii="Times New Roman" w:hAnsi="Times New Roman" w:cs="Times New Roman"/>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0FF41F9">
            <w:pPr>
              <w:jc w:val="center"/>
              <w:rPr>
                <w:rFonts w:hint="default" w:ascii="Times New Roman" w:hAnsi="Times New Roman" w:cs="Times New Roman"/>
                <w:b/>
                <w:color w:val="000000"/>
                <w:sz w:val="20"/>
                <w:szCs w:val="20"/>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C839E12">
            <w:pPr>
              <w:jc w:val="center"/>
              <w:rPr>
                <w:rFonts w:hint="default" w:ascii="Times New Roman" w:hAnsi="Times New Roman" w:cs="Times New Roman"/>
                <w:b/>
                <w:color w:val="000000"/>
                <w:sz w:val="20"/>
                <w:szCs w:val="20"/>
              </w:rPr>
            </w:pPr>
          </w:p>
        </w:tc>
      </w:tr>
      <w:tr w14:paraId="75E4E6CD">
        <w:tblPrEx>
          <w:tblCellMar>
            <w:top w:w="0" w:type="dxa"/>
            <w:left w:w="0" w:type="dxa"/>
            <w:bottom w:w="0" w:type="dxa"/>
            <w:right w:w="0" w:type="dxa"/>
          </w:tblCellMar>
        </w:tblPrEx>
        <w:trPr>
          <w:trHeight w:val="338" w:hRule="atLeast"/>
        </w:trPr>
        <w:tc>
          <w:tcPr>
            <w:tcW w:w="1803"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F2256FB">
            <w:pPr>
              <w:jc w:val="center"/>
              <w:rPr>
                <w:rFonts w:hint="default" w:ascii="Times New Roman" w:hAnsi="Times New Roman" w:cs="Times New Roman"/>
                <w:b/>
                <w:color w:val="000000"/>
                <w:sz w:val="20"/>
                <w:szCs w:val="20"/>
              </w:rPr>
            </w:pPr>
          </w:p>
        </w:tc>
        <w:tc>
          <w:tcPr>
            <w:tcW w:w="3355"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14:paraId="78DBF3EF">
            <w:pPr>
              <w:jc w:val="center"/>
              <w:rPr>
                <w:rFonts w:hint="default" w:ascii="Times New Roman" w:hAnsi="Times New Roman" w:cs="Times New Roman"/>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191CB5C">
            <w:pPr>
              <w:jc w:val="center"/>
              <w:rPr>
                <w:rFonts w:hint="default" w:ascii="Times New Roman" w:hAnsi="Times New Roman" w:cs="Times New Roman"/>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AF01BEB">
            <w:pPr>
              <w:jc w:val="center"/>
              <w:rPr>
                <w:rFonts w:hint="default" w:ascii="Times New Roman" w:hAnsi="Times New Roman" w:cs="Times New Roman"/>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A644602">
            <w:pPr>
              <w:jc w:val="center"/>
              <w:rPr>
                <w:rFonts w:hint="default" w:ascii="Times New Roman" w:hAnsi="Times New Roman" w:cs="Times New Roman"/>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081DEC8">
            <w:pPr>
              <w:jc w:val="center"/>
              <w:rPr>
                <w:rFonts w:hint="default" w:ascii="Times New Roman" w:hAnsi="Times New Roman" w:cs="Times New Roman"/>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48B5C70">
            <w:pPr>
              <w:jc w:val="center"/>
              <w:rPr>
                <w:rFonts w:hint="default" w:ascii="Times New Roman" w:hAnsi="Times New Roman" w:cs="Times New Roman"/>
                <w:b/>
                <w:color w:val="000000"/>
                <w:sz w:val="20"/>
                <w:szCs w:val="20"/>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A36110D">
            <w:pPr>
              <w:jc w:val="center"/>
              <w:rPr>
                <w:rFonts w:hint="default" w:ascii="Times New Roman" w:hAnsi="Times New Roman" w:cs="Times New Roman"/>
                <w:b/>
                <w:color w:val="000000"/>
                <w:sz w:val="20"/>
                <w:szCs w:val="20"/>
              </w:rPr>
            </w:pPr>
          </w:p>
        </w:tc>
      </w:tr>
      <w:tr w14:paraId="5C6A041A">
        <w:tblPrEx>
          <w:tblCellMar>
            <w:top w:w="0" w:type="dxa"/>
            <w:left w:w="0" w:type="dxa"/>
            <w:bottom w:w="0" w:type="dxa"/>
            <w:right w:w="0" w:type="dxa"/>
          </w:tblCellMar>
        </w:tblPrEx>
        <w:trPr>
          <w:trHeight w:val="362" w:hRule="atLeast"/>
        </w:trPr>
        <w:tc>
          <w:tcPr>
            <w:tcW w:w="5158"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F58B6B3">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872C542">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62.08</w:t>
            </w:r>
            <w:r>
              <w:rPr>
                <w:rFonts w:hint="default" w:ascii="Times New Roman" w:hAnsi="Times New Roman" w:cs="Times New Roman"/>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D8DC392">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62.08</w:t>
            </w:r>
            <w:r>
              <w:rPr>
                <w:rFonts w:hint="default" w:ascii="Times New Roman" w:hAnsi="Times New Roman" w:cs="Times New Roman"/>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69396A7">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16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40A1ABC">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16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2393011">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174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A482406">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r>
      <w:tr w14:paraId="613BFBB5">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04E349">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0B3DE53">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社会保障和就业支出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6D072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59.67</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CB5B2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59.67</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D74DB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2923D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50C18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B198C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283475B6">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77BF5D">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20805</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1E644F1">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行政事业单位养老支出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B0AFE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5.79</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5AA8D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5.79</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BD36E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F1840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9E2A8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EDC89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5A03FC01">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EE0885">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2080505</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B48F7F8">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机关事业单位基本养老保险缴费支出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A31D5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3.86</w:t>
            </w: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F307B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3.86</w:t>
            </w: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FB20C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AF558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7D1C5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BF856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76CB3D87">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9D4F9B">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2080506</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3869546">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机关事业单位职业年金缴费支出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08C1A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1.93</w:t>
            </w: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021F8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1.93</w:t>
            </w: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AD1F8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5A8F0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DFDD4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8FA90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4F39763D">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DD2626">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20828</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23371AD">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退役军人管理事务</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DAD89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53.88</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7957C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53.88</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5D8B3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5FD45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FEDF7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90F4B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43C57FE5">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F0F975">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2082850</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C6A6EAB">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事业运行</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B21BC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53.88</w:t>
            </w: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CEFB1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53.88</w:t>
            </w: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30F67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3DB16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7506A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8B419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7E85FC08">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E68581">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CEDBC83">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卫生健康支出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25D43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2.12</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D5D18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2.12</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8885E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3E958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F2AE5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BBBA7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1014070D">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054077">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21011</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465BFB3">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行政事业单位医疗</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A1F85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2.12</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8C104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2.12</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FEC4A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9A49C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7F50B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9626F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0C8EF627">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E05D1D">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2101102</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D11AEE3">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事业单位医疗</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CE98C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1.64</w:t>
            </w: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A364A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1.64</w:t>
            </w: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6B7A0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65DB5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39767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D6D87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27B10552">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3CC81E">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2101199</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31C2931">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其他行政事业单位医疗支出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B5520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0.48</w:t>
            </w: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EE589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0.48</w:t>
            </w: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0E1C7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B4E51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C52F0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B7DD0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045EAC89">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92DD34">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9EF9A12">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住房保障支出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8B584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0.28</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087B6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0.28</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8618E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0F336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79F1F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7A9F0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789DFDA4">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90520E">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22102</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52D4F68">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住房改革支出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354DB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0.28</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5C890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0.28</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49772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2EEC6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27F12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3AA69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47B18E3C">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60BE85">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2210201</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D8DE8FC">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住房公积金</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646D3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0.28</w:t>
            </w: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7E076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0.28</w:t>
            </w: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CDA3E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C5112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4CAAB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22BA5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bl>
    <w:p w14:paraId="10ACA8D2">
      <w:pPr>
        <w:rPr>
          <w:rFonts w:hint="default" w:ascii="Times New Roman" w:hAnsi="Times New Roman" w:cs="Times New Roman"/>
          <w:sz w:val="20"/>
          <w:szCs w:val="20"/>
        </w:rPr>
      </w:pPr>
      <w:r>
        <w:rPr>
          <w:rFonts w:hint="default" w:ascii="Times New Roman" w:hAnsi="Times New Roman" w:cs="Times New Roman"/>
          <w:sz w:val="20"/>
          <w:szCs w:val="20"/>
        </w:rPr>
        <w:t>备注：1.本表反映单位本年度各项支出情况。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 xml:space="preserve">      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p>
    <w:p w14:paraId="62A0875A">
      <w:pPr>
        <w:rPr>
          <w:rFonts w:hint="default" w:ascii="Times New Roman" w:hAnsi="Times New Roman" w:cs="Times New Roman"/>
          <w:sz w:val="21"/>
          <w:szCs w:val="21"/>
        </w:rPr>
      </w:pPr>
      <w:r>
        <w:rPr>
          <w:rFonts w:hint="default" w:ascii="Times New Roman" w:hAnsi="Times New Roman" w:cs="Times New Roman"/>
          <w:sz w:val="21"/>
          <w:szCs w:val="21"/>
        </w:rPr>
        <w:br w:type="page"/>
      </w:r>
    </w:p>
    <w:p w14:paraId="535F1B64">
      <w:pPr>
        <w:rPr>
          <w:rFonts w:hint="default" w:ascii="Times New Roman" w:hAnsi="Times New Roman" w:cs="Times New Roman"/>
          <w:sz w:val="21"/>
          <w:szCs w:val="21"/>
        </w:rPr>
      </w:pPr>
    </w:p>
    <w:tbl>
      <w:tblPr>
        <w:tblStyle w:val="7"/>
        <w:tblW w:w="14732" w:type="dxa"/>
        <w:tblInd w:w="0" w:type="dxa"/>
        <w:tblLayout w:type="fixed"/>
        <w:tblCellMar>
          <w:top w:w="0" w:type="dxa"/>
          <w:left w:w="0" w:type="dxa"/>
          <w:bottom w:w="0" w:type="dxa"/>
          <w:right w:w="0" w:type="dxa"/>
        </w:tblCellMar>
      </w:tblPr>
      <w:tblGrid>
        <w:gridCol w:w="2979"/>
        <w:gridCol w:w="1526"/>
        <w:gridCol w:w="3191"/>
        <w:gridCol w:w="1700"/>
        <w:gridCol w:w="1700"/>
        <w:gridCol w:w="1700"/>
        <w:gridCol w:w="1936"/>
      </w:tblGrid>
      <w:tr w14:paraId="0FD5B1D6">
        <w:tblPrEx>
          <w:tblCellMar>
            <w:top w:w="0" w:type="dxa"/>
            <w:left w:w="0" w:type="dxa"/>
            <w:bottom w:w="0" w:type="dxa"/>
            <w:right w:w="0" w:type="dxa"/>
          </w:tblCellMar>
        </w:tblPrEx>
        <w:trPr>
          <w:trHeight w:val="90" w:hRule="atLeast"/>
        </w:trPr>
        <w:tc>
          <w:tcPr>
            <w:tcW w:w="14732" w:type="dxa"/>
            <w:gridSpan w:val="7"/>
            <w:tcBorders>
              <w:top w:val="nil"/>
              <w:left w:val="nil"/>
              <w:bottom w:val="nil"/>
              <w:right w:val="nil"/>
            </w:tcBorders>
            <w:shd w:val="clear" w:color="auto" w:fill="auto"/>
            <w:tcMar>
              <w:top w:w="15" w:type="dxa"/>
              <w:left w:w="15" w:type="dxa"/>
              <w:right w:w="15" w:type="dxa"/>
            </w:tcMar>
            <w:vAlign w:val="bottom"/>
          </w:tcPr>
          <w:p w14:paraId="7DC812A8">
            <w:pPr>
              <w:spacing w:line="400" w:lineRule="exact"/>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财政拨款收入支出决算总表</w:t>
            </w:r>
          </w:p>
        </w:tc>
      </w:tr>
      <w:tr w14:paraId="7A1ACAFE">
        <w:tblPrEx>
          <w:tblCellMar>
            <w:top w:w="0" w:type="dxa"/>
            <w:left w:w="0" w:type="dxa"/>
            <w:bottom w:w="0" w:type="dxa"/>
            <w:right w:w="0" w:type="dxa"/>
          </w:tblCellMar>
        </w:tblPrEx>
        <w:trPr>
          <w:trHeight w:val="90" w:hRule="atLeast"/>
        </w:trPr>
        <w:tc>
          <w:tcPr>
            <w:tcW w:w="7696" w:type="dxa"/>
            <w:gridSpan w:val="3"/>
            <w:vMerge w:val="restart"/>
            <w:tcBorders>
              <w:top w:val="nil"/>
              <w:left w:val="nil"/>
              <w:right w:val="nil"/>
            </w:tcBorders>
            <w:shd w:val="clear" w:color="auto" w:fill="auto"/>
            <w:tcMar>
              <w:top w:w="15" w:type="dxa"/>
              <w:left w:w="15" w:type="dxa"/>
              <w:right w:w="15" w:type="dxa"/>
            </w:tcMar>
            <w:vAlign w:val="bottom"/>
          </w:tcPr>
          <w:p w14:paraId="5D5E77B7">
            <w:pPr>
              <w:spacing w:line="200" w:lineRule="exact"/>
              <w:rPr>
                <w:rFonts w:hint="default" w:ascii="Times New Roman" w:hAnsi="Times New Roman" w:cs="Times New Roman"/>
                <w:color w:val="000000"/>
                <w:sz w:val="18"/>
                <w:szCs w:val="18"/>
              </w:rPr>
            </w:pPr>
            <w:r>
              <w:rPr>
                <w:rFonts w:hint="default" w:ascii="Times New Roman" w:hAnsi="Times New Roman" w:cs="Times New Roman"/>
                <w:sz w:val="20"/>
                <w:szCs w:val="20"/>
              </w:rPr>
              <w:t>公开单位</w:t>
            </w:r>
            <w:r>
              <w:rPr>
                <w:rFonts w:hint="default" w:ascii="Times New Roman" w:hAnsi="Times New Roman" w:cs="Times New Roman"/>
                <w:color w:val="000000"/>
                <w:sz w:val="20"/>
                <w:szCs w:val="20"/>
              </w:rPr>
              <w:t xml:space="preserve">： </w:t>
            </w:r>
            <w:r>
              <w:rPr>
                <w:rFonts w:hint="default" w:ascii="Times New Roman" w:hAnsi="Times New Roman" w:cs="Times New Roman"/>
                <w:color w:val="000000"/>
                <w:sz w:val="20"/>
                <w:u w:color="auto"/>
              </w:rPr>
              <w:t>重庆市大渡口区八桥镇退役军人服务站</w:t>
            </w:r>
          </w:p>
        </w:tc>
        <w:tc>
          <w:tcPr>
            <w:tcW w:w="1700" w:type="dxa"/>
            <w:tcBorders>
              <w:top w:val="nil"/>
              <w:left w:val="nil"/>
              <w:bottom w:val="nil"/>
              <w:right w:val="nil"/>
            </w:tcBorders>
            <w:shd w:val="clear" w:color="auto" w:fill="auto"/>
            <w:tcMar>
              <w:top w:w="15" w:type="dxa"/>
              <w:left w:w="15" w:type="dxa"/>
              <w:right w:w="15" w:type="dxa"/>
            </w:tcMar>
            <w:vAlign w:val="bottom"/>
          </w:tcPr>
          <w:p w14:paraId="534BC3E0">
            <w:pPr>
              <w:spacing w:line="200" w:lineRule="exact"/>
              <w:rPr>
                <w:rFonts w:hint="default" w:ascii="Times New Roman" w:hAnsi="Times New Roman" w:cs="Times New Roman"/>
                <w:color w:val="000000"/>
                <w:sz w:val="18"/>
                <w:szCs w:val="18"/>
              </w:rPr>
            </w:pPr>
          </w:p>
        </w:tc>
        <w:tc>
          <w:tcPr>
            <w:tcW w:w="1700" w:type="dxa"/>
            <w:tcBorders>
              <w:top w:val="nil"/>
              <w:left w:val="nil"/>
              <w:bottom w:val="nil"/>
              <w:right w:val="nil"/>
            </w:tcBorders>
            <w:shd w:val="clear" w:color="auto" w:fill="auto"/>
            <w:tcMar>
              <w:top w:w="15" w:type="dxa"/>
              <w:left w:w="15" w:type="dxa"/>
              <w:right w:w="15" w:type="dxa"/>
            </w:tcMar>
            <w:vAlign w:val="bottom"/>
          </w:tcPr>
          <w:p w14:paraId="5BF995F0">
            <w:pPr>
              <w:spacing w:line="200" w:lineRule="exact"/>
              <w:rPr>
                <w:rFonts w:hint="default" w:ascii="Times New Roman" w:hAnsi="Times New Roman" w:cs="Times New Roman"/>
                <w:color w:val="000000"/>
                <w:sz w:val="18"/>
                <w:szCs w:val="18"/>
              </w:rPr>
            </w:pPr>
          </w:p>
        </w:tc>
        <w:tc>
          <w:tcPr>
            <w:tcW w:w="1700" w:type="dxa"/>
            <w:tcBorders>
              <w:top w:val="nil"/>
              <w:left w:val="nil"/>
              <w:bottom w:val="nil"/>
              <w:right w:val="nil"/>
            </w:tcBorders>
            <w:shd w:val="clear" w:color="auto" w:fill="auto"/>
            <w:tcMar>
              <w:top w:w="15" w:type="dxa"/>
              <w:left w:w="15" w:type="dxa"/>
              <w:right w:w="15" w:type="dxa"/>
            </w:tcMar>
            <w:vAlign w:val="bottom"/>
          </w:tcPr>
          <w:p w14:paraId="7CB0DC13">
            <w:pPr>
              <w:spacing w:line="200" w:lineRule="exact"/>
              <w:rPr>
                <w:rFonts w:hint="default" w:ascii="Times New Roman" w:hAnsi="Times New Roman" w:cs="Times New Roman"/>
                <w:color w:val="000000"/>
                <w:sz w:val="18"/>
                <w:szCs w:val="18"/>
              </w:rPr>
            </w:pPr>
          </w:p>
        </w:tc>
        <w:tc>
          <w:tcPr>
            <w:tcW w:w="1936" w:type="dxa"/>
            <w:tcBorders>
              <w:top w:val="nil"/>
              <w:left w:val="nil"/>
              <w:bottom w:val="nil"/>
              <w:right w:val="nil"/>
            </w:tcBorders>
            <w:shd w:val="clear" w:color="auto" w:fill="auto"/>
            <w:tcMar>
              <w:top w:w="15" w:type="dxa"/>
              <w:left w:w="15" w:type="dxa"/>
              <w:right w:w="15" w:type="dxa"/>
            </w:tcMar>
            <w:vAlign w:val="bottom"/>
          </w:tcPr>
          <w:p w14:paraId="4D8FD11D">
            <w:pPr>
              <w:spacing w:line="24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公开04表</w:t>
            </w:r>
          </w:p>
        </w:tc>
      </w:tr>
      <w:tr w14:paraId="5837A6DB">
        <w:tblPrEx>
          <w:tblCellMar>
            <w:top w:w="0" w:type="dxa"/>
            <w:left w:w="0" w:type="dxa"/>
            <w:bottom w:w="0" w:type="dxa"/>
            <w:right w:w="0" w:type="dxa"/>
          </w:tblCellMar>
        </w:tblPrEx>
        <w:trPr>
          <w:trHeight w:val="90" w:hRule="atLeast"/>
        </w:trPr>
        <w:tc>
          <w:tcPr>
            <w:tcW w:w="7696" w:type="dxa"/>
            <w:gridSpan w:val="3"/>
            <w:vMerge w:val="continue"/>
            <w:tcBorders>
              <w:left w:val="nil"/>
              <w:bottom w:val="nil"/>
              <w:right w:val="nil"/>
            </w:tcBorders>
            <w:shd w:val="clear" w:color="auto" w:fill="auto"/>
            <w:tcMar>
              <w:top w:w="15" w:type="dxa"/>
              <w:left w:w="15" w:type="dxa"/>
              <w:right w:w="15" w:type="dxa"/>
            </w:tcMar>
            <w:vAlign w:val="bottom"/>
          </w:tcPr>
          <w:p w14:paraId="036D542E">
            <w:pPr>
              <w:spacing w:line="200" w:lineRule="exact"/>
              <w:rPr>
                <w:rFonts w:hint="default" w:ascii="Times New Roman" w:hAnsi="Times New Roman" w:cs="Times New Roman"/>
                <w:color w:val="000000"/>
                <w:sz w:val="18"/>
                <w:szCs w:val="18"/>
              </w:rPr>
            </w:pPr>
          </w:p>
        </w:tc>
        <w:tc>
          <w:tcPr>
            <w:tcW w:w="1700" w:type="dxa"/>
            <w:tcBorders>
              <w:top w:val="nil"/>
              <w:left w:val="nil"/>
              <w:bottom w:val="nil"/>
              <w:right w:val="nil"/>
            </w:tcBorders>
            <w:shd w:val="clear" w:color="auto" w:fill="auto"/>
            <w:tcMar>
              <w:top w:w="15" w:type="dxa"/>
              <w:left w:w="15" w:type="dxa"/>
              <w:right w:w="15" w:type="dxa"/>
            </w:tcMar>
            <w:vAlign w:val="bottom"/>
          </w:tcPr>
          <w:p w14:paraId="53A48DFF">
            <w:pPr>
              <w:spacing w:line="200" w:lineRule="exact"/>
              <w:rPr>
                <w:rFonts w:hint="default" w:ascii="Times New Roman" w:hAnsi="Times New Roman" w:cs="Times New Roman"/>
                <w:color w:val="000000"/>
                <w:sz w:val="18"/>
                <w:szCs w:val="18"/>
              </w:rPr>
            </w:pPr>
          </w:p>
        </w:tc>
        <w:tc>
          <w:tcPr>
            <w:tcW w:w="1700" w:type="dxa"/>
            <w:tcBorders>
              <w:top w:val="nil"/>
              <w:left w:val="nil"/>
              <w:bottom w:val="nil"/>
              <w:right w:val="nil"/>
            </w:tcBorders>
            <w:shd w:val="clear" w:color="auto" w:fill="auto"/>
            <w:tcMar>
              <w:top w:w="15" w:type="dxa"/>
              <w:left w:w="15" w:type="dxa"/>
              <w:right w:w="15" w:type="dxa"/>
            </w:tcMar>
            <w:vAlign w:val="bottom"/>
          </w:tcPr>
          <w:p w14:paraId="0497201D">
            <w:pPr>
              <w:spacing w:line="200" w:lineRule="exact"/>
              <w:rPr>
                <w:rFonts w:hint="default" w:ascii="Times New Roman" w:hAnsi="Times New Roman" w:cs="Times New Roman"/>
                <w:color w:val="000000"/>
                <w:sz w:val="18"/>
                <w:szCs w:val="18"/>
              </w:rPr>
            </w:pPr>
          </w:p>
        </w:tc>
        <w:tc>
          <w:tcPr>
            <w:tcW w:w="1700" w:type="dxa"/>
            <w:tcBorders>
              <w:top w:val="nil"/>
              <w:left w:val="nil"/>
              <w:bottom w:val="nil"/>
              <w:right w:val="nil"/>
            </w:tcBorders>
            <w:shd w:val="clear" w:color="auto" w:fill="auto"/>
            <w:tcMar>
              <w:top w:w="15" w:type="dxa"/>
              <w:left w:w="15" w:type="dxa"/>
              <w:right w:w="15" w:type="dxa"/>
            </w:tcMar>
            <w:vAlign w:val="bottom"/>
          </w:tcPr>
          <w:p w14:paraId="1881689A">
            <w:pPr>
              <w:spacing w:line="200" w:lineRule="exact"/>
              <w:rPr>
                <w:rFonts w:hint="default" w:ascii="Times New Roman" w:hAnsi="Times New Roman" w:cs="Times New Roman"/>
                <w:color w:val="000000"/>
                <w:sz w:val="18"/>
                <w:szCs w:val="18"/>
              </w:rPr>
            </w:pPr>
          </w:p>
        </w:tc>
        <w:tc>
          <w:tcPr>
            <w:tcW w:w="1936" w:type="dxa"/>
            <w:tcBorders>
              <w:top w:val="nil"/>
              <w:left w:val="nil"/>
              <w:bottom w:val="nil"/>
              <w:right w:val="nil"/>
            </w:tcBorders>
            <w:shd w:val="clear" w:color="auto" w:fill="auto"/>
            <w:tcMar>
              <w:top w:w="15" w:type="dxa"/>
              <w:left w:w="15" w:type="dxa"/>
              <w:right w:w="15" w:type="dxa"/>
            </w:tcMar>
            <w:vAlign w:val="bottom"/>
          </w:tcPr>
          <w:p w14:paraId="4A54A418">
            <w:pPr>
              <w:spacing w:line="28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14:paraId="25EBD064">
        <w:tblPrEx>
          <w:tblCellMar>
            <w:top w:w="0" w:type="dxa"/>
            <w:left w:w="0" w:type="dxa"/>
            <w:bottom w:w="0" w:type="dxa"/>
            <w:right w:w="0" w:type="dxa"/>
          </w:tblCellMar>
        </w:tblPrEx>
        <w:trPr>
          <w:trHeight w:val="90" w:hRule="atLeast"/>
        </w:trPr>
        <w:tc>
          <w:tcPr>
            <w:tcW w:w="4505"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D518ED5">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收     入</w:t>
            </w:r>
          </w:p>
        </w:tc>
        <w:tc>
          <w:tcPr>
            <w:tcW w:w="10227" w:type="dxa"/>
            <w:gridSpan w:val="5"/>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41CAFA9">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支     出</w:t>
            </w:r>
          </w:p>
        </w:tc>
      </w:tr>
      <w:tr w14:paraId="510DA561">
        <w:tblPrEx>
          <w:tblCellMar>
            <w:top w:w="0" w:type="dxa"/>
            <w:left w:w="0" w:type="dxa"/>
            <w:bottom w:w="0" w:type="dxa"/>
            <w:right w:w="0" w:type="dxa"/>
          </w:tblCellMar>
        </w:tblPrEx>
        <w:trPr>
          <w:trHeight w:val="90" w:hRule="atLeast"/>
        </w:trPr>
        <w:tc>
          <w:tcPr>
            <w:tcW w:w="297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4A3B1EA">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项目</w:t>
            </w:r>
          </w:p>
        </w:tc>
        <w:tc>
          <w:tcPr>
            <w:tcW w:w="152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8CAE4F9">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决算数</w:t>
            </w:r>
          </w:p>
        </w:tc>
        <w:tc>
          <w:tcPr>
            <w:tcW w:w="319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5A2CEF0">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功能分类科目</w:t>
            </w:r>
          </w:p>
        </w:tc>
        <w:tc>
          <w:tcPr>
            <w:tcW w:w="7036" w:type="dxa"/>
            <w:gridSpan w:val="4"/>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201D2DB">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决算数</w:t>
            </w:r>
          </w:p>
        </w:tc>
      </w:tr>
      <w:tr w14:paraId="343A0CC1">
        <w:tblPrEx>
          <w:tblCellMar>
            <w:top w:w="0" w:type="dxa"/>
            <w:left w:w="0" w:type="dxa"/>
            <w:bottom w:w="0" w:type="dxa"/>
            <w:right w:w="0" w:type="dxa"/>
          </w:tblCellMar>
        </w:tblPrEx>
        <w:trPr>
          <w:trHeight w:val="90" w:hRule="atLeast"/>
        </w:trPr>
        <w:tc>
          <w:tcPr>
            <w:tcW w:w="297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7AEDB93">
            <w:pPr>
              <w:spacing w:line="200" w:lineRule="exact"/>
              <w:jc w:val="center"/>
              <w:rPr>
                <w:rFonts w:hint="default" w:ascii="Times New Roman" w:hAnsi="Times New Roman" w:cs="Times New Roman"/>
                <w:b/>
                <w:color w:val="000000"/>
                <w:sz w:val="18"/>
                <w:szCs w:val="18"/>
              </w:rPr>
            </w:pPr>
          </w:p>
        </w:tc>
        <w:tc>
          <w:tcPr>
            <w:tcW w:w="152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A1386A8">
            <w:pPr>
              <w:spacing w:line="200" w:lineRule="exact"/>
              <w:jc w:val="center"/>
              <w:rPr>
                <w:rFonts w:hint="default" w:ascii="Times New Roman" w:hAnsi="Times New Roman" w:cs="Times New Roman"/>
                <w:b/>
                <w:color w:val="000000"/>
                <w:sz w:val="18"/>
                <w:szCs w:val="18"/>
              </w:rPr>
            </w:pPr>
          </w:p>
        </w:tc>
        <w:tc>
          <w:tcPr>
            <w:tcW w:w="319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358FE67">
            <w:pPr>
              <w:spacing w:line="200" w:lineRule="exact"/>
              <w:jc w:val="center"/>
              <w:rPr>
                <w:rFonts w:hint="default" w:ascii="Times New Roman" w:hAnsi="Times New Roman" w:cs="Times New Roman"/>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31C00A2">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小计</w:t>
            </w:r>
          </w:p>
        </w:tc>
        <w:tc>
          <w:tcPr>
            <w:tcW w:w="170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312E922">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一般公共预算财政拨款</w:t>
            </w:r>
          </w:p>
        </w:tc>
        <w:tc>
          <w:tcPr>
            <w:tcW w:w="170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EA0E104">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政府性基金预算财政拨款</w:t>
            </w:r>
          </w:p>
        </w:tc>
        <w:tc>
          <w:tcPr>
            <w:tcW w:w="19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64CA5CD">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国有资本经营预算财政拨款</w:t>
            </w:r>
          </w:p>
        </w:tc>
      </w:tr>
      <w:tr w14:paraId="5F7B62D8">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D339761">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一、一般公共预算财政拨款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BBDD7F">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62.08</w:t>
            </w:r>
            <w:r>
              <w:rPr>
                <w:rFonts w:hint="default" w:ascii="Times New Roman" w:hAnsi="Times New Roman" w:cs="Times New Roman"/>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834FF68">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一、一般公共服务支出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57E59A">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0DE6A2">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874C7B">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2C0700">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7ED98CCA">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ED3BA29">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二、政府性基金预算财政拨款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077FF8">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57C5633">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二、外交支出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0D285E">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C2F11A">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594358">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8A088C">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1A1A3FF5">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2D48F85">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三、国有资本经营预算财政拨款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8472EA">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EE09CD7">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三、国防支出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8B94E7">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783F9D">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28FA15">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C82E4C">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57542A12">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5B5016F">
            <w:pPr>
              <w:spacing w:line="200" w:lineRule="exact"/>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362C5FFF">
            <w:pPr>
              <w:spacing w:line="200" w:lineRule="exac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20B2A6C">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四、公共安全支出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F45E6D">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5660AA">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12E283">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BE52BB">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1F3617FC">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215A896">
            <w:pPr>
              <w:spacing w:line="200" w:lineRule="exact"/>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765B1EC9">
            <w:pPr>
              <w:spacing w:line="200" w:lineRule="exac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FF0ABAC">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五、教育支出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8B9E32">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0161E4">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E62041">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E8C89C">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18A8DECE">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BE66148">
            <w:pPr>
              <w:spacing w:line="200" w:lineRule="exact"/>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293BED89">
            <w:pPr>
              <w:spacing w:line="200" w:lineRule="exac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0C107B4">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六、科学技术支出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DFCD2F">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F574BC">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F5AA43">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0451CB">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29361B05">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663388E">
            <w:pPr>
              <w:spacing w:line="200" w:lineRule="exact"/>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684A3034">
            <w:pPr>
              <w:spacing w:line="200" w:lineRule="exac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7742C04">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七、文化旅游体育与传媒支出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01E608">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42B4F6">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BE3513">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F11E38">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1E779FA7">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C0EA296">
            <w:pPr>
              <w:spacing w:line="200" w:lineRule="exact"/>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17465E51">
            <w:pPr>
              <w:spacing w:line="200" w:lineRule="exac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09B33E9">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八、社会保障和就业支出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1CA3B3">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59.67</w:t>
            </w: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830BB7">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59.67</w:t>
            </w: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E519F5">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992327">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18F4C1DE">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0A87183">
            <w:pPr>
              <w:spacing w:line="200" w:lineRule="exact"/>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1CD9D6FD">
            <w:pPr>
              <w:spacing w:line="200" w:lineRule="exac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0B0ADAA">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九、卫生健康支出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587A2D">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2.12</w:t>
            </w: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94DFBB">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2.12</w:t>
            </w: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80D7D2">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A754A8">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2A5A501C">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AFD981F">
            <w:pPr>
              <w:spacing w:line="200" w:lineRule="exact"/>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B312B7">
            <w:pPr>
              <w:spacing w:line="200" w:lineRule="exact"/>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0464BAD">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十、节能环保支出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12254B">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F9BCEA">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43BF54">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2A2063">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5963C947">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E447DF9">
            <w:pPr>
              <w:spacing w:line="200" w:lineRule="exact"/>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ADFA5B">
            <w:pPr>
              <w:spacing w:line="200" w:lineRule="exact"/>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52BC3E5">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十一、城乡社区支出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FCAF68">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A71A71">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6598C1">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3E1557">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4987D220">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EC6F584">
            <w:pPr>
              <w:spacing w:line="200" w:lineRule="exact"/>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626127">
            <w:pPr>
              <w:spacing w:line="200" w:lineRule="exact"/>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895C6B0">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十二、农林水支出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0961AD">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DA55BD">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77A3D3">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9D5BFD">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3AACEB1F">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6E274AF">
            <w:pPr>
              <w:spacing w:line="200" w:lineRule="exact"/>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8F63F3">
            <w:pPr>
              <w:spacing w:line="200" w:lineRule="exact"/>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437D1E6">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十三、交通运输支出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5FE61A">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F58630">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BF8D1C">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F307BE">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39A8D7A5">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7714214">
            <w:pPr>
              <w:spacing w:line="200" w:lineRule="exact"/>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C2E552">
            <w:pPr>
              <w:spacing w:line="200" w:lineRule="exact"/>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DC6C884">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十四、资源勘探工业信息等支出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492880">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D9851B">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460A1D">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63F2FE">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5E89A788">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A269FEB">
            <w:pPr>
              <w:spacing w:line="200" w:lineRule="exact"/>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976860">
            <w:pPr>
              <w:spacing w:line="200" w:lineRule="exact"/>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4A37147">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十五、商业服务业等支出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710A76">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0F1822">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821D6E">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601749">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57891A07">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85A9C4D">
            <w:pPr>
              <w:spacing w:line="200" w:lineRule="exact"/>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330FD8">
            <w:pPr>
              <w:spacing w:line="200" w:lineRule="exact"/>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328E122">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十六、金融支出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8413FB">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D6FF84">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367C75">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6B60F8">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0092CB3C">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F05A6EF">
            <w:pPr>
              <w:spacing w:line="200" w:lineRule="exact"/>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7690CB">
            <w:pPr>
              <w:spacing w:line="200" w:lineRule="exact"/>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31823AF">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十七、援助其他地区支出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2C23CD">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C6D8A5">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12BA75">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3BDF45">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2D24487F">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4C21C77">
            <w:pPr>
              <w:spacing w:line="200" w:lineRule="exact"/>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E2B827">
            <w:pPr>
              <w:spacing w:line="200" w:lineRule="exact"/>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30EDB6F">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十八、自然资源海洋气象等支出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94263E">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9B4A4A">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BFB7BA">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46DDA5">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06D1BE76">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266C432">
            <w:pPr>
              <w:spacing w:line="200" w:lineRule="exact"/>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3E561C">
            <w:pPr>
              <w:spacing w:line="200" w:lineRule="exact"/>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F7B8522">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十九、住房保障支出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1E0565">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0.28</w:t>
            </w: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8D3F95">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0.28</w:t>
            </w: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D59F9A">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D9EDDE">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1F1814AF">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41E6A9D">
            <w:pPr>
              <w:spacing w:line="200" w:lineRule="exact"/>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11A55C">
            <w:pPr>
              <w:spacing w:line="200" w:lineRule="exact"/>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4DED73A">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二十、粮油物资储备支出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4C4261">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212813">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0F5ABF">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FDC192">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23BDD0C9">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251B515">
            <w:pPr>
              <w:spacing w:line="200" w:lineRule="exact"/>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F645A5">
            <w:pPr>
              <w:spacing w:line="200" w:lineRule="exact"/>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5E09DAB">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二十一、国有资本经营预算支出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A34EB4">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B80F87">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35C055">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266645">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5ECFCCD8">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159E2F5">
            <w:pPr>
              <w:spacing w:line="200" w:lineRule="exact"/>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F3CE2E">
            <w:pPr>
              <w:spacing w:line="200" w:lineRule="exact"/>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DA03557">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二十二、灾害防治及应急管理支出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239869">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041DC5">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43830F">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B7F834">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5C34E68A">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DF80CC9">
            <w:pPr>
              <w:spacing w:line="200" w:lineRule="exact"/>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6D7BD5">
            <w:pPr>
              <w:spacing w:line="200" w:lineRule="exact"/>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397F9A3">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二十三、其他支出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FBD462">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D2D19E">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594028">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7D7449">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73BF6338">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14:paraId="7AB79040">
            <w:pPr>
              <w:spacing w:line="200" w:lineRule="exact"/>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BCB686">
            <w:pPr>
              <w:spacing w:line="200" w:lineRule="exact"/>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2846B80">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二十四、债务还本支出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9F7CCE">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755139">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F90F0A">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7B7F18">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309C87F1">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14:paraId="64BD9746">
            <w:pPr>
              <w:spacing w:line="200" w:lineRule="exact"/>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E2A5BA">
            <w:pPr>
              <w:spacing w:line="200" w:lineRule="exact"/>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5CBB74C">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二十五、债务付息支出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01FCA6">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8D2FA2">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A43334">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B529B6">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2C011BC8">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14:paraId="7EE950D4">
            <w:pPr>
              <w:spacing w:line="200" w:lineRule="exact"/>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FAE14E">
            <w:pPr>
              <w:spacing w:line="200" w:lineRule="exact"/>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ED1F75D">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二十六、抗疫特别国债安排的支出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DE8C36">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75A0E9">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5028A0">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0BEFCF">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57C44CF6">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EA1B36D">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本年收入合计</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69EF61">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62.08</w:t>
            </w:r>
            <w:r>
              <w:rPr>
                <w:rFonts w:hint="default" w:ascii="Times New Roman" w:hAnsi="Times New Roman" w:cs="Times New Roman"/>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7E62B21">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本年支出合计</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A84417">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62.08</w:t>
            </w: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9589C6">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62.08</w:t>
            </w: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21DF60">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5BF057">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6193FB78">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2505BAD">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年初财政拨款结转和结余</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4689E9">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87F3298">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年末财政拨款结转和结余</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20D60D">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978258">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468029">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B284F4">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093C1BDE">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42FAA2B">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一般公共预算财政拨款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CB79E7">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14:paraId="266379CF">
            <w:pPr>
              <w:spacing w:line="200" w:lineRule="exact"/>
              <w:rPr>
                <w:rFonts w:hint="default" w:ascii="Times New Roman" w:hAnsi="Times New Roman" w:cs="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3FED92F5">
            <w:pPr>
              <w:spacing w:line="200" w:lineRule="exact"/>
              <w:rPr>
                <w:rFonts w:hint="default" w:ascii="Times New Roman" w:hAnsi="Times New Roman" w:cs="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3EE4A733">
            <w:pPr>
              <w:spacing w:line="200" w:lineRule="exact"/>
              <w:rPr>
                <w:rFonts w:hint="default" w:ascii="Times New Roman" w:hAnsi="Times New Roman" w:cs="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161BAEEA">
            <w:pPr>
              <w:spacing w:line="200" w:lineRule="exact"/>
              <w:rPr>
                <w:rFonts w:hint="default" w:ascii="Times New Roman" w:hAnsi="Times New Roman" w:cs="Times New Roman"/>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1C3AACE5">
            <w:pPr>
              <w:spacing w:line="200" w:lineRule="exact"/>
              <w:rPr>
                <w:rFonts w:hint="default" w:ascii="Times New Roman" w:hAnsi="Times New Roman" w:cs="Times New Roman"/>
                <w:color w:val="000000"/>
                <w:sz w:val="18"/>
                <w:szCs w:val="18"/>
              </w:rPr>
            </w:pPr>
          </w:p>
        </w:tc>
      </w:tr>
      <w:tr w14:paraId="160FA126">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46BF409">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政府性基金预算财政拨款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E605D5">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8D58022">
            <w:pPr>
              <w:spacing w:line="200" w:lineRule="exact"/>
              <w:jc w:val="center"/>
              <w:rPr>
                <w:rFonts w:hint="default" w:ascii="Times New Roman" w:hAnsi="Times New Roman" w:cs="Times New Roman"/>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87B413">
            <w:pPr>
              <w:spacing w:line="200" w:lineRule="exact"/>
              <w:jc w:val="right"/>
              <w:rPr>
                <w:rFonts w:hint="default" w:ascii="Times New Roman" w:hAnsi="Times New Roman" w:cs="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4C4A6C">
            <w:pPr>
              <w:spacing w:line="200" w:lineRule="exact"/>
              <w:jc w:val="right"/>
              <w:rPr>
                <w:rFonts w:hint="default" w:ascii="Times New Roman" w:hAnsi="Times New Roman" w:cs="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AEBF88">
            <w:pPr>
              <w:spacing w:line="200" w:lineRule="exact"/>
              <w:jc w:val="right"/>
              <w:rPr>
                <w:rFonts w:hint="default" w:ascii="Times New Roman" w:hAnsi="Times New Roman" w:cs="Times New Roman"/>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3D01CD">
            <w:pPr>
              <w:spacing w:line="200" w:lineRule="exact"/>
              <w:jc w:val="right"/>
              <w:rPr>
                <w:rFonts w:hint="default" w:ascii="Times New Roman" w:hAnsi="Times New Roman" w:cs="Times New Roman"/>
                <w:color w:val="000000"/>
                <w:sz w:val="18"/>
                <w:szCs w:val="18"/>
              </w:rPr>
            </w:pPr>
          </w:p>
        </w:tc>
      </w:tr>
      <w:tr w14:paraId="3B3DCA47">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643C30F">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国有资本经营预算财政拨款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943260">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E57F28F">
            <w:pPr>
              <w:spacing w:line="200" w:lineRule="exact"/>
              <w:jc w:val="center"/>
              <w:rPr>
                <w:rFonts w:hint="default" w:ascii="Times New Roman" w:hAnsi="Times New Roman" w:cs="Times New Roman"/>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3DE1C3">
            <w:pPr>
              <w:spacing w:line="200" w:lineRule="exact"/>
              <w:jc w:val="right"/>
              <w:rPr>
                <w:rFonts w:hint="default" w:ascii="Times New Roman" w:hAnsi="Times New Roman" w:cs="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D75E80">
            <w:pPr>
              <w:spacing w:line="200" w:lineRule="exact"/>
              <w:jc w:val="right"/>
              <w:rPr>
                <w:rFonts w:hint="default" w:ascii="Times New Roman" w:hAnsi="Times New Roman" w:cs="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CF58E0">
            <w:pPr>
              <w:spacing w:line="200" w:lineRule="exact"/>
              <w:jc w:val="right"/>
              <w:rPr>
                <w:rFonts w:hint="default" w:ascii="Times New Roman" w:hAnsi="Times New Roman" w:cs="Times New Roman"/>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B4A92D">
            <w:pPr>
              <w:spacing w:line="200" w:lineRule="exact"/>
              <w:jc w:val="right"/>
              <w:rPr>
                <w:rFonts w:hint="default" w:ascii="Times New Roman" w:hAnsi="Times New Roman" w:cs="Times New Roman"/>
                <w:color w:val="000000"/>
                <w:sz w:val="18"/>
                <w:szCs w:val="18"/>
              </w:rPr>
            </w:pPr>
          </w:p>
        </w:tc>
      </w:tr>
      <w:tr w14:paraId="448522DA">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93648E6">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总计</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DEE6BA">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62.08</w:t>
            </w:r>
            <w:r>
              <w:rPr>
                <w:rFonts w:hint="default" w:ascii="Times New Roman" w:hAnsi="Times New Roman" w:cs="Times New Roman"/>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77E3D6C">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总计</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BADFC2">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62.08</w:t>
            </w: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26D79D">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62.08</w:t>
            </w: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197EC8">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13A3C8">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bl>
    <w:p w14:paraId="6274E680">
      <w:pPr>
        <w:spacing w:line="240" w:lineRule="exact"/>
        <w:rPr>
          <w:rFonts w:hint="default" w:ascii="Times New Roman" w:hAnsi="Times New Roman" w:cs="Times New Roman"/>
          <w:sz w:val="20"/>
          <w:szCs w:val="20"/>
        </w:rPr>
      </w:pPr>
      <w:r>
        <w:rPr>
          <w:rFonts w:hint="default" w:ascii="Times New Roman" w:hAnsi="Times New Roman" w:cs="Times New Roman"/>
          <w:sz w:val="20"/>
          <w:szCs w:val="20"/>
        </w:rPr>
        <w:t>备注：1.本表反映单位本年度一般公共预算财政拨款、政府性基金预算财政拨款及国有资本经营预算财政拨款的总收支和年末结转结余情况。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 xml:space="preserve">      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r>
        <w:rPr>
          <w:rFonts w:hint="default" w:ascii="Times New Roman" w:hAnsi="Times New Roman" w:cs="Times New Roman"/>
          <w:sz w:val="21"/>
          <w:szCs w:val="21"/>
        </w:rPr>
        <w:br w:type="page"/>
      </w:r>
    </w:p>
    <w:tbl>
      <w:tblPr>
        <w:tblStyle w:val="7"/>
        <w:tblW w:w="15378" w:type="dxa"/>
        <w:tblInd w:w="0" w:type="dxa"/>
        <w:tblLayout w:type="fixed"/>
        <w:tblCellMar>
          <w:top w:w="0" w:type="dxa"/>
          <w:left w:w="0" w:type="dxa"/>
          <w:bottom w:w="0" w:type="dxa"/>
          <w:right w:w="0" w:type="dxa"/>
        </w:tblCellMar>
      </w:tblPr>
      <w:tblGrid>
        <w:gridCol w:w="1857"/>
        <w:gridCol w:w="3549"/>
        <w:gridCol w:w="3319"/>
        <w:gridCol w:w="3319"/>
        <w:gridCol w:w="3334"/>
      </w:tblGrid>
      <w:tr w14:paraId="6165E7D8">
        <w:tblPrEx>
          <w:tblCellMar>
            <w:top w:w="0" w:type="dxa"/>
            <w:left w:w="0" w:type="dxa"/>
            <w:bottom w:w="0" w:type="dxa"/>
            <w:right w:w="0" w:type="dxa"/>
          </w:tblCellMar>
        </w:tblPrEx>
        <w:trPr>
          <w:trHeight w:val="510" w:hRule="atLeast"/>
        </w:trPr>
        <w:tc>
          <w:tcPr>
            <w:tcW w:w="15378" w:type="dxa"/>
            <w:gridSpan w:val="5"/>
            <w:tcBorders>
              <w:top w:val="nil"/>
              <w:left w:val="nil"/>
              <w:bottom w:val="nil"/>
              <w:right w:val="nil"/>
            </w:tcBorders>
            <w:shd w:val="clear" w:color="auto" w:fill="auto"/>
            <w:tcMar>
              <w:top w:w="15" w:type="dxa"/>
              <w:left w:w="15" w:type="dxa"/>
              <w:right w:w="15" w:type="dxa"/>
            </w:tcMar>
            <w:vAlign w:val="bottom"/>
          </w:tcPr>
          <w:p w14:paraId="01333C28">
            <w:pPr>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一般公共预算财政拨款支出决算表</w:t>
            </w:r>
          </w:p>
        </w:tc>
      </w:tr>
      <w:tr w14:paraId="2E6C62DE">
        <w:tblPrEx>
          <w:tblCellMar>
            <w:top w:w="0" w:type="dxa"/>
            <w:left w:w="0" w:type="dxa"/>
            <w:bottom w:w="0" w:type="dxa"/>
            <w:right w:w="0" w:type="dxa"/>
          </w:tblCellMar>
        </w:tblPrEx>
        <w:trPr>
          <w:trHeight w:val="255" w:hRule="atLeast"/>
        </w:trPr>
        <w:tc>
          <w:tcPr>
            <w:tcW w:w="8725" w:type="dxa"/>
            <w:gridSpan w:val="3"/>
            <w:vMerge w:val="restart"/>
            <w:tcBorders>
              <w:top w:val="nil"/>
              <w:left w:val="nil"/>
              <w:right w:val="nil"/>
            </w:tcBorders>
            <w:shd w:val="clear" w:color="auto" w:fill="auto"/>
            <w:tcMar>
              <w:top w:w="15" w:type="dxa"/>
              <w:left w:w="15" w:type="dxa"/>
              <w:right w:w="15" w:type="dxa"/>
            </w:tcMar>
            <w:vAlign w:val="bottom"/>
          </w:tcPr>
          <w:p w14:paraId="76FD6A9A">
            <w:pPr>
              <w:rPr>
                <w:rFonts w:hint="default" w:ascii="Times New Roman" w:hAnsi="Times New Roman" w:cs="Times New Roman"/>
                <w:color w:val="000000"/>
                <w:sz w:val="20"/>
                <w:szCs w:val="20"/>
              </w:rPr>
            </w:pPr>
            <w:r>
              <w:rPr>
                <w:rFonts w:hint="default" w:ascii="Times New Roman" w:hAnsi="Times New Roman" w:cs="Times New Roman"/>
                <w:sz w:val="20"/>
                <w:szCs w:val="20"/>
              </w:rPr>
              <w:t>公开单位</w:t>
            </w:r>
            <w:r>
              <w:rPr>
                <w:rFonts w:hint="default" w:ascii="Times New Roman" w:hAnsi="Times New Roman" w:cs="Times New Roman"/>
                <w:color w:val="000000"/>
                <w:sz w:val="20"/>
                <w:szCs w:val="20"/>
              </w:rPr>
              <w:t xml:space="preserve">： </w:t>
            </w:r>
            <w:r>
              <w:rPr>
                <w:rFonts w:hint="default" w:ascii="Times New Roman" w:hAnsi="Times New Roman" w:cs="Times New Roman"/>
                <w:color w:val="000000"/>
                <w:sz w:val="20"/>
                <w:u w:color="auto"/>
              </w:rPr>
              <w:t>重庆市大渡口区八桥镇退役军人服务站</w:t>
            </w:r>
          </w:p>
        </w:tc>
        <w:tc>
          <w:tcPr>
            <w:tcW w:w="3319" w:type="dxa"/>
            <w:tcBorders>
              <w:top w:val="nil"/>
              <w:left w:val="nil"/>
              <w:bottom w:val="nil"/>
              <w:right w:val="nil"/>
            </w:tcBorders>
            <w:shd w:val="clear" w:color="auto" w:fill="auto"/>
            <w:tcMar>
              <w:top w:w="15" w:type="dxa"/>
              <w:left w:w="15" w:type="dxa"/>
              <w:right w:w="15" w:type="dxa"/>
            </w:tcMar>
            <w:vAlign w:val="bottom"/>
          </w:tcPr>
          <w:p w14:paraId="0D70F7E7">
            <w:pPr>
              <w:rPr>
                <w:rFonts w:hint="default" w:ascii="Times New Roman" w:hAnsi="Times New Roman" w:cs="Times New Roman"/>
                <w:color w:val="000000"/>
                <w:sz w:val="20"/>
                <w:szCs w:val="20"/>
              </w:rPr>
            </w:pPr>
          </w:p>
        </w:tc>
        <w:tc>
          <w:tcPr>
            <w:tcW w:w="3334" w:type="dxa"/>
            <w:tcBorders>
              <w:top w:val="nil"/>
              <w:left w:val="nil"/>
              <w:bottom w:val="nil"/>
              <w:right w:val="nil"/>
            </w:tcBorders>
            <w:shd w:val="clear" w:color="auto" w:fill="auto"/>
            <w:tcMar>
              <w:top w:w="15" w:type="dxa"/>
              <w:left w:w="15" w:type="dxa"/>
              <w:right w:w="15" w:type="dxa"/>
            </w:tcMar>
            <w:vAlign w:val="bottom"/>
          </w:tcPr>
          <w:p w14:paraId="1BEE4A10">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公开05表</w:t>
            </w:r>
          </w:p>
        </w:tc>
      </w:tr>
      <w:tr w14:paraId="0AB839D8">
        <w:tblPrEx>
          <w:tblCellMar>
            <w:top w:w="0" w:type="dxa"/>
            <w:left w:w="0" w:type="dxa"/>
            <w:bottom w:w="0" w:type="dxa"/>
            <w:right w:w="0" w:type="dxa"/>
          </w:tblCellMar>
        </w:tblPrEx>
        <w:trPr>
          <w:trHeight w:val="285" w:hRule="atLeast"/>
        </w:trPr>
        <w:tc>
          <w:tcPr>
            <w:tcW w:w="8725" w:type="dxa"/>
            <w:gridSpan w:val="3"/>
            <w:vMerge w:val="continue"/>
            <w:tcBorders>
              <w:left w:val="nil"/>
              <w:bottom w:val="nil"/>
              <w:right w:val="nil"/>
            </w:tcBorders>
            <w:shd w:val="clear" w:color="auto" w:fill="auto"/>
            <w:tcMar>
              <w:top w:w="15" w:type="dxa"/>
              <w:left w:w="15" w:type="dxa"/>
              <w:right w:w="15" w:type="dxa"/>
            </w:tcMar>
            <w:vAlign w:val="bottom"/>
          </w:tcPr>
          <w:p w14:paraId="7B107B94">
            <w:pPr>
              <w:rPr>
                <w:rFonts w:hint="default" w:ascii="Times New Roman" w:hAnsi="Times New Roman" w:cs="Times New Roman"/>
                <w:color w:val="000000"/>
                <w:sz w:val="20"/>
                <w:szCs w:val="20"/>
              </w:rPr>
            </w:pPr>
          </w:p>
        </w:tc>
        <w:tc>
          <w:tcPr>
            <w:tcW w:w="3319" w:type="dxa"/>
            <w:tcBorders>
              <w:top w:val="nil"/>
              <w:left w:val="nil"/>
              <w:bottom w:val="nil"/>
              <w:right w:val="nil"/>
            </w:tcBorders>
            <w:shd w:val="clear" w:color="auto" w:fill="auto"/>
            <w:tcMar>
              <w:top w:w="15" w:type="dxa"/>
              <w:left w:w="15" w:type="dxa"/>
              <w:right w:w="15" w:type="dxa"/>
            </w:tcMar>
            <w:vAlign w:val="bottom"/>
          </w:tcPr>
          <w:p w14:paraId="31ABACAB">
            <w:pPr>
              <w:rPr>
                <w:rFonts w:hint="default" w:ascii="Times New Roman" w:hAnsi="Times New Roman" w:cs="Times New Roman"/>
                <w:color w:val="000000"/>
                <w:sz w:val="20"/>
                <w:szCs w:val="20"/>
              </w:rPr>
            </w:pPr>
          </w:p>
        </w:tc>
        <w:tc>
          <w:tcPr>
            <w:tcW w:w="3334" w:type="dxa"/>
            <w:tcBorders>
              <w:top w:val="nil"/>
              <w:left w:val="nil"/>
              <w:bottom w:val="nil"/>
              <w:right w:val="nil"/>
            </w:tcBorders>
            <w:shd w:val="clear" w:color="auto" w:fill="auto"/>
            <w:tcMar>
              <w:top w:w="15" w:type="dxa"/>
              <w:left w:w="15" w:type="dxa"/>
              <w:right w:w="15" w:type="dxa"/>
            </w:tcMar>
            <w:vAlign w:val="bottom"/>
          </w:tcPr>
          <w:p w14:paraId="06D06A0F">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14:paraId="1BB70B44">
        <w:tblPrEx>
          <w:tblCellMar>
            <w:top w:w="0" w:type="dxa"/>
            <w:left w:w="0" w:type="dxa"/>
            <w:bottom w:w="0" w:type="dxa"/>
            <w:right w:w="0" w:type="dxa"/>
          </w:tblCellMar>
        </w:tblPrEx>
        <w:trPr>
          <w:trHeight w:val="308" w:hRule="atLeast"/>
        </w:trPr>
        <w:tc>
          <w:tcPr>
            <w:tcW w:w="5406"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7BC4DBD">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9972"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4348685C">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本年支出</w:t>
            </w:r>
          </w:p>
        </w:tc>
      </w:tr>
      <w:tr w14:paraId="5B405618">
        <w:tblPrEx>
          <w:tblCellMar>
            <w:top w:w="0" w:type="dxa"/>
            <w:left w:w="0" w:type="dxa"/>
            <w:bottom w:w="0" w:type="dxa"/>
            <w:right w:w="0" w:type="dxa"/>
          </w:tblCellMar>
        </w:tblPrEx>
        <w:trPr>
          <w:trHeight w:val="326" w:hRule="atLeast"/>
        </w:trPr>
        <w:tc>
          <w:tcPr>
            <w:tcW w:w="1857"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F9D04E4">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功能分类科目编码</w:t>
            </w:r>
          </w:p>
        </w:tc>
        <w:tc>
          <w:tcPr>
            <w:tcW w:w="354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E863F53">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项目（按“项”级功能分类科目）</w:t>
            </w:r>
          </w:p>
        </w:tc>
        <w:tc>
          <w:tcPr>
            <w:tcW w:w="331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79FC29B">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331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CFA8F7C">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基本支出</w:t>
            </w:r>
          </w:p>
        </w:tc>
        <w:tc>
          <w:tcPr>
            <w:tcW w:w="3334"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4511606">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项目支出</w:t>
            </w:r>
          </w:p>
        </w:tc>
      </w:tr>
      <w:tr w14:paraId="3F9AD830">
        <w:tblPrEx>
          <w:tblCellMar>
            <w:top w:w="0" w:type="dxa"/>
            <w:left w:w="0" w:type="dxa"/>
            <w:bottom w:w="0" w:type="dxa"/>
            <w:right w:w="0" w:type="dxa"/>
          </w:tblCellMar>
        </w:tblPrEx>
        <w:trPr>
          <w:trHeight w:val="326" w:hRule="atLeast"/>
        </w:trPr>
        <w:tc>
          <w:tcPr>
            <w:tcW w:w="1857"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D5CEB14">
            <w:pPr>
              <w:jc w:val="center"/>
              <w:rPr>
                <w:rFonts w:hint="default" w:ascii="Times New Roman" w:hAnsi="Times New Roman" w:cs="Times New Roman"/>
                <w:b/>
                <w:color w:val="000000"/>
                <w:sz w:val="20"/>
                <w:szCs w:val="20"/>
              </w:rPr>
            </w:pPr>
          </w:p>
        </w:tc>
        <w:tc>
          <w:tcPr>
            <w:tcW w:w="354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A07F9F3">
            <w:pPr>
              <w:jc w:val="center"/>
              <w:rPr>
                <w:rFonts w:hint="default" w:ascii="Times New Roman" w:hAnsi="Times New Roman" w:cs="Times New Roman"/>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EDAC8F9">
            <w:pPr>
              <w:jc w:val="center"/>
              <w:rPr>
                <w:rFonts w:hint="default" w:ascii="Times New Roman" w:hAnsi="Times New Roman" w:cs="Times New Roman"/>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0F4A2AE">
            <w:pPr>
              <w:jc w:val="center"/>
              <w:rPr>
                <w:rFonts w:hint="default" w:ascii="Times New Roman" w:hAnsi="Times New Roman" w:cs="Times New Roman"/>
                <w:b/>
                <w:color w:val="000000"/>
                <w:sz w:val="20"/>
                <w:szCs w:val="20"/>
              </w:rPr>
            </w:pPr>
          </w:p>
        </w:tc>
        <w:tc>
          <w:tcPr>
            <w:tcW w:w="333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F2D817A">
            <w:pPr>
              <w:jc w:val="center"/>
              <w:rPr>
                <w:rFonts w:hint="default" w:ascii="Times New Roman" w:hAnsi="Times New Roman" w:cs="Times New Roman"/>
                <w:b/>
                <w:color w:val="000000"/>
                <w:sz w:val="20"/>
                <w:szCs w:val="20"/>
              </w:rPr>
            </w:pPr>
          </w:p>
        </w:tc>
      </w:tr>
      <w:tr w14:paraId="471D7540">
        <w:tblPrEx>
          <w:tblCellMar>
            <w:top w:w="0" w:type="dxa"/>
            <w:left w:w="0" w:type="dxa"/>
            <w:bottom w:w="0" w:type="dxa"/>
            <w:right w:w="0" w:type="dxa"/>
          </w:tblCellMar>
        </w:tblPrEx>
        <w:trPr>
          <w:trHeight w:val="615" w:hRule="atLeast"/>
        </w:trPr>
        <w:tc>
          <w:tcPr>
            <w:tcW w:w="1857"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6CF1EB7">
            <w:pPr>
              <w:jc w:val="center"/>
              <w:rPr>
                <w:rFonts w:hint="default" w:ascii="Times New Roman" w:hAnsi="Times New Roman" w:cs="Times New Roman"/>
                <w:b/>
                <w:color w:val="000000"/>
                <w:sz w:val="20"/>
                <w:szCs w:val="20"/>
              </w:rPr>
            </w:pPr>
          </w:p>
        </w:tc>
        <w:tc>
          <w:tcPr>
            <w:tcW w:w="354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B436167">
            <w:pPr>
              <w:jc w:val="center"/>
              <w:rPr>
                <w:rFonts w:hint="default" w:ascii="Times New Roman" w:hAnsi="Times New Roman" w:cs="Times New Roman"/>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F1A21B9">
            <w:pPr>
              <w:jc w:val="center"/>
              <w:rPr>
                <w:rFonts w:hint="default" w:ascii="Times New Roman" w:hAnsi="Times New Roman" w:cs="Times New Roman"/>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3ECA9E7">
            <w:pPr>
              <w:jc w:val="center"/>
              <w:rPr>
                <w:rFonts w:hint="default" w:ascii="Times New Roman" w:hAnsi="Times New Roman" w:cs="Times New Roman"/>
                <w:b/>
                <w:color w:val="000000"/>
                <w:sz w:val="20"/>
                <w:szCs w:val="20"/>
              </w:rPr>
            </w:pPr>
          </w:p>
        </w:tc>
        <w:tc>
          <w:tcPr>
            <w:tcW w:w="333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F45C1EA">
            <w:pPr>
              <w:jc w:val="center"/>
              <w:rPr>
                <w:rFonts w:hint="default" w:ascii="Times New Roman" w:hAnsi="Times New Roman" w:cs="Times New Roman"/>
                <w:b/>
                <w:color w:val="000000"/>
                <w:sz w:val="20"/>
                <w:szCs w:val="20"/>
              </w:rPr>
            </w:pPr>
          </w:p>
        </w:tc>
      </w:tr>
      <w:tr w14:paraId="5D0E07F2">
        <w:tblPrEx>
          <w:tblCellMar>
            <w:top w:w="0" w:type="dxa"/>
            <w:left w:w="0" w:type="dxa"/>
            <w:bottom w:w="0" w:type="dxa"/>
            <w:right w:w="0" w:type="dxa"/>
          </w:tblCellMar>
        </w:tblPrEx>
        <w:trPr>
          <w:trHeight w:val="308" w:hRule="atLeast"/>
        </w:trPr>
        <w:tc>
          <w:tcPr>
            <w:tcW w:w="5406"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7AC9B01">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06C1BB7">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62.08</w:t>
            </w:r>
            <w:r>
              <w:rPr>
                <w:rFonts w:hint="default" w:ascii="Times New Roman" w:hAnsi="Times New Roman" w:cs="Times New Roman"/>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B5015CE">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62.08</w:t>
            </w:r>
            <w:r>
              <w:rPr>
                <w:rFonts w:hint="default" w:ascii="Times New Roman" w:hAnsi="Times New Roman" w:cs="Times New Roman"/>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0B6DD66">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r>
      <w:tr w14:paraId="36A371FB">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72DE6A">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56040AB">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社会保障和就业支出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7FDF430">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59.67</w:t>
            </w:r>
            <w:r>
              <w:rPr>
                <w:rFonts w:hint="default" w:ascii="Times New Roman" w:hAnsi="Times New Roman" w:cs="Times New Roman"/>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273C361">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59.67</w:t>
            </w:r>
            <w:r>
              <w:rPr>
                <w:rFonts w:hint="default" w:ascii="Times New Roman" w:hAnsi="Times New Roman" w:cs="Times New Roman"/>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9F5D059">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14:paraId="57C9DA4C">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F66FB9">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20805</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FEAACE7">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行政事业单位养老支出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A77A86B">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5.79</w:t>
            </w:r>
            <w:r>
              <w:rPr>
                <w:rFonts w:hint="default" w:ascii="Times New Roman" w:hAnsi="Times New Roman" w:cs="Times New Roman"/>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0F20FC6">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5.79</w:t>
            </w:r>
            <w:r>
              <w:rPr>
                <w:rFonts w:hint="default" w:ascii="Times New Roman" w:hAnsi="Times New Roman" w:cs="Times New Roman"/>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5C5832F">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14:paraId="752CB2E3">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7B920B">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2080505</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58340A7">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机关事业单位基本养老保险缴费支出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63AE4EF">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3.86</w:t>
            </w:r>
            <w:r>
              <w:rPr>
                <w:rFonts w:hint="default" w:ascii="Times New Roman" w:hAnsi="Times New Roman" w:cs="Times New Roman"/>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6BC38E2">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3.86</w:t>
            </w:r>
            <w:r>
              <w:rPr>
                <w:rFonts w:hint="default" w:ascii="Times New Roman" w:hAnsi="Times New Roman" w:cs="Times New Roman"/>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3A72D5A">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14:paraId="35FA0AE1">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FDBDC9">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2080506</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4335EC9">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机关事业单位职业年金缴费支出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D6C49CC">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1.93</w:t>
            </w:r>
            <w:r>
              <w:rPr>
                <w:rFonts w:hint="default" w:ascii="Times New Roman" w:hAnsi="Times New Roman" w:cs="Times New Roman"/>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2CB198C">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1.93</w:t>
            </w:r>
            <w:r>
              <w:rPr>
                <w:rFonts w:hint="default" w:ascii="Times New Roman" w:hAnsi="Times New Roman" w:cs="Times New Roman"/>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AB5BE35">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14:paraId="375E4025">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727697">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20828</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4D74A48">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退役军人管理事务</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431927E">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53.88</w:t>
            </w:r>
            <w:r>
              <w:rPr>
                <w:rFonts w:hint="default" w:ascii="Times New Roman" w:hAnsi="Times New Roman" w:cs="Times New Roman"/>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9AC1CE5">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53.88</w:t>
            </w:r>
            <w:r>
              <w:rPr>
                <w:rFonts w:hint="default" w:ascii="Times New Roman" w:hAnsi="Times New Roman" w:cs="Times New Roman"/>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8F11DF8">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14:paraId="678852C8">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4EF303">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2082850</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8312BD3">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事业运行</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FB9811F">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53.88</w:t>
            </w:r>
            <w:r>
              <w:rPr>
                <w:rFonts w:hint="default" w:ascii="Times New Roman" w:hAnsi="Times New Roman" w:cs="Times New Roman"/>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B499F12">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53.88</w:t>
            </w:r>
            <w:r>
              <w:rPr>
                <w:rFonts w:hint="default" w:ascii="Times New Roman" w:hAnsi="Times New Roman" w:cs="Times New Roman"/>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13D658D">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14:paraId="78182177">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E0C724">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EA97511">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卫生健康支出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03D0750">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2.12</w:t>
            </w:r>
            <w:r>
              <w:rPr>
                <w:rFonts w:hint="default" w:ascii="Times New Roman" w:hAnsi="Times New Roman" w:cs="Times New Roman"/>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B31CBF3">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2.12</w:t>
            </w:r>
            <w:r>
              <w:rPr>
                <w:rFonts w:hint="default" w:ascii="Times New Roman" w:hAnsi="Times New Roman" w:cs="Times New Roman"/>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ADFE120">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14:paraId="7F92BD61">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9EB392">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21011</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7F114C7">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行政事业单位医疗</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6BB193E">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2.12</w:t>
            </w:r>
            <w:r>
              <w:rPr>
                <w:rFonts w:hint="default" w:ascii="Times New Roman" w:hAnsi="Times New Roman" w:cs="Times New Roman"/>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9FC04E8">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2.12</w:t>
            </w:r>
            <w:r>
              <w:rPr>
                <w:rFonts w:hint="default" w:ascii="Times New Roman" w:hAnsi="Times New Roman" w:cs="Times New Roman"/>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C125B6A">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14:paraId="5F7B87B2">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7EA2CD">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2101102</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08B5A45">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事业单位医疗</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DABD658">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1.64</w:t>
            </w:r>
            <w:r>
              <w:rPr>
                <w:rFonts w:hint="default" w:ascii="Times New Roman" w:hAnsi="Times New Roman" w:cs="Times New Roman"/>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A9161F8">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1.64</w:t>
            </w:r>
            <w:r>
              <w:rPr>
                <w:rFonts w:hint="default" w:ascii="Times New Roman" w:hAnsi="Times New Roman" w:cs="Times New Roman"/>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7391CD7">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14:paraId="5356A76B">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91CDD9">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2101199</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9E66B4F">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其他行政事业单位医疗支出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F0422F6">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0.48</w:t>
            </w:r>
            <w:r>
              <w:rPr>
                <w:rFonts w:hint="default" w:ascii="Times New Roman" w:hAnsi="Times New Roman" w:cs="Times New Roman"/>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B1ABA8F">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0.48</w:t>
            </w:r>
            <w:r>
              <w:rPr>
                <w:rFonts w:hint="default" w:ascii="Times New Roman" w:hAnsi="Times New Roman" w:cs="Times New Roman"/>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326E2E1">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14:paraId="45AC1C53">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524895">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6C4F445">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住房保障支出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918A972">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0.28</w:t>
            </w:r>
            <w:r>
              <w:rPr>
                <w:rFonts w:hint="default" w:ascii="Times New Roman" w:hAnsi="Times New Roman" w:cs="Times New Roman"/>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D908EA6">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0.28</w:t>
            </w:r>
            <w:r>
              <w:rPr>
                <w:rFonts w:hint="default" w:ascii="Times New Roman" w:hAnsi="Times New Roman" w:cs="Times New Roman"/>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8E6625B">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14:paraId="2BF8000E">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E8573A">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22102</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69C2D16">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住房改革支出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7B2BD10">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0.28</w:t>
            </w:r>
            <w:r>
              <w:rPr>
                <w:rFonts w:hint="default" w:ascii="Times New Roman" w:hAnsi="Times New Roman" w:cs="Times New Roman"/>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09DD389">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0.28</w:t>
            </w:r>
            <w:r>
              <w:rPr>
                <w:rFonts w:hint="default" w:ascii="Times New Roman" w:hAnsi="Times New Roman" w:cs="Times New Roman"/>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AAE9920">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14:paraId="5F9481AF">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F32064">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2210201</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B9C9D35">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住房公积金</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A587784">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0.28</w:t>
            </w:r>
            <w:r>
              <w:rPr>
                <w:rFonts w:hint="default" w:ascii="Times New Roman" w:hAnsi="Times New Roman" w:cs="Times New Roman"/>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498656D">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0.28</w:t>
            </w:r>
            <w:r>
              <w:rPr>
                <w:rFonts w:hint="default" w:ascii="Times New Roman" w:hAnsi="Times New Roman" w:cs="Times New Roman"/>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EB40556">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bl>
    <w:p w14:paraId="6C993644">
      <w:pPr>
        <w:rPr>
          <w:rFonts w:hint="default" w:ascii="Times New Roman" w:hAnsi="Times New Roman" w:cs="Times New Roman"/>
          <w:sz w:val="21"/>
          <w:szCs w:val="21"/>
        </w:rPr>
      </w:pPr>
      <w:r>
        <w:rPr>
          <w:rFonts w:hint="default" w:ascii="Times New Roman" w:hAnsi="Times New Roman" w:cs="Times New Roman"/>
          <w:sz w:val="20"/>
          <w:szCs w:val="20"/>
        </w:rPr>
        <w:t>备注：1.本表反映单位本年度一般公共预算财政拨款支出情况。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 xml:space="preserve">      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p>
    <w:p w14:paraId="0B0EEA96">
      <w:pPr>
        <w:ind w:firstLine="630" w:firstLineChars="300"/>
        <w:rPr>
          <w:rFonts w:hint="default" w:ascii="Times New Roman" w:hAnsi="Times New Roman" w:cs="Times New Roman"/>
          <w:sz w:val="21"/>
          <w:szCs w:val="21"/>
        </w:rPr>
      </w:pPr>
      <w:r>
        <w:rPr>
          <w:rFonts w:hint="default" w:ascii="Times New Roman" w:hAnsi="Times New Roman" w:cs="Times New Roman"/>
          <w:sz w:val="21"/>
          <w:szCs w:val="21"/>
        </w:rPr>
        <w:br w:type="page"/>
      </w:r>
    </w:p>
    <w:tbl>
      <w:tblPr>
        <w:tblStyle w:val="7"/>
        <w:tblW w:w="15360" w:type="dxa"/>
        <w:tblInd w:w="0" w:type="dxa"/>
        <w:tblLayout w:type="fixed"/>
        <w:tblCellMar>
          <w:top w:w="0" w:type="dxa"/>
          <w:left w:w="0" w:type="dxa"/>
          <w:bottom w:w="0" w:type="dxa"/>
          <w:right w:w="0" w:type="dxa"/>
        </w:tblCellMar>
      </w:tblPr>
      <w:tblGrid>
        <w:gridCol w:w="605"/>
        <w:gridCol w:w="2740"/>
        <w:gridCol w:w="1376"/>
        <w:gridCol w:w="836"/>
        <w:gridCol w:w="1923"/>
        <w:gridCol w:w="1656"/>
        <w:gridCol w:w="808"/>
        <w:gridCol w:w="3527"/>
        <w:gridCol w:w="1889"/>
      </w:tblGrid>
      <w:tr w14:paraId="0A981B67">
        <w:tblPrEx>
          <w:tblCellMar>
            <w:top w:w="0" w:type="dxa"/>
            <w:left w:w="0" w:type="dxa"/>
            <w:bottom w:w="0" w:type="dxa"/>
            <w:right w:w="0" w:type="dxa"/>
          </w:tblCellMar>
        </w:tblPrEx>
        <w:trPr>
          <w:trHeight w:val="90" w:hRule="atLeast"/>
        </w:trPr>
        <w:tc>
          <w:tcPr>
            <w:tcW w:w="15360" w:type="dxa"/>
            <w:gridSpan w:val="9"/>
            <w:tcBorders>
              <w:top w:val="nil"/>
              <w:left w:val="nil"/>
              <w:bottom w:val="nil"/>
              <w:right w:val="nil"/>
            </w:tcBorders>
            <w:shd w:val="clear" w:color="auto" w:fill="auto"/>
            <w:tcMar>
              <w:top w:w="15" w:type="dxa"/>
              <w:left w:w="15" w:type="dxa"/>
              <w:right w:w="15" w:type="dxa"/>
            </w:tcMar>
            <w:vAlign w:val="bottom"/>
          </w:tcPr>
          <w:p w14:paraId="1F5473CB">
            <w:pPr>
              <w:spacing w:line="440" w:lineRule="exact"/>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一般公共预算财政拨款基本支出决算表</w:t>
            </w:r>
          </w:p>
        </w:tc>
      </w:tr>
      <w:tr w14:paraId="1C236245">
        <w:tblPrEx>
          <w:tblCellMar>
            <w:top w:w="0" w:type="dxa"/>
            <w:left w:w="0" w:type="dxa"/>
            <w:bottom w:w="0" w:type="dxa"/>
            <w:right w:w="0" w:type="dxa"/>
          </w:tblCellMar>
        </w:tblPrEx>
        <w:trPr>
          <w:trHeight w:val="90" w:hRule="atLeast"/>
        </w:trPr>
        <w:tc>
          <w:tcPr>
            <w:tcW w:w="5557" w:type="dxa"/>
            <w:gridSpan w:val="4"/>
            <w:vMerge w:val="restart"/>
            <w:tcBorders>
              <w:top w:val="nil"/>
              <w:left w:val="nil"/>
              <w:right w:val="nil"/>
            </w:tcBorders>
            <w:shd w:val="clear" w:color="auto" w:fill="auto"/>
            <w:tcMar>
              <w:top w:w="15" w:type="dxa"/>
              <w:left w:w="15" w:type="dxa"/>
              <w:right w:w="15" w:type="dxa"/>
            </w:tcMar>
            <w:vAlign w:val="bottom"/>
          </w:tcPr>
          <w:p w14:paraId="43CE9772">
            <w:pPr>
              <w:spacing w:line="200" w:lineRule="exact"/>
              <w:rPr>
                <w:rFonts w:hint="default" w:ascii="Times New Roman" w:hAnsi="Times New Roman" w:cs="Times New Roman"/>
                <w:color w:val="000000"/>
                <w:sz w:val="18"/>
                <w:szCs w:val="18"/>
              </w:rPr>
            </w:pPr>
            <w:r>
              <w:rPr>
                <w:rFonts w:hint="default" w:ascii="Times New Roman" w:hAnsi="Times New Roman" w:cs="Times New Roman"/>
                <w:sz w:val="20"/>
                <w:szCs w:val="20"/>
              </w:rPr>
              <w:t>公开单位</w:t>
            </w:r>
            <w:r>
              <w:rPr>
                <w:rFonts w:hint="default" w:ascii="Times New Roman" w:hAnsi="Times New Roman" w:cs="Times New Roman"/>
                <w:color w:val="000000"/>
                <w:sz w:val="20"/>
                <w:szCs w:val="20"/>
              </w:rPr>
              <w:t xml:space="preserve">： </w:t>
            </w:r>
            <w:r>
              <w:rPr>
                <w:rFonts w:hint="default" w:ascii="Times New Roman" w:hAnsi="Times New Roman" w:cs="Times New Roman"/>
                <w:color w:val="000000"/>
                <w:sz w:val="20"/>
                <w:u w:color="auto"/>
              </w:rPr>
              <w:t>重庆市大渡口区八桥镇退役军人服务站</w:t>
            </w:r>
          </w:p>
        </w:tc>
        <w:tc>
          <w:tcPr>
            <w:tcW w:w="1923" w:type="dxa"/>
            <w:tcBorders>
              <w:top w:val="nil"/>
              <w:left w:val="nil"/>
              <w:bottom w:val="nil"/>
              <w:right w:val="nil"/>
            </w:tcBorders>
            <w:shd w:val="clear" w:color="auto" w:fill="auto"/>
            <w:tcMar>
              <w:top w:w="15" w:type="dxa"/>
              <w:left w:w="15" w:type="dxa"/>
              <w:right w:w="15" w:type="dxa"/>
            </w:tcMar>
            <w:vAlign w:val="bottom"/>
          </w:tcPr>
          <w:p w14:paraId="0688E5BA">
            <w:pPr>
              <w:spacing w:line="200" w:lineRule="exact"/>
              <w:rPr>
                <w:rFonts w:hint="default" w:ascii="Times New Roman" w:hAnsi="Times New Roman" w:cs="Times New Roman"/>
                <w:color w:val="000000"/>
                <w:sz w:val="18"/>
                <w:szCs w:val="18"/>
              </w:rPr>
            </w:pPr>
          </w:p>
        </w:tc>
        <w:tc>
          <w:tcPr>
            <w:tcW w:w="1656" w:type="dxa"/>
            <w:tcBorders>
              <w:top w:val="nil"/>
              <w:left w:val="nil"/>
              <w:bottom w:val="nil"/>
              <w:right w:val="nil"/>
            </w:tcBorders>
            <w:shd w:val="clear" w:color="auto" w:fill="auto"/>
            <w:tcMar>
              <w:top w:w="15" w:type="dxa"/>
              <w:left w:w="15" w:type="dxa"/>
              <w:right w:w="15" w:type="dxa"/>
            </w:tcMar>
            <w:vAlign w:val="bottom"/>
          </w:tcPr>
          <w:p w14:paraId="6921BE7B">
            <w:pPr>
              <w:spacing w:line="200" w:lineRule="exact"/>
              <w:rPr>
                <w:rFonts w:hint="default" w:ascii="Times New Roman" w:hAnsi="Times New Roman" w:cs="Times New Roman"/>
                <w:color w:val="000000"/>
                <w:sz w:val="18"/>
                <w:szCs w:val="18"/>
              </w:rPr>
            </w:pPr>
          </w:p>
        </w:tc>
        <w:tc>
          <w:tcPr>
            <w:tcW w:w="808" w:type="dxa"/>
            <w:tcBorders>
              <w:top w:val="nil"/>
              <w:left w:val="nil"/>
              <w:bottom w:val="nil"/>
              <w:right w:val="nil"/>
            </w:tcBorders>
            <w:shd w:val="clear" w:color="auto" w:fill="auto"/>
            <w:tcMar>
              <w:top w:w="15" w:type="dxa"/>
              <w:left w:w="15" w:type="dxa"/>
              <w:right w:w="15" w:type="dxa"/>
            </w:tcMar>
            <w:vAlign w:val="bottom"/>
          </w:tcPr>
          <w:p w14:paraId="331C76F5">
            <w:pPr>
              <w:spacing w:line="200" w:lineRule="exact"/>
              <w:rPr>
                <w:rFonts w:hint="default" w:ascii="Times New Roman" w:hAnsi="Times New Roman" w:cs="Times New Roman"/>
                <w:color w:val="000000"/>
                <w:sz w:val="18"/>
                <w:szCs w:val="18"/>
              </w:rPr>
            </w:pPr>
          </w:p>
        </w:tc>
        <w:tc>
          <w:tcPr>
            <w:tcW w:w="3527" w:type="dxa"/>
            <w:tcBorders>
              <w:top w:val="nil"/>
              <w:left w:val="nil"/>
              <w:bottom w:val="nil"/>
              <w:right w:val="nil"/>
            </w:tcBorders>
            <w:shd w:val="clear" w:color="auto" w:fill="auto"/>
            <w:tcMar>
              <w:top w:w="15" w:type="dxa"/>
              <w:left w:w="15" w:type="dxa"/>
              <w:right w:w="15" w:type="dxa"/>
            </w:tcMar>
            <w:vAlign w:val="bottom"/>
          </w:tcPr>
          <w:p w14:paraId="23C91A0C">
            <w:pPr>
              <w:spacing w:line="200" w:lineRule="exact"/>
              <w:rPr>
                <w:rFonts w:hint="default" w:ascii="Times New Roman" w:hAnsi="Times New Roman" w:cs="Times New Roman"/>
                <w:color w:val="000000"/>
                <w:sz w:val="18"/>
                <w:szCs w:val="18"/>
              </w:rPr>
            </w:pPr>
          </w:p>
        </w:tc>
        <w:tc>
          <w:tcPr>
            <w:tcW w:w="1889" w:type="dxa"/>
            <w:tcBorders>
              <w:top w:val="nil"/>
              <w:left w:val="nil"/>
              <w:bottom w:val="nil"/>
              <w:right w:val="nil"/>
            </w:tcBorders>
            <w:shd w:val="clear" w:color="auto" w:fill="auto"/>
            <w:tcMar>
              <w:top w:w="15" w:type="dxa"/>
              <w:left w:w="15" w:type="dxa"/>
              <w:right w:w="15" w:type="dxa"/>
            </w:tcMar>
            <w:vAlign w:val="bottom"/>
          </w:tcPr>
          <w:p w14:paraId="31ED8FD5">
            <w:pPr>
              <w:spacing w:line="28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公开06表</w:t>
            </w:r>
          </w:p>
        </w:tc>
      </w:tr>
      <w:tr w14:paraId="7F447B9F">
        <w:tblPrEx>
          <w:tblCellMar>
            <w:top w:w="0" w:type="dxa"/>
            <w:left w:w="0" w:type="dxa"/>
            <w:bottom w:w="0" w:type="dxa"/>
            <w:right w:w="0" w:type="dxa"/>
          </w:tblCellMar>
        </w:tblPrEx>
        <w:trPr>
          <w:trHeight w:val="90" w:hRule="atLeast"/>
        </w:trPr>
        <w:tc>
          <w:tcPr>
            <w:tcW w:w="5557" w:type="dxa"/>
            <w:gridSpan w:val="4"/>
            <w:vMerge w:val="continue"/>
            <w:tcBorders>
              <w:left w:val="nil"/>
              <w:bottom w:val="nil"/>
              <w:right w:val="nil"/>
            </w:tcBorders>
            <w:shd w:val="clear" w:color="auto" w:fill="auto"/>
            <w:tcMar>
              <w:top w:w="15" w:type="dxa"/>
              <w:left w:w="15" w:type="dxa"/>
              <w:right w:w="15" w:type="dxa"/>
            </w:tcMar>
            <w:vAlign w:val="bottom"/>
          </w:tcPr>
          <w:p w14:paraId="437F4A30">
            <w:pPr>
              <w:spacing w:line="200" w:lineRule="exact"/>
              <w:rPr>
                <w:rFonts w:hint="default" w:ascii="Times New Roman" w:hAnsi="Times New Roman" w:cs="Times New Roman"/>
                <w:color w:val="000000"/>
                <w:sz w:val="18"/>
                <w:szCs w:val="18"/>
              </w:rPr>
            </w:pPr>
          </w:p>
        </w:tc>
        <w:tc>
          <w:tcPr>
            <w:tcW w:w="1923" w:type="dxa"/>
            <w:tcBorders>
              <w:top w:val="nil"/>
              <w:left w:val="nil"/>
              <w:bottom w:val="nil"/>
              <w:right w:val="nil"/>
            </w:tcBorders>
            <w:shd w:val="clear" w:color="auto" w:fill="auto"/>
            <w:tcMar>
              <w:top w:w="15" w:type="dxa"/>
              <w:left w:w="15" w:type="dxa"/>
              <w:right w:w="15" w:type="dxa"/>
            </w:tcMar>
            <w:vAlign w:val="bottom"/>
          </w:tcPr>
          <w:p w14:paraId="454F285B">
            <w:pPr>
              <w:spacing w:line="200" w:lineRule="exact"/>
              <w:rPr>
                <w:rFonts w:hint="default" w:ascii="Times New Roman" w:hAnsi="Times New Roman" w:cs="Times New Roman"/>
                <w:color w:val="000000"/>
                <w:sz w:val="18"/>
                <w:szCs w:val="18"/>
              </w:rPr>
            </w:pPr>
          </w:p>
        </w:tc>
        <w:tc>
          <w:tcPr>
            <w:tcW w:w="1656" w:type="dxa"/>
            <w:tcBorders>
              <w:top w:val="nil"/>
              <w:left w:val="nil"/>
              <w:bottom w:val="nil"/>
              <w:right w:val="nil"/>
            </w:tcBorders>
            <w:shd w:val="clear" w:color="auto" w:fill="auto"/>
            <w:tcMar>
              <w:top w:w="15" w:type="dxa"/>
              <w:left w:w="15" w:type="dxa"/>
              <w:right w:w="15" w:type="dxa"/>
            </w:tcMar>
            <w:vAlign w:val="bottom"/>
          </w:tcPr>
          <w:p w14:paraId="617DF0EE">
            <w:pPr>
              <w:spacing w:line="200" w:lineRule="exact"/>
              <w:rPr>
                <w:rFonts w:hint="default" w:ascii="Times New Roman" w:hAnsi="Times New Roman" w:cs="Times New Roman"/>
                <w:color w:val="000000"/>
                <w:sz w:val="18"/>
                <w:szCs w:val="18"/>
              </w:rPr>
            </w:pPr>
          </w:p>
        </w:tc>
        <w:tc>
          <w:tcPr>
            <w:tcW w:w="808" w:type="dxa"/>
            <w:tcBorders>
              <w:top w:val="nil"/>
              <w:left w:val="nil"/>
              <w:bottom w:val="nil"/>
              <w:right w:val="nil"/>
            </w:tcBorders>
            <w:shd w:val="clear" w:color="auto" w:fill="auto"/>
            <w:tcMar>
              <w:top w:w="15" w:type="dxa"/>
              <w:left w:w="15" w:type="dxa"/>
              <w:right w:w="15" w:type="dxa"/>
            </w:tcMar>
            <w:vAlign w:val="bottom"/>
          </w:tcPr>
          <w:p w14:paraId="16F000F8">
            <w:pPr>
              <w:spacing w:line="200" w:lineRule="exact"/>
              <w:rPr>
                <w:rFonts w:hint="default" w:ascii="Times New Roman" w:hAnsi="Times New Roman" w:cs="Times New Roman"/>
                <w:color w:val="000000"/>
                <w:sz w:val="18"/>
                <w:szCs w:val="18"/>
              </w:rPr>
            </w:pPr>
          </w:p>
        </w:tc>
        <w:tc>
          <w:tcPr>
            <w:tcW w:w="3527" w:type="dxa"/>
            <w:tcBorders>
              <w:top w:val="nil"/>
              <w:left w:val="nil"/>
              <w:bottom w:val="nil"/>
              <w:right w:val="nil"/>
            </w:tcBorders>
            <w:shd w:val="clear" w:color="auto" w:fill="auto"/>
            <w:tcMar>
              <w:top w:w="15" w:type="dxa"/>
              <w:left w:w="15" w:type="dxa"/>
              <w:right w:w="15" w:type="dxa"/>
            </w:tcMar>
            <w:vAlign w:val="bottom"/>
          </w:tcPr>
          <w:p w14:paraId="09246F1C">
            <w:pPr>
              <w:spacing w:line="200" w:lineRule="exact"/>
              <w:rPr>
                <w:rFonts w:hint="default" w:ascii="Times New Roman" w:hAnsi="Times New Roman" w:cs="Times New Roman"/>
                <w:color w:val="000000"/>
                <w:sz w:val="18"/>
                <w:szCs w:val="18"/>
              </w:rPr>
            </w:pPr>
          </w:p>
        </w:tc>
        <w:tc>
          <w:tcPr>
            <w:tcW w:w="1889" w:type="dxa"/>
            <w:tcBorders>
              <w:top w:val="nil"/>
              <w:left w:val="nil"/>
              <w:bottom w:val="nil"/>
              <w:right w:val="nil"/>
            </w:tcBorders>
            <w:shd w:val="clear" w:color="auto" w:fill="auto"/>
            <w:tcMar>
              <w:top w:w="15" w:type="dxa"/>
              <w:left w:w="15" w:type="dxa"/>
              <w:right w:w="15" w:type="dxa"/>
            </w:tcMar>
            <w:vAlign w:val="bottom"/>
          </w:tcPr>
          <w:p w14:paraId="37E2738E">
            <w:pPr>
              <w:spacing w:line="28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14:paraId="4F4AB273">
        <w:tblPrEx>
          <w:tblCellMar>
            <w:top w:w="0" w:type="dxa"/>
            <w:left w:w="0" w:type="dxa"/>
            <w:bottom w:w="0" w:type="dxa"/>
            <w:right w:w="0" w:type="dxa"/>
          </w:tblCellMar>
        </w:tblPrEx>
        <w:trPr>
          <w:trHeight w:val="90" w:hRule="atLeast"/>
        </w:trPr>
        <w:tc>
          <w:tcPr>
            <w:tcW w:w="4721" w:type="dxa"/>
            <w:gridSpan w:val="3"/>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37CB50E">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人员经费</w:t>
            </w:r>
          </w:p>
        </w:tc>
        <w:tc>
          <w:tcPr>
            <w:tcW w:w="10639" w:type="dxa"/>
            <w:gridSpan w:val="6"/>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4B45E78B">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公用经费</w:t>
            </w:r>
          </w:p>
        </w:tc>
      </w:tr>
      <w:tr w14:paraId="19B07BBF">
        <w:tblPrEx>
          <w:tblCellMar>
            <w:top w:w="0" w:type="dxa"/>
            <w:left w:w="0" w:type="dxa"/>
            <w:bottom w:w="0" w:type="dxa"/>
            <w:right w:w="0" w:type="dxa"/>
          </w:tblCellMar>
        </w:tblPrEx>
        <w:trPr>
          <w:trHeight w:val="312" w:hRule="atLeast"/>
        </w:trPr>
        <w:tc>
          <w:tcPr>
            <w:tcW w:w="605"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842EB8E">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经济分类科目编码</w:t>
            </w:r>
          </w:p>
        </w:tc>
        <w:tc>
          <w:tcPr>
            <w:tcW w:w="274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140180A">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经济分类科目（按“款”级功能分类科目）</w:t>
            </w:r>
          </w:p>
        </w:tc>
        <w:tc>
          <w:tcPr>
            <w:tcW w:w="137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85EEDC9">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金额</w:t>
            </w:r>
          </w:p>
        </w:tc>
        <w:tc>
          <w:tcPr>
            <w:tcW w:w="836"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FF54308">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经济分类科目编码</w:t>
            </w:r>
          </w:p>
        </w:tc>
        <w:tc>
          <w:tcPr>
            <w:tcW w:w="192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F6A1368">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经济分类科目（按“款”级功能分类科目）</w:t>
            </w:r>
          </w:p>
        </w:tc>
        <w:tc>
          <w:tcPr>
            <w:tcW w:w="165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FA9D61F">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金额</w:t>
            </w:r>
          </w:p>
        </w:tc>
        <w:tc>
          <w:tcPr>
            <w:tcW w:w="808"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CB3460F">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经济分类科目编码</w:t>
            </w:r>
          </w:p>
        </w:tc>
        <w:tc>
          <w:tcPr>
            <w:tcW w:w="352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CD651FF">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经济分类科目（按“款”级功能分类科目）</w:t>
            </w:r>
          </w:p>
        </w:tc>
        <w:tc>
          <w:tcPr>
            <w:tcW w:w="188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D36C981">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金额</w:t>
            </w:r>
          </w:p>
        </w:tc>
      </w:tr>
      <w:tr w14:paraId="5CCCDAEB">
        <w:tblPrEx>
          <w:tblCellMar>
            <w:top w:w="0" w:type="dxa"/>
            <w:left w:w="0" w:type="dxa"/>
            <w:bottom w:w="0" w:type="dxa"/>
            <w:right w:w="0" w:type="dxa"/>
          </w:tblCellMar>
        </w:tblPrEx>
        <w:trPr>
          <w:trHeight w:val="312" w:hRule="atLeast"/>
        </w:trPr>
        <w:tc>
          <w:tcPr>
            <w:tcW w:w="605"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9669443">
            <w:pPr>
              <w:spacing w:line="200" w:lineRule="exact"/>
              <w:jc w:val="center"/>
              <w:rPr>
                <w:rFonts w:hint="default" w:ascii="Times New Roman" w:hAnsi="Times New Roman" w:cs="Times New Roman"/>
                <w:b/>
                <w:color w:val="000000"/>
                <w:sz w:val="18"/>
                <w:szCs w:val="18"/>
              </w:rPr>
            </w:pPr>
          </w:p>
        </w:tc>
        <w:tc>
          <w:tcPr>
            <w:tcW w:w="274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508F2AD">
            <w:pPr>
              <w:spacing w:line="200" w:lineRule="exact"/>
              <w:jc w:val="center"/>
              <w:rPr>
                <w:rFonts w:hint="default" w:ascii="Times New Roman" w:hAnsi="Times New Roman" w:cs="Times New Roman"/>
                <w:b/>
                <w:color w:val="000000"/>
                <w:sz w:val="18"/>
                <w:szCs w:val="18"/>
              </w:rPr>
            </w:pPr>
          </w:p>
        </w:tc>
        <w:tc>
          <w:tcPr>
            <w:tcW w:w="137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7F58757">
            <w:pPr>
              <w:spacing w:line="200" w:lineRule="exact"/>
              <w:jc w:val="center"/>
              <w:rPr>
                <w:rFonts w:hint="default" w:ascii="Times New Roman" w:hAnsi="Times New Roman" w:cs="Times New Roman"/>
                <w:b/>
                <w:color w:val="000000"/>
                <w:sz w:val="18"/>
                <w:szCs w:val="18"/>
              </w:rPr>
            </w:pPr>
          </w:p>
        </w:tc>
        <w:tc>
          <w:tcPr>
            <w:tcW w:w="836"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3458506">
            <w:pPr>
              <w:spacing w:line="200" w:lineRule="exact"/>
              <w:jc w:val="center"/>
              <w:rPr>
                <w:rFonts w:hint="default" w:ascii="Times New Roman" w:hAnsi="Times New Roman" w:cs="Times New Roman"/>
                <w:b/>
                <w:color w:val="000000"/>
                <w:sz w:val="18"/>
                <w:szCs w:val="18"/>
              </w:rPr>
            </w:pPr>
          </w:p>
        </w:tc>
        <w:tc>
          <w:tcPr>
            <w:tcW w:w="192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810DCE1">
            <w:pPr>
              <w:spacing w:line="200" w:lineRule="exact"/>
              <w:jc w:val="center"/>
              <w:rPr>
                <w:rFonts w:hint="default" w:ascii="Times New Roman" w:hAnsi="Times New Roman" w:cs="Times New Roman"/>
                <w:b/>
                <w:color w:val="000000"/>
                <w:sz w:val="18"/>
                <w:szCs w:val="18"/>
              </w:rPr>
            </w:pPr>
          </w:p>
        </w:tc>
        <w:tc>
          <w:tcPr>
            <w:tcW w:w="165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350E894">
            <w:pPr>
              <w:spacing w:line="200" w:lineRule="exact"/>
              <w:jc w:val="center"/>
              <w:rPr>
                <w:rFonts w:hint="default" w:ascii="Times New Roman" w:hAnsi="Times New Roman" w:cs="Times New Roman"/>
                <w:b/>
                <w:color w:val="000000"/>
                <w:sz w:val="18"/>
                <w:szCs w:val="18"/>
              </w:rPr>
            </w:pPr>
          </w:p>
        </w:tc>
        <w:tc>
          <w:tcPr>
            <w:tcW w:w="808"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29249AC">
            <w:pPr>
              <w:spacing w:line="200" w:lineRule="exact"/>
              <w:jc w:val="center"/>
              <w:rPr>
                <w:rFonts w:hint="default" w:ascii="Times New Roman" w:hAnsi="Times New Roman" w:cs="Times New Roman"/>
                <w:b/>
                <w:color w:val="000000"/>
                <w:sz w:val="18"/>
                <w:szCs w:val="18"/>
              </w:rPr>
            </w:pPr>
          </w:p>
        </w:tc>
        <w:tc>
          <w:tcPr>
            <w:tcW w:w="352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2BB9D5B">
            <w:pPr>
              <w:spacing w:line="200" w:lineRule="exact"/>
              <w:jc w:val="center"/>
              <w:rPr>
                <w:rFonts w:hint="default" w:ascii="Times New Roman" w:hAnsi="Times New Roman" w:cs="Times New Roman"/>
                <w:b/>
                <w:color w:val="000000"/>
                <w:sz w:val="18"/>
                <w:szCs w:val="18"/>
              </w:rPr>
            </w:pPr>
          </w:p>
        </w:tc>
        <w:tc>
          <w:tcPr>
            <w:tcW w:w="188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6147C36">
            <w:pPr>
              <w:spacing w:line="200" w:lineRule="exact"/>
              <w:jc w:val="center"/>
              <w:rPr>
                <w:rFonts w:hint="default" w:ascii="Times New Roman" w:hAnsi="Times New Roman" w:cs="Times New Roman"/>
                <w:b/>
                <w:color w:val="000000"/>
                <w:sz w:val="18"/>
                <w:szCs w:val="18"/>
              </w:rPr>
            </w:pPr>
          </w:p>
        </w:tc>
      </w:tr>
      <w:tr w14:paraId="0A41D70A">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C28B7D8">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1A4F547">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工资福利支出</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8C8B80">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48.49</w:t>
            </w: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8E9CCB6">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9DF83EB">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商品和服务支出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7DB57D">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13.59</w:t>
            </w: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AF78743">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844BF85">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资本性支出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1B8ACC">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1BDBA528">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42CD2CC">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8363619">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基本工资</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86BB19">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12.00</w:t>
            </w: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F3CA687">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0E3B42E">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办公费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AEBE98">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10.83</w:t>
            </w: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0243ECB">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5994993">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房屋建筑物购建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990E45">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688EB399">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366F19E">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30102</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1739325">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津贴补贴</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DA08D3">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2.12</w:t>
            </w: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68E9699">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0C33F1A">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印刷费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726B21">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F71C399">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5D482C7">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办公设备购置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331EFC">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6C1A66A7">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DB0875A">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AD709B0">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奖金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E5EADB">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F489F5E">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30203</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A1F94F1">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咨询费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2D1070">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2A9F274">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31003</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3ABF4C4">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专用设备购置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9B644D">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7E29816A">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53CFC55">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30106</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706EC8F">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伙食补助费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1D2C21">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38AD421">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48E0CED">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手续费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8E1D28">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35EDB27">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31005</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9C0D6FB">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基础设施建设</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A83FBB">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5BC2522F">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86F164E">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30107</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BF965F9">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绩效工资</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D92F80">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25.52</w:t>
            </w: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7F025FE">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30205</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C1D12AC">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水费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38DAB0">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8CA5033">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31006</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0166623">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大型修缮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2D6645">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257F71ED">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FCB7430">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30108</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EDE34E2">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机关事业单位基本养老保险缴费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0D7F30">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3.86</w:t>
            </w: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30D1BF2">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30206</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E2D7398">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电费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6FB64C">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E9B035D">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31007</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57ED5CE">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信息网络及软件购置更新</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321D48">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37EE0F00">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935456E">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FD42B25">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职业年金缴费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20744F">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1.93</w:t>
            </w: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B6BB095">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D02B693">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邮电费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9D0B75">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4D1BBDE">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31008</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6E96C42">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物资储备</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DD7218">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6838A462">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A1B78E9">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30110</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4AA57B2">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职工基本医疗保险缴费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088EE7">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1.67</w:t>
            </w: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FC07459">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30208</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893D5DF">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取暖费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431E9B">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53D1A62">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A481305">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土地补偿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6C5F43">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3E3B5A4C">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27B8655">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30111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087CF1E">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公务员医疗补助缴费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F164E9">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516BF95">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F40EE7C">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物业管理费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047F40">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3F7DEDD">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31010</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E673C04">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安置补助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FDD5F1">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47F1B64A">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6A883F4">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30112</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79C0EB6">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其他社会保障缴费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6D5D1C">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0.04</w:t>
            </w: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9DEE577">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73C408E">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差旅费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C42449">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144B5CD">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31011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259BC90">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地上附着物和青苗补偿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17DE51">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10056657">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0BA29D0">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30113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92D052A">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住房公积金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2FF1E6">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0.28</w:t>
            </w: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1DC2CB9">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51AA38F">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因公出国（境）费用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AEEF20">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C92A531">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31012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559C7C3">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拆迁补偿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8B4A0F">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241B0256">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8D6B6B1">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30114</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6142ECD">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医疗费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AB1302">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0.48</w:t>
            </w: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BB22062">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30213</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432D20F">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维修（护）费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7E9AF9">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87B758D">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31013</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0374699">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公务用车购置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68E65C">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39EB35D0">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9F74B1C">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30199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67F8431">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其他工资福利支出</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B4C02C">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0.58</w:t>
            </w: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0CF78AD">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933F99E">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租赁费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E296F2">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13F98E4">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31019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923CA5D">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其他交通工具购置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EA8661">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4695CD12">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DAF3DF9">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4F80956">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对个人和家庭的补助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76A674">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51298FB">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30215</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7E0D009">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会议费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ABB441">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C9110AA">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31021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BE65C34">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文物和陈列品购置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DEDD04">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0B5D370B">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9096074">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B95C26E">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离休费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E9E305">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07A5B82">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30216</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5C1CD90">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培训费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AE8927">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4C2EAEF">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31022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BC7AC52">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无形资产购置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4A3AB1">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6BA666C9">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179DB10">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30302</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6D28C18">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退休费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3F9831">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C02C7B6">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4477091">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公务接待费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BA704D">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1DA19CC">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0F37881">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其他资本性支出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3B93C7">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15AA4F09">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9538639">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9E8753A">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退职（役）费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6FFDD0">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2F010CD">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30218</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F90D093">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专用材料费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8C2D61">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CBB76ED">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1C86C1E">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对企业补助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DF01A6">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02A2D751">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379AB36">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30304</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59A84C6">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抚恤金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9AD991">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2228895">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D3A6FE6">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被装购置费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03E05F">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6B50DF8">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31201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0F1F4C3">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资本金注入</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D6BF91">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5139CBFE">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562D630">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30305</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F05650F">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生活补助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0ED75F">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10A4902">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30225</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8343F72">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专用燃料费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0DDBD7">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C55AA56">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31203</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99AAB2F">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政府投资基金股权投资</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1830F4">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5720D374">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C9C1C28">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30306</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E39EC88">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救济费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E76D6D">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D2BD043">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30226</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5458161">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劳务费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BE0E4C">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0.30</w:t>
            </w: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07E748E">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31204</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FFE1B48">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费用补贴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4F9F0A">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25F4FFA5">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000902A">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30307</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2C4E128">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医疗费补助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92BFB5">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147E215">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A56F011">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委托业务费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CB6B45">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93EE73D">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31205</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AD0AFFC">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利息补贴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4048F7">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2D45F811">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9A0CA2A">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30308</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896787D">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助学金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EB1F21">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674EF05">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30228</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BBF267C">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工会经费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27DF92">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1.53</w:t>
            </w: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E1EA333">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9E2658B">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其他对企业补助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C286F9">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5343FADF">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F4FAAD8">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09963BE">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奖励金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F094B3">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BADD3A3">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4C465AA">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福利费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5CAB40">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1BAF0C9">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F9F1A57">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其他支出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9BAAE3">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3E531241">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39F85F4">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30310</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C138E70">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个人农业生产补贴</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855DC9">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813D108">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30231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F8E864C">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公务用车运行维护费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204953">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AEF628A">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39907</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EC3EA49">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国家赔偿费用支出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90FC49">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1A79ECEC">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C0EB96E">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30311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2610AE7">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代缴社会保险费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AB4C0E">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35ADE8E">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30239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BE35830">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其他交通费用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6C7B3E">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55B425D">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39908</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F2E58BA">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对民间非营利组织和群众性自治组织补贴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2801A3">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36D5ACF2">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2BE4F68">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30399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95A643C">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其他对个人和家庭的补助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111C3E">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BD2299F">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30240</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AD20EB6">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税金及附加费用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874083">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BBEFADD">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39909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E7C09E9">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经常性赠与</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45C534">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33FACBAE">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CB49CD7">
            <w:pPr>
              <w:spacing w:line="200" w:lineRule="exact"/>
              <w:rPr>
                <w:rFonts w:hint="default" w:ascii="Times New Roman" w:hAnsi="Times New Roman" w:cs="Times New Roman"/>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FF825E6">
            <w:pPr>
              <w:spacing w:line="200" w:lineRule="exact"/>
              <w:rPr>
                <w:rFonts w:hint="default" w:ascii="Times New Roman" w:hAnsi="Times New Roman" w:cs="Times New Roman"/>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1E962185">
            <w:pPr>
              <w:spacing w:line="200" w:lineRule="exact"/>
              <w:rPr>
                <w:rFonts w:hint="default" w:ascii="Times New Roman" w:hAnsi="Times New Roman" w:cs="Times New Roman"/>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A2D9115">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30299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3FBFD4E">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其他商品和服务支出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6237C8">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0.92</w:t>
            </w: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C92770C">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39910</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8470453">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资本性赠与</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10874E">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159B3CB2">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0278BA2">
            <w:pPr>
              <w:spacing w:line="200" w:lineRule="exact"/>
              <w:rPr>
                <w:rFonts w:hint="default" w:ascii="Times New Roman" w:hAnsi="Times New Roman" w:cs="Times New Roman"/>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C99EE44">
            <w:pPr>
              <w:spacing w:line="200" w:lineRule="exact"/>
              <w:rPr>
                <w:rFonts w:hint="default" w:ascii="Times New Roman" w:hAnsi="Times New Roman" w:cs="Times New Roman"/>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6A4E5291">
            <w:pPr>
              <w:spacing w:line="200" w:lineRule="exact"/>
              <w:rPr>
                <w:rFonts w:hint="default" w:ascii="Times New Roman" w:hAnsi="Times New Roman" w:cs="Times New Roman"/>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D084339">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953C9E7">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债务利息及费用支出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93A247">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CE53B4A">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39999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A6021C0">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631CBB">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3185B8CE">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6214212">
            <w:pPr>
              <w:spacing w:line="200" w:lineRule="exact"/>
              <w:rPr>
                <w:rFonts w:hint="default" w:ascii="Times New Roman" w:hAnsi="Times New Roman" w:cs="Times New Roman"/>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82A010E">
            <w:pPr>
              <w:spacing w:line="200" w:lineRule="exact"/>
              <w:rPr>
                <w:rFonts w:hint="default" w:ascii="Times New Roman" w:hAnsi="Times New Roman" w:cs="Times New Roman"/>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5084C6E1">
            <w:pPr>
              <w:spacing w:line="200" w:lineRule="exact"/>
              <w:rPr>
                <w:rFonts w:hint="default" w:ascii="Times New Roman" w:hAnsi="Times New Roman" w:cs="Times New Roman"/>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FEB769A">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30701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A298B37">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国内债务付息</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D57574">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F89AF43">
            <w:pPr>
              <w:spacing w:line="200" w:lineRule="exact"/>
              <w:rPr>
                <w:rFonts w:hint="default" w:ascii="Times New Roman" w:hAnsi="Times New Roman" w:cs="Times New Roman"/>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B343EB4">
            <w:pPr>
              <w:spacing w:line="200" w:lineRule="exact"/>
              <w:rPr>
                <w:rFonts w:hint="default" w:ascii="Times New Roman" w:hAnsi="Times New Roman" w:cs="Times New Roman"/>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30FE2A">
            <w:pPr>
              <w:spacing w:line="200" w:lineRule="exact"/>
              <w:jc w:val="right"/>
              <w:rPr>
                <w:rFonts w:hint="default" w:ascii="Times New Roman" w:hAnsi="Times New Roman" w:cs="Times New Roman"/>
                <w:color w:val="000000"/>
                <w:sz w:val="18"/>
                <w:szCs w:val="18"/>
              </w:rPr>
            </w:pPr>
          </w:p>
        </w:tc>
      </w:tr>
      <w:tr w14:paraId="720AF951">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148057B">
            <w:pPr>
              <w:spacing w:line="200" w:lineRule="exact"/>
              <w:rPr>
                <w:rFonts w:hint="default" w:ascii="Times New Roman" w:hAnsi="Times New Roman" w:cs="Times New Roman"/>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95EABDE">
            <w:pPr>
              <w:spacing w:line="200" w:lineRule="exact"/>
              <w:rPr>
                <w:rFonts w:hint="default" w:ascii="Times New Roman" w:hAnsi="Times New Roman" w:cs="Times New Roman"/>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3CF7C6A7">
            <w:pPr>
              <w:spacing w:line="200" w:lineRule="exact"/>
              <w:rPr>
                <w:rFonts w:hint="default" w:ascii="Times New Roman" w:hAnsi="Times New Roman" w:cs="Times New Roman"/>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91A6DF8">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30702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1BE8114">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国外债务付息</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555ADE">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D2F1339">
            <w:pPr>
              <w:spacing w:line="200" w:lineRule="exact"/>
              <w:rPr>
                <w:rFonts w:hint="default" w:ascii="Times New Roman" w:hAnsi="Times New Roman" w:cs="Times New Roman"/>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4267A59">
            <w:pPr>
              <w:spacing w:line="200" w:lineRule="exact"/>
              <w:rPr>
                <w:rFonts w:hint="default" w:ascii="Times New Roman" w:hAnsi="Times New Roman" w:cs="Times New Roman"/>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5337B0">
            <w:pPr>
              <w:spacing w:line="200" w:lineRule="exact"/>
              <w:jc w:val="right"/>
              <w:rPr>
                <w:rFonts w:hint="default" w:ascii="Times New Roman" w:hAnsi="Times New Roman" w:cs="Times New Roman"/>
                <w:color w:val="000000"/>
                <w:sz w:val="18"/>
                <w:szCs w:val="18"/>
              </w:rPr>
            </w:pPr>
          </w:p>
        </w:tc>
      </w:tr>
      <w:tr w14:paraId="7398AE71">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8FB6635">
            <w:pPr>
              <w:spacing w:line="200" w:lineRule="exact"/>
              <w:rPr>
                <w:rFonts w:hint="default" w:ascii="Times New Roman" w:hAnsi="Times New Roman" w:cs="Times New Roman"/>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7CB20B0">
            <w:pPr>
              <w:spacing w:line="200" w:lineRule="exact"/>
              <w:rPr>
                <w:rFonts w:hint="default" w:ascii="Times New Roman" w:hAnsi="Times New Roman" w:cs="Times New Roman"/>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7048BF86">
            <w:pPr>
              <w:spacing w:line="200" w:lineRule="exact"/>
              <w:rPr>
                <w:rFonts w:hint="default" w:ascii="Times New Roman" w:hAnsi="Times New Roman" w:cs="Times New Roman"/>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6EA21D5">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30703</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E250B47">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国内债务发行费用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EBB065">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E1C68D8">
            <w:pPr>
              <w:spacing w:line="200" w:lineRule="exact"/>
              <w:rPr>
                <w:rFonts w:hint="default" w:ascii="Times New Roman" w:hAnsi="Times New Roman" w:cs="Times New Roman"/>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05918A4">
            <w:pPr>
              <w:spacing w:line="200" w:lineRule="exact"/>
              <w:rPr>
                <w:rFonts w:hint="default" w:ascii="Times New Roman" w:hAnsi="Times New Roman" w:cs="Times New Roman"/>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2DD5CA">
            <w:pPr>
              <w:spacing w:line="200" w:lineRule="exact"/>
              <w:jc w:val="right"/>
              <w:rPr>
                <w:rFonts w:hint="default" w:ascii="Times New Roman" w:hAnsi="Times New Roman" w:cs="Times New Roman"/>
                <w:color w:val="000000"/>
                <w:sz w:val="18"/>
                <w:szCs w:val="18"/>
              </w:rPr>
            </w:pPr>
          </w:p>
        </w:tc>
      </w:tr>
      <w:tr w14:paraId="68EFAD40">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35125C0">
            <w:pPr>
              <w:spacing w:line="200" w:lineRule="exact"/>
              <w:rPr>
                <w:rFonts w:hint="default" w:ascii="Times New Roman" w:hAnsi="Times New Roman" w:cs="Times New Roman"/>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B4223A3">
            <w:pPr>
              <w:spacing w:line="200" w:lineRule="exact"/>
              <w:rPr>
                <w:rFonts w:hint="default" w:ascii="Times New Roman" w:hAnsi="Times New Roman" w:cs="Times New Roman"/>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37E28CEE">
            <w:pPr>
              <w:spacing w:line="200" w:lineRule="exact"/>
              <w:rPr>
                <w:rFonts w:hint="default" w:ascii="Times New Roman" w:hAnsi="Times New Roman" w:cs="Times New Roman"/>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1625521">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30704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709BB1C">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国外债务发行费用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53AA97">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BD0F671">
            <w:pPr>
              <w:spacing w:line="200" w:lineRule="exact"/>
              <w:rPr>
                <w:rFonts w:hint="default" w:ascii="Times New Roman" w:hAnsi="Times New Roman" w:cs="Times New Roman"/>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40C98D3">
            <w:pPr>
              <w:spacing w:line="200" w:lineRule="exact"/>
              <w:rPr>
                <w:rFonts w:hint="default" w:ascii="Times New Roman" w:hAnsi="Times New Roman" w:cs="Times New Roman"/>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C6C6D8">
            <w:pPr>
              <w:spacing w:line="200" w:lineRule="exact"/>
              <w:jc w:val="right"/>
              <w:rPr>
                <w:rFonts w:hint="default" w:ascii="Times New Roman" w:hAnsi="Times New Roman" w:cs="Times New Roman"/>
                <w:color w:val="000000"/>
                <w:sz w:val="18"/>
                <w:szCs w:val="18"/>
              </w:rPr>
            </w:pPr>
          </w:p>
        </w:tc>
      </w:tr>
      <w:tr w14:paraId="36F987AD">
        <w:tblPrEx>
          <w:tblCellMar>
            <w:top w:w="0" w:type="dxa"/>
            <w:left w:w="0" w:type="dxa"/>
            <w:bottom w:w="0" w:type="dxa"/>
            <w:right w:w="0" w:type="dxa"/>
          </w:tblCellMar>
        </w:tblPrEx>
        <w:trPr>
          <w:trHeight w:val="90" w:hRule="atLeast"/>
        </w:trPr>
        <w:tc>
          <w:tcPr>
            <w:tcW w:w="3345"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F71FD33">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人员经费合计</w:t>
            </w:r>
          </w:p>
        </w:tc>
        <w:tc>
          <w:tcPr>
            <w:tcW w:w="137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2B87CD4E">
            <w:pPr>
              <w:wordWrap w:val="0"/>
              <w:spacing w:line="200" w:lineRule="exact"/>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48.49</w:t>
            </w:r>
            <w:r>
              <w:rPr>
                <w:rFonts w:hint="default" w:ascii="Times New Roman" w:hAnsi="Times New Roman" w:cs="Times New Roman"/>
                <w:color w:val="000000"/>
                <w:sz w:val="18"/>
                <w:u w:color="auto"/>
              </w:rPr>
              <w:t xml:space="preserve"> </w:t>
            </w:r>
          </w:p>
        </w:tc>
        <w:tc>
          <w:tcPr>
            <w:tcW w:w="8750" w:type="dxa"/>
            <w:gridSpan w:val="5"/>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2AD4969">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公用经费合计</w:t>
            </w:r>
          </w:p>
        </w:tc>
        <w:tc>
          <w:tcPr>
            <w:tcW w:w="18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6AA3047">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13.59</w:t>
            </w:r>
            <w:r>
              <w:rPr>
                <w:rFonts w:hint="default" w:ascii="Times New Roman" w:hAnsi="Times New Roman" w:cs="Times New Roman"/>
                <w:color w:val="000000"/>
                <w:sz w:val="18"/>
                <w:u w:color="auto"/>
              </w:rPr>
              <w:t xml:space="preserve"> </w:t>
            </w:r>
          </w:p>
        </w:tc>
      </w:tr>
    </w:tbl>
    <w:p w14:paraId="7EF926D5">
      <w:pPr>
        <w:spacing w:line="280" w:lineRule="exact"/>
        <w:rPr>
          <w:rFonts w:hint="default" w:ascii="Times New Roman" w:hAnsi="Times New Roman" w:cs="Times New Roman"/>
          <w:sz w:val="20"/>
          <w:szCs w:val="20"/>
        </w:rPr>
      </w:pPr>
      <w:r>
        <w:rPr>
          <w:rFonts w:hint="default" w:ascii="Times New Roman" w:hAnsi="Times New Roman" w:cs="Times New Roman"/>
          <w:sz w:val="20"/>
          <w:szCs w:val="20"/>
        </w:rPr>
        <w:t>备注：1.本表反映单位本年度一般公共预算财政拨款基本支出明细情况。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 xml:space="preserve">      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r>
        <w:rPr>
          <w:rFonts w:hint="default" w:ascii="Times New Roman" w:hAnsi="Times New Roman" w:cs="Times New Roman"/>
          <w:sz w:val="21"/>
          <w:szCs w:val="21"/>
        </w:rPr>
        <w:br w:type="page"/>
      </w:r>
    </w:p>
    <w:tbl>
      <w:tblPr>
        <w:tblStyle w:val="7"/>
        <w:tblW w:w="15378" w:type="dxa"/>
        <w:tblInd w:w="0" w:type="dxa"/>
        <w:tblLayout w:type="fixed"/>
        <w:tblCellMar>
          <w:top w:w="0" w:type="dxa"/>
          <w:left w:w="0" w:type="dxa"/>
          <w:bottom w:w="0" w:type="dxa"/>
          <w:right w:w="0" w:type="dxa"/>
        </w:tblCellMar>
      </w:tblPr>
      <w:tblGrid>
        <w:gridCol w:w="1854"/>
        <w:gridCol w:w="3088"/>
        <w:gridCol w:w="1707"/>
        <w:gridCol w:w="1707"/>
        <w:gridCol w:w="1707"/>
        <w:gridCol w:w="1707"/>
        <w:gridCol w:w="1772"/>
        <w:gridCol w:w="1836"/>
      </w:tblGrid>
      <w:tr w14:paraId="08B8275A">
        <w:tblPrEx>
          <w:tblCellMar>
            <w:top w:w="0" w:type="dxa"/>
            <w:left w:w="0" w:type="dxa"/>
            <w:bottom w:w="0" w:type="dxa"/>
            <w:right w:w="0" w:type="dxa"/>
          </w:tblCellMar>
        </w:tblPrEx>
        <w:trPr>
          <w:trHeight w:val="644" w:hRule="atLeast"/>
        </w:trPr>
        <w:tc>
          <w:tcPr>
            <w:tcW w:w="15378" w:type="dxa"/>
            <w:gridSpan w:val="8"/>
            <w:tcBorders>
              <w:top w:val="nil"/>
              <w:left w:val="nil"/>
              <w:bottom w:val="nil"/>
              <w:right w:val="nil"/>
            </w:tcBorders>
            <w:shd w:val="clear" w:color="auto" w:fill="auto"/>
            <w:tcMar>
              <w:top w:w="15" w:type="dxa"/>
              <w:left w:w="15" w:type="dxa"/>
              <w:right w:w="15" w:type="dxa"/>
            </w:tcMar>
            <w:vAlign w:val="bottom"/>
          </w:tcPr>
          <w:p w14:paraId="6314277C">
            <w:pPr>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政府性基金预算财政拨款收入支出决算表</w:t>
            </w:r>
          </w:p>
        </w:tc>
      </w:tr>
      <w:tr w14:paraId="02A12287">
        <w:tblPrEx>
          <w:tblCellMar>
            <w:top w:w="0" w:type="dxa"/>
            <w:left w:w="0" w:type="dxa"/>
            <w:bottom w:w="0" w:type="dxa"/>
            <w:right w:w="0" w:type="dxa"/>
          </w:tblCellMar>
        </w:tblPrEx>
        <w:trPr>
          <w:trHeight w:val="329" w:hRule="atLeast"/>
        </w:trPr>
        <w:tc>
          <w:tcPr>
            <w:tcW w:w="6649" w:type="dxa"/>
            <w:gridSpan w:val="3"/>
            <w:vMerge w:val="restart"/>
            <w:tcBorders>
              <w:top w:val="nil"/>
              <w:left w:val="nil"/>
              <w:right w:val="nil"/>
            </w:tcBorders>
            <w:shd w:val="clear" w:color="auto" w:fill="auto"/>
            <w:tcMar>
              <w:top w:w="15" w:type="dxa"/>
              <w:left w:w="15" w:type="dxa"/>
              <w:right w:w="15" w:type="dxa"/>
            </w:tcMar>
            <w:vAlign w:val="bottom"/>
          </w:tcPr>
          <w:p w14:paraId="63B29E7E">
            <w:pPr>
              <w:rPr>
                <w:rFonts w:hint="default" w:ascii="Times New Roman" w:hAnsi="Times New Roman" w:cs="Times New Roman"/>
                <w:color w:val="000000"/>
                <w:sz w:val="20"/>
                <w:szCs w:val="20"/>
              </w:rPr>
            </w:pPr>
            <w:r>
              <w:rPr>
                <w:rFonts w:hint="default" w:ascii="Times New Roman" w:hAnsi="Times New Roman" w:cs="Times New Roman"/>
                <w:sz w:val="20"/>
                <w:szCs w:val="20"/>
              </w:rPr>
              <w:t>公开单位</w:t>
            </w:r>
            <w:r>
              <w:rPr>
                <w:rFonts w:hint="default" w:ascii="Times New Roman" w:hAnsi="Times New Roman" w:cs="Times New Roman"/>
                <w:color w:val="000000"/>
                <w:sz w:val="20"/>
                <w:szCs w:val="20"/>
              </w:rPr>
              <w:t xml:space="preserve">： </w:t>
            </w:r>
            <w:r>
              <w:rPr>
                <w:rFonts w:hint="default" w:ascii="Times New Roman" w:hAnsi="Times New Roman" w:cs="Times New Roman"/>
                <w:color w:val="000000"/>
                <w:sz w:val="20"/>
                <w:u w:color="auto"/>
              </w:rPr>
              <w:t>重庆市大渡口区八桥镇退役军人服务站</w:t>
            </w:r>
          </w:p>
        </w:tc>
        <w:tc>
          <w:tcPr>
            <w:tcW w:w="1707" w:type="dxa"/>
            <w:tcBorders>
              <w:top w:val="nil"/>
              <w:left w:val="nil"/>
              <w:bottom w:val="nil"/>
              <w:right w:val="nil"/>
            </w:tcBorders>
            <w:shd w:val="clear" w:color="auto" w:fill="auto"/>
            <w:tcMar>
              <w:top w:w="15" w:type="dxa"/>
              <w:left w:w="15" w:type="dxa"/>
              <w:right w:w="15" w:type="dxa"/>
            </w:tcMar>
            <w:vAlign w:val="bottom"/>
          </w:tcPr>
          <w:p w14:paraId="0BD10892">
            <w:pPr>
              <w:rPr>
                <w:rFonts w:hint="default" w:ascii="Times New Roman" w:hAnsi="Times New Roman" w:cs="Times New Roman"/>
                <w:color w:val="000000"/>
                <w:sz w:val="20"/>
                <w:szCs w:val="20"/>
              </w:rPr>
            </w:pPr>
          </w:p>
        </w:tc>
        <w:tc>
          <w:tcPr>
            <w:tcW w:w="1707" w:type="dxa"/>
            <w:tcBorders>
              <w:top w:val="nil"/>
              <w:left w:val="nil"/>
              <w:bottom w:val="nil"/>
              <w:right w:val="nil"/>
            </w:tcBorders>
            <w:shd w:val="clear" w:color="auto" w:fill="auto"/>
            <w:tcMar>
              <w:top w:w="15" w:type="dxa"/>
              <w:left w:w="15" w:type="dxa"/>
              <w:right w:w="15" w:type="dxa"/>
            </w:tcMar>
            <w:vAlign w:val="bottom"/>
          </w:tcPr>
          <w:p w14:paraId="4AE79BE4">
            <w:pPr>
              <w:rPr>
                <w:rFonts w:hint="default" w:ascii="Times New Roman" w:hAnsi="Times New Roman" w:cs="Times New Roman"/>
                <w:color w:val="000000"/>
                <w:sz w:val="20"/>
                <w:szCs w:val="20"/>
              </w:rPr>
            </w:pPr>
          </w:p>
        </w:tc>
        <w:tc>
          <w:tcPr>
            <w:tcW w:w="1707" w:type="dxa"/>
            <w:tcBorders>
              <w:top w:val="nil"/>
              <w:left w:val="nil"/>
              <w:bottom w:val="nil"/>
              <w:right w:val="nil"/>
            </w:tcBorders>
            <w:shd w:val="clear" w:color="auto" w:fill="auto"/>
            <w:tcMar>
              <w:top w:w="15" w:type="dxa"/>
              <w:left w:w="15" w:type="dxa"/>
              <w:right w:w="15" w:type="dxa"/>
            </w:tcMar>
            <w:vAlign w:val="bottom"/>
          </w:tcPr>
          <w:p w14:paraId="30AAD011">
            <w:pPr>
              <w:rPr>
                <w:rFonts w:hint="default" w:ascii="Times New Roman" w:hAnsi="Times New Roman" w:cs="Times New Roman"/>
                <w:color w:val="000000"/>
                <w:sz w:val="20"/>
                <w:szCs w:val="20"/>
              </w:rPr>
            </w:pPr>
          </w:p>
        </w:tc>
        <w:tc>
          <w:tcPr>
            <w:tcW w:w="1772" w:type="dxa"/>
            <w:tcBorders>
              <w:top w:val="nil"/>
              <w:left w:val="nil"/>
              <w:bottom w:val="nil"/>
              <w:right w:val="nil"/>
            </w:tcBorders>
            <w:shd w:val="clear" w:color="auto" w:fill="auto"/>
            <w:tcMar>
              <w:top w:w="15" w:type="dxa"/>
              <w:left w:w="15" w:type="dxa"/>
              <w:right w:w="15" w:type="dxa"/>
            </w:tcMar>
            <w:vAlign w:val="bottom"/>
          </w:tcPr>
          <w:p w14:paraId="5AD22C26">
            <w:pPr>
              <w:rPr>
                <w:rFonts w:hint="default" w:ascii="Times New Roman" w:hAnsi="Times New Roman" w:cs="Times New Roman"/>
                <w:color w:val="000000"/>
                <w:sz w:val="20"/>
                <w:szCs w:val="20"/>
              </w:rPr>
            </w:pPr>
          </w:p>
        </w:tc>
        <w:tc>
          <w:tcPr>
            <w:tcW w:w="1836" w:type="dxa"/>
            <w:tcBorders>
              <w:top w:val="nil"/>
              <w:left w:val="nil"/>
              <w:bottom w:val="nil"/>
              <w:right w:val="nil"/>
            </w:tcBorders>
            <w:shd w:val="clear" w:color="auto" w:fill="auto"/>
            <w:tcMar>
              <w:top w:w="15" w:type="dxa"/>
              <w:left w:w="15" w:type="dxa"/>
              <w:right w:w="15" w:type="dxa"/>
            </w:tcMar>
            <w:vAlign w:val="bottom"/>
          </w:tcPr>
          <w:p w14:paraId="2FF5D42F">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公开07表</w:t>
            </w:r>
          </w:p>
        </w:tc>
      </w:tr>
      <w:tr w14:paraId="5FDF9928">
        <w:tblPrEx>
          <w:tblCellMar>
            <w:top w:w="0" w:type="dxa"/>
            <w:left w:w="0" w:type="dxa"/>
            <w:bottom w:w="0" w:type="dxa"/>
            <w:right w:w="0" w:type="dxa"/>
          </w:tblCellMar>
        </w:tblPrEx>
        <w:trPr>
          <w:trHeight w:val="329" w:hRule="atLeast"/>
        </w:trPr>
        <w:tc>
          <w:tcPr>
            <w:tcW w:w="6649" w:type="dxa"/>
            <w:gridSpan w:val="3"/>
            <w:vMerge w:val="continue"/>
            <w:tcBorders>
              <w:left w:val="nil"/>
              <w:bottom w:val="nil"/>
              <w:right w:val="nil"/>
            </w:tcBorders>
            <w:shd w:val="clear" w:color="auto" w:fill="auto"/>
            <w:tcMar>
              <w:top w:w="15" w:type="dxa"/>
              <w:left w:w="15" w:type="dxa"/>
              <w:right w:w="15" w:type="dxa"/>
            </w:tcMar>
            <w:vAlign w:val="bottom"/>
          </w:tcPr>
          <w:p w14:paraId="4AE09A8E">
            <w:pPr>
              <w:rPr>
                <w:rFonts w:hint="default" w:ascii="Times New Roman" w:hAnsi="Times New Roman" w:cs="Times New Roman"/>
                <w:color w:val="000000"/>
                <w:sz w:val="20"/>
                <w:szCs w:val="20"/>
              </w:rPr>
            </w:pPr>
          </w:p>
        </w:tc>
        <w:tc>
          <w:tcPr>
            <w:tcW w:w="1707" w:type="dxa"/>
            <w:tcBorders>
              <w:top w:val="nil"/>
              <w:left w:val="nil"/>
              <w:bottom w:val="nil"/>
              <w:right w:val="nil"/>
            </w:tcBorders>
            <w:shd w:val="clear" w:color="auto" w:fill="auto"/>
            <w:tcMar>
              <w:top w:w="15" w:type="dxa"/>
              <w:left w:w="15" w:type="dxa"/>
              <w:right w:w="15" w:type="dxa"/>
            </w:tcMar>
            <w:vAlign w:val="bottom"/>
          </w:tcPr>
          <w:p w14:paraId="58FD270E">
            <w:pPr>
              <w:rPr>
                <w:rFonts w:hint="default" w:ascii="Times New Roman" w:hAnsi="Times New Roman" w:cs="Times New Roman"/>
                <w:color w:val="000000"/>
                <w:sz w:val="20"/>
                <w:szCs w:val="20"/>
              </w:rPr>
            </w:pPr>
          </w:p>
        </w:tc>
        <w:tc>
          <w:tcPr>
            <w:tcW w:w="1707" w:type="dxa"/>
            <w:tcBorders>
              <w:top w:val="nil"/>
              <w:left w:val="nil"/>
              <w:bottom w:val="nil"/>
              <w:right w:val="nil"/>
            </w:tcBorders>
            <w:shd w:val="clear" w:color="auto" w:fill="auto"/>
            <w:tcMar>
              <w:top w:w="15" w:type="dxa"/>
              <w:left w:w="15" w:type="dxa"/>
              <w:right w:w="15" w:type="dxa"/>
            </w:tcMar>
            <w:vAlign w:val="bottom"/>
          </w:tcPr>
          <w:p w14:paraId="2C851E44">
            <w:pPr>
              <w:rPr>
                <w:rFonts w:hint="default" w:ascii="Times New Roman" w:hAnsi="Times New Roman" w:cs="Times New Roman"/>
                <w:color w:val="000000"/>
                <w:sz w:val="20"/>
                <w:szCs w:val="20"/>
              </w:rPr>
            </w:pPr>
          </w:p>
        </w:tc>
        <w:tc>
          <w:tcPr>
            <w:tcW w:w="1707" w:type="dxa"/>
            <w:tcBorders>
              <w:top w:val="nil"/>
              <w:left w:val="nil"/>
              <w:bottom w:val="nil"/>
              <w:right w:val="nil"/>
            </w:tcBorders>
            <w:shd w:val="clear" w:color="auto" w:fill="auto"/>
            <w:tcMar>
              <w:top w:w="15" w:type="dxa"/>
              <w:left w:w="15" w:type="dxa"/>
              <w:right w:w="15" w:type="dxa"/>
            </w:tcMar>
            <w:vAlign w:val="bottom"/>
          </w:tcPr>
          <w:p w14:paraId="7F5251FD">
            <w:pPr>
              <w:rPr>
                <w:rFonts w:hint="default" w:ascii="Times New Roman" w:hAnsi="Times New Roman" w:cs="Times New Roman"/>
                <w:color w:val="000000"/>
                <w:sz w:val="20"/>
                <w:szCs w:val="20"/>
              </w:rPr>
            </w:pPr>
          </w:p>
        </w:tc>
        <w:tc>
          <w:tcPr>
            <w:tcW w:w="1772" w:type="dxa"/>
            <w:tcBorders>
              <w:top w:val="nil"/>
              <w:left w:val="nil"/>
              <w:bottom w:val="nil"/>
              <w:right w:val="nil"/>
            </w:tcBorders>
            <w:shd w:val="clear" w:color="auto" w:fill="auto"/>
            <w:tcMar>
              <w:top w:w="15" w:type="dxa"/>
              <w:left w:w="15" w:type="dxa"/>
              <w:right w:w="15" w:type="dxa"/>
            </w:tcMar>
            <w:vAlign w:val="bottom"/>
          </w:tcPr>
          <w:p w14:paraId="60F72008">
            <w:pPr>
              <w:rPr>
                <w:rFonts w:hint="default" w:ascii="Times New Roman" w:hAnsi="Times New Roman" w:cs="Times New Roman"/>
                <w:color w:val="000000"/>
                <w:sz w:val="20"/>
                <w:szCs w:val="20"/>
              </w:rPr>
            </w:pPr>
          </w:p>
        </w:tc>
        <w:tc>
          <w:tcPr>
            <w:tcW w:w="1836" w:type="dxa"/>
            <w:tcBorders>
              <w:top w:val="nil"/>
              <w:left w:val="nil"/>
              <w:bottom w:val="nil"/>
              <w:right w:val="nil"/>
            </w:tcBorders>
            <w:shd w:val="clear" w:color="auto" w:fill="auto"/>
            <w:tcMar>
              <w:top w:w="15" w:type="dxa"/>
              <w:left w:w="15" w:type="dxa"/>
              <w:right w:w="15" w:type="dxa"/>
            </w:tcMar>
            <w:vAlign w:val="bottom"/>
          </w:tcPr>
          <w:p w14:paraId="5FB6CC31">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14:paraId="0398A308">
        <w:tblPrEx>
          <w:tblCellMar>
            <w:top w:w="0" w:type="dxa"/>
            <w:left w:w="0" w:type="dxa"/>
            <w:bottom w:w="0" w:type="dxa"/>
            <w:right w:w="0" w:type="dxa"/>
          </w:tblCellMar>
        </w:tblPrEx>
        <w:trPr>
          <w:trHeight w:val="339" w:hRule="atLeast"/>
        </w:trPr>
        <w:tc>
          <w:tcPr>
            <w:tcW w:w="4942"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CB7653A">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1707"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0D239E8A">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年初结转和结余</w:t>
            </w:r>
          </w:p>
        </w:tc>
        <w:tc>
          <w:tcPr>
            <w:tcW w:w="170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36BCBAA">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本年收入</w:t>
            </w:r>
          </w:p>
        </w:tc>
        <w:tc>
          <w:tcPr>
            <w:tcW w:w="5186"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776C74FD">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本年支出</w:t>
            </w:r>
          </w:p>
        </w:tc>
        <w:tc>
          <w:tcPr>
            <w:tcW w:w="183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F1D8C69">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年末结转和结余</w:t>
            </w:r>
          </w:p>
        </w:tc>
      </w:tr>
      <w:tr w14:paraId="5038C2A2">
        <w:tblPrEx>
          <w:tblCellMar>
            <w:top w:w="0" w:type="dxa"/>
            <w:left w:w="0" w:type="dxa"/>
            <w:bottom w:w="0" w:type="dxa"/>
            <w:right w:w="0" w:type="dxa"/>
          </w:tblCellMar>
        </w:tblPrEx>
        <w:trPr>
          <w:trHeight w:val="335" w:hRule="atLeast"/>
        </w:trPr>
        <w:tc>
          <w:tcPr>
            <w:tcW w:w="1854"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F31AB11">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功能分类科目编码</w:t>
            </w:r>
          </w:p>
        </w:tc>
        <w:tc>
          <w:tcPr>
            <w:tcW w:w="3088"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63A6B55">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项目（按“项”级功能分类科目）</w:t>
            </w:r>
          </w:p>
        </w:tc>
        <w:tc>
          <w:tcPr>
            <w:tcW w:w="170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2CCCD635">
            <w:pPr>
              <w:jc w:val="center"/>
              <w:rPr>
                <w:rFonts w:hint="default" w:ascii="Times New Roman" w:hAnsi="Times New Roman" w:cs="Times New Roman"/>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94C6CB7">
            <w:pPr>
              <w:jc w:val="center"/>
              <w:rPr>
                <w:rFonts w:hint="default" w:ascii="Times New Roman" w:hAnsi="Times New Roman" w:cs="Times New Roman"/>
                <w:b/>
                <w:color w:val="000000"/>
                <w:sz w:val="20"/>
                <w:szCs w:val="20"/>
              </w:rPr>
            </w:pPr>
          </w:p>
        </w:tc>
        <w:tc>
          <w:tcPr>
            <w:tcW w:w="170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1507E0B">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170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D735CC6">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基本支出</w:t>
            </w:r>
          </w:p>
        </w:tc>
        <w:tc>
          <w:tcPr>
            <w:tcW w:w="1772"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1153FE8">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项目支出</w:t>
            </w:r>
          </w:p>
        </w:tc>
        <w:tc>
          <w:tcPr>
            <w:tcW w:w="18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10E8B5A">
            <w:pPr>
              <w:jc w:val="center"/>
              <w:rPr>
                <w:rFonts w:hint="default" w:ascii="Times New Roman" w:hAnsi="Times New Roman" w:cs="Times New Roman"/>
                <w:b/>
                <w:color w:val="000000"/>
                <w:sz w:val="20"/>
                <w:szCs w:val="20"/>
              </w:rPr>
            </w:pPr>
          </w:p>
        </w:tc>
      </w:tr>
      <w:tr w14:paraId="73E1DBB5">
        <w:tblPrEx>
          <w:tblCellMar>
            <w:top w:w="0" w:type="dxa"/>
            <w:left w:w="0" w:type="dxa"/>
            <w:bottom w:w="0" w:type="dxa"/>
            <w:right w:w="0" w:type="dxa"/>
          </w:tblCellMar>
        </w:tblPrEx>
        <w:trPr>
          <w:trHeight w:val="335" w:hRule="atLeast"/>
        </w:trPr>
        <w:tc>
          <w:tcPr>
            <w:tcW w:w="185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FE32128">
            <w:pPr>
              <w:jc w:val="center"/>
              <w:rPr>
                <w:rFonts w:hint="default" w:ascii="Times New Roman" w:hAnsi="Times New Roman" w:cs="Times New Roman"/>
                <w:b/>
                <w:color w:val="000000"/>
                <w:sz w:val="20"/>
                <w:szCs w:val="20"/>
              </w:rPr>
            </w:pPr>
          </w:p>
        </w:tc>
        <w:tc>
          <w:tcPr>
            <w:tcW w:w="308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AF25DCA">
            <w:pPr>
              <w:jc w:val="center"/>
              <w:rPr>
                <w:rFonts w:hint="default" w:ascii="Times New Roman" w:hAnsi="Times New Roman" w:cs="Times New Roman"/>
                <w:b/>
                <w:color w:val="000000"/>
                <w:sz w:val="20"/>
                <w:szCs w:val="20"/>
              </w:rPr>
            </w:pPr>
          </w:p>
        </w:tc>
        <w:tc>
          <w:tcPr>
            <w:tcW w:w="170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588F6BE4">
            <w:pPr>
              <w:jc w:val="center"/>
              <w:rPr>
                <w:rFonts w:hint="default" w:ascii="Times New Roman" w:hAnsi="Times New Roman" w:cs="Times New Roman"/>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A5D6ABB">
            <w:pPr>
              <w:jc w:val="center"/>
              <w:rPr>
                <w:rFonts w:hint="default" w:ascii="Times New Roman" w:hAnsi="Times New Roman" w:cs="Times New Roman"/>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3CA1BC3">
            <w:pPr>
              <w:jc w:val="center"/>
              <w:rPr>
                <w:rFonts w:hint="default" w:ascii="Times New Roman" w:hAnsi="Times New Roman" w:cs="Times New Roman"/>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643FE32">
            <w:pPr>
              <w:jc w:val="center"/>
              <w:rPr>
                <w:rFonts w:hint="default" w:ascii="Times New Roman" w:hAnsi="Times New Roman" w:cs="Times New Roman"/>
                <w:b/>
                <w:color w:val="000000"/>
                <w:sz w:val="20"/>
                <w:szCs w:val="20"/>
              </w:rPr>
            </w:pPr>
          </w:p>
        </w:tc>
        <w:tc>
          <w:tcPr>
            <w:tcW w:w="177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0A9D5A6">
            <w:pPr>
              <w:jc w:val="center"/>
              <w:rPr>
                <w:rFonts w:hint="default" w:ascii="Times New Roman" w:hAnsi="Times New Roman" w:cs="Times New Roman"/>
                <w:b/>
                <w:color w:val="000000"/>
                <w:sz w:val="20"/>
                <w:szCs w:val="20"/>
              </w:rPr>
            </w:pPr>
          </w:p>
        </w:tc>
        <w:tc>
          <w:tcPr>
            <w:tcW w:w="18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0759F2B">
            <w:pPr>
              <w:jc w:val="center"/>
              <w:rPr>
                <w:rFonts w:hint="default" w:ascii="Times New Roman" w:hAnsi="Times New Roman" w:cs="Times New Roman"/>
                <w:b/>
                <w:color w:val="000000"/>
                <w:sz w:val="20"/>
                <w:szCs w:val="20"/>
              </w:rPr>
            </w:pPr>
          </w:p>
        </w:tc>
      </w:tr>
      <w:tr w14:paraId="6FFAB231">
        <w:tblPrEx>
          <w:tblCellMar>
            <w:top w:w="0" w:type="dxa"/>
            <w:left w:w="0" w:type="dxa"/>
            <w:bottom w:w="0" w:type="dxa"/>
            <w:right w:w="0" w:type="dxa"/>
          </w:tblCellMar>
        </w:tblPrEx>
        <w:trPr>
          <w:trHeight w:val="645" w:hRule="atLeast"/>
        </w:trPr>
        <w:tc>
          <w:tcPr>
            <w:tcW w:w="185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B8A5C6B">
            <w:pPr>
              <w:jc w:val="center"/>
              <w:rPr>
                <w:rFonts w:hint="default" w:ascii="Times New Roman" w:hAnsi="Times New Roman" w:cs="Times New Roman"/>
                <w:b/>
                <w:color w:val="000000"/>
                <w:sz w:val="20"/>
                <w:szCs w:val="20"/>
              </w:rPr>
            </w:pPr>
          </w:p>
        </w:tc>
        <w:tc>
          <w:tcPr>
            <w:tcW w:w="308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6AB5985">
            <w:pPr>
              <w:jc w:val="center"/>
              <w:rPr>
                <w:rFonts w:hint="default" w:ascii="Times New Roman" w:hAnsi="Times New Roman" w:cs="Times New Roman"/>
                <w:b/>
                <w:color w:val="000000"/>
                <w:sz w:val="20"/>
                <w:szCs w:val="20"/>
              </w:rPr>
            </w:pPr>
          </w:p>
        </w:tc>
        <w:tc>
          <w:tcPr>
            <w:tcW w:w="170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385B595A">
            <w:pPr>
              <w:jc w:val="center"/>
              <w:rPr>
                <w:rFonts w:hint="default" w:ascii="Times New Roman" w:hAnsi="Times New Roman" w:cs="Times New Roman"/>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531AB91">
            <w:pPr>
              <w:jc w:val="center"/>
              <w:rPr>
                <w:rFonts w:hint="default" w:ascii="Times New Roman" w:hAnsi="Times New Roman" w:cs="Times New Roman"/>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A1B1B65">
            <w:pPr>
              <w:jc w:val="center"/>
              <w:rPr>
                <w:rFonts w:hint="default" w:ascii="Times New Roman" w:hAnsi="Times New Roman" w:cs="Times New Roman"/>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B9424E0">
            <w:pPr>
              <w:jc w:val="center"/>
              <w:rPr>
                <w:rFonts w:hint="default" w:ascii="Times New Roman" w:hAnsi="Times New Roman" w:cs="Times New Roman"/>
                <w:b/>
                <w:color w:val="000000"/>
                <w:sz w:val="20"/>
                <w:szCs w:val="20"/>
              </w:rPr>
            </w:pPr>
          </w:p>
        </w:tc>
        <w:tc>
          <w:tcPr>
            <w:tcW w:w="177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19CA299">
            <w:pPr>
              <w:jc w:val="center"/>
              <w:rPr>
                <w:rFonts w:hint="default" w:ascii="Times New Roman" w:hAnsi="Times New Roman" w:cs="Times New Roman"/>
                <w:b/>
                <w:color w:val="000000"/>
                <w:sz w:val="20"/>
                <w:szCs w:val="20"/>
              </w:rPr>
            </w:pPr>
          </w:p>
        </w:tc>
        <w:tc>
          <w:tcPr>
            <w:tcW w:w="18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7DBF101">
            <w:pPr>
              <w:jc w:val="center"/>
              <w:rPr>
                <w:rFonts w:hint="default" w:ascii="Times New Roman" w:hAnsi="Times New Roman" w:cs="Times New Roman"/>
                <w:b/>
                <w:color w:val="000000"/>
                <w:sz w:val="20"/>
                <w:szCs w:val="20"/>
              </w:rPr>
            </w:pPr>
          </w:p>
        </w:tc>
      </w:tr>
      <w:tr w14:paraId="15F7CABD">
        <w:tblPrEx>
          <w:tblCellMar>
            <w:top w:w="0" w:type="dxa"/>
            <w:left w:w="0" w:type="dxa"/>
            <w:bottom w:w="0" w:type="dxa"/>
            <w:right w:w="0" w:type="dxa"/>
          </w:tblCellMar>
        </w:tblPrEx>
        <w:trPr>
          <w:trHeight w:val="339" w:hRule="atLeast"/>
        </w:trPr>
        <w:tc>
          <w:tcPr>
            <w:tcW w:w="4942"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E494623">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C059C22">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52EBA62">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51A003B">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3F6173C">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177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BA98C24">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18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B07A0D7">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r>
    </w:tbl>
    <w:p w14:paraId="13DBDB69">
      <w:pPr>
        <w:rPr>
          <w:rFonts w:hint="default" w:ascii="Times New Roman" w:hAnsi="Times New Roman" w:cs="Times New Roman"/>
          <w:sz w:val="21"/>
          <w:szCs w:val="21"/>
        </w:rPr>
      </w:pPr>
      <w:r>
        <w:rPr>
          <w:rFonts w:hint="default" w:ascii="Times New Roman" w:hAnsi="Times New Roman" w:cs="Times New Roman"/>
          <w:sz w:val="20"/>
          <w:szCs w:val="20"/>
        </w:rPr>
        <w:t>备注：本表反映单位本年度政府性基金预算财政拨款收入支出及结转和结余情况。本单位无政府性基金收支，故本表无数据。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p>
    <w:p w14:paraId="5514C247">
      <w:pPr>
        <w:rPr>
          <w:rFonts w:hint="default" w:ascii="Times New Roman" w:hAnsi="Times New Roman" w:cs="Times New Roman"/>
          <w:sz w:val="21"/>
          <w:szCs w:val="21"/>
        </w:rPr>
      </w:pPr>
      <w:r>
        <w:rPr>
          <w:rFonts w:hint="default" w:ascii="Times New Roman" w:hAnsi="Times New Roman" w:cs="Times New Roman"/>
          <w:sz w:val="21"/>
          <w:szCs w:val="21"/>
        </w:rPr>
        <w:br w:type="page"/>
      </w:r>
    </w:p>
    <w:tbl>
      <w:tblPr>
        <w:tblStyle w:val="7"/>
        <w:tblW w:w="15378" w:type="dxa"/>
        <w:tblInd w:w="0" w:type="dxa"/>
        <w:tblLayout w:type="fixed"/>
        <w:tblCellMar>
          <w:top w:w="0" w:type="dxa"/>
          <w:left w:w="0" w:type="dxa"/>
          <w:bottom w:w="0" w:type="dxa"/>
          <w:right w:w="0" w:type="dxa"/>
        </w:tblCellMar>
      </w:tblPr>
      <w:tblGrid>
        <w:gridCol w:w="1882"/>
        <w:gridCol w:w="3060"/>
        <w:gridCol w:w="3276"/>
        <w:gridCol w:w="200"/>
        <w:gridCol w:w="3475"/>
        <w:gridCol w:w="77"/>
        <w:gridCol w:w="3408"/>
      </w:tblGrid>
      <w:tr w14:paraId="4F5940E8">
        <w:tblPrEx>
          <w:tblCellMar>
            <w:top w:w="0" w:type="dxa"/>
            <w:left w:w="0" w:type="dxa"/>
            <w:bottom w:w="0" w:type="dxa"/>
            <w:right w:w="0" w:type="dxa"/>
          </w:tblCellMar>
        </w:tblPrEx>
        <w:trPr>
          <w:trHeight w:val="650" w:hRule="atLeast"/>
        </w:trPr>
        <w:tc>
          <w:tcPr>
            <w:tcW w:w="15378" w:type="dxa"/>
            <w:gridSpan w:val="7"/>
            <w:tcBorders>
              <w:top w:val="nil"/>
              <w:left w:val="nil"/>
              <w:bottom w:val="nil"/>
              <w:right w:val="nil"/>
            </w:tcBorders>
            <w:shd w:val="clear" w:color="auto" w:fill="auto"/>
            <w:tcMar>
              <w:top w:w="15" w:type="dxa"/>
              <w:left w:w="15" w:type="dxa"/>
              <w:right w:w="15" w:type="dxa"/>
            </w:tcMar>
            <w:vAlign w:val="bottom"/>
          </w:tcPr>
          <w:p w14:paraId="792BEB6E">
            <w:pPr>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国有资本经营预算财政拨款支出决算表</w:t>
            </w:r>
          </w:p>
        </w:tc>
      </w:tr>
      <w:tr w14:paraId="1396C10F">
        <w:tblPrEx>
          <w:tblCellMar>
            <w:top w:w="0" w:type="dxa"/>
            <w:left w:w="0" w:type="dxa"/>
            <w:bottom w:w="0" w:type="dxa"/>
            <w:right w:w="0" w:type="dxa"/>
          </w:tblCellMar>
        </w:tblPrEx>
        <w:trPr>
          <w:trHeight w:val="332" w:hRule="atLeast"/>
        </w:trPr>
        <w:tc>
          <w:tcPr>
            <w:tcW w:w="8218" w:type="dxa"/>
            <w:gridSpan w:val="3"/>
            <w:vMerge w:val="restart"/>
            <w:tcBorders>
              <w:top w:val="nil"/>
              <w:left w:val="nil"/>
              <w:right w:val="nil"/>
            </w:tcBorders>
            <w:shd w:val="clear" w:color="auto" w:fill="auto"/>
            <w:tcMar>
              <w:top w:w="15" w:type="dxa"/>
              <w:left w:w="15" w:type="dxa"/>
              <w:right w:w="15" w:type="dxa"/>
            </w:tcMar>
            <w:vAlign w:val="bottom"/>
          </w:tcPr>
          <w:p w14:paraId="0464395E">
            <w:pPr>
              <w:rPr>
                <w:rFonts w:hint="default" w:ascii="Times New Roman" w:hAnsi="Times New Roman" w:cs="Times New Roman"/>
                <w:color w:val="000000"/>
                <w:sz w:val="20"/>
                <w:szCs w:val="20"/>
              </w:rPr>
            </w:pPr>
            <w:r>
              <w:rPr>
                <w:rFonts w:hint="default" w:ascii="Times New Roman" w:hAnsi="Times New Roman" w:cs="Times New Roman"/>
                <w:sz w:val="20"/>
                <w:szCs w:val="20"/>
              </w:rPr>
              <w:t>公开单位</w:t>
            </w:r>
            <w:r>
              <w:rPr>
                <w:rFonts w:hint="default" w:ascii="Times New Roman" w:hAnsi="Times New Roman" w:cs="Times New Roman"/>
                <w:color w:val="000000"/>
                <w:sz w:val="20"/>
                <w:szCs w:val="20"/>
              </w:rPr>
              <w:t xml:space="preserve">： </w:t>
            </w:r>
            <w:r>
              <w:rPr>
                <w:rFonts w:hint="default" w:ascii="Times New Roman" w:hAnsi="Times New Roman" w:cs="Times New Roman"/>
                <w:color w:val="000000"/>
                <w:sz w:val="20"/>
                <w:u w:color="auto"/>
              </w:rPr>
              <w:t>重庆市大渡口区八桥镇退役军人服务站</w:t>
            </w:r>
          </w:p>
        </w:tc>
        <w:tc>
          <w:tcPr>
            <w:tcW w:w="3752" w:type="dxa"/>
            <w:gridSpan w:val="3"/>
            <w:tcBorders>
              <w:top w:val="nil"/>
              <w:left w:val="nil"/>
              <w:bottom w:val="nil"/>
              <w:right w:val="nil"/>
            </w:tcBorders>
            <w:shd w:val="clear" w:color="auto" w:fill="auto"/>
            <w:tcMar>
              <w:top w:w="15" w:type="dxa"/>
              <w:left w:w="15" w:type="dxa"/>
              <w:right w:w="15" w:type="dxa"/>
            </w:tcMar>
            <w:vAlign w:val="bottom"/>
          </w:tcPr>
          <w:p w14:paraId="28EB94B0">
            <w:pPr>
              <w:rPr>
                <w:rFonts w:hint="default" w:ascii="Times New Roman" w:hAnsi="Times New Roman" w:cs="Times New Roman"/>
                <w:color w:val="000000"/>
                <w:sz w:val="20"/>
                <w:szCs w:val="20"/>
              </w:rPr>
            </w:pPr>
          </w:p>
        </w:tc>
        <w:tc>
          <w:tcPr>
            <w:tcW w:w="3408" w:type="dxa"/>
            <w:tcBorders>
              <w:top w:val="nil"/>
              <w:left w:val="nil"/>
              <w:bottom w:val="nil"/>
              <w:right w:val="nil"/>
            </w:tcBorders>
            <w:shd w:val="clear" w:color="auto" w:fill="auto"/>
            <w:tcMar>
              <w:top w:w="15" w:type="dxa"/>
              <w:left w:w="15" w:type="dxa"/>
              <w:right w:w="15" w:type="dxa"/>
            </w:tcMar>
            <w:vAlign w:val="bottom"/>
          </w:tcPr>
          <w:p w14:paraId="35267144">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公开08表</w:t>
            </w:r>
          </w:p>
        </w:tc>
      </w:tr>
      <w:tr w14:paraId="1928B08B">
        <w:tblPrEx>
          <w:tblCellMar>
            <w:top w:w="0" w:type="dxa"/>
            <w:left w:w="0" w:type="dxa"/>
            <w:bottom w:w="0" w:type="dxa"/>
            <w:right w:w="0" w:type="dxa"/>
          </w:tblCellMar>
        </w:tblPrEx>
        <w:trPr>
          <w:trHeight w:val="332" w:hRule="atLeast"/>
        </w:trPr>
        <w:tc>
          <w:tcPr>
            <w:tcW w:w="8218" w:type="dxa"/>
            <w:gridSpan w:val="3"/>
            <w:vMerge w:val="continue"/>
            <w:tcBorders>
              <w:left w:val="nil"/>
              <w:bottom w:val="nil"/>
              <w:right w:val="nil"/>
            </w:tcBorders>
            <w:shd w:val="clear" w:color="auto" w:fill="auto"/>
            <w:tcMar>
              <w:top w:w="15" w:type="dxa"/>
              <w:left w:w="15" w:type="dxa"/>
              <w:right w:w="15" w:type="dxa"/>
            </w:tcMar>
            <w:vAlign w:val="bottom"/>
          </w:tcPr>
          <w:p w14:paraId="32E8E7EF">
            <w:pPr>
              <w:rPr>
                <w:rFonts w:hint="default" w:ascii="Times New Roman" w:hAnsi="Times New Roman" w:cs="Times New Roman"/>
                <w:color w:val="000000"/>
                <w:sz w:val="20"/>
                <w:szCs w:val="20"/>
              </w:rPr>
            </w:pPr>
          </w:p>
        </w:tc>
        <w:tc>
          <w:tcPr>
            <w:tcW w:w="3752" w:type="dxa"/>
            <w:gridSpan w:val="3"/>
            <w:tcBorders>
              <w:top w:val="nil"/>
              <w:left w:val="nil"/>
              <w:bottom w:val="nil"/>
              <w:right w:val="nil"/>
            </w:tcBorders>
            <w:shd w:val="clear" w:color="auto" w:fill="auto"/>
            <w:tcMar>
              <w:top w:w="15" w:type="dxa"/>
              <w:left w:w="15" w:type="dxa"/>
              <w:right w:w="15" w:type="dxa"/>
            </w:tcMar>
            <w:vAlign w:val="bottom"/>
          </w:tcPr>
          <w:p w14:paraId="1DE2AA49">
            <w:pPr>
              <w:rPr>
                <w:rFonts w:hint="default" w:ascii="Times New Roman" w:hAnsi="Times New Roman" w:cs="Times New Roman"/>
                <w:color w:val="000000"/>
                <w:sz w:val="20"/>
                <w:szCs w:val="20"/>
              </w:rPr>
            </w:pPr>
          </w:p>
        </w:tc>
        <w:tc>
          <w:tcPr>
            <w:tcW w:w="3408" w:type="dxa"/>
            <w:tcBorders>
              <w:top w:val="nil"/>
              <w:left w:val="nil"/>
              <w:bottom w:val="nil"/>
              <w:right w:val="nil"/>
            </w:tcBorders>
            <w:shd w:val="clear" w:color="auto" w:fill="auto"/>
            <w:tcMar>
              <w:top w:w="15" w:type="dxa"/>
              <w:left w:w="15" w:type="dxa"/>
              <w:right w:w="15" w:type="dxa"/>
            </w:tcMar>
            <w:vAlign w:val="bottom"/>
          </w:tcPr>
          <w:p w14:paraId="3A938800">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14:paraId="4452CC40">
        <w:tblPrEx>
          <w:tblCellMar>
            <w:top w:w="0" w:type="dxa"/>
            <w:left w:w="0" w:type="dxa"/>
            <w:bottom w:w="0" w:type="dxa"/>
            <w:right w:w="0" w:type="dxa"/>
          </w:tblCellMar>
        </w:tblPrEx>
        <w:trPr>
          <w:trHeight w:val="422" w:hRule="atLeast"/>
        </w:trPr>
        <w:tc>
          <w:tcPr>
            <w:tcW w:w="4942"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14:paraId="4154E221">
            <w:pPr>
              <w:jc w:val="center"/>
              <w:textAlignment w:val="bottom"/>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10436" w:type="dxa"/>
            <w:gridSpan w:val="5"/>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14:paraId="0A464BD4">
            <w:pPr>
              <w:jc w:val="center"/>
              <w:textAlignment w:val="bottom"/>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本年支出</w:t>
            </w:r>
          </w:p>
        </w:tc>
      </w:tr>
      <w:tr w14:paraId="49AC4BD6">
        <w:tblPrEx>
          <w:tblCellMar>
            <w:top w:w="0" w:type="dxa"/>
            <w:left w:w="0" w:type="dxa"/>
            <w:bottom w:w="0" w:type="dxa"/>
            <w:right w:w="0" w:type="dxa"/>
          </w:tblCellMar>
        </w:tblPrEx>
        <w:trPr>
          <w:trHeight w:val="339" w:hRule="atLeast"/>
        </w:trPr>
        <w:tc>
          <w:tcPr>
            <w:tcW w:w="1882"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1985E5D">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功能分类科目编码</w:t>
            </w:r>
          </w:p>
        </w:tc>
        <w:tc>
          <w:tcPr>
            <w:tcW w:w="306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5D2B156">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科目名称</w:t>
            </w:r>
          </w:p>
        </w:tc>
        <w:tc>
          <w:tcPr>
            <w:tcW w:w="3476" w:type="dxa"/>
            <w:gridSpan w:val="2"/>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9B3CB27">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3475"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14FD217">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基本支出</w:t>
            </w:r>
          </w:p>
        </w:tc>
        <w:tc>
          <w:tcPr>
            <w:tcW w:w="3485" w:type="dxa"/>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7AE657B">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项目支出</w:t>
            </w:r>
          </w:p>
        </w:tc>
      </w:tr>
      <w:tr w14:paraId="67ACDBF0">
        <w:tblPrEx>
          <w:tblCellMar>
            <w:top w:w="0" w:type="dxa"/>
            <w:left w:w="0" w:type="dxa"/>
            <w:bottom w:w="0" w:type="dxa"/>
            <w:right w:w="0" w:type="dxa"/>
          </w:tblCellMar>
        </w:tblPrEx>
        <w:trPr>
          <w:trHeight w:val="339" w:hRule="atLeast"/>
        </w:trPr>
        <w:tc>
          <w:tcPr>
            <w:tcW w:w="18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9A2AD82">
            <w:pPr>
              <w:jc w:val="center"/>
              <w:rPr>
                <w:rFonts w:hint="default" w:ascii="Times New Roman" w:hAnsi="Times New Roman" w:cs="Times New Roman"/>
                <w:b/>
                <w:color w:val="000000"/>
                <w:sz w:val="20"/>
                <w:szCs w:val="20"/>
              </w:rPr>
            </w:pPr>
          </w:p>
        </w:tc>
        <w:tc>
          <w:tcPr>
            <w:tcW w:w="30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5F429C7">
            <w:pPr>
              <w:jc w:val="center"/>
              <w:rPr>
                <w:rFonts w:hint="default" w:ascii="Times New Roman" w:hAnsi="Times New Roman" w:cs="Times New Roman"/>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93475F2">
            <w:pPr>
              <w:jc w:val="center"/>
              <w:rPr>
                <w:rFonts w:hint="default" w:ascii="Times New Roman" w:hAnsi="Times New Roman" w:cs="Times New Roman"/>
                <w:b/>
                <w:color w:val="000000"/>
                <w:sz w:val="20"/>
                <w:szCs w:val="20"/>
              </w:rPr>
            </w:pPr>
          </w:p>
        </w:tc>
        <w:tc>
          <w:tcPr>
            <w:tcW w:w="347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BCC9F07">
            <w:pPr>
              <w:jc w:val="center"/>
              <w:rPr>
                <w:rFonts w:hint="default" w:ascii="Times New Roman" w:hAnsi="Times New Roman" w:cs="Times New Roman"/>
                <w:b/>
                <w:color w:val="000000"/>
                <w:sz w:val="20"/>
                <w:szCs w:val="20"/>
              </w:rPr>
            </w:pPr>
          </w:p>
        </w:tc>
        <w:tc>
          <w:tcPr>
            <w:tcW w:w="3485"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56C3448">
            <w:pPr>
              <w:jc w:val="center"/>
              <w:rPr>
                <w:rFonts w:hint="default" w:ascii="Times New Roman" w:hAnsi="Times New Roman" w:cs="Times New Roman"/>
                <w:b/>
                <w:color w:val="000000"/>
                <w:sz w:val="20"/>
                <w:szCs w:val="20"/>
              </w:rPr>
            </w:pPr>
          </w:p>
        </w:tc>
      </w:tr>
      <w:tr w14:paraId="64D1FB06">
        <w:tblPrEx>
          <w:tblCellMar>
            <w:top w:w="0" w:type="dxa"/>
            <w:left w:w="0" w:type="dxa"/>
            <w:bottom w:w="0" w:type="dxa"/>
            <w:right w:w="0" w:type="dxa"/>
          </w:tblCellMar>
        </w:tblPrEx>
        <w:trPr>
          <w:trHeight w:val="339" w:hRule="atLeast"/>
        </w:trPr>
        <w:tc>
          <w:tcPr>
            <w:tcW w:w="18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2E2F0B5">
            <w:pPr>
              <w:jc w:val="center"/>
              <w:rPr>
                <w:rFonts w:hint="default" w:ascii="Times New Roman" w:hAnsi="Times New Roman" w:cs="Times New Roman"/>
                <w:b/>
                <w:color w:val="000000"/>
                <w:sz w:val="20"/>
                <w:szCs w:val="20"/>
              </w:rPr>
            </w:pPr>
          </w:p>
        </w:tc>
        <w:tc>
          <w:tcPr>
            <w:tcW w:w="30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5288950">
            <w:pPr>
              <w:jc w:val="center"/>
              <w:rPr>
                <w:rFonts w:hint="default" w:ascii="Times New Roman" w:hAnsi="Times New Roman" w:cs="Times New Roman"/>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974E357">
            <w:pPr>
              <w:jc w:val="center"/>
              <w:rPr>
                <w:rFonts w:hint="default" w:ascii="Times New Roman" w:hAnsi="Times New Roman" w:cs="Times New Roman"/>
                <w:b/>
                <w:color w:val="000000"/>
                <w:sz w:val="20"/>
                <w:szCs w:val="20"/>
              </w:rPr>
            </w:pPr>
          </w:p>
        </w:tc>
        <w:tc>
          <w:tcPr>
            <w:tcW w:w="347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CB94C18">
            <w:pPr>
              <w:jc w:val="center"/>
              <w:rPr>
                <w:rFonts w:hint="default" w:ascii="Times New Roman" w:hAnsi="Times New Roman" w:cs="Times New Roman"/>
                <w:b/>
                <w:color w:val="000000"/>
                <w:sz w:val="20"/>
                <w:szCs w:val="20"/>
              </w:rPr>
            </w:pPr>
          </w:p>
        </w:tc>
        <w:tc>
          <w:tcPr>
            <w:tcW w:w="3485"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1F0CDF8">
            <w:pPr>
              <w:jc w:val="center"/>
              <w:rPr>
                <w:rFonts w:hint="default" w:ascii="Times New Roman" w:hAnsi="Times New Roman" w:cs="Times New Roman"/>
                <w:b/>
                <w:color w:val="000000"/>
                <w:sz w:val="20"/>
                <w:szCs w:val="20"/>
              </w:rPr>
            </w:pPr>
          </w:p>
        </w:tc>
      </w:tr>
      <w:tr w14:paraId="66E5D95A">
        <w:tblPrEx>
          <w:tblCellMar>
            <w:top w:w="0" w:type="dxa"/>
            <w:left w:w="0" w:type="dxa"/>
            <w:bottom w:w="0" w:type="dxa"/>
            <w:right w:w="0" w:type="dxa"/>
          </w:tblCellMar>
        </w:tblPrEx>
        <w:trPr>
          <w:trHeight w:val="326" w:hRule="atLeast"/>
        </w:trPr>
        <w:tc>
          <w:tcPr>
            <w:tcW w:w="18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AF71633">
            <w:pPr>
              <w:jc w:val="center"/>
              <w:rPr>
                <w:rFonts w:hint="default" w:ascii="Times New Roman" w:hAnsi="Times New Roman" w:cs="Times New Roman"/>
                <w:b/>
                <w:color w:val="000000"/>
                <w:sz w:val="20"/>
                <w:szCs w:val="20"/>
              </w:rPr>
            </w:pPr>
          </w:p>
        </w:tc>
        <w:tc>
          <w:tcPr>
            <w:tcW w:w="30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1D3424C">
            <w:pPr>
              <w:jc w:val="center"/>
              <w:rPr>
                <w:rFonts w:hint="default" w:ascii="Times New Roman" w:hAnsi="Times New Roman" w:cs="Times New Roman"/>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849FEC2">
            <w:pPr>
              <w:jc w:val="center"/>
              <w:rPr>
                <w:rFonts w:hint="default" w:ascii="Times New Roman" w:hAnsi="Times New Roman" w:cs="Times New Roman"/>
                <w:b/>
                <w:color w:val="000000"/>
                <w:sz w:val="20"/>
                <w:szCs w:val="20"/>
              </w:rPr>
            </w:pPr>
          </w:p>
        </w:tc>
        <w:tc>
          <w:tcPr>
            <w:tcW w:w="347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61B5617">
            <w:pPr>
              <w:jc w:val="center"/>
              <w:rPr>
                <w:rFonts w:hint="default" w:ascii="Times New Roman" w:hAnsi="Times New Roman" w:cs="Times New Roman"/>
                <w:b/>
                <w:color w:val="000000"/>
                <w:sz w:val="20"/>
                <w:szCs w:val="20"/>
              </w:rPr>
            </w:pPr>
          </w:p>
        </w:tc>
        <w:tc>
          <w:tcPr>
            <w:tcW w:w="3485"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85C6E46">
            <w:pPr>
              <w:jc w:val="center"/>
              <w:rPr>
                <w:rFonts w:hint="default" w:ascii="Times New Roman" w:hAnsi="Times New Roman" w:cs="Times New Roman"/>
                <w:b/>
                <w:color w:val="000000"/>
                <w:sz w:val="20"/>
                <w:szCs w:val="20"/>
              </w:rPr>
            </w:pPr>
          </w:p>
        </w:tc>
      </w:tr>
      <w:tr w14:paraId="5FA1010D">
        <w:tblPrEx>
          <w:tblCellMar>
            <w:top w:w="0" w:type="dxa"/>
            <w:left w:w="0" w:type="dxa"/>
            <w:bottom w:w="0" w:type="dxa"/>
            <w:right w:w="0" w:type="dxa"/>
          </w:tblCellMar>
        </w:tblPrEx>
        <w:trPr>
          <w:trHeight w:val="611" w:hRule="atLeast"/>
        </w:trPr>
        <w:tc>
          <w:tcPr>
            <w:tcW w:w="4942"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7067C58">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3476"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3EE23A6">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34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BC9D6CF">
            <w:pPr>
              <w:jc w:val="right"/>
              <w:rPr>
                <w:rFonts w:hint="default" w:ascii="Times New Roman" w:hAnsi="Times New Roman" w:cs="Times New Roman"/>
                <w:b/>
                <w:color w:val="000000"/>
                <w:sz w:val="20"/>
                <w:szCs w:val="20"/>
              </w:rPr>
            </w:pPr>
          </w:p>
        </w:tc>
        <w:tc>
          <w:tcPr>
            <w:tcW w:w="348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7EF8099">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r>
    </w:tbl>
    <w:p w14:paraId="4DF5CFB4">
      <w:pPr>
        <w:rPr>
          <w:rFonts w:hint="default" w:ascii="Times New Roman" w:hAnsi="Times New Roman" w:cs="Times New Roman"/>
          <w:sz w:val="21"/>
          <w:szCs w:val="21"/>
        </w:rPr>
      </w:pPr>
      <w:r>
        <w:rPr>
          <w:rFonts w:hint="default" w:ascii="Times New Roman" w:hAnsi="Times New Roman" w:cs="Times New Roman"/>
          <w:sz w:val="20"/>
          <w:szCs w:val="20"/>
        </w:rPr>
        <w:t>备注：本表反映单位本年度国有资本经营预算财政拨款支出情况。本单位无国有资本经营收支，故本表无数据。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r>
        <w:rPr>
          <w:rFonts w:hint="default" w:ascii="Times New Roman" w:hAnsi="Times New Roman" w:cs="Times New Roman"/>
          <w:sz w:val="21"/>
          <w:szCs w:val="21"/>
        </w:rPr>
        <w:br w:type="page"/>
      </w:r>
    </w:p>
    <w:tbl>
      <w:tblPr>
        <w:tblStyle w:val="7"/>
        <w:tblW w:w="15000" w:type="dxa"/>
        <w:tblInd w:w="0" w:type="dxa"/>
        <w:tblLayout w:type="fixed"/>
        <w:tblCellMar>
          <w:top w:w="0" w:type="dxa"/>
          <w:left w:w="170" w:type="dxa"/>
          <w:bottom w:w="0" w:type="dxa"/>
          <w:right w:w="170" w:type="dxa"/>
        </w:tblCellMar>
      </w:tblPr>
      <w:tblGrid>
        <w:gridCol w:w="4041"/>
        <w:gridCol w:w="2166"/>
        <w:gridCol w:w="2115"/>
        <w:gridCol w:w="4524"/>
        <w:gridCol w:w="2154"/>
      </w:tblGrid>
      <w:tr w14:paraId="7695EA31">
        <w:tblPrEx>
          <w:tblCellMar>
            <w:top w:w="0" w:type="dxa"/>
            <w:left w:w="170" w:type="dxa"/>
            <w:bottom w:w="0" w:type="dxa"/>
            <w:right w:w="170" w:type="dxa"/>
          </w:tblCellMar>
        </w:tblPrEx>
        <w:trPr>
          <w:trHeight w:val="343" w:hRule="atLeast"/>
        </w:trPr>
        <w:tc>
          <w:tcPr>
            <w:tcW w:w="15000" w:type="dxa"/>
            <w:gridSpan w:val="5"/>
            <w:tcBorders>
              <w:top w:val="nil"/>
              <w:left w:val="nil"/>
              <w:bottom w:val="nil"/>
              <w:right w:val="nil"/>
            </w:tcBorders>
            <w:shd w:val="clear" w:color="auto" w:fill="auto"/>
            <w:tcMar>
              <w:top w:w="15" w:type="dxa"/>
              <w:left w:w="15" w:type="dxa"/>
              <w:right w:w="15" w:type="dxa"/>
            </w:tcMar>
            <w:vAlign w:val="bottom"/>
          </w:tcPr>
          <w:p w14:paraId="1967ED20">
            <w:pPr>
              <w:spacing w:line="400" w:lineRule="exact"/>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机构运行信息表</w:t>
            </w:r>
          </w:p>
        </w:tc>
      </w:tr>
      <w:tr w14:paraId="42618A39">
        <w:tblPrEx>
          <w:tblCellMar>
            <w:top w:w="0" w:type="dxa"/>
            <w:left w:w="170" w:type="dxa"/>
            <w:bottom w:w="0" w:type="dxa"/>
            <w:right w:w="170" w:type="dxa"/>
          </w:tblCellMar>
        </w:tblPrEx>
        <w:trPr>
          <w:trHeight w:val="244" w:hRule="atLeast"/>
        </w:trPr>
        <w:tc>
          <w:tcPr>
            <w:tcW w:w="4041" w:type="dxa"/>
            <w:tcBorders>
              <w:top w:val="nil"/>
              <w:left w:val="nil"/>
              <w:bottom w:val="nil"/>
              <w:right w:val="nil"/>
            </w:tcBorders>
            <w:shd w:val="clear" w:color="auto" w:fill="auto"/>
            <w:tcMar>
              <w:top w:w="15" w:type="dxa"/>
              <w:left w:w="15" w:type="dxa"/>
              <w:right w:w="15" w:type="dxa"/>
            </w:tcMar>
            <w:vAlign w:val="bottom"/>
          </w:tcPr>
          <w:p w14:paraId="25871746">
            <w:pPr>
              <w:spacing w:line="280" w:lineRule="exact"/>
              <w:rPr>
                <w:rFonts w:hint="default" w:ascii="Times New Roman" w:hAnsi="Times New Roman" w:cs="Times New Roman"/>
                <w:color w:val="000000"/>
                <w:sz w:val="20"/>
                <w:szCs w:val="20"/>
              </w:rPr>
            </w:pPr>
          </w:p>
        </w:tc>
        <w:tc>
          <w:tcPr>
            <w:tcW w:w="2166" w:type="dxa"/>
            <w:tcBorders>
              <w:top w:val="nil"/>
              <w:left w:val="nil"/>
              <w:bottom w:val="nil"/>
              <w:right w:val="nil"/>
            </w:tcBorders>
            <w:shd w:val="clear" w:color="auto" w:fill="auto"/>
            <w:tcMar>
              <w:top w:w="15" w:type="dxa"/>
              <w:left w:w="15" w:type="dxa"/>
              <w:right w:w="15" w:type="dxa"/>
            </w:tcMar>
            <w:vAlign w:val="bottom"/>
          </w:tcPr>
          <w:p w14:paraId="65F6A48E">
            <w:pPr>
              <w:spacing w:line="280" w:lineRule="exact"/>
              <w:jc w:val="center"/>
              <w:rPr>
                <w:rFonts w:hint="default" w:ascii="Times New Roman" w:hAnsi="Times New Roman" w:cs="Times New Roman"/>
                <w:color w:val="000000"/>
                <w:sz w:val="20"/>
                <w:szCs w:val="20"/>
              </w:rPr>
            </w:pPr>
          </w:p>
        </w:tc>
        <w:tc>
          <w:tcPr>
            <w:tcW w:w="2115" w:type="dxa"/>
            <w:tcBorders>
              <w:top w:val="nil"/>
              <w:left w:val="nil"/>
              <w:bottom w:val="nil"/>
              <w:right w:val="nil"/>
            </w:tcBorders>
            <w:shd w:val="clear" w:color="auto" w:fill="auto"/>
            <w:tcMar>
              <w:top w:w="15" w:type="dxa"/>
              <w:left w:w="15" w:type="dxa"/>
              <w:right w:w="15" w:type="dxa"/>
            </w:tcMar>
            <w:vAlign w:val="bottom"/>
          </w:tcPr>
          <w:p w14:paraId="3E5FB0E6">
            <w:pPr>
              <w:spacing w:line="280" w:lineRule="exact"/>
              <w:jc w:val="right"/>
              <w:rPr>
                <w:rFonts w:hint="default" w:ascii="Times New Roman" w:hAnsi="Times New Roman" w:cs="Times New Roman"/>
                <w:color w:val="000000"/>
                <w:sz w:val="20"/>
                <w:szCs w:val="20"/>
              </w:rPr>
            </w:pPr>
          </w:p>
        </w:tc>
        <w:tc>
          <w:tcPr>
            <w:tcW w:w="4524" w:type="dxa"/>
            <w:tcBorders>
              <w:top w:val="nil"/>
              <w:left w:val="nil"/>
              <w:bottom w:val="nil"/>
              <w:right w:val="nil"/>
            </w:tcBorders>
            <w:shd w:val="clear" w:color="auto" w:fill="auto"/>
            <w:tcMar>
              <w:top w:w="15" w:type="dxa"/>
              <w:left w:w="15" w:type="dxa"/>
              <w:right w:w="15" w:type="dxa"/>
            </w:tcMar>
            <w:vAlign w:val="bottom"/>
          </w:tcPr>
          <w:p w14:paraId="3B1306C8">
            <w:pPr>
              <w:spacing w:line="280" w:lineRule="exact"/>
              <w:rPr>
                <w:rFonts w:hint="default" w:ascii="Times New Roman" w:hAnsi="Times New Roman" w:cs="Times New Roman"/>
                <w:color w:val="000000"/>
                <w:sz w:val="20"/>
                <w:szCs w:val="20"/>
              </w:rPr>
            </w:pPr>
          </w:p>
        </w:tc>
        <w:tc>
          <w:tcPr>
            <w:tcW w:w="2154" w:type="dxa"/>
            <w:tcBorders>
              <w:top w:val="nil"/>
              <w:left w:val="nil"/>
              <w:bottom w:val="nil"/>
              <w:right w:val="nil"/>
            </w:tcBorders>
            <w:shd w:val="clear" w:color="auto" w:fill="auto"/>
            <w:tcMar>
              <w:top w:w="15" w:type="dxa"/>
              <w:left w:w="15" w:type="dxa"/>
              <w:right w:w="15" w:type="dxa"/>
            </w:tcMar>
            <w:vAlign w:val="bottom"/>
          </w:tcPr>
          <w:p w14:paraId="62BCF7F8">
            <w:pPr>
              <w:spacing w:line="28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公开09表</w:t>
            </w:r>
          </w:p>
        </w:tc>
      </w:tr>
      <w:tr w14:paraId="0F547F70">
        <w:tblPrEx>
          <w:tblCellMar>
            <w:top w:w="0" w:type="dxa"/>
            <w:left w:w="170" w:type="dxa"/>
            <w:bottom w:w="0" w:type="dxa"/>
            <w:right w:w="170" w:type="dxa"/>
          </w:tblCellMar>
        </w:tblPrEx>
        <w:trPr>
          <w:trHeight w:val="244" w:hRule="atLeast"/>
        </w:trPr>
        <w:tc>
          <w:tcPr>
            <w:tcW w:w="6207" w:type="dxa"/>
            <w:gridSpan w:val="2"/>
            <w:tcBorders>
              <w:top w:val="nil"/>
              <w:left w:val="nil"/>
              <w:bottom w:val="single" w:color="auto" w:sz="4" w:space="0"/>
              <w:right w:val="nil"/>
            </w:tcBorders>
            <w:shd w:val="clear" w:color="auto" w:fill="auto"/>
            <w:tcMar>
              <w:top w:w="15" w:type="dxa"/>
              <w:left w:w="15" w:type="dxa"/>
              <w:right w:w="15" w:type="dxa"/>
            </w:tcMar>
            <w:vAlign w:val="bottom"/>
          </w:tcPr>
          <w:p w14:paraId="4E7F491F">
            <w:pPr>
              <w:spacing w:line="280" w:lineRule="exact"/>
              <w:rPr>
                <w:rFonts w:hint="default" w:ascii="Times New Roman" w:hAnsi="Times New Roman" w:cs="Times New Roman"/>
                <w:color w:val="000000"/>
                <w:sz w:val="20"/>
                <w:szCs w:val="20"/>
              </w:rPr>
            </w:pPr>
            <w:r>
              <w:rPr>
                <w:rFonts w:hint="default" w:ascii="Times New Roman" w:hAnsi="Times New Roman" w:cs="Times New Roman"/>
                <w:sz w:val="20"/>
                <w:szCs w:val="20"/>
              </w:rPr>
              <w:t>公开单位</w:t>
            </w:r>
            <w:r>
              <w:rPr>
                <w:rFonts w:hint="default" w:ascii="Times New Roman" w:hAnsi="Times New Roman" w:cs="Times New Roman"/>
                <w:color w:val="000000"/>
                <w:sz w:val="20"/>
                <w:szCs w:val="20"/>
              </w:rPr>
              <w:t xml:space="preserve">： </w:t>
            </w:r>
            <w:r>
              <w:rPr>
                <w:rFonts w:hint="default" w:ascii="Times New Roman" w:hAnsi="Times New Roman" w:cs="Times New Roman"/>
                <w:color w:val="000000"/>
                <w:sz w:val="20"/>
                <w:u w:color="auto"/>
              </w:rPr>
              <w:t>重庆市大渡口区八桥镇退役军人服务站</w:t>
            </w:r>
          </w:p>
        </w:tc>
        <w:tc>
          <w:tcPr>
            <w:tcW w:w="2115" w:type="dxa"/>
            <w:tcBorders>
              <w:top w:val="nil"/>
              <w:left w:val="nil"/>
              <w:bottom w:val="single" w:color="auto" w:sz="4" w:space="0"/>
              <w:right w:val="nil"/>
            </w:tcBorders>
            <w:shd w:val="clear" w:color="auto" w:fill="auto"/>
            <w:tcMar>
              <w:top w:w="15" w:type="dxa"/>
              <w:left w:w="15" w:type="dxa"/>
              <w:right w:w="15" w:type="dxa"/>
            </w:tcMar>
            <w:vAlign w:val="bottom"/>
          </w:tcPr>
          <w:p w14:paraId="15CFAADF">
            <w:pPr>
              <w:spacing w:line="280" w:lineRule="exact"/>
              <w:jc w:val="right"/>
              <w:rPr>
                <w:rFonts w:hint="default" w:ascii="Times New Roman" w:hAnsi="Times New Roman" w:cs="Times New Roman"/>
                <w:color w:val="000000"/>
                <w:sz w:val="20"/>
                <w:szCs w:val="20"/>
              </w:rPr>
            </w:pPr>
          </w:p>
        </w:tc>
        <w:tc>
          <w:tcPr>
            <w:tcW w:w="4524" w:type="dxa"/>
            <w:tcBorders>
              <w:top w:val="nil"/>
              <w:left w:val="nil"/>
              <w:bottom w:val="single" w:color="auto" w:sz="4" w:space="0"/>
              <w:right w:val="nil"/>
            </w:tcBorders>
            <w:shd w:val="clear" w:color="auto" w:fill="auto"/>
            <w:tcMar>
              <w:top w:w="15" w:type="dxa"/>
              <w:left w:w="15" w:type="dxa"/>
              <w:right w:w="15" w:type="dxa"/>
            </w:tcMar>
            <w:vAlign w:val="bottom"/>
          </w:tcPr>
          <w:p w14:paraId="3FB85222">
            <w:pPr>
              <w:spacing w:line="280" w:lineRule="exact"/>
              <w:rPr>
                <w:rFonts w:hint="default" w:ascii="Times New Roman" w:hAnsi="Times New Roman" w:cs="Times New Roman"/>
                <w:color w:val="000000"/>
                <w:sz w:val="20"/>
                <w:szCs w:val="20"/>
              </w:rPr>
            </w:pPr>
          </w:p>
        </w:tc>
        <w:tc>
          <w:tcPr>
            <w:tcW w:w="2154" w:type="dxa"/>
            <w:tcBorders>
              <w:top w:val="nil"/>
              <w:left w:val="nil"/>
              <w:bottom w:val="single" w:color="auto" w:sz="4" w:space="0"/>
              <w:right w:val="nil"/>
            </w:tcBorders>
            <w:shd w:val="clear" w:color="auto" w:fill="auto"/>
            <w:tcMar>
              <w:top w:w="15" w:type="dxa"/>
              <w:left w:w="15" w:type="dxa"/>
              <w:right w:w="15" w:type="dxa"/>
            </w:tcMar>
            <w:vAlign w:val="bottom"/>
          </w:tcPr>
          <w:p w14:paraId="0372DE99">
            <w:pPr>
              <w:spacing w:line="28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14:paraId="0F31F906">
        <w:tblPrEx>
          <w:tblCellMar>
            <w:top w:w="0" w:type="dxa"/>
            <w:left w:w="170" w:type="dxa"/>
            <w:bottom w:w="0" w:type="dxa"/>
            <w:right w:w="170" w:type="dxa"/>
          </w:tblCellMar>
        </w:tblPrEx>
        <w:trPr>
          <w:trHeight w:val="28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143FCA12">
            <w:pPr>
              <w:spacing w:line="200" w:lineRule="exact"/>
              <w:jc w:val="center"/>
              <w:textAlignment w:val="center"/>
              <w:rPr>
                <w:rFonts w:hint="default" w:ascii="Times New Roman" w:hAnsi="Times New Roman" w:cs="Times New Roman"/>
                <w:b/>
                <w:color w:val="000000"/>
                <w:sz w:val="16"/>
                <w:szCs w:val="16"/>
              </w:rPr>
            </w:pPr>
            <w:r>
              <w:rPr>
                <w:rFonts w:hint="default" w:ascii="Times New Roman" w:hAnsi="Times New Roman" w:cs="Times New Roman"/>
                <w:b/>
                <w:color w:val="000000"/>
                <w:sz w:val="16"/>
                <w:szCs w:val="16"/>
              </w:rPr>
              <w:t>项  目</w:t>
            </w:r>
          </w:p>
        </w:tc>
        <w:tc>
          <w:tcPr>
            <w:tcW w:w="2166"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5AE5824A">
            <w:pPr>
              <w:spacing w:line="200" w:lineRule="exact"/>
              <w:jc w:val="center"/>
              <w:textAlignment w:val="center"/>
              <w:rPr>
                <w:rFonts w:hint="default" w:ascii="Times New Roman" w:hAnsi="Times New Roman" w:cs="Times New Roman"/>
                <w:b/>
                <w:color w:val="000000"/>
                <w:sz w:val="16"/>
                <w:szCs w:val="16"/>
              </w:rPr>
            </w:pPr>
            <w:r>
              <w:rPr>
                <w:rFonts w:hint="default" w:ascii="Times New Roman" w:hAnsi="Times New Roman" w:cs="Times New Roman"/>
                <w:b/>
                <w:color w:val="000000"/>
                <w:sz w:val="16"/>
                <w:szCs w:val="16"/>
              </w:rPr>
              <w:t>预算数</w:t>
            </w:r>
          </w:p>
        </w:tc>
        <w:tc>
          <w:tcPr>
            <w:tcW w:w="2115"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2364E92F">
            <w:pPr>
              <w:spacing w:line="200" w:lineRule="exact"/>
              <w:jc w:val="center"/>
              <w:textAlignment w:val="center"/>
              <w:rPr>
                <w:rFonts w:hint="default" w:ascii="Times New Roman" w:hAnsi="Times New Roman" w:cs="Times New Roman"/>
                <w:b/>
                <w:color w:val="000000"/>
                <w:sz w:val="16"/>
                <w:szCs w:val="16"/>
              </w:rPr>
            </w:pPr>
            <w:r>
              <w:rPr>
                <w:rFonts w:hint="default" w:ascii="Times New Roman" w:hAnsi="Times New Roman" w:cs="Times New Roman"/>
                <w:b/>
                <w:color w:val="000000"/>
                <w:sz w:val="16"/>
                <w:szCs w:val="16"/>
              </w:rPr>
              <w:t>决算数</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294E19B0">
            <w:pPr>
              <w:spacing w:line="200" w:lineRule="exact"/>
              <w:jc w:val="center"/>
              <w:textAlignment w:val="center"/>
              <w:rPr>
                <w:rFonts w:hint="default" w:ascii="Times New Roman" w:hAnsi="Times New Roman" w:cs="Times New Roman"/>
                <w:b/>
                <w:color w:val="000000"/>
                <w:sz w:val="16"/>
                <w:szCs w:val="16"/>
              </w:rPr>
            </w:pPr>
            <w:r>
              <w:rPr>
                <w:rFonts w:hint="default" w:ascii="Times New Roman" w:hAnsi="Times New Roman" w:cs="Times New Roman"/>
                <w:b/>
                <w:color w:val="000000"/>
                <w:sz w:val="16"/>
                <w:szCs w:val="16"/>
              </w:rPr>
              <w:t>项  目</w:t>
            </w:r>
          </w:p>
        </w:tc>
        <w:tc>
          <w:tcPr>
            <w:tcW w:w="215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006A927C">
            <w:pPr>
              <w:spacing w:line="200" w:lineRule="exact"/>
              <w:jc w:val="center"/>
              <w:textAlignment w:val="center"/>
              <w:rPr>
                <w:rFonts w:hint="default" w:ascii="Times New Roman" w:hAnsi="Times New Roman" w:cs="Times New Roman"/>
                <w:b/>
                <w:color w:val="000000"/>
                <w:sz w:val="16"/>
                <w:szCs w:val="16"/>
              </w:rPr>
            </w:pPr>
            <w:r>
              <w:rPr>
                <w:rFonts w:hint="default" w:ascii="Times New Roman" w:hAnsi="Times New Roman" w:cs="Times New Roman"/>
                <w:b/>
                <w:color w:val="000000"/>
                <w:sz w:val="16"/>
                <w:szCs w:val="16"/>
              </w:rPr>
              <w:t>决算数</w:t>
            </w:r>
          </w:p>
        </w:tc>
      </w:tr>
      <w:tr w14:paraId="70212E93">
        <w:tblPrEx>
          <w:tblCellMar>
            <w:top w:w="0" w:type="dxa"/>
            <w:left w:w="170" w:type="dxa"/>
            <w:bottom w:w="0" w:type="dxa"/>
            <w:right w:w="170" w:type="dxa"/>
          </w:tblCellMar>
        </w:tblPrEx>
        <w:trPr>
          <w:trHeight w:val="28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60A0D236">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一、“三公”经费支出</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7C73F55">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1142DA5">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2CDB2465">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四、机关运行经费</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70F15CE2">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r>
      <w:tr w14:paraId="78E52315">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386B5E3D">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（一）支出合计</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744F6AB7">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6F0EF28F">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06A6A9A9">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（一）行政单位</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58CC27F6">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r>
      <w:tr w14:paraId="15F79853">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01E804AB">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1．因公出国（境）费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28B1EB10">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465EAC88">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4F4C1BBA">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（二）参照公务员法管理事业单位</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3D1E9D55">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r>
      <w:tr w14:paraId="6743AD94">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7231843A">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2．公务用车购置及运行维护费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0ECF9EF2">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163F30D0">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6B1FBA2F">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五、资产信息</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A48B447">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r>
      <w:tr w14:paraId="483E2E1B">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681D1889">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（1）公务用车购置费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163E5BD0">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31C69BAA">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14:paraId="2F1996B3">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（一）车辆数合计（辆）</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7F4A6D15">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w:t>
            </w:r>
          </w:p>
        </w:tc>
      </w:tr>
      <w:tr w14:paraId="113615F4">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7E551EFF">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（2）公务用车运行维护费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0D84E812">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1BAFCC19">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14:paraId="31CF7AD7">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1．副部（省）级及以上领导用车</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5E56426E">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r>
      <w:tr w14:paraId="7C9583B8">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0A0A86F7">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3．公务接待费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2B6B323C">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4BE1A652">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14:paraId="565A5C4B">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2．主要领导干部用车</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0D70F23C">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r>
      <w:tr w14:paraId="06406BE5">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0A6563A1">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（1）国内接待费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868E3F6">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4F571610">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14:paraId="66DAF406">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3．机要通信用车</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4EA8F785">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r>
      <w:tr w14:paraId="21904955">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2DAC3D71">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其中：外事接待费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E34670A">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0D68D537">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14:paraId="43041892">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4．应急保障用车</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62CD4A0E">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r>
      <w:tr w14:paraId="3A95EE4B">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1AAC38EA">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（2）国（境）外接待费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3735097">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3C53EF5A">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14:paraId="294F6719">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5．执法执勤用车</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55FE70F8">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r>
      <w:tr w14:paraId="36619129">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2FFD2B41">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（二）相关统计数</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9D53007">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DB32EB4">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14:paraId="5A048C93">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6．特种专业技术用车</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0BFDDF0E">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r>
      <w:tr w14:paraId="1346E8B0">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14:paraId="4AE742E5">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1．因公出国（境）团组数（个）</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E16F34A">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14:paraId="02B3CB7A">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14:paraId="73B78D3C">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7．离退休干部用车</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1E57DD62">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r>
      <w:tr w14:paraId="11076671">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14:paraId="632807C9">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2．因公出国（境）人次数（人）</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D203FF5">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14:paraId="50648FC5">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14:paraId="21B4EA52">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8．其他用车</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7386AC5B">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r>
      <w:tr w14:paraId="2FD115EC">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14:paraId="73BAE0BF">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3．公务用车购置数（辆）</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9D30319">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14:paraId="4AB396BC">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14:paraId="060C181E">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（二）单价100万元（含）以上设备（不含车辆）</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758569E1">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r>
      <w:tr w14:paraId="1F59CD2B">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14:paraId="57BBD488">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4．公务用车保有量（辆）</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1773C90">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14:paraId="1D595DB8">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0DEC153D">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六、政府采购支出信息</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BDDF647">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r>
      <w:tr w14:paraId="40FCBC89">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14:paraId="6E85FA0B">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5．国内公务接待批次（个）</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F6BECC4">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14:paraId="63AFB9C6">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7FE3ABD4">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（一）政府采购支出合计</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0C3FDF24">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r>
      <w:tr w14:paraId="1B805141">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14:paraId="3F13D83A">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其中：外事接待批次（个）</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6312B9E">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14:paraId="3AABB5AF">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382C8551">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1．政府采购货物支出</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28EAA77D">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r>
      <w:tr w14:paraId="3EE259CC">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14:paraId="37472D53">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6．国内公务接待人次（人）</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C681ABC">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14:paraId="0085A253">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1BEFD2AC">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2．政府采购工程支出</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1FA2EA2E">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r>
      <w:tr w14:paraId="26720EB3">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14:paraId="79DF0307">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其中：外事接待人次（人）</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0F66AB0">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14:paraId="0A5A6346">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699418F1">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3．政府采购服务支出</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31312E6A">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r>
      <w:tr w14:paraId="29941A18">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14:paraId="619CE582">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7．国（境）外公务接待批次（个）</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B9DA81D">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14:paraId="0F3CA58A">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09A72E1F">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（二）政府采购授予中小企业合同金额</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100E6F30">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r>
      <w:tr w14:paraId="6C909CEF">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14:paraId="668BD5F0">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8．国（境）外公务接待人次（人）</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AFE0902">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14:paraId="24E50D94">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15601DA6">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其中：授予小微企业合同金额</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1C7D845A">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r>
      <w:tr w14:paraId="3B0D976D">
        <w:tblPrEx>
          <w:tblCellMar>
            <w:top w:w="0" w:type="dxa"/>
            <w:left w:w="170" w:type="dxa"/>
            <w:bottom w:w="0" w:type="dxa"/>
            <w:right w:w="170" w:type="dxa"/>
          </w:tblCellMar>
        </w:tblPrEx>
        <w:trPr>
          <w:trHeight w:val="286"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6AAAA833">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二、会议费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3E07352">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36AB1353">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50EF3618">
            <w:pPr>
              <w:spacing w:line="200" w:lineRule="exact"/>
              <w:rPr>
                <w:rFonts w:hint="default" w:ascii="Times New Roman" w:hAnsi="Times New Roman" w:cs="Times New Roman"/>
                <w:color w:val="000000"/>
                <w:sz w:val="16"/>
                <w:szCs w:val="16"/>
              </w:rPr>
            </w:pP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3C8DD2A8">
            <w:pPr>
              <w:spacing w:line="200" w:lineRule="exact"/>
              <w:jc w:val="right"/>
              <w:rPr>
                <w:rFonts w:hint="default" w:ascii="Times New Roman" w:hAnsi="Times New Roman" w:cs="Times New Roman"/>
                <w:color w:val="000000"/>
                <w:sz w:val="16"/>
                <w:szCs w:val="16"/>
              </w:rPr>
            </w:pPr>
          </w:p>
        </w:tc>
      </w:tr>
      <w:tr w14:paraId="6FDE7ABF">
        <w:tblPrEx>
          <w:tblCellMar>
            <w:top w:w="0" w:type="dxa"/>
            <w:left w:w="170" w:type="dxa"/>
            <w:bottom w:w="0" w:type="dxa"/>
            <w:right w:w="170" w:type="dxa"/>
          </w:tblCellMar>
        </w:tblPrEx>
        <w:trPr>
          <w:trHeight w:val="389"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5B7CF4AA">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三、培训费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5EE102A">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61D60250">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0D676AD8">
            <w:pPr>
              <w:spacing w:line="200" w:lineRule="exact"/>
              <w:rPr>
                <w:rFonts w:hint="default" w:ascii="Times New Roman" w:hAnsi="Times New Roman" w:cs="Times New Roman"/>
                <w:color w:val="000000"/>
                <w:sz w:val="16"/>
                <w:szCs w:val="16"/>
              </w:rPr>
            </w:pP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67C61CDB">
            <w:pPr>
              <w:spacing w:line="200" w:lineRule="exact"/>
              <w:jc w:val="right"/>
              <w:rPr>
                <w:rFonts w:hint="default" w:ascii="Times New Roman" w:hAnsi="Times New Roman" w:cs="Times New Roman"/>
                <w:color w:val="000000"/>
                <w:sz w:val="16"/>
                <w:szCs w:val="16"/>
              </w:rPr>
            </w:pPr>
          </w:p>
        </w:tc>
      </w:tr>
    </w:tbl>
    <w:p w14:paraId="54D05F2B">
      <w:pPr>
        <w:rPr>
          <w:rFonts w:hint="default" w:ascii="Times New Roman" w:hAnsi="Times New Roman" w:cs="Times New Roman"/>
          <w:sz w:val="21"/>
          <w:szCs w:val="21"/>
        </w:rPr>
      </w:pPr>
      <w:r>
        <w:rPr>
          <w:rFonts w:hint="default" w:ascii="Times New Roman" w:hAnsi="Times New Roman" w:cs="Times New Roman"/>
          <w:sz w:val="20"/>
          <w:szCs w:val="20"/>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hint="default" w:ascii="Times New Roman" w:hAnsi="Times New Roman" w:cs="Times New Roman"/>
          <w:sz w:val="20"/>
          <w:szCs w:val="20"/>
        </w:rPr>
        <w:br w:type="textWrapping"/>
      </w:r>
      <w:r>
        <w:rPr>
          <w:rFonts w:hint="default" w:ascii="Times New Roman" w:hAnsi="Times New Roman" w:cs="Times New Roman"/>
          <w:sz w:val="20"/>
          <w:szCs w:val="20"/>
        </w:rPr>
        <w:t xml:space="preserve">      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p>
    <w:sectPr>
      <w:headerReference r:id="rId4" w:type="default"/>
      <w:footerReference r:id="rId5" w:type="default"/>
      <w:pgSz w:w="16839" w:h="11907"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仿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843375">
    <w:pPr>
      <w:pStyle w:val="3"/>
      <w:rPr>
        <w:rFonts w:hint="default"/>
      </w:rPr>
    </w:pPr>
    <w:r>
      <w:rPr>
        <w:rFonts w:hint="default"/>
      </w:rPr>
      <w:pict>
        <v:shape id="_x0000_s4097" o:spid="_x0000_s4097"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path/>
          <v:fill on="f" focussize="0,0"/>
          <v:stroke on="f" weight="0.5pt" joinstyle="miter"/>
          <v:imagedata o:title=""/>
          <o:lock v:ext="edit"/>
          <v:textbox inset="0mm,0mm,0mm,0mm" style="mso-fit-shape-to-text:t;">
            <w:txbxContent>
              <w:p w14:paraId="157DE09F">
                <w:pPr>
                  <w:pStyle w:val="3"/>
                  <w:rPr>
                    <w:rFonts w:hint="default"/>
                  </w:rPr>
                </w:pPr>
                <w:r>
                  <w:fldChar w:fldCharType="begin"/>
                </w:r>
                <w:r>
                  <w:instrText xml:space="preserve"> PAGE  \* MERGEFORMAT </w:instrText>
                </w:r>
                <w:r>
                  <w:fldChar w:fldCharType="separate"/>
                </w:r>
                <w:r>
                  <w:rPr>
                    <w:rFonts w:hint="default"/>
                  </w:rPr>
                  <w:t>- 17 -</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9249AE">
    <w:pPr>
      <w:pStyle w:val="3"/>
      <w:jc w:val="both"/>
      <w:rPr>
        <w:rFonts w:hint="default"/>
      </w:rPr>
    </w:pPr>
    <w:r>
      <w:rPr>
        <w:rFonts w:hint="default"/>
      </w:rPr>
      <w:pict>
        <v:shape id="_x0000_s4098" o:spid="_x0000_s4098"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path/>
          <v:fill on="f" focussize="0,0"/>
          <v:stroke on="f" weight="0.5pt" joinstyle="miter"/>
          <v:imagedata o:title=""/>
          <o:lock v:ext="edit"/>
          <v:textbox inset="0mm,0mm,0mm,0mm" style="mso-fit-shape-to-text:t;">
            <w:txbxContent>
              <w:p w14:paraId="74C32DBC">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35 -</w:t>
                </w:r>
                <w:r>
                  <w:fldChar w:fldCharType="end"/>
                </w:r>
                <w:r>
                  <w:t xml:space="preserve"> </w:t>
                </w:r>
              </w:p>
            </w:txbxContent>
          </v:textbox>
        </v:shape>
      </w:pict>
    </w:r>
    <w:r>
      <w:rPr>
        <w:rFonts w:hint="default"/>
      </w:rPr>
      <w:pict>
        <v:shape id="_x0000_s4099" o:spid="_x0000_s4099"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path/>
          <v:fill on="f" focussize="0,0"/>
          <v:stroke on="f" weight="0.5pt" joinstyle="miter"/>
          <v:imagedata o:title=""/>
          <o:lock v:ext="edit"/>
          <v:textbox inset="0mm,0mm,0mm,0mm">
            <w:txbxContent>
              <w:p w14:paraId="75502928">
                <w:pPr>
                  <w:pStyle w:val="3"/>
                  <w:jc w:val="both"/>
                  <w:rPr>
                    <w:rFonts w:hint="default" w:cs="宋体"/>
                  </w:rPr>
                </w:pPr>
                <w:r>
                  <w:rPr>
                    <w:rFonts w:cs="宋体"/>
                  </w:rPr>
                  <w:t>— 27.1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4E4FC9">
    <w:pPr>
      <w:pStyle w:val="4"/>
      <w:tabs>
        <w:tab w:val="left" w:pos="1758"/>
        <w:tab w:val="clear" w:pos="4153"/>
        <w:tab w:val="clear" w:pos="8306"/>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5339A02"/>
    <w:multiLevelType w:val="singleLevel"/>
    <w:tmpl w:val="C5339A02"/>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GE0NDYxZTZiOTM0ODgwMGRhMDNmMzc3ODRkM2I4NjAifQ=="/>
  </w:docVars>
  <w:rsids>
    <w:rsidRoot w:val="00B03CCD"/>
    <w:rsid w:val="000A6B3A"/>
    <w:rsid w:val="00180EC4"/>
    <w:rsid w:val="001B2D3F"/>
    <w:rsid w:val="001D3BB7"/>
    <w:rsid w:val="002078A4"/>
    <w:rsid w:val="002B254B"/>
    <w:rsid w:val="00466C9B"/>
    <w:rsid w:val="00545F7B"/>
    <w:rsid w:val="00550ABE"/>
    <w:rsid w:val="006C43BF"/>
    <w:rsid w:val="00770383"/>
    <w:rsid w:val="007819D4"/>
    <w:rsid w:val="007B419D"/>
    <w:rsid w:val="007B7C4B"/>
    <w:rsid w:val="007D3D39"/>
    <w:rsid w:val="00846437"/>
    <w:rsid w:val="00994AF7"/>
    <w:rsid w:val="009B67B8"/>
    <w:rsid w:val="009B69BF"/>
    <w:rsid w:val="009D2B67"/>
    <w:rsid w:val="00A566F9"/>
    <w:rsid w:val="00AF2751"/>
    <w:rsid w:val="00B02A21"/>
    <w:rsid w:val="00B03CCD"/>
    <w:rsid w:val="00BE2B89"/>
    <w:rsid w:val="00C10E9E"/>
    <w:rsid w:val="00C20C3E"/>
    <w:rsid w:val="00C74CF7"/>
    <w:rsid w:val="00C826DD"/>
    <w:rsid w:val="00CF3523"/>
    <w:rsid w:val="00DD66AF"/>
    <w:rsid w:val="00EB6E33"/>
    <w:rsid w:val="00F73F90"/>
    <w:rsid w:val="00FB5A90"/>
    <w:rsid w:val="00FF1921"/>
    <w:rsid w:val="01474EBF"/>
    <w:rsid w:val="01F3521E"/>
    <w:rsid w:val="027C5B25"/>
    <w:rsid w:val="02C26307"/>
    <w:rsid w:val="03735357"/>
    <w:rsid w:val="03B87EA0"/>
    <w:rsid w:val="03E3214F"/>
    <w:rsid w:val="044C50BA"/>
    <w:rsid w:val="04B030D5"/>
    <w:rsid w:val="05BC6D49"/>
    <w:rsid w:val="06194FF1"/>
    <w:rsid w:val="06A2550B"/>
    <w:rsid w:val="06F80EE2"/>
    <w:rsid w:val="07001CCA"/>
    <w:rsid w:val="075678DB"/>
    <w:rsid w:val="079D7CC7"/>
    <w:rsid w:val="08051BCA"/>
    <w:rsid w:val="086C12F4"/>
    <w:rsid w:val="08705944"/>
    <w:rsid w:val="08BA052C"/>
    <w:rsid w:val="08DB07BA"/>
    <w:rsid w:val="0969353F"/>
    <w:rsid w:val="098305D0"/>
    <w:rsid w:val="09E678D7"/>
    <w:rsid w:val="0A3317EA"/>
    <w:rsid w:val="0A5C4B69"/>
    <w:rsid w:val="0A86124A"/>
    <w:rsid w:val="0AB54CC0"/>
    <w:rsid w:val="0B9335CE"/>
    <w:rsid w:val="0BF2311A"/>
    <w:rsid w:val="0C7927C4"/>
    <w:rsid w:val="0C9B098C"/>
    <w:rsid w:val="0D673E11"/>
    <w:rsid w:val="0D7943F3"/>
    <w:rsid w:val="0DDA54E4"/>
    <w:rsid w:val="0E3A5F83"/>
    <w:rsid w:val="0F836721"/>
    <w:rsid w:val="0FA25D96"/>
    <w:rsid w:val="0FD26D70"/>
    <w:rsid w:val="107B59E5"/>
    <w:rsid w:val="109E0DF1"/>
    <w:rsid w:val="10EC0126"/>
    <w:rsid w:val="10F70B9A"/>
    <w:rsid w:val="111445C7"/>
    <w:rsid w:val="114278C6"/>
    <w:rsid w:val="1158083A"/>
    <w:rsid w:val="11643A4B"/>
    <w:rsid w:val="11ED0F98"/>
    <w:rsid w:val="11F03528"/>
    <w:rsid w:val="123C17FB"/>
    <w:rsid w:val="12C921C4"/>
    <w:rsid w:val="1308269E"/>
    <w:rsid w:val="13871C70"/>
    <w:rsid w:val="13A71CB4"/>
    <w:rsid w:val="13AF1D43"/>
    <w:rsid w:val="13B46FC0"/>
    <w:rsid w:val="13CE1647"/>
    <w:rsid w:val="13FD55AB"/>
    <w:rsid w:val="141972F4"/>
    <w:rsid w:val="14200702"/>
    <w:rsid w:val="14AD1C60"/>
    <w:rsid w:val="1512382F"/>
    <w:rsid w:val="16110E64"/>
    <w:rsid w:val="163A6CEE"/>
    <w:rsid w:val="16964F7B"/>
    <w:rsid w:val="173708E3"/>
    <w:rsid w:val="17C374FC"/>
    <w:rsid w:val="17EF56E0"/>
    <w:rsid w:val="180F11CA"/>
    <w:rsid w:val="182E4AB6"/>
    <w:rsid w:val="189079DC"/>
    <w:rsid w:val="189B0D0B"/>
    <w:rsid w:val="18B43F7C"/>
    <w:rsid w:val="194A1770"/>
    <w:rsid w:val="19543170"/>
    <w:rsid w:val="19B906A4"/>
    <w:rsid w:val="19E15E09"/>
    <w:rsid w:val="1A3E7BB9"/>
    <w:rsid w:val="1B6F15B6"/>
    <w:rsid w:val="1BAA2EDC"/>
    <w:rsid w:val="1C7A7455"/>
    <w:rsid w:val="1C8A37CD"/>
    <w:rsid w:val="1CA55E64"/>
    <w:rsid w:val="1D014A01"/>
    <w:rsid w:val="1D022362"/>
    <w:rsid w:val="1D0B6C97"/>
    <w:rsid w:val="1D1B04B0"/>
    <w:rsid w:val="1D7C6E74"/>
    <w:rsid w:val="1DA52501"/>
    <w:rsid w:val="1DBD6767"/>
    <w:rsid w:val="1DC52125"/>
    <w:rsid w:val="1DD26311"/>
    <w:rsid w:val="1DDE6DE7"/>
    <w:rsid w:val="1E374ACB"/>
    <w:rsid w:val="1E777D8F"/>
    <w:rsid w:val="1ECF0A66"/>
    <w:rsid w:val="1EF67CA4"/>
    <w:rsid w:val="1F020D3A"/>
    <w:rsid w:val="1F2C5189"/>
    <w:rsid w:val="1F4B0B02"/>
    <w:rsid w:val="1FBB35CD"/>
    <w:rsid w:val="1FCD26AF"/>
    <w:rsid w:val="1FE47498"/>
    <w:rsid w:val="20642787"/>
    <w:rsid w:val="21556F04"/>
    <w:rsid w:val="22403BD3"/>
    <w:rsid w:val="22C33F6D"/>
    <w:rsid w:val="22C91F60"/>
    <w:rsid w:val="243749B5"/>
    <w:rsid w:val="24B92327"/>
    <w:rsid w:val="24C14514"/>
    <w:rsid w:val="2533755C"/>
    <w:rsid w:val="25791755"/>
    <w:rsid w:val="25900098"/>
    <w:rsid w:val="25AA0C49"/>
    <w:rsid w:val="25E665F1"/>
    <w:rsid w:val="26396DF4"/>
    <w:rsid w:val="264A30BB"/>
    <w:rsid w:val="27167136"/>
    <w:rsid w:val="271B442C"/>
    <w:rsid w:val="272A393C"/>
    <w:rsid w:val="27B23302"/>
    <w:rsid w:val="287823BE"/>
    <w:rsid w:val="288911A2"/>
    <w:rsid w:val="28F71A71"/>
    <w:rsid w:val="29310A5F"/>
    <w:rsid w:val="29C37A35"/>
    <w:rsid w:val="29CB1066"/>
    <w:rsid w:val="29EE46C4"/>
    <w:rsid w:val="2A076083"/>
    <w:rsid w:val="2A73162E"/>
    <w:rsid w:val="2B167953"/>
    <w:rsid w:val="2B200583"/>
    <w:rsid w:val="2B8209DE"/>
    <w:rsid w:val="2BD60400"/>
    <w:rsid w:val="2C1C4DE2"/>
    <w:rsid w:val="2C636760"/>
    <w:rsid w:val="2C6762A3"/>
    <w:rsid w:val="2F2F3B45"/>
    <w:rsid w:val="2F5475B9"/>
    <w:rsid w:val="2FCA4B37"/>
    <w:rsid w:val="2FE029D7"/>
    <w:rsid w:val="2FF06E00"/>
    <w:rsid w:val="301A53E8"/>
    <w:rsid w:val="30586FEC"/>
    <w:rsid w:val="315F0B22"/>
    <w:rsid w:val="31D30753"/>
    <w:rsid w:val="31D84415"/>
    <w:rsid w:val="32285F6F"/>
    <w:rsid w:val="32770556"/>
    <w:rsid w:val="329C0913"/>
    <w:rsid w:val="32AA0460"/>
    <w:rsid w:val="32B66580"/>
    <w:rsid w:val="33061253"/>
    <w:rsid w:val="3337290D"/>
    <w:rsid w:val="33E31118"/>
    <w:rsid w:val="33EF7674"/>
    <w:rsid w:val="342D7BC6"/>
    <w:rsid w:val="344A6531"/>
    <w:rsid w:val="352930DB"/>
    <w:rsid w:val="354E1884"/>
    <w:rsid w:val="35573069"/>
    <w:rsid w:val="355F6038"/>
    <w:rsid w:val="358C217E"/>
    <w:rsid w:val="359C7821"/>
    <w:rsid w:val="36C9128A"/>
    <w:rsid w:val="37841E99"/>
    <w:rsid w:val="37BF1123"/>
    <w:rsid w:val="383C3F15"/>
    <w:rsid w:val="38BE4696"/>
    <w:rsid w:val="3939115E"/>
    <w:rsid w:val="397B7F2B"/>
    <w:rsid w:val="397E1C6B"/>
    <w:rsid w:val="39826D51"/>
    <w:rsid w:val="39B82A39"/>
    <w:rsid w:val="39C42CA8"/>
    <w:rsid w:val="39DC4FD6"/>
    <w:rsid w:val="39F03D7A"/>
    <w:rsid w:val="39F33306"/>
    <w:rsid w:val="3A2C1C67"/>
    <w:rsid w:val="3ADD7F09"/>
    <w:rsid w:val="3B0259FB"/>
    <w:rsid w:val="3B1705E5"/>
    <w:rsid w:val="3B18334B"/>
    <w:rsid w:val="3B36794F"/>
    <w:rsid w:val="3B466459"/>
    <w:rsid w:val="3B6F6EE0"/>
    <w:rsid w:val="3B9D3E98"/>
    <w:rsid w:val="3BED6026"/>
    <w:rsid w:val="3C541DD1"/>
    <w:rsid w:val="3C566AD6"/>
    <w:rsid w:val="3C594871"/>
    <w:rsid w:val="3C6A5B02"/>
    <w:rsid w:val="3D2757A1"/>
    <w:rsid w:val="3D3D4FC4"/>
    <w:rsid w:val="3D7F61CE"/>
    <w:rsid w:val="3DDF3AB1"/>
    <w:rsid w:val="3E1D0952"/>
    <w:rsid w:val="3E42660A"/>
    <w:rsid w:val="3E7555B1"/>
    <w:rsid w:val="3E787ED9"/>
    <w:rsid w:val="3F032E93"/>
    <w:rsid w:val="3F0527E5"/>
    <w:rsid w:val="3F694D83"/>
    <w:rsid w:val="3F885DCC"/>
    <w:rsid w:val="3FCD675E"/>
    <w:rsid w:val="3FD57E89"/>
    <w:rsid w:val="4004000C"/>
    <w:rsid w:val="40BD5482"/>
    <w:rsid w:val="411B6CE5"/>
    <w:rsid w:val="412070D7"/>
    <w:rsid w:val="41314E40"/>
    <w:rsid w:val="416715C1"/>
    <w:rsid w:val="41B32AE0"/>
    <w:rsid w:val="41E0734B"/>
    <w:rsid w:val="426C1EA8"/>
    <w:rsid w:val="42736402"/>
    <w:rsid w:val="42E86A87"/>
    <w:rsid w:val="43307B09"/>
    <w:rsid w:val="439A3EB9"/>
    <w:rsid w:val="43BB152F"/>
    <w:rsid w:val="43E2059F"/>
    <w:rsid w:val="44BE635E"/>
    <w:rsid w:val="44C37687"/>
    <w:rsid w:val="45CB699A"/>
    <w:rsid w:val="45DB67A5"/>
    <w:rsid w:val="465B470D"/>
    <w:rsid w:val="469D6AD4"/>
    <w:rsid w:val="471E6C84"/>
    <w:rsid w:val="4748792B"/>
    <w:rsid w:val="475D719D"/>
    <w:rsid w:val="47674801"/>
    <w:rsid w:val="478029FB"/>
    <w:rsid w:val="481C0D8A"/>
    <w:rsid w:val="48225EF7"/>
    <w:rsid w:val="48445C9B"/>
    <w:rsid w:val="488F422B"/>
    <w:rsid w:val="48E36915"/>
    <w:rsid w:val="48EB6572"/>
    <w:rsid w:val="495C4A24"/>
    <w:rsid w:val="497135DF"/>
    <w:rsid w:val="49A16D86"/>
    <w:rsid w:val="4A263DF2"/>
    <w:rsid w:val="4A6F6675"/>
    <w:rsid w:val="4B135857"/>
    <w:rsid w:val="4B7951CB"/>
    <w:rsid w:val="4B7C315C"/>
    <w:rsid w:val="4C0004FB"/>
    <w:rsid w:val="4D9B1C3E"/>
    <w:rsid w:val="4DAC4ACA"/>
    <w:rsid w:val="4DBE01D2"/>
    <w:rsid w:val="4E43338A"/>
    <w:rsid w:val="4F0C6BA3"/>
    <w:rsid w:val="4F186D58"/>
    <w:rsid w:val="50F06B6E"/>
    <w:rsid w:val="51D21804"/>
    <w:rsid w:val="52150C27"/>
    <w:rsid w:val="52234D33"/>
    <w:rsid w:val="522F6E0C"/>
    <w:rsid w:val="52463BA1"/>
    <w:rsid w:val="52F163D4"/>
    <w:rsid w:val="531A2DB4"/>
    <w:rsid w:val="53C0244D"/>
    <w:rsid w:val="53DD4D4E"/>
    <w:rsid w:val="53E578CE"/>
    <w:rsid w:val="541330F0"/>
    <w:rsid w:val="54272666"/>
    <w:rsid w:val="543B029D"/>
    <w:rsid w:val="545611C0"/>
    <w:rsid w:val="54861779"/>
    <w:rsid w:val="551E0381"/>
    <w:rsid w:val="552256E1"/>
    <w:rsid w:val="554E5773"/>
    <w:rsid w:val="555829E0"/>
    <w:rsid w:val="555A3CBC"/>
    <w:rsid w:val="5582012B"/>
    <w:rsid w:val="558E4E05"/>
    <w:rsid w:val="55BE2E85"/>
    <w:rsid w:val="56530F5D"/>
    <w:rsid w:val="567700D3"/>
    <w:rsid w:val="568E0DD7"/>
    <w:rsid w:val="56FF7E9E"/>
    <w:rsid w:val="578867FC"/>
    <w:rsid w:val="578C1298"/>
    <w:rsid w:val="57906BBE"/>
    <w:rsid w:val="57C41722"/>
    <w:rsid w:val="57C517B2"/>
    <w:rsid w:val="57E8015C"/>
    <w:rsid w:val="5842572D"/>
    <w:rsid w:val="58920C5E"/>
    <w:rsid w:val="59004491"/>
    <w:rsid w:val="59065444"/>
    <w:rsid w:val="591D0938"/>
    <w:rsid w:val="59B7638B"/>
    <w:rsid w:val="5A157CDA"/>
    <w:rsid w:val="5A3B59D6"/>
    <w:rsid w:val="5A9542D6"/>
    <w:rsid w:val="5AD134D8"/>
    <w:rsid w:val="5C263CE4"/>
    <w:rsid w:val="5C413757"/>
    <w:rsid w:val="5C5D2777"/>
    <w:rsid w:val="5CE03B7E"/>
    <w:rsid w:val="5CF66BF3"/>
    <w:rsid w:val="5D290C69"/>
    <w:rsid w:val="5DDC1530"/>
    <w:rsid w:val="5E744819"/>
    <w:rsid w:val="5F2D4A41"/>
    <w:rsid w:val="5F9C711C"/>
    <w:rsid w:val="60C74F6C"/>
    <w:rsid w:val="61025A59"/>
    <w:rsid w:val="613D5BBC"/>
    <w:rsid w:val="61536C39"/>
    <w:rsid w:val="61BD7046"/>
    <w:rsid w:val="62944DD7"/>
    <w:rsid w:val="6319381F"/>
    <w:rsid w:val="63B20373"/>
    <w:rsid w:val="63C25DC5"/>
    <w:rsid w:val="63C62057"/>
    <w:rsid w:val="64571EF5"/>
    <w:rsid w:val="64FB113D"/>
    <w:rsid w:val="651F4FC9"/>
    <w:rsid w:val="656152C6"/>
    <w:rsid w:val="6587477F"/>
    <w:rsid w:val="658C3A08"/>
    <w:rsid w:val="65C031CA"/>
    <w:rsid w:val="65C049ED"/>
    <w:rsid w:val="65CE6852"/>
    <w:rsid w:val="6617736C"/>
    <w:rsid w:val="66267C04"/>
    <w:rsid w:val="663F505A"/>
    <w:rsid w:val="66C83A37"/>
    <w:rsid w:val="66EE5541"/>
    <w:rsid w:val="675B2237"/>
    <w:rsid w:val="67924660"/>
    <w:rsid w:val="68407834"/>
    <w:rsid w:val="6883293E"/>
    <w:rsid w:val="688412AD"/>
    <w:rsid w:val="68EB1B71"/>
    <w:rsid w:val="694A5FE3"/>
    <w:rsid w:val="69590110"/>
    <w:rsid w:val="6A6C7940"/>
    <w:rsid w:val="6AAD2300"/>
    <w:rsid w:val="6B474EF5"/>
    <w:rsid w:val="6BCE1CAE"/>
    <w:rsid w:val="6C0A5AC5"/>
    <w:rsid w:val="6C560CAE"/>
    <w:rsid w:val="6C576495"/>
    <w:rsid w:val="6D294536"/>
    <w:rsid w:val="6D6A1B08"/>
    <w:rsid w:val="6D903FF5"/>
    <w:rsid w:val="6DA955B8"/>
    <w:rsid w:val="6DE346AB"/>
    <w:rsid w:val="6DE5391A"/>
    <w:rsid w:val="6E7B0AEA"/>
    <w:rsid w:val="6EFD1324"/>
    <w:rsid w:val="6F015F34"/>
    <w:rsid w:val="6F5A53AC"/>
    <w:rsid w:val="6FAC003D"/>
    <w:rsid w:val="6FE55E12"/>
    <w:rsid w:val="6FE6695E"/>
    <w:rsid w:val="6FFB2E76"/>
    <w:rsid w:val="70084050"/>
    <w:rsid w:val="7018252A"/>
    <w:rsid w:val="707D77EC"/>
    <w:rsid w:val="708F6F7F"/>
    <w:rsid w:val="70D94BD3"/>
    <w:rsid w:val="71C34D91"/>
    <w:rsid w:val="725150DA"/>
    <w:rsid w:val="72DB435C"/>
    <w:rsid w:val="72E2613A"/>
    <w:rsid w:val="72F771F4"/>
    <w:rsid w:val="73934AD2"/>
    <w:rsid w:val="74126A17"/>
    <w:rsid w:val="74AA390D"/>
    <w:rsid w:val="74B03D08"/>
    <w:rsid w:val="750837F0"/>
    <w:rsid w:val="754758CF"/>
    <w:rsid w:val="76080AC2"/>
    <w:rsid w:val="763770DE"/>
    <w:rsid w:val="764F62AB"/>
    <w:rsid w:val="765C45EC"/>
    <w:rsid w:val="768A7619"/>
    <w:rsid w:val="76B42E57"/>
    <w:rsid w:val="772E1EBA"/>
    <w:rsid w:val="77C126BE"/>
    <w:rsid w:val="781926BC"/>
    <w:rsid w:val="78CD1CFF"/>
    <w:rsid w:val="78D215E9"/>
    <w:rsid w:val="796D60A4"/>
    <w:rsid w:val="79A031D5"/>
    <w:rsid w:val="7A1525F7"/>
    <w:rsid w:val="7A726EE7"/>
    <w:rsid w:val="7B420052"/>
    <w:rsid w:val="7BD06A28"/>
    <w:rsid w:val="7C3A7C0B"/>
    <w:rsid w:val="7C5248E4"/>
    <w:rsid w:val="7C566698"/>
    <w:rsid w:val="7C5866A3"/>
    <w:rsid w:val="7D7406BB"/>
    <w:rsid w:val="7D907D8A"/>
    <w:rsid w:val="7DE94331"/>
    <w:rsid w:val="7F446A19"/>
    <w:rsid w:val="7F7452B9"/>
    <w:rsid w:val="7F9F6EA1"/>
    <w:rsid w:val="7FEC38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qFormat/>
    <w:uiPriority w:val="0"/>
    <w:rPr>
      <w:b/>
    </w:r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Char"/>
    <w:basedOn w:val="9"/>
    <w:link w:val="2"/>
    <w:qFormat/>
    <w:uiPriority w:val="0"/>
    <w:rPr>
      <w:rFonts w:ascii="宋体" w:hAnsi="宋体"/>
      <w:sz w:val="18"/>
      <w:szCs w:val="18"/>
    </w:rPr>
  </w:style>
  <w:style w:type="paragraph" w:customStyle="1" w:styleId="16">
    <w:name w:val="普通(网站) Char Char"/>
    <w:basedOn w:val="1"/>
    <w:qFormat/>
    <w:uiPriority w:val="0"/>
    <w:pPr>
      <w:spacing w:before="0" w:beforeAutospacing="1" w:after="0" w:afterAutospacing="1"/>
      <w:ind w:left="0" w:right="0"/>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Pages>
  <Words>7453</Words>
  <Characters>8839</Characters>
  <Lines>201</Lines>
  <Paragraphs>56</Paragraphs>
  <TotalTime>9</TotalTime>
  <ScaleCrop>false</ScaleCrop>
  <LinksUpToDate>false</LinksUpToDate>
  <CharactersWithSpaces>9826</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Administrator</cp:lastModifiedBy>
  <dcterms:modified xsi:type="dcterms:W3CDTF">2024-09-30T01:36:15Z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BB46EABDBB2749749395447164B066B3_12</vt:lpwstr>
  </property>
</Properties>
</file>