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val="0"/>
        <w:spacing w:beforeAutospacing="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关于印发《2024年度重庆市人民政府</w:t>
      </w:r>
    </w:p>
    <w:p>
      <w:pPr>
        <w:keepNext w:val="0"/>
        <w:keepLines w:val="0"/>
        <w:pageBreakBefore w:val="0"/>
        <w:widowControl w:val="0"/>
        <w:kinsoku/>
        <w:wordWrap/>
        <w:overflowPunct/>
        <w:topLinePunct w:val="0"/>
        <w:autoSpaceDE/>
        <w:autoSpaceDN/>
        <w:bidi w:val="0"/>
        <w:adjustRightInd/>
        <w:snapToGrid w:val="0"/>
        <w:spacing w:beforeAutospacing="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重大行政决策事项目录》的通知</w:t>
      </w:r>
    </w:p>
    <w:p>
      <w:pPr>
        <w:keepNext w:val="0"/>
        <w:keepLines w:val="0"/>
        <w:pageBreakBefore w:val="0"/>
        <w:widowControl w:val="0"/>
        <w:kinsoku/>
        <w:wordWrap/>
        <w:overflowPunct/>
        <w:topLinePunct w:val="0"/>
        <w:autoSpaceDE/>
        <w:autoSpaceDN/>
        <w:bidi w:val="0"/>
        <w:spacing w:beforeAutospacing="0" w:line="594" w:lineRule="exact"/>
        <w:ind w:right="0" w:rightChars="0"/>
        <w:jc w:val="center"/>
        <w:rPr>
          <w:rFonts w:hint="eastAsia" w:ascii="Times New Roman" w:hAnsi="Times New Roman" w:cs="方正仿宋_GBK"/>
          <w:lang w:bidi="ar"/>
        </w:rPr>
      </w:pPr>
    </w:p>
    <w:p>
      <w:pPr>
        <w:keepNext w:val="0"/>
        <w:keepLines w:val="0"/>
        <w:pageBreakBefore w:val="0"/>
        <w:widowControl w:val="0"/>
        <w:kinsoku/>
        <w:wordWrap/>
        <w:overflowPunct/>
        <w:topLinePunct w:val="0"/>
        <w:autoSpaceDE/>
        <w:autoSpaceDN/>
        <w:bidi w:val="0"/>
        <w:spacing w:beforeAutospacing="0" w:line="594" w:lineRule="exact"/>
        <w:ind w:right="0" w:rightChars="0"/>
        <w:jc w:val="center"/>
        <w:rPr>
          <w:rFonts w:hint="eastAsia" w:ascii="Times New Roman" w:hAnsi="Times New Roman" w:cs="方正仿宋_GBK"/>
          <w:lang w:bidi="ar"/>
        </w:rPr>
      </w:pPr>
      <w:bookmarkStart w:id="0" w:name="_GoBack"/>
      <w:bookmarkEnd w:id="0"/>
      <w:r>
        <w:rPr>
          <w:rFonts w:hint="eastAsia" w:ascii="Times New Roman" w:hAnsi="Times New Roman" w:cs="方正仿宋_GBK"/>
          <w:lang w:bidi="ar"/>
        </w:rPr>
        <w:t>渝府办发〔</w:t>
      </w:r>
      <w:r>
        <w:rPr>
          <w:rFonts w:ascii="Times New Roman" w:hAnsi="Times New Roman"/>
          <w:lang w:bidi="ar"/>
        </w:rPr>
        <w:t>202</w:t>
      </w:r>
      <w:r>
        <w:rPr>
          <w:rFonts w:hint="eastAsia" w:ascii="Times New Roman" w:hAnsi="Times New Roman"/>
          <w:lang w:bidi="ar"/>
        </w:rPr>
        <w:t>4</w:t>
      </w:r>
      <w:r>
        <w:rPr>
          <w:rFonts w:hint="eastAsia" w:ascii="Times New Roman" w:hAnsi="Times New Roman" w:cs="方正仿宋_GBK"/>
          <w:lang w:bidi="ar"/>
        </w:rPr>
        <w:t>〕</w:t>
      </w:r>
      <w:r>
        <w:rPr>
          <w:rFonts w:hint="eastAsia" w:ascii="Times New Roman" w:hAnsi="Times New Roman" w:cs="方正仿宋_GBK"/>
          <w:lang w:val="en-US" w:eastAsia="zh-CN" w:bidi="ar"/>
        </w:rPr>
        <w:t>42</w:t>
      </w:r>
      <w:r>
        <w:rPr>
          <w:rFonts w:hint="eastAsia" w:ascii="Times New Roman" w:hAnsi="Times New Roman" w:cs="方正仿宋_GBK"/>
          <w:lang w:bidi="ar"/>
        </w:rPr>
        <w:t>号</w:t>
      </w:r>
    </w:p>
    <w:p>
      <w:pPr>
        <w:pStyle w:val="2"/>
        <w:keepNext w:val="0"/>
        <w:keepLines w:val="0"/>
        <w:pageBreakBefore w:val="0"/>
        <w:widowControl w:val="0"/>
        <w:kinsoku/>
        <w:wordWrap/>
        <w:overflowPunct/>
        <w:topLinePunct w:val="0"/>
        <w:autoSpaceDE/>
        <w:autoSpaceDN/>
        <w:bidi w:val="0"/>
        <w:spacing w:before="0" w:beforeAutospacing="0" w:after="0" w:line="594" w:lineRule="exact"/>
        <w:ind w:right="0" w:rightChars="0"/>
        <w:rPr>
          <w:rFonts w:hint="eastAsia"/>
        </w:rPr>
      </w:pPr>
    </w:p>
    <w:p>
      <w:pPr>
        <w:keepNext w:val="0"/>
        <w:keepLines w:val="0"/>
        <w:pageBreakBefore w:val="0"/>
        <w:widowControl w:val="0"/>
        <w:kinsoku/>
        <w:wordWrap/>
        <w:overflowPunct/>
        <w:topLinePunct w:val="0"/>
        <w:autoSpaceDE/>
        <w:autoSpaceDN/>
        <w:bidi w:val="0"/>
        <w:spacing w:beforeAutospacing="0" w:line="594" w:lineRule="exact"/>
        <w:ind w:right="0" w:rightChars="0"/>
        <w:rPr>
          <w:rFonts w:hint="eastAsia" w:ascii="Times New Roman" w:hAnsi="Times New Roman"/>
        </w:rPr>
      </w:pPr>
      <w:r>
        <w:rPr>
          <w:rFonts w:hint="eastAsia" w:ascii="Times New Roman" w:hAnsi="Times New Roma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为落实重大行政决策程序制度，推进科学民主依法决策，根据《重大行政决策程序暂行条例》（国务院令第713号）、《重庆市重大行政决策程序规定》（重庆市人民政府令第337号）等规定，市政府办公厅编制了《2024年度重庆市人民政府重大行政决策事项目录》（以下简称《目录》），《目录》已经市委、市政府同意，现予印发，并就有关工作通知如下：</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一、精心组织实施，决策承办单位要认真组织实施，把握时间要求，严格履行公众参与、专家论证、风险评估、合法性审查和集体讨论决定等法定程序，推动实现决策听证全覆盖，按时高质量完成决策事项。</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二、加强动态管理，根据市政府年度重点工作任务情况，确需对列入的决策事项进行调整或者新增事项的，由决策承办单位研究论证后按照编制程序报审。</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三、强化监督检查，《目录》印发实施后，市政府办公厅将会同市司法局，对《目录》执行情况和重大行政决策有关工作加强督促检查，开展评估考核。</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四、各区县（自治县）人民政府、市政府各部门、有关单位要建立健全重大行政决策目录管理机制，按照《重庆市重大行政决策程序规定》要求，制定并公布本地区、本部门年度重大行政决策事项目录。</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spacing w:beforeAutospacing="0" w:line="594" w:lineRule="exact"/>
        <w:ind w:right="0" w:rightChars="0"/>
        <w:rPr>
          <w:rFonts w:hint="eastAsia" w:ascii="Times New Roman" w:hAnsi="Times New Roman"/>
        </w:rPr>
      </w:pPr>
    </w:p>
    <w:p>
      <w:pPr>
        <w:keepNext w:val="0"/>
        <w:keepLines w:val="0"/>
        <w:pageBreakBefore w:val="0"/>
        <w:widowControl w:val="0"/>
        <w:kinsoku/>
        <w:wordWrap w:val="0"/>
        <w:overflowPunct/>
        <w:topLinePunct w:val="0"/>
        <w:autoSpaceDE/>
        <w:autoSpaceDN/>
        <w:bidi w:val="0"/>
        <w:adjustRightInd/>
        <w:snapToGrid/>
        <w:spacing w:beforeAutospacing="0" w:line="594" w:lineRule="exact"/>
        <w:ind w:left="0" w:leftChars="0" w:right="0" w:rightChars="0" w:firstLine="0" w:firstLineChars="0"/>
        <w:jc w:val="right"/>
        <w:textAlignment w:val="auto"/>
        <w:outlineLvl w:val="9"/>
        <w:rPr>
          <w:rFonts w:hint="default" w:ascii="Times New Roman" w:hAnsi="Times New Roman" w:eastAsia="方正仿宋_GBK"/>
          <w:lang w:val="en-US" w:eastAsia="zh-CN"/>
        </w:rPr>
      </w:pPr>
      <w:r>
        <w:rPr>
          <w:rFonts w:hint="eastAsia" w:ascii="Times New Roman" w:hAnsi="Times New Roman"/>
        </w:rPr>
        <w:t>重庆市人民政府办公厅</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line="594" w:lineRule="exact"/>
        <w:ind w:left="0" w:leftChars="0" w:right="0" w:rightChars="0" w:firstLine="0" w:firstLineChars="0"/>
        <w:jc w:val="right"/>
        <w:textAlignment w:val="auto"/>
        <w:outlineLvl w:val="9"/>
        <w:rPr>
          <w:rFonts w:hint="default" w:ascii="Times New Roman" w:hAnsi="Times New Roman" w:eastAsia="方正仿宋_GBK"/>
          <w:lang w:val="en-US" w:eastAsia="zh-CN"/>
        </w:rPr>
      </w:pPr>
      <w:r>
        <w:rPr>
          <w:rFonts w:hint="eastAsia" w:ascii="Times New Roman" w:hAnsi="Times New Roman"/>
        </w:rPr>
        <w:t>2024年</w:t>
      </w:r>
      <w:r>
        <w:rPr>
          <w:rFonts w:hint="eastAsia" w:ascii="Times New Roman" w:hAnsi="Times New Roman"/>
          <w:lang w:val="en-US" w:eastAsia="zh-CN"/>
        </w:rPr>
        <w:t>4</w:t>
      </w:r>
      <w:r>
        <w:rPr>
          <w:rFonts w:hint="eastAsia" w:ascii="Times New Roman" w:hAnsi="Times New Roman"/>
        </w:rPr>
        <w:t>月</w:t>
      </w:r>
      <w:r>
        <w:rPr>
          <w:rFonts w:hint="eastAsia" w:ascii="Times New Roman" w:hAnsi="Times New Roman"/>
          <w:lang w:val="en-US" w:eastAsia="zh-CN"/>
        </w:rPr>
        <w:t>26</w:t>
      </w:r>
      <w:r>
        <w:rPr>
          <w:rFonts w:hint="eastAsia" w:ascii="Times New Roman" w:hAnsi="Times New Roman"/>
        </w:rPr>
        <w:t>日</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spacing w:beforeAutospacing="0" w:line="594" w:lineRule="exact"/>
        <w:ind w:right="0" w:rightChars="0"/>
        <w:rPr>
          <w:rFonts w:hint="eastAsia" w:ascii="Times New Roman" w:hAnsi="Times New Roman"/>
        </w:rPr>
      </w:pPr>
    </w:p>
    <w:p>
      <w:pPr>
        <w:keepNext w:val="0"/>
        <w:keepLines w:val="0"/>
        <w:pageBreakBefore w:val="0"/>
        <w:widowControl w:val="0"/>
        <w:kinsoku/>
        <w:wordWrap/>
        <w:overflowPunct/>
        <w:topLinePunct w:val="0"/>
        <w:autoSpaceDE/>
        <w:autoSpaceDN/>
        <w:bidi w:val="0"/>
        <w:spacing w:beforeAutospacing="0" w:line="594" w:lineRule="exact"/>
        <w:ind w:right="0" w:rightChars="0"/>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val="0"/>
        <w:spacing w:beforeAutospacing="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2024年度重庆市人民政府</w:t>
      </w:r>
    </w:p>
    <w:p>
      <w:pPr>
        <w:keepNext w:val="0"/>
        <w:keepLines w:val="0"/>
        <w:pageBreakBefore w:val="0"/>
        <w:widowControl w:val="0"/>
        <w:kinsoku/>
        <w:wordWrap/>
        <w:overflowPunct/>
        <w:topLinePunct w:val="0"/>
        <w:autoSpaceDE/>
        <w:autoSpaceDN/>
        <w:bidi w:val="0"/>
        <w:adjustRightInd/>
        <w:snapToGrid w:val="0"/>
        <w:spacing w:beforeAutospacing="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重大行政决策事项目录</w:t>
      </w:r>
    </w:p>
    <w:p>
      <w:pPr>
        <w:pStyle w:val="2"/>
        <w:rPr>
          <w:rFonts w:hint="eastAsia"/>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937"/>
        <w:gridCol w:w="2189"/>
        <w:gridCol w:w="17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序号</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决策事项</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申报单位</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报请审议时间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1</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制定重庆市河流生态流量监督管理办法</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市水利局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第二季度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2</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制定重庆市空气质量持续改善行动实施方案</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市生态环境局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第二季度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3</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制定重庆市全面推开紧密型县域医疗卫生共同体高质量发展实施方案</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市卫生健康委</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第二季度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4</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制定深化户籍制度改革服务高质量发展的若干措施</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市公安局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第二季度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5</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制定关于分型分类精准帮扶促进个体工商户高质量发展的实施意见</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市市场监管局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第二季度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6</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制定渝西地区国土空间规划</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市规划自然资源局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第二季度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7</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制定重庆市园区开发区高质量发展规划</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市发展改革委</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第三季度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8</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调整重庆市最低工资标准</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市人力社保局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第四季度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9</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制定重庆市结核病防治中长期规划（2024—2030年）</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市卫生健康委</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第四季度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10</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制定关于规范农村宅基地范围及面积标准的通告</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市农业农村委</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第四季度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lang w:val="en-US" w:eastAsia="zh-CN"/>
              </w:rPr>
            </w:pPr>
            <w:r>
              <w:rPr>
                <w:rFonts w:hint="eastAsia" w:ascii="Times New Roman" w:hAnsi="Times New Roman" w:eastAsia="方正书宋_GBK" w:cs="方正书宋_GBK"/>
                <w:color w:val="000000"/>
                <w:sz w:val="24"/>
                <w:szCs w:val="24"/>
                <w:lang w:val="en-US" w:eastAsia="zh-CN"/>
              </w:rPr>
              <w:t>11</w:t>
            </w:r>
          </w:p>
        </w:tc>
        <w:tc>
          <w:tcPr>
            <w:tcW w:w="4937"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制定重庆市法律援助经济困难标准与核查办法</w:t>
            </w:r>
          </w:p>
        </w:tc>
        <w:tc>
          <w:tcPr>
            <w:tcW w:w="2189"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市司法局</w:t>
            </w:r>
          </w:p>
        </w:tc>
        <w:tc>
          <w:tcPr>
            <w:tcW w:w="1775" w:type="dxa"/>
            <w:noWrap w:val="0"/>
            <w:tcMar>
              <w:top w:w="85" w:type="dxa"/>
              <w:left w:w="142" w:type="dxa"/>
              <w:bottom w:w="85" w:type="dxa"/>
              <w:right w:w="142"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594" w:lineRule="exact"/>
              <w:ind w:left="0" w:leftChars="0" w:right="0" w:rightChars="0" w:firstLine="0" w:firstLineChars="0"/>
              <w:jc w:val="center"/>
              <w:textAlignment w:val="auto"/>
              <w:outlineLvl w:val="9"/>
              <w:rPr>
                <w:rFonts w:hint="eastAsia" w:ascii="Times New Roman" w:hAnsi="Times New Roman" w:eastAsia="方正书宋_GBK" w:cs="方正书宋_GBK"/>
                <w:color w:val="000000"/>
                <w:sz w:val="24"/>
                <w:szCs w:val="24"/>
              </w:rPr>
            </w:pPr>
            <w:r>
              <w:rPr>
                <w:rFonts w:hint="eastAsia" w:ascii="Times New Roman" w:hAnsi="Times New Roman" w:eastAsia="方正书宋_GBK" w:cs="方正书宋_GBK"/>
                <w:color w:val="000000"/>
                <w:sz w:val="24"/>
                <w:szCs w:val="24"/>
              </w:rPr>
              <w:t>第四季度</w:t>
            </w:r>
          </w:p>
        </w:tc>
      </w:tr>
    </w:tbl>
    <w:p>
      <w:pPr>
        <w:keepNext w:val="0"/>
        <w:keepLines w:val="0"/>
        <w:pageBreakBefore w:val="0"/>
        <w:widowControl w:val="0"/>
        <w:kinsoku/>
        <w:wordWrap/>
        <w:overflowPunct/>
        <w:topLinePunct w:val="0"/>
        <w:autoSpaceDE/>
        <w:autoSpaceDN/>
        <w:bidi w:val="0"/>
        <w:spacing w:beforeAutospacing="0" w:line="594" w:lineRule="exact"/>
        <w:ind w:right="0" w:rightChars="0"/>
        <w:rPr>
          <w:rFonts w:hint="eastAsia"/>
          <w:lang w:val="en-US" w:eastAsia="zh-CN"/>
        </w:rPr>
      </w:pPr>
    </w:p>
    <w:p>
      <w:pPr>
        <w:keepNext w:val="0"/>
        <w:keepLines w:val="0"/>
        <w:pageBreakBefore w:val="0"/>
        <w:widowControl w:val="0"/>
        <w:kinsoku/>
        <w:wordWrap/>
        <w:overflowPunct/>
        <w:topLinePunct w:val="0"/>
        <w:autoSpaceDE/>
        <w:autoSpaceDN/>
        <w:bidi w:val="0"/>
        <w:spacing w:beforeAutospacing="0" w:line="594" w:lineRule="exact"/>
        <w:ind w:right="0" w:rightChars="0"/>
      </w:pPr>
    </w:p>
    <w:sectPr>
      <w:headerReference r:id="rId5" w:type="default"/>
      <w:footerReference r:id="rId6"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7296" w:leftChars="2280" w:firstLine="5600" w:firstLineChars="2000"/>
      <w:jc w:val="right"/>
      <w:rPr>
        <w:rFonts w:hint="eastAsia" w:ascii="宋体" w:hAnsi="宋体" w:eastAsia="宋体" w:cs="宋体"/>
        <w:b/>
        <w:bCs/>
        <w:color w:val="005192"/>
        <w:sz w:val="28"/>
        <w:szCs w:val="44"/>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jUyZGE2ZmQwYjFmYjdlOWUxODkyNmQxM2Q0MzQifQ=="/>
  </w:docVars>
  <w:rsids>
    <w:rsidRoot w:val="00000000"/>
    <w:rsid w:val="14067033"/>
    <w:rsid w:val="1D8C44FD"/>
    <w:rsid w:val="2CF972DD"/>
    <w:rsid w:val="2F0C40F7"/>
    <w:rsid w:val="74A0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widowControl w:val="0"/>
      <w:suppressAutoHyphens/>
      <w:bidi w:val="0"/>
      <w:spacing w:after="120" w:line="360" w:lineRule="auto"/>
      <w:ind w:firstLine="420"/>
      <w:jc w:val="both"/>
    </w:pPr>
    <w:rPr>
      <w:rFonts w:ascii="宋体" w:hAnsi="宋体" w:eastAsia="宋体" w:cs="Times New Roman"/>
      <w:color w:val="auto"/>
      <w:kern w:val="2"/>
      <w:sz w:val="24"/>
      <w:szCs w:val="20"/>
      <w:lang w:val="en-US" w:eastAsia="zh-CN" w:bidi="ar-SA"/>
    </w:rPr>
  </w:style>
  <w:style w:type="paragraph" w:customStyle="1" w:styleId="3">
    <w:name w:val="BodyText"/>
    <w:basedOn w:val="1"/>
    <w:qFormat/>
    <w:uiPriority w:val="0"/>
    <w:pPr>
      <w:spacing w:before="100" w:beforeAutospacing="1" w:after="120"/>
      <w:textAlignment w:val="baseline"/>
    </w:pPr>
    <w:rPr>
      <w:rFonts w:ascii="Calibri" w:hAnsi="Calibri" w:eastAsia="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940</Words>
  <Characters>969</Characters>
  <Lines>0</Lines>
  <Paragraphs>0</Paragraphs>
  <TotalTime>16</TotalTime>
  <ScaleCrop>false</ScaleCrop>
  <LinksUpToDate>false</LinksUpToDate>
  <CharactersWithSpaces>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2024-05-29T02:41:25Z</dcterms:created>
  <dc:creator>Administrator.SKY-20230817IMD</dc:creator>
  <cp:lastModifiedBy>Administrator</cp:lastModifiedBy>
  <dcterms:modified xsi:type="dcterms:W3CDTF">2024-05-29T02:59:49Z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0CE0449ABCAD4C1195C5B7D0AC18C223_12</vt:lpwstr>
  </property>
</Properties>
</file>