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A9" w:rsidRDefault="00B304A9" w:rsidP="00B304A9">
      <w:pPr>
        <w:jc w:val="right"/>
        <w:rPr>
          <w:rStyle w:val="font11"/>
          <w:rFonts w:ascii="Times New Roman" w:hint="default"/>
        </w:rPr>
      </w:pPr>
    </w:p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787"/>
        <w:gridCol w:w="3150"/>
        <w:gridCol w:w="409"/>
      </w:tblGrid>
      <w:tr w:rsidR="00B304A9" w:rsidTr="004D34F7">
        <w:tc>
          <w:tcPr>
            <w:tcW w:w="1260" w:type="dxa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21"/>
                <w:rFonts w:hint="eastAsia"/>
                <w:b/>
                <w:bCs/>
              </w:rPr>
              <w:t>统一社会信用代码</w:t>
            </w:r>
          </w:p>
        </w:tc>
        <w:tc>
          <w:tcPr>
            <w:tcW w:w="566" w:type="dxa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304A9" w:rsidTr="004D34F7">
        <w:tc>
          <w:tcPr>
            <w:tcW w:w="1260" w:type="dxa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21"/>
                <w:b/>
                <w:bCs/>
              </w:rPr>
              <w:t>12500104MB1T893813</w:t>
            </w:r>
          </w:p>
        </w:tc>
        <w:tc>
          <w:tcPr>
            <w:tcW w:w="566" w:type="dxa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B304A9" w:rsidRDefault="00B304A9" w:rsidP="00B304A9">
      <w:pPr>
        <w:jc w:val="right"/>
      </w:pPr>
    </w:p>
    <w:p w:rsidR="00B304A9" w:rsidRDefault="00B304A9" w:rsidP="00B304A9">
      <w:pPr>
        <w:jc w:val="right"/>
      </w:pPr>
    </w:p>
    <w:p w:rsidR="00B304A9" w:rsidRDefault="00B304A9" w:rsidP="00B304A9">
      <w:pPr>
        <w:jc w:val="right"/>
      </w:pPr>
    </w:p>
    <w:p w:rsidR="00B304A9" w:rsidRDefault="00B304A9" w:rsidP="00B304A9">
      <w:pPr>
        <w:jc w:val="right"/>
      </w:pPr>
    </w:p>
    <w:p w:rsidR="00B304A9" w:rsidRDefault="00B304A9" w:rsidP="00B304A9">
      <w:pPr>
        <w:jc w:val="center"/>
      </w:pPr>
      <w:r>
        <w:rPr>
          <w:rStyle w:val="font31"/>
          <w:rFonts w:hint="eastAsia"/>
          <w:b/>
          <w:bCs/>
        </w:rPr>
        <w:t>事业单位法人年度报告书</w:t>
      </w:r>
    </w:p>
    <w:p w:rsidR="00B304A9" w:rsidRDefault="00B304A9" w:rsidP="00B304A9">
      <w:pPr>
        <w:jc w:val="center"/>
        <w:rPr>
          <w:rFonts w:eastAsia="黑体"/>
          <w:b/>
          <w:bCs/>
          <w:spacing w:val="30"/>
        </w:rPr>
      </w:pPr>
    </w:p>
    <w:tbl>
      <w:tblPr>
        <w:tblW w:w="0" w:type="auto"/>
        <w:jc w:val="center"/>
        <w:tblInd w:w="5508" w:type="dxa"/>
        <w:tblLook w:val="04A0" w:firstRow="1" w:lastRow="0" w:firstColumn="1" w:lastColumn="0" w:noHBand="0" w:noVBand="1"/>
      </w:tblPr>
      <w:tblGrid>
        <w:gridCol w:w="594"/>
        <w:gridCol w:w="1814"/>
        <w:gridCol w:w="1440"/>
      </w:tblGrid>
      <w:tr w:rsidR="00B304A9" w:rsidTr="004D34F7">
        <w:trPr>
          <w:jc w:val="center"/>
        </w:trPr>
        <w:tc>
          <w:tcPr>
            <w:tcW w:w="594" w:type="dxa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21"/>
                <w:rFonts w:hint="eastAsia"/>
                <w:b/>
                <w:bCs/>
              </w:rPr>
              <w:t>（</w:t>
            </w:r>
          </w:p>
        </w:tc>
        <w:tc>
          <w:tcPr>
            <w:tcW w:w="1814" w:type="dxa"/>
            <w:hideMark/>
          </w:tcPr>
          <w:p w:rsidR="00B304A9" w:rsidRDefault="00B304A9" w:rsidP="00B304A9">
            <w:pPr>
              <w:widowControl/>
              <w:ind w:firstLineChars="200" w:firstLine="640"/>
              <w:jc w:val="left"/>
              <w:rPr>
                <w:kern w:val="0"/>
                <w:sz w:val="20"/>
                <w:szCs w:val="20"/>
              </w:rPr>
            </w:pPr>
            <w:r>
              <w:rPr>
                <w:rStyle w:val="font61"/>
              </w:rPr>
              <w:t>2024</w:t>
            </w:r>
          </w:p>
        </w:tc>
        <w:tc>
          <w:tcPr>
            <w:tcW w:w="1440" w:type="dxa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21"/>
                <w:rFonts w:hint="eastAsia"/>
                <w:b/>
                <w:bCs/>
              </w:rPr>
              <w:t>）年度</w:t>
            </w:r>
          </w:p>
        </w:tc>
      </w:tr>
    </w:tbl>
    <w:p w:rsidR="00B304A9" w:rsidRDefault="00B304A9" w:rsidP="00B304A9">
      <w:pPr>
        <w:jc w:val="center"/>
        <w:rPr>
          <w:rStyle w:val="font41"/>
          <w:rFonts w:ascii="Times New Roman" w:hint="default"/>
          <w:b/>
          <w:bCs/>
        </w:rPr>
      </w:pPr>
    </w:p>
    <w:p w:rsidR="00B304A9" w:rsidRDefault="00B304A9" w:rsidP="00B304A9">
      <w:pPr>
        <w:jc w:val="center"/>
        <w:rPr>
          <w:rStyle w:val="font41"/>
          <w:rFonts w:hint="default"/>
        </w:rPr>
      </w:pPr>
    </w:p>
    <w:p w:rsidR="00B304A9" w:rsidRDefault="00B304A9" w:rsidP="00B304A9">
      <w:pPr>
        <w:jc w:val="center"/>
        <w:rPr>
          <w:rStyle w:val="font41"/>
          <w:rFonts w:hint="default"/>
        </w:rPr>
      </w:pPr>
    </w:p>
    <w:p w:rsidR="00B304A9" w:rsidRDefault="00B304A9" w:rsidP="00B304A9">
      <w:pPr>
        <w:jc w:val="center"/>
        <w:rPr>
          <w:rStyle w:val="font41"/>
          <w:rFonts w:hint="default"/>
        </w:rPr>
      </w:pPr>
    </w:p>
    <w:p w:rsidR="00B304A9" w:rsidRDefault="00B304A9" w:rsidP="00B304A9">
      <w:pPr>
        <w:jc w:val="center"/>
        <w:rPr>
          <w:rStyle w:val="font41"/>
          <w:rFonts w:hint="default"/>
        </w:rPr>
      </w:pPr>
    </w:p>
    <w:tbl>
      <w:tblPr>
        <w:tblW w:w="0" w:type="auto"/>
        <w:jc w:val="center"/>
        <w:tblInd w:w="-139" w:type="dxa"/>
        <w:tblLook w:val="04A0" w:firstRow="1" w:lastRow="0" w:firstColumn="1" w:lastColumn="0" w:noHBand="0" w:noVBand="1"/>
      </w:tblPr>
      <w:tblGrid>
        <w:gridCol w:w="2405"/>
        <w:gridCol w:w="5294"/>
      </w:tblGrid>
      <w:tr w:rsidR="00B304A9" w:rsidTr="004D34F7">
        <w:trPr>
          <w:trHeight w:val="615"/>
          <w:jc w:val="center"/>
        </w:trPr>
        <w:tc>
          <w:tcPr>
            <w:tcW w:w="2405" w:type="dxa"/>
            <w:vAlign w:val="bottom"/>
            <w:hideMark/>
          </w:tcPr>
          <w:p w:rsidR="00B304A9" w:rsidRDefault="00B304A9" w:rsidP="004D34F7">
            <w:pPr>
              <w:jc w:val="distribute"/>
            </w:pPr>
            <w:r>
              <w:rPr>
                <w:rStyle w:val="font51"/>
                <w:rFonts w:hint="default"/>
                <w:b/>
                <w:bCs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</w:rPr>
              <w:t>重庆市大渡口区春晖路街道新时代文明实践服务中心</w:t>
            </w:r>
          </w:p>
        </w:tc>
      </w:tr>
    </w:tbl>
    <w:p w:rsidR="00B304A9" w:rsidRDefault="00B304A9" w:rsidP="00B304A9">
      <w:pPr>
        <w:rPr>
          <w:rFonts w:ascii="黑体" w:eastAsia="黑体" w:hAnsi="黑体"/>
          <w:b/>
          <w:bCs/>
          <w:sz w:val="24"/>
          <w:u w:val="single"/>
        </w:rPr>
      </w:pPr>
    </w:p>
    <w:tbl>
      <w:tblPr>
        <w:tblW w:w="0" w:type="auto"/>
        <w:jc w:val="center"/>
        <w:tblInd w:w="-59" w:type="dxa"/>
        <w:tblLook w:val="04A0" w:firstRow="1" w:lastRow="0" w:firstColumn="1" w:lastColumn="0" w:noHBand="0" w:noVBand="1"/>
      </w:tblPr>
      <w:tblGrid>
        <w:gridCol w:w="2365"/>
        <w:gridCol w:w="5254"/>
      </w:tblGrid>
      <w:tr w:rsidR="00B304A9" w:rsidTr="004D34F7">
        <w:trPr>
          <w:trHeight w:val="615"/>
          <w:jc w:val="center"/>
        </w:trPr>
        <w:tc>
          <w:tcPr>
            <w:tcW w:w="2365" w:type="dxa"/>
            <w:vAlign w:val="bottom"/>
            <w:hideMark/>
          </w:tcPr>
          <w:p w:rsidR="00B304A9" w:rsidRDefault="00B304A9" w:rsidP="004D34F7">
            <w:pPr>
              <w:jc w:val="distribute"/>
            </w:pPr>
            <w:r>
              <w:rPr>
                <w:rStyle w:val="font51"/>
                <w:rFonts w:hint="default"/>
                <w:b/>
                <w:bCs/>
              </w:rPr>
              <w:t>法</w:t>
            </w:r>
            <w:r>
              <w:rPr>
                <w:rStyle w:val="font51"/>
                <w:rFonts w:hint="default"/>
                <w:b/>
                <w:bCs/>
                <w:spacing w:val="30"/>
              </w:rPr>
              <w:t>定代表</w:t>
            </w:r>
            <w:r>
              <w:rPr>
                <w:rStyle w:val="font51"/>
                <w:rFonts w:hint="default"/>
                <w:b/>
                <w:bCs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B304A9" w:rsidRDefault="004F53B8" w:rsidP="004F53B8">
            <w:pPr>
              <w:widowControl/>
              <w:ind w:firstLineChars="600" w:firstLine="1920"/>
              <w:jc w:val="left"/>
              <w:rPr>
                <w:kern w:val="0"/>
                <w:sz w:val="20"/>
                <w:szCs w:val="20"/>
              </w:rPr>
            </w:pPr>
            <w:r w:rsidRPr="004F53B8">
              <w:rPr>
                <w:rStyle w:val="font61"/>
              </w:rPr>
              <w:t>邓莉</w:t>
            </w:r>
          </w:p>
        </w:tc>
      </w:tr>
    </w:tbl>
    <w:p w:rsidR="00B304A9" w:rsidRDefault="00B304A9" w:rsidP="00B304A9">
      <w:pPr>
        <w:ind w:firstLineChars="300" w:firstLine="723"/>
        <w:rPr>
          <w:rFonts w:ascii="黑体" w:eastAsia="黑体" w:hAnsi="黑体"/>
          <w:b/>
          <w:bCs/>
          <w:sz w:val="24"/>
          <w:u w:val="single"/>
        </w:rPr>
      </w:pPr>
    </w:p>
    <w:tbl>
      <w:tblPr>
        <w:tblW w:w="0" w:type="auto"/>
        <w:jc w:val="center"/>
        <w:tblInd w:w="-139" w:type="dxa"/>
        <w:tblLook w:val="04A0" w:firstRow="1" w:lastRow="0" w:firstColumn="1" w:lastColumn="0" w:noHBand="0" w:noVBand="1"/>
      </w:tblPr>
      <w:tblGrid>
        <w:gridCol w:w="2405"/>
        <w:gridCol w:w="5294"/>
      </w:tblGrid>
      <w:tr w:rsidR="00B304A9" w:rsidTr="004D34F7">
        <w:trPr>
          <w:trHeight w:val="615"/>
          <w:jc w:val="center"/>
        </w:trPr>
        <w:tc>
          <w:tcPr>
            <w:tcW w:w="2405" w:type="dxa"/>
            <w:vAlign w:val="bottom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294" w:type="dxa"/>
            <w:vAlign w:val="bottom"/>
            <w:hideMark/>
          </w:tcPr>
          <w:p w:rsidR="00B304A9" w:rsidRDefault="00B304A9" w:rsidP="004D34F7">
            <w:pPr>
              <w:jc w:val="center"/>
              <w:rPr>
                <w:b/>
                <w:bCs/>
              </w:rPr>
            </w:pPr>
            <w:r>
              <w:rPr>
                <w:rStyle w:val="font61"/>
                <w:b/>
                <w:bCs/>
              </w:rPr>
              <w:t xml:space="preserve"> </w:t>
            </w:r>
          </w:p>
        </w:tc>
      </w:tr>
    </w:tbl>
    <w:p w:rsidR="00B304A9" w:rsidRDefault="00B304A9" w:rsidP="00B304A9">
      <w:pPr>
        <w:jc w:val="center"/>
        <w:rPr>
          <w:rFonts w:ascii="黑体" w:eastAsia="黑体" w:hAnsi="黑体"/>
          <w:b/>
          <w:bCs/>
          <w:sz w:val="30"/>
          <w:u w:val="single"/>
        </w:rPr>
      </w:pPr>
    </w:p>
    <w:p w:rsidR="00B304A9" w:rsidRDefault="00B304A9" w:rsidP="00B304A9">
      <w:pPr>
        <w:jc w:val="center"/>
        <w:rPr>
          <w:u w:val="single"/>
        </w:rPr>
      </w:pPr>
    </w:p>
    <w:p w:rsidR="00B304A9" w:rsidRDefault="00B304A9" w:rsidP="00B304A9">
      <w:pPr>
        <w:jc w:val="center"/>
      </w:pPr>
      <w:r>
        <w:rPr>
          <w:rStyle w:val="font61"/>
          <w:rFonts w:hint="eastAsia"/>
          <w:b/>
          <w:bCs/>
        </w:rPr>
        <w:t>国家事业单位登记管理局制</w:t>
      </w:r>
    </w:p>
    <w:p w:rsidR="00B304A9" w:rsidRDefault="00B304A9" w:rsidP="00B304A9">
      <w:pPr>
        <w:rPr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4"/>
        <w:gridCol w:w="2290"/>
        <w:gridCol w:w="1477"/>
        <w:gridCol w:w="1929"/>
        <w:gridCol w:w="1951"/>
      </w:tblGrid>
      <w:tr w:rsidR="00B304A9" w:rsidTr="004F53B8">
        <w:trPr>
          <w:trHeight w:val="1015"/>
          <w:jc w:val="center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lastRenderedPageBreak/>
              <w:t>《事业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单位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法人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证书》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登载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事项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单位名称</w:t>
            </w:r>
          </w:p>
        </w:tc>
        <w:tc>
          <w:tcPr>
            <w:tcW w:w="5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重庆市大渡口区春晖路街道新时代文明实践服务中心</w:t>
            </w:r>
          </w:p>
        </w:tc>
      </w:tr>
      <w:tr w:rsidR="00B304A9" w:rsidTr="004F53B8">
        <w:trPr>
          <w:trHeight w:val="171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宗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旨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和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业务范围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开展文明实践服务，丰富群众精神文明生活</w:t>
            </w:r>
          </w:p>
        </w:tc>
      </w:tr>
      <w:tr w:rsidR="00B304A9" w:rsidTr="004F53B8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住</w:t>
            </w:r>
            <w:r>
              <w:rPr>
                <w:rStyle w:val="font61"/>
                <w:b/>
                <w:bCs/>
              </w:rPr>
              <w:t xml:space="preserve">    </w:t>
            </w:r>
            <w:r>
              <w:rPr>
                <w:rStyle w:val="font61"/>
                <w:rFonts w:hint="eastAsia"/>
                <w:b/>
                <w:bCs/>
              </w:rPr>
              <w:t>所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重庆市大渡口区春晖路街道鑫康路</w:t>
            </w:r>
            <w:r>
              <w:rPr>
                <w:rStyle w:val="font61"/>
              </w:rPr>
              <w:t>16</w:t>
            </w:r>
            <w:r>
              <w:rPr>
                <w:rStyle w:val="font61"/>
                <w:rFonts w:hint="eastAsia"/>
              </w:rPr>
              <w:t>号</w:t>
            </w:r>
          </w:p>
        </w:tc>
      </w:tr>
      <w:tr w:rsidR="00B304A9" w:rsidTr="004F53B8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法定代表人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邓莉</w:t>
            </w:r>
          </w:p>
        </w:tc>
      </w:tr>
      <w:tr w:rsidR="00B304A9" w:rsidTr="004F53B8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开办资金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</w:rPr>
              <w:t>   2</w:t>
            </w:r>
            <w:r>
              <w:rPr>
                <w:rStyle w:val="font61"/>
                <w:rFonts w:hint="eastAsia"/>
              </w:rPr>
              <w:t>万元</w:t>
            </w:r>
          </w:p>
        </w:tc>
      </w:tr>
      <w:tr w:rsidR="00B304A9" w:rsidTr="004F53B8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经费来源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财政补助</w:t>
            </w:r>
          </w:p>
        </w:tc>
      </w:tr>
      <w:tr w:rsidR="00B304A9" w:rsidTr="004F53B8">
        <w:trPr>
          <w:trHeight w:val="53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举办单位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重庆市大渡口区春晖路街道办事处</w:t>
            </w:r>
          </w:p>
        </w:tc>
      </w:tr>
      <w:tr w:rsidR="00B304A9" w:rsidTr="004F53B8">
        <w:trPr>
          <w:trHeight w:val="674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资产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损益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情况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净资产合计（所有者权益合计）</w:t>
            </w:r>
          </w:p>
        </w:tc>
      </w:tr>
      <w:tr w:rsidR="00B304A9" w:rsidTr="004F53B8">
        <w:trPr>
          <w:trHeight w:val="6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年初数（万元）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年末数（万元）</w:t>
            </w:r>
          </w:p>
        </w:tc>
      </w:tr>
      <w:tr w:rsidR="00B304A9" w:rsidTr="004F53B8">
        <w:trPr>
          <w:trHeight w:val="6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font61"/>
              </w:rPr>
              <w:t>37.97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Style w:val="font61"/>
              </w:rPr>
              <w:t>47</w:t>
            </w:r>
          </w:p>
        </w:tc>
      </w:tr>
      <w:tr w:rsidR="00B304A9" w:rsidTr="004F53B8">
        <w:trPr>
          <w:trHeight w:val="674"/>
          <w:jc w:val="center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网上名称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从业人数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04A9" w:rsidRDefault="00B304A9" w:rsidP="004D34F7">
            <w:pPr>
              <w:widowControl/>
              <w:jc w:val="left"/>
              <w:rPr>
                <w:rFonts w:ascii="楷体" w:eastAsia="楷体" w:hAnsi="楷体"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32"/>
                <w:szCs w:val="32"/>
              </w:rPr>
              <w:t>3人</w:t>
            </w:r>
          </w:p>
        </w:tc>
      </w:tr>
      <w:tr w:rsidR="00B304A9" w:rsidTr="004F53B8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  <w:rPr>
                <w:rStyle w:val="font61"/>
                <w:b/>
                <w:bCs/>
              </w:rPr>
            </w:pPr>
            <w:r>
              <w:rPr>
                <w:rStyle w:val="font61"/>
                <w:rFonts w:hint="eastAsia"/>
                <w:b/>
                <w:bCs/>
              </w:rPr>
              <w:t>对《条例》</w:t>
            </w:r>
          </w:p>
          <w:p w:rsidR="00B304A9" w:rsidRDefault="00B304A9" w:rsidP="004D34F7">
            <w:pPr>
              <w:jc w:val="center"/>
              <w:rPr>
                <w:rStyle w:val="font61"/>
                <w:b/>
                <w:bCs/>
              </w:rPr>
            </w:pPr>
            <w:r>
              <w:rPr>
                <w:rStyle w:val="font61"/>
                <w:rFonts w:hint="eastAsia"/>
                <w:b/>
                <w:bCs/>
              </w:rPr>
              <w:t>和实施细</w:t>
            </w:r>
          </w:p>
          <w:p w:rsidR="00B304A9" w:rsidRDefault="00B304A9" w:rsidP="004D34F7">
            <w:pPr>
              <w:jc w:val="center"/>
              <w:rPr>
                <w:rStyle w:val="font61"/>
                <w:b/>
                <w:bCs/>
              </w:rPr>
            </w:pPr>
            <w:r>
              <w:rPr>
                <w:rStyle w:val="font61"/>
                <w:rFonts w:hint="eastAsia"/>
                <w:b/>
                <w:bCs/>
              </w:rPr>
              <w:t>则有关变</w:t>
            </w:r>
          </w:p>
          <w:p w:rsidR="00B304A9" w:rsidRDefault="00B304A9" w:rsidP="004D34F7">
            <w:pPr>
              <w:jc w:val="center"/>
              <w:rPr>
                <w:rStyle w:val="font61"/>
                <w:b/>
                <w:bCs/>
              </w:rPr>
            </w:pPr>
            <w:r>
              <w:rPr>
                <w:rStyle w:val="font61"/>
                <w:rFonts w:hint="eastAsia"/>
                <w:b/>
                <w:bCs/>
              </w:rPr>
              <w:t>更登记规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定的执行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情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况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04A9" w:rsidRDefault="00B304A9" w:rsidP="00B304A9">
            <w:pPr>
              <w:widowControl/>
              <w:ind w:firstLineChars="200" w:firstLine="640"/>
              <w:jc w:val="left"/>
              <w:rPr>
                <w:kern w:val="0"/>
                <w:sz w:val="20"/>
                <w:szCs w:val="20"/>
              </w:rPr>
            </w:pPr>
            <w:r>
              <w:rPr>
                <w:rStyle w:val="font61"/>
                <w:rFonts w:hint="eastAsia"/>
              </w:rPr>
              <w:t>无</w:t>
            </w:r>
          </w:p>
        </w:tc>
      </w:tr>
      <w:tr w:rsidR="00B304A9" w:rsidTr="004F53B8">
        <w:trPr>
          <w:trHeight w:val="13900"/>
          <w:jc w:val="center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lastRenderedPageBreak/>
              <w:t>开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展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业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务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活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动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情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况</w:t>
            </w:r>
          </w:p>
        </w:tc>
        <w:tc>
          <w:tcPr>
            <w:tcW w:w="76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304A9" w:rsidRDefault="00B304A9" w:rsidP="00B304A9">
            <w:pPr>
              <w:spacing w:line="500" w:lineRule="exact"/>
              <w:ind w:firstLineChars="200" w:firstLine="640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一、理论武装持续加强。深入推进学习型党组织建设，开展中心组学习</w:t>
            </w:r>
            <w:r>
              <w:rPr>
                <w:rStyle w:val="font61"/>
              </w:rPr>
              <w:t>12</w:t>
            </w:r>
            <w:r>
              <w:rPr>
                <w:rStyle w:val="font61"/>
                <w:rFonts w:hint="eastAsia"/>
              </w:rPr>
              <w:t>次，理论文章《全力推动基层宣传思想文化工作高质量发展》被区级刊物《大渡口之窗》刊登。严格落实意识形态</w:t>
            </w:r>
            <w:r>
              <w:rPr>
                <w:rStyle w:val="font61"/>
              </w:rPr>
              <w:t>“</w:t>
            </w:r>
            <w:r>
              <w:rPr>
                <w:rStyle w:val="font61"/>
                <w:rFonts w:hint="eastAsia"/>
              </w:rPr>
              <w:t>一岗双责</w:t>
            </w:r>
            <w:r>
              <w:rPr>
                <w:rStyle w:val="font61"/>
              </w:rPr>
              <w:t>”</w:t>
            </w:r>
            <w:r>
              <w:rPr>
                <w:rStyle w:val="font61"/>
                <w:rFonts w:hint="eastAsia"/>
              </w:rPr>
              <w:t>责任制，深入扎实开展专项清理工作，全面清查街道、社区书吧、阅览室等所有图书、期刊，清理出问题图书</w:t>
            </w:r>
            <w:r>
              <w:rPr>
                <w:rStyle w:val="font61"/>
              </w:rPr>
              <w:t>1</w:t>
            </w:r>
            <w:r>
              <w:rPr>
                <w:rStyle w:val="font61"/>
                <w:rFonts w:hint="eastAsia"/>
              </w:rPr>
              <w:t>本，问题文件</w:t>
            </w:r>
            <w:r>
              <w:rPr>
                <w:rStyle w:val="font61"/>
              </w:rPr>
              <w:t>183</w:t>
            </w:r>
            <w:r>
              <w:rPr>
                <w:rStyle w:val="font61"/>
                <w:rFonts w:hint="eastAsia"/>
              </w:rPr>
              <w:t>份，均已进行处理。联合社区宣传专干、网格员定期对辖区公益广告、电子显示屏进行巡检，确保其发布展示的信息内容安全。严格审批论坛、讲座等活动，共审核</w:t>
            </w:r>
            <w:r>
              <w:rPr>
                <w:rStyle w:val="font61"/>
              </w:rPr>
              <w:t>2</w:t>
            </w:r>
            <w:r>
              <w:rPr>
                <w:rStyle w:val="font61"/>
                <w:rFonts w:hint="eastAsia"/>
              </w:rPr>
              <w:t>份涉及外区宣讲人的论坛讲座审批表。</w:t>
            </w:r>
          </w:p>
          <w:p w:rsidR="00B304A9" w:rsidRDefault="00B304A9" w:rsidP="00B304A9">
            <w:pPr>
              <w:spacing w:line="500" w:lineRule="exact"/>
              <w:ind w:firstLineChars="200" w:firstLine="640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二、精神文明建持续深化。扎实开展文明城区创建，着力提高社会精神文明素养、文明程度，持续挖掘和培育先进典型。曾信华当选“全市岗位学雷锋标兵”，吴艳丰荣获重庆市五星级志愿服务者，柏华社区“三色物业”新时代文明实践点、锦凤社区新时代文明实践站荣获全市新时代文明时间示范阵地，成功推荐曾信华参评“第九届全国道德模范”。</w:t>
            </w:r>
          </w:p>
          <w:p w:rsidR="00B304A9" w:rsidRDefault="00B304A9" w:rsidP="00B304A9">
            <w:pPr>
              <w:spacing w:line="500" w:lineRule="exact"/>
              <w:ind w:firstLineChars="200" w:firstLine="640"/>
              <w:rPr>
                <w:rStyle w:val="font61"/>
              </w:rPr>
            </w:pPr>
            <w:r>
              <w:rPr>
                <w:rStyle w:val="font61"/>
                <w:rFonts w:hint="eastAsia"/>
              </w:rPr>
              <w:t>三、新闻传播质效提升明显。总结提炼街道、社区基层服务工作经验、创新服务方法、精神文明成果等，及时向各媒体推介，进行全方位的宣传报道。今年来，中央主要媒体上稿</w:t>
            </w:r>
            <w:r>
              <w:rPr>
                <w:rStyle w:val="font61"/>
              </w:rPr>
              <w:t>13</w:t>
            </w:r>
            <w:r>
              <w:rPr>
                <w:rStyle w:val="font61"/>
                <w:rFonts w:hint="eastAsia"/>
              </w:rPr>
              <w:t>篇，其中人民日报、光明日报、新华每日电讯</w:t>
            </w:r>
            <w:r>
              <w:rPr>
                <w:rStyle w:val="font61"/>
              </w:rPr>
              <w:t>4</w:t>
            </w:r>
            <w:r>
              <w:rPr>
                <w:rStyle w:val="font61"/>
                <w:rFonts w:hint="eastAsia"/>
              </w:rPr>
              <w:t>篇，中央电视台新闻联播</w:t>
            </w:r>
            <w:r>
              <w:rPr>
                <w:rStyle w:val="font61"/>
              </w:rPr>
              <w:t>2</w:t>
            </w:r>
            <w:r>
              <w:rPr>
                <w:rStyle w:val="font61"/>
                <w:rFonts w:hint="eastAsia"/>
              </w:rPr>
              <w:t>篇，主要市级媒体采稿</w:t>
            </w:r>
            <w:r>
              <w:rPr>
                <w:rStyle w:val="font61"/>
              </w:rPr>
              <w:t>97</w:t>
            </w:r>
            <w:r>
              <w:rPr>
                <w:rStyle w:val="font61"/>
                <w:rFonts w:hint="eastAsia"/>
              </w:rPr>
              <w:t>篇，其中重庆日报采用</w:t>
            </w:r>
            <w:r>
              <w:rPr>
                <w:rStyle w:val="font61"/>
              </w:rPr>
              <w:t>42</w:t>
            </w:r>
            <w:r>
              <w:rPr>
                <w:rStyle w:val="font61"/>
                <w:rFonts w:hint="eastAsia"/>
              </w:rPr>
              <w:t>篇。</w:t>
            </w:r>
          </w:p>
        </w:tc>
      </w:tr>
      <w:tr w:rsidR="00B304A9" w:rsidTr="004F53B8">
        <w:trPr>
          <w:trHeight w:val="2763"/>
          <w:jc w:val="center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lastRenderedPageBreak/>
              <w:t>相关资质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认可或执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业许可证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明文件及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有效期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04A9" w:rsidRDefault="00B304A9" w:rsidP="00B304A9">
            <w:pPr>
              <w:widowControl/>
              <w:ind w:firstLineChars="200" w:firstLine="640"/>
              <w:jc w:val="left"/>
              <w:rPr>
                <w:kern w:val="0"/>
                <w:sz w:val="20"/>
                <w:szCs w:val="20"/>
              </w:rPr>
            </w:pPr>
            <w:r>
              <w:rPr>
                <w:rStyle w:val="font61"/>
                <w:rFonts w:hint="eastAsia"/>
              </w:rPr>
              <w:t>无</w:t>
            </w:r>
          </w:p>
        </w:tc>
      </w:tr>
      <w:tr w:rsidR="00B304A9" w:rsidTr="004F53B8">
        <w:trPr>
          <w:trHeight w:val="2479"/>
          <w:jc w:val="center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绩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效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和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受奖惩及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诉讼投诉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情</w:t>
            </w:r>
            <w:r>
              <w:rPr>
                <w:rStyle w:val="font61"/>
                <w:b/>
                <w:bCs/>
              </w:rPr>
              <w:t xml:space="preserve"> </w:t>
            </w:r>
            <w:r>
              <w:rPr>
                <w:rStyle w:val="font61"/>
                <w:rFonts w:hint="eastAsia"/>
                <w:b/>
                <w:bCs/>
              </w:rPr>
              <w:t>况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04A9" w:rsidRDefault="00B304A9" w:rsidP="00B304A9">
            <w:pPr>
              <w:spacing w:line="500" w:lineRule="exact"/>
              <w:ind w:firstLineChars="200" w:firstLine="640"/>
              <w:rPr>
                <w:kern w:val="0"/>
                <w:sz w:val="20"/>
                <w:szCs w:val="20"/>
              </w:rPr>
            </w:pPr>
            <w:r>
              <w:rPr>
                <w:rStyle w:val="font61"/>
                <w:rFonts w:hint="eastAsia"/>
              </w:rPr>
              <w:t>无</w:t>
            </w:r>
          </w:p>
        </w:tc>
      </w:tr>
      <w:tr w:rsidR="00B304A9" w:rsidTr="004F53B8">
        <w:trPr>
          <w:trHeight w:val="2363"/>
          <w:jc w:val="center"/>
        </w:trPr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接受捐赠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资助及其</w:t>
            </w:r>
          </w:p>
          <w:p w:rsidR="00B304A9" w:rsidRDefault="00B304A9" w:rsidP="004D34F7">
            <w:pPr>
              <w:jc w:val="center"/>
            </w:pPr>
            <w:r>
              <w:rPr>
                <w:rStyle w:val="font61"/>
                <w:rFonts w:hint="eastAsia"/>
                <w:b/>
                <w:bCs/>
              </w:rPr>
              <w:t>使用情况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04A9" w:rsidRDefault="00B304A9" w:rsidP="00B304A9">
            <w:pPr>
              <w:spacing w:line="500" w:lineRule="exact"/>
              <w:ind w:firstLineChars="200" w:firstLine="640"/>
              <w:rPr>
                <w:kern w:val="0"/>
                <w:sz w:val="20"/>
                <w:szCs w:val="20"/>
              </w:rPr>
            </w:pPr>
            <w:r>
              <w:rPr>
                <w:rStyle w:val="font61"/>
                <w:rFonts w:hint="eastAsia"/>
              </w:rPr>
              <w:t>无</w:t>
            </w:r>
          </w:p>
        </w:tc>
      </w:tr>
      <w:tr w:rsidR="00B304A9" w:rsidTr="004D34F7">
        <w:trPr>
          <w:trHeight w:val="593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04A9" w:rsidRDefault="00B304A9" w:rsidP="000106FE">
            <w:pPr>
              <w:jc w:val="left"/>
            </w:pPr>
            <w:r>
              <w:rPr>
                <w:rStyle w:val="font71"/>
                <w:rFonts w:hint="eastAsia"/>
                <w:b/>
                <w:bCs/>
              </w:rPr>
              <w:t>填表人：邓莉</w:t>
            </w:r>
            <w:r>
              <w:rPr>
                <w:rStyle w:val="font71"/>
                <w:b/>
                <w:bCs/>
              </w:rPr>
              <w:t xml:space="preserve">         </w:t>
            </w:r>
            <w:r>
              <w:rPr>
                <w:rStyle w:val="font71"/>
                <w:rFonts w:hint="eastAsia"/>
                <w:b/>
                <w:bCs/>
              </w:rPr>
              <w:t>联系电话：</w:t>
            </w:r>
            <w:r w:rsidR="000106FE">
              <w:rPr>
                <w:rStyle w:val="font71"/>
                <w:rFonts w:hint="eastAsia"/>
                <w:b/>
                <w:bCs/>
              </w:rPr>
              <w:t>13594303603</w:t>
            </w:r>
            <w:r w:rsidR="000106FE">
              <w:rPr>
                <w:rStyle w:val="font71"/>
                <w:b/>
                <w:bCs/>
              </w:rPr>
              <w:t>          </w:t>
            </w:r>
            <w:r>
              <w:rPr>
                <w:rStyle w:val="font71"/>
                <w:rFonts w:hint="eastAsia"/>
                <w:b/>
                <w:bCs/>
              </w:rPr>
              <w:t>报送日期：</w:t>
            </w:r>
            <w:r>
              <w:rPr>
                <w:rStyle w:val="font71"/>
                <w:b/>
                <w:bCs/>
              </w:rPr>
              <w:t>2025</w:t>
            </w:r>
            <w:r>
              <w:rPr>
                <w:rStyle w:val="font71"/>
                <w:rFonts w:hint="eastAsia"/>
                <w:b/>
                <w:bCs/>
              </w:rPr>
              <w:t>年</w:t>
            </w:r>
            <w:r>
              <w:rPr>
                <w:rStyle w:val="font71"/>
                <w:b/>
                <w:bCs/>
              </w:rPr>
              <w:t>3</w:t>
            </w:r>
            <w:r>
              <w:rPr>
                <w:rStyle w:val="font71"/>
                <w:rFonts w:hint="eastAsia"/>
                <w:b/>
                <w:bCs/>
              </w:rPr>
              <w:t>月</w:t>
            </w:r>
            <w:r w:rsidR="000106FE">
              <w:rPr>
                <w:rStyle w:val="font71"/>
                <w:b/>
                <w:bCs/>
              </w:rPr>
              <w:t>2</w:t>
            </w:r>
            <w:r w:rsidR="000106FE">
              <w:rPr>
                <w:rStyle w:val="font71"/>
                <w:rFonts w:hint="eastAsia"/>
                <w:b/>
                <w:bCs/>
              </w:rPr>
              <w:t>5</w:t>
            </w:r>
            <w:r>
              <w:rPr>
                <w:rStyle w:val="font71"/>
                <w:rFonts w:hint="eastAsia"/>
                <w:b/>
                <w:bCs/>
              </w:rPr>
              <w:t>日</w:t>
            </w:r>
          </w:p>
        </w:tc>
        <w:bookmarkStart w:id="0" w:name="_GoBack"/>
        <w:bookmarkEnd w:id="0"/>
      </w:tr>
    </w:tbl>
    <w:p w:rsidR="00B304A9" w:rsidRDefault="00B304A9" w:rsidP="00B304A9">
      <w:pPr>
        <w:jc w:val="left"/>
        <w:rPr>
          <w:rFonts w:ascii="楷体_GB2312" w:eastAsia="楷体_GB2312"/>
          <w:b/>
          <w:bCs/>
          <w:sz w:val="18"/>
        </w:rPr>
      </w:pPr>
    </w:p>
    <w:p w:rsidR="000727FB" w:rsidRDefault="000727FB"/>
    <w:sectPr w:rsidR="000727F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9"/>
    <w:rsid w:val="000106FE"/>
    <w:rsid w:val="000727FB"/>
    <w:rsid w:val="004F53B8"/>
    <w:rsid w:val="00B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B304A9"/>
    <w:rPr>
      <w:rFonts w:ascii="仿宋_GB2312" w:eastAsia="仿宋_GB2312" w:hint="eastAsia"/>
      <w:sz w:val="30"/>
      <w:szCs w:val="24"/>
    </w:rPr>
  </w:style>
  <w:style w:type="character" w:customStyle="1" w:styleId="font21">
    <w:name w:val="font21"/>
    <w:basedOn w:val="a0"/>
    <w:rsid w:val="00B304A9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31">
    <w:name w:val="font31"/>
    <w:basedOn w:val="a0"/>
    <w:rsid w:val="00B304A9"/>
    <w:rPr>
      <w:rFonts w:ascii="Times New Roman" w:eastAsia="黑体" w:hAnsi="黑体" w:cs="Times New Roman" w:hint="default"/>
      <w:spacing w:val="40"/>
      <w:sz w:val="52"/>
      <w:szCs w:val="24"/>
    </w:rPr>
  </w:style>
  <w:style w:type="character" w:customStyle="1" w:styleId="font41">
    <w:name w:val="font41"/>
    <w:basedOn w:val="a0"/>
    <w:rsid w:val="00B304A9"/>
    <w:rPr>
      <w:rFonts w:ascii="楷体_GB2312" w:eastAsia="楷体_GB2312" w:hint="eastAsia"/>
      <w:spacing w:val="30"/>
      <w:sz w:val="36"/>
      <w:szCs w:val="24"/>
    </w:rPr>
  </w:style>
  <w:style w:type="character" w:customStyle="1" w:styleId="font51">
    <w:name w:val="font51"/>
    <w:basedOn w:val="a0"/>
    <w:rsid w:val="00B304A9"/>
    <w:rPr>
      <w:rFonts w:ascii="黑体" w:eastAsia="黑体" w:hAnsi="黑体" w:hint="eastAsia"/>
      <w:sz w:val="36"/>
      <w:szCs w:val="24"/>
    </w:rPr>
  </w:style>
  <w:style w:type="character" w:customStyle="1" w:styleId="font61">
    <w:name w:val="font61"/>
    <w:basedOn w:val="a0"/>
    <w:rsid w:val="00B304A9"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71">
    <w:name w:val="font71"/>
    <w:basedOn w:val="a0"/>
    <w:rsid w:val="00B304A9"/>
    <w:rPr>
      <w:rFonts w:ascii="Times New Roman" w:eastAsia="楷体_GB2312" w:hAnsi="Times New Roman" w:cs="Times New Roman" w:hint="default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B304A9"/>
    <w:rPr>
      <w:rFonts w:ascii="仿宋_GB2312" w:eastAsia="仿宋_GB2312" w:hint="eastAsia"/>
      <w:sz w:val="30"/>
      <w:szCs w:val="24"/>
    </w:rPr>
  </w:style>
  <w:style w:type="character" w:customStyle="1" w:styleId="font21">
    <w:name w:val="font21"/>
    <w:basedOn w:val="a0"/>
    <w:rsid w:val="00B304A9"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31">
    <w:name w:val="font31"/>
    <w:basedOn w:val="a0"/>
    <w:rsid w:val="00B304A9"/>
    <w:rPr>
      <w:rFonts w:ascii="Times New Roman" w:eastAsia="黑体" w:hAnsi="黑体" w:cs="Times New Roman" w:hint="default"/>
      <w:spacing w:val="40"/>
      <w:sz w:val="52"/>
      <w:szCs w:val="24"/>
    </w:rPr>
  </w:style>
  <w:style w:type="character" w:customStyle="1" w:styleId="font41">
    <w:name w:val="font41"/>
    <w:basedOn w:val="a0"/>
    <w:rsid w:val="00B304A9"/>
    <w:rPr>
      <w:rFonts w:ascii="楷体_GB2312" w:eastAsia="楷体_GB2312" w:hint="eastAsia"/>
      <w:spacing w:val="30"/>
      <w:sz w:val="36"/>
      <w:szCs w:val="24"/>
    </w:rPr>
  </w:style>
  <w:style w:type="character" w:customStyle="1" w:styleId="font51">
    <w:name w:val="font51"/>
    <w:basedOn w:val="a0"/>
    <w:rsid w:val="00B304A9"/>
    <w:rPr>
      <w:rFonts w:ascii="黑体" w:eastAsia="黑体" w:hAnsi="黑体" w:hint="eastAsia"/>
      <w:sz w:val="36"/>
      <w:szCs w:val="24"/>
    </w:rPr>
  </w:style>
  <w:style w:type="character" w:customStyle="1" w:styleId="font61">
    <w:name w:val="font61"/>
    <w:basedOn w:val="a0"/>
    <w:rsid w:val="00B304A9"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71">
    <w:name w:val="font71"/>
    <w:basedOn w:val="a0"/>
    <w:rsid w:val="00B304A9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2025-04-07T03:29:00Z</dcterms:created>
  <dcterms:modified xsi:type="dcterms:W3CDTF">2025-04-07T03:37:00Z</dcterms:modified>
</cp:coreProperties>
</file>