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AC704">
      <w:pPr>
        <w:spacing w:before="238" w:line="209" w:lineRule="auto"/>
        <w:jc w:val="center"/>
        <w:rPr>
          <w:rFonts w:hint="eastAsia" w:ascii="方正小标宋_GBK" w:hAnsi="方正小标宋_GBK" w:eastAsia="方正小标宋_GBK" w:cs="方正小标宋_GBK"/>
          <w:color w:val="auto"/>
          <w:sz w:val="42"/>
          <w:szCs w:val="42"/>
          <w:lang w:val="en-US" w:eastAsia="zh-CN"/>
        </w:rPr>
      </w:pPr>
      <w:r>
        <w:rPr>
          <w:rFonts w:hint="eastAsia" w:ascii="方正小标宋_GBK" w:hAnsi="方正小标宋_GBK" w:eastAsia="方正小标宋_GBK" w:cs="方正小标宋_GBK"/>
          <w:color w:val="auto"/>
          <w:spacing w:val="9"/>
          <w:sz w:val="42"/>
          <w:szCs w:val="42"/>
          <w:lang w:val="en-US" w:eastAsia="zh-CN"/>
        </w:rPr>
        <w:t>春晖路街道</w:t>
      </w:r>
      <w:r>
        <w:rPr>
          <w:rFonts w:ascii="方正小标宋_GBK" w:hAnsi="方正小标宋_GBK" w:eastAsia="方正小标宋_GBK" w:cs="方正小标宋_GBK"/>
          <w:color w:val="auto"/>
          <w:spacing w:val="9"/>
          <w:sz w:val="42"/>
          <w:szCs w:val="42"/>
        </w:rPr>
        <w:t>公共体育设施免费开放公告</w:t>
      </w:r>
    </w:p>
    <w:p w14:paraId="2E81AAE4">
      <w:pPr>
        <w:pStyle w:val="2"/>
        <w:spacing w:line="269" w:lineRule="auto"/>
        <w:rPr>
          <w:color w:val="auto"/>
        </w:rPr>
      </w:pPr>
    </w:p>
    <w:p w14:paraId="6FB5DE77">
      <w:pPr>
        <w:pStyle w:val="2"/>
        <w:spacing w:line="270" w:lineRule="auto"/>
        <w:rPr>
          <w:color w:val="auto"/>
        </w:rPr>
      </w:pPr>
    </w:p>
    <w:p w14:paraId="22DC2FF0">
      <w:pPr>
        <w:pStyle w:val="2"/>
        <w:spacing w:line="270" w:lineRule="auto"/>
        <w:rPr>
          <w:color w:val="auto"/>
        </w:rPr>
      </w:pPr>
    </w:p>
    <w:p w14:paraId="464D545C">
      <w:pPr>
        <w:keepNext w:val="0"/>
        <w:keepLines w:val="0"/>
        <w:pageBreakBefore w:val="0"/>
        <w:widowControl/>
        <w:kinsoku w:val="0"/>
        <w:wordWrap/>
        <w:overflowPunct/>
        <w:topLinePunct w:val="0"/>
        <w:autoSpaceDE w:val="0"/>
        <w:autoSpaceDN w:val="0"/>
        <w:bidi w:val="0"/>
        <w:adjustRightInd w:val="0"/>
        <w:snapToGrid w:val="0"/>
        <w:spacing w:before="100" w:line="580" w:lineRule="exact"/>
        <w:ind w:left="0" w:right="0" w:firstLine="658"/>
        <w:jc w:val="both"/>
        <w:textAlignment w:val="baseline"/>
        <w:rPr>
          <w:rFonts w:ascii="仿宋" w:hAnsi="仿宋" w:eastAsia="仿宋" w:cs="仿宋"/>
          <w:color w:val="auto"/>
          <w:sz w:val="31"/>
          <w:szCs w:val="31"/>
        </w:rPr>
      </w:pPr>
      <w:r>
        <w:rPr>
          <w:rFonts w:ascii="仿宋" w:hAnsi="仿宋" w:eastAsia="仿宋" w:cs="仿宋"/>
          <w:color w:val="auto"/>
          <w:spacing w:val="7"/>
          <w:sz w:val="31"/>
          <w:szCs w:val="31"/>
        </w:rPr>
        <w:t>为进一步推动全民健身事业发展，满足群众日益增长的</w:t>
      </w:r>
      <w:r>
        <w:rPr>
          <w:rFonts w:ascii="仿宋" w:hAnsi="仿宋" w:eastAsia="仿宋" w:cs="仿宋"/>
          <w:color w:val="auto"/>
          <w:spacing w:val="8"/>
          <w:sz w:val="31"/>
          <w:szCs w:val="31"/>
        </w:rPr>
        <w:t>体育健身需求，提高公共体育资源的利用率，经研究决定，本辖区内由政府财政资金建设、运营的公共体育设施面向社会实行免费开放。现将有关事项公告如下：</w:t>
      </w:r>
    </w:p>
    <w:p w14:paraId="179A2BA9">
      <w:pPr>
        <w:spacing w:line="227" w:lineRule="auto"/>
        <w:ind w:left="682"/>
        <w:rPr>
          <w:rFonts w:ascii="黑体" w:hAnsi="黑体" w:eastAsia="黑体" w:cs="黑体"/>
          <w:color w:val="auto"/>
          <w:sz w:val="31"/>
          <w:szCs w:val="31"/>
        </w:rPr>
      </w:pPr>
      <w:r>
        <w:rPr>
          <w:rFonts w:ascii="黑体" w:hAnsi="黑体" w:eastAsia="黑体" w:cs="黑体"/>
          <w:color w:val="auto"/>
          <w:spacing w:val="8"/>
          <w:sz w:val="31"/>
          <w:szCs w:val="31"/>
        </w:rPr>
        <w:t>一、免费开放的公共体育设施范围</w:t>
      </w:r>
    </w:p>
    <w:p w14:paraId="7F8409BD">
      <w:pPr>
        <w:spacing w:line="88" w:lineRule="exact"/>
        <w:rPr>
          <w:color w:val="auto"/>
        </w:rPr>
      </w:pPr>
    </w:p>
    <w:tbl>
      <w:tblPr>
        <w:tblStyle w:val="6"/>
        <w:tblpPr w:leftFromText="180" w:rightFromText="180" w:vertAnchor="text" w:horzAnchor="page" w:tblpX="1315" w:tblpY="247"/>
        <w:tblOverlap w:val="never"/>
        <w:tblW w:w="911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91"/>
        <w:gridCol w:w="4320"/>
      </w:tblGrid>
      <w:tr w14:paraId="062A8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791" w:type="dxa"/>
            <w:vAlign w:val="top"/>
          </w:tcPr>
          <w:p w14:paraId="48F96700">
            <w:pPr>
              <w:pStyle w:val="7"/>
              <w:spacing w:before="192" w:line="234" w:lineRule="auto"/>
              <w:jc w:val="center"/>
              <w:rPr>
                <w:color w:val="auto"/>
              </w:rPr>
            </w:pPr>
            <w:r>
              <w:rPr>
                <w:b/>
                <w:bCs/>
                <w:color w:val="auto"/>
                <w:spacing w:val="-5"/>
              </w:rPr>
              <w:t>场地名称</w:t>
            </w:r>
          </w:p>
        </w:tc>
        <w:tc>
          <w:tcPr>
            <w:tcW w:w="4320" w:type="dxa"/>
            <w:vAlign w:val="top"/>
          </w:tcPr>
          <w:p w14:paraId="2340B152">
            <w:pPr>
              <w:pStyle w:val="7"/>
              <w:spacing w:before="192" w:line="234" w:lineRule="auto"/>
              <w:jc w:val="center"/>
              <w:rPr>
                <w:rFonts w:hint="default" w:eastAsia="方正仿宋_GBK"/>
                <w:b/>
                <w:bCs/>
                <w:color w:val="auto"/>
                <w:spacing w:val="-5"/>
                <w:lang w:val="en-US" w:eastAsia="zh-CN"/>
              </w:rPr>
            </w:pPr>
            <w:r>
              <w:rPr>
                <w:rFonts w:hint="eastAsia"/>
                <w:b/>
                <w:bCs/>
                <w:color w:val="auto"/>
                <w:spacing w:val="-5"/>
                <w:lang w:val="en-US" w:eastAsia="zh-CN"/>
              </w:rPr>
              <w:t>免费开放时间</w:t>
            </w:r>
          </w:p>
        </w:tc>
      </w:tr>
      <w:tr w14:paraId="4227D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791" w:type="dxa"/>
            <w:vAlign w:val="top"/>
          </w:tcPr>
          <w:p w14:paraId="6AE3FAFA">
            <w:pPr>
              <w:spacing w:before="188" w:line="232" w:lineRule="auto"/>
              <w:ind w:left="133"/>
              <w:jc w:val="left"/>
              <w:rPr>
                <w:rFonts w:hint="default" w:eastAsia="方正仿宋_GBK"/>
                <w:color w:val="auto"/>
                <w:lang w:val="en-US" w:eastAsia="zh-CN"/>
              </w:rPr>
            </w:pPr>
            <w:r>
              <w:rPr>
                <w:rFonts w:hint="eastAsia"/>
                <w:color w:val="auto"/>
              </w:rPr>
              <w:t>微企梦工厂旁小公园乒乓球场公园坡上</w:t>
            </w:r>
          </w:p>
        </w:tc>
        <w:tc>
          <w:tcPr>
            <w:tcW w:w="4320" w:type="dxa"/>
            <w:vAlign w:val="top"/>
          </w:tcPr>
          <w:p w14:paraId="516A072E">
            <w:pPr>
              <w:spacing w:before="188" w:line="232" w:lineRule="auto"/>
              <w:ind w:left="133"/>
              <w:rPr>
                <w:rFonts w:hint="eastAsia"/>
                <w:color w:val="auto"/>
              </w:rPr>
            </w:pPr>
            <w:r>
              <w:rPr>
                <w:rFonts w:hint="eastAsia"/>
                <w:color w:val="auto"/>
              </w:rPr>
              <w:t>夏季8：00-19：00、冬季8：30-18：00</w:t>
            </w:r>
          </w:p>
        </w:tc>
      </w:tr>
      <w:tr w14:paraId="0C220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791" w:type="dxa"/>
            <w:vAlign w:val="top"/>
          </w:tcPr>
          <w:p w14:paraId="185B953E">
            <w:pPr>
              <w:spacing w:before="190" w:line="232" w:lineRule="auto"/>
              <w:ind w:left="133"/>
              <w:jc w:val="left"/>
              <w:rPr>
                <w:color w:val="auto"/>
              </w:rPr>
            </w:pPr>
            <w:r>
              <w:rPr>
                <w:rFonts w:hint="eastAsia"/>
                <w:color w:val="auto"/>
              </w:rPr>
              <w:t>重庆市大渡口区春晖路街道古渡社区居委会微型少年宫排练室健身房</w:t>
            </w:r>
          </w:p>
        </w:tc>
        <w:tc>
          <w:tcPr>
            <w:tcW w:w="4320" w:type="dxa"/>
            <w:vAlign w:val="top"/>
          </w:tcPr>
          <w:p w14:paraId="21F84DBA">
            <w:pPr>
              <w:spacing w:before="190" w:line="232" w:lineRule="auto"/>
              <w:ind w:left="133"/>
              <w:rPr>
                <w:rFonts w:hint="eastAsia"/>
                <w:color w:val="auto"/>
              </w:rPr>
            </w:pPr>
            <w:r>
              <w:rPr>
                <w:rFonts w:hint="eastAsia"/>
                <w:color w:val="auto"/>
              </w:rPr>
              <w:t>9：00-11：30、14：00-17：00</w:t>
            </w:r>
          </w:p>
        </w:tc>
      </w:tr>
      <w:tr w14:paraId="506B0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791" w:type="dxa"/>
            <w:vAlign w:val="top"/>
          </w:tcPr>
          <w:p w14:paraId="7152A9A2">
            <w:pPr>
              <w:spacing w:before="190" w:line="232" w:lineRule="auto"/>
              <w:ind w:left="133"/>
              <w:jc w:val="left"/>
              <w:rPr>
                <w:color w:val="auto"/>
              </w:rPr>
            </w:pPr>
            <w:r>
              <w:rPr>
                <w:rFonts w:hint="eastAsia"/>
                <w:color w:val="auto"/>
              </w:rPr>
              <w:t>重庆市大渡口区春晖路街道锦凤社区居民委员会中华美德公园篮球场</w:t>
            </w:r>
          </w:p>
        </w:tc>
        <w:tc>
          <w:tcPr>
            <w:tcW w:w="4320" w:type="dxa"/>
            <w:vAlign w:val="top"/>
          </w:tcPr>
          <w:p w14:paraId="2E772BBF">
            <w:pPr>
              <w:spacing w:before="190" w:line="232" w:lineRule="auto"/>
              <w:ind w:left="133"/>
              <w:rPr>
                <w:rFonts w:hint="eastAsia"/>
                <w:color w:val="auto"/>
              </w:rPr>
            </w:pPr>
            <w:r>
              <w:rPr>
                <w:rFonts w:hint="eastAsia"/>
                <w:color w:val="auto"/>
              </w:rPr>
              <w:t>夏季6：00-9：00、冬季6：30-9：00</w:t>
            </w:r>
          </w:p>
        </w:tc>
      </w:tr>
      <w:tr w14:paraId="1455A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791" w:type="dxa"/>
            <w:vAlign w:val="top"/>
          </w:tcPr>
          <w:p w14:paraId="62E60CE1">
            <w:pPr>
              <w:spacing w:before="190" w:line="232" w:lineRule="auto"/>
              <w:ind w:left="133"/>
              <w:jc w:val="left"/>
              <w:rPr>
                <w:color w:val="auto"/>
              </w:rPr>
            </w:pPr>
            <w:r>
              <w:rPr>
                <w:rFonts w:hint="eastAsia"/>
                <w:color w:val="auto"/>
              </w:rPr>
              <w:t>重庆市大渡口区春晖路街道锦凤社区居民委会党校篮球场</w:t>
            </w:r>
          </w:p>
        </w:tc>
        <w:tc>
          <w:tcPr>
            <w:tcW w:w="4320" w:type="dxa"/>
            <w:vAlign w:val="top"/>
          </w:tcPr>
          <w:p w14:paraId="4675B653">
            <w:pPr>
              <w:spacing w:before="190" w:line="232" w:lineRule="auto"/>
              <w:ind w:left="133"/>
              <w:rPr>
                <w:rFonts w:hint="eastAsia"/>
                <w:color w:val="auto"/>
              </w:rPr>
            </w:pPr>
            <w:r>
              <w:rPr>
                <w:rFonts w:hint="eastAsia"/>
                <w:color w:val="auto"/>
              </w:rPr>
              <w:t>夏季6：00-10：00、冬季6：30-10：00</w:t>
            </w:r>
          </w:p>
        </w:tc>
      </w:tr>
    </w:tbl>
    <w:p w14:paraId="15E141BA">
      <w:pPr>
        <w:spacing w:line="91" w:lineRule="auto"/>
        <w:rPr>
          <w:rFonts w:ascii="Arial"/>
          <w:color w:val="auto"/>
          <w:sz w:val="2"/>
        </w:rPr>
      </w:pPr>
    </w:p>
    <w:p w14:paraId="1C52F999">
      <w:pPr>
        <w:spacing w:before="199" w:line="227" w:lineRule="auto"/>
        <w:ind w:left="684"/>
        <w:outlineLvl w:val="0"/>
        <w:rPr>
          <w:rFonts w:ascii="黑体" w:hAnsi="黑体" w:eastAsia="黑体" w:cs="黑体"/>
          <w:color w:val="auto"/>
          <w:sz w:val="31"/>
          <w:szCs w:val="31"/>
        </w:rPr>
      </w:pPr>
      <w:r>
        <w:rPr>
          <w:rFonts w:hint="eastAsia" w:ascii="黑体" w:hAnsi="黑体" w:eastAsia="黑体" w:cs="黑体"/>
          <w:b/>
          <w:bCs/>
          <w:color w:val="auto"/>
          <w:spacing w:val="4"/>
          <w:sz w:val="31"/>
          <w:szCs w:val="31"/>
          <w:lang w:val="en-US" w:eastAsia="zh-CN"/>
        </w:rPr>
        <w:t>二</w:t>
      </w:r>
      <w:r>
        <w:rPr>
          <w:rFonts w:ascii="黑体" w:hAnsi="黑体" w:eastAsia="黑体" w:cs="黑体"/>
          <w:b/>
          <w:bCs/>
          <w:color w:val="auto"/>
          <w:spacing w:val="4"/>
          <w:sz w:val="31"/>
          <w:szCs w:val="31"/>
        </w:rPr>
        <w:t>、注意事项</w:t>
      </w:r>
    </w:p>
    <w:p w14:paraId="5592C59A">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326" w:firstLineChars="100"/>
        <w:textAlignment w:val="baseline"/>
        <w:rPr>
          <w:rFonts w:hint="eastAsia" w:ascii="方正仿宋_GBK" w:hAnsi="方正仿宋_GBK" w:eastAsia="方正仿宋_GBK" w:cs="方正仿宋_GBK"/>
          <w:color w:val="auto"/>
          <w:spacing w:val="7"/>
          <w:sz w:val="31"/>
          <w:szCs w:val="31"/>
        </w:rPr>
      </w:pPr>
      <w:r>
        <w:rPr>
          <w:rFonts w:hint="eastAsia" w:ascii="方正仿宋_GBK" w:hAnsi="方正仿宋_GBK" w:eastAsia="方正仿宋_GBK" w:cs="方正仿宋_GBK"/>
          <w:color w:val="auto"/>
          <w:spacing w:val="8"/>
          <w:sz w:val="31"/>
          <w:szCs w:val="31"/>
        </w:rPr>
        <w:t>（一）市民进入免费开放的体育设施进行锻炼时，需遵守各设施的管理规定，听从工作人员的引导和安排。妥善保</w:t>
      </w:r>
      <w:r>
        <w:rPr>
          <w:rFonts w:hint="eastAsia" w:ascii="方正仿宋_GBK" w:hAnsi="方正仿宋_GBK" w:eastAsia="方正仿宋_GBK" w:cs="方正仿宋_GBK"/>
          <w:color w:val="auto"/>
          <w:spacing w:val="7"/>
          <w:sz w:val="31"/>
          <w:szCs w:val="31"/>
        </w:rPr>
        <w:t>管随身携带物品，如有丢失自行负责。</w:t>
      </w:r>
    </w:p>
    <w:p w14:paraId="502925AC">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314" w:firstLineChars="100"/>
        <w:textAlignment w:val="baseline"/>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pacing w:val="2"/>
          <w:sz w:val="31"/>
          <w:szCs w:val="31"/>
        </w:rPr>
        <w:t>（二）自觉爱护体育设施和公共环境，不得随意损坏、</w:t>
      </w:r>
      <w:r>
        <w:rPr>
          <w:rFonts w:hint="eastAsia" w:ascii="方正仿宋_GBK" w:hAnsi="方正仿宋_GBK" w:eastAsia="方正仿宋_GBK" w:cs="方正仿宋_GBK"/>
          <w:color w:val="auto"/>
          <w:spacing w:val="8"/>
          <w:sz w:val="31"/>
          <w:szCs w:val="31"/>
        </w:rPr>
        <w:t>涂鸦设施，不得乱扔垃圾、随地吐痰等，保持场地整洁。</w:t>
      </w:r>
    </w:p>
    <w:p w14:paraId="540806FB">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326" w:firstLineChars="100"/>
        <w:textAlignment w:val="baseline"/>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pacing w:val="8"/>
          <w:sz w:val="31"/>
          <w:szCs w:val="31"/>
        </w:rPr>
        <w:t>（三）进行体育锻炼时，要注意自身安全，避免发生意</w:t>
      </w:r>
      <w:r>
        <w:rPr>
          <w:rFonts w:hint="eastAsia" w:ascii="方正仿宋_GBK" w:hAnsi="方正仿宋_GBK" w:eastAsia="方正仿宋_GBK" w:cs="方正仿宋_GBK"/>
          <w:color w:val="auto"/>
          <w:spacing w:val="12"/>
          <w:sz w:val="31"/>
          <w:szCs w:val="31"/>
        </w:rPr>
        <w:t>外。患有不适宜进行剧烈运动疾病的人员，应根据自身情</w:t>
      </w:r>
      <w:r>
        <w:rPr>
          <w:rFonts w:hint="eastAsia" w:ascii="方正仿宋_GBK" w:hAnsi="方正仿宋_GBK" w:eastAsia="方正仿宋_GBK" w:cs="方正仿宋_GBK"/>
          <w:color w:val="auto"/>
          <w:spacing w:val="8"/>
          <w:sz w:val="31"/>
          <w:szCs w:val="31"/>
        </w:rPr>
        <w:t>况选择合适的锻炼方式。严禁小孩在场内追逐、玩耍。</w:t>
      </w:r>
    </w:p>
    <w:p w14:paraId="5D99BCB7">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322" w:firstLineChars="100"/>
        <w:textAlignment w:val="baseline"/>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pacing w:val="6"/>
          <w:sz w:val="31"/>
          <w:szCs w:val="31"/>
        </w:rPr>
        <w:t>（四）为保证设施的正常使用和其他市民的锻</w:t>
      </w:r>
      <w:r>
        <w:rPr>
          <w:rFonts w:hint="eastAsia" w:ascii="方正仿宋_GBK" w:hAnsi="方正仿宋_GBK" w:eastAsia="方正仿宋_GBK" w:cs="方正仿宋_GBK"/>
          <w:color w:val="auto"/>
          <w:spacing w:val="5"/>
          <w:sz w:val="31"/>
          <w:szCs w:val="31"/>
        </w:rPr>
        <w:t>炼需求，</w:t>
      </w:r>
      <w:r>
        <w:rPr>
          <w:rFonts w:hint="eastAsia" w:ascii="方正仿宋_GBK" w:hAnsi="方正仿宋_GBK" w:eastAsia="方正仿宋_GBK" w:cs="方正仿宋_GBK"/>
          <w:color w:val="auto"/>
          <w:spacing w:val="8"/>
          <w:sz w:val="31"/>
          <w:szCs w:val="31"/>
        </w:rPr>
        <w:t>请勿长时间占用某一设施，文明健身。</w:t>
      </w:r>
    </w:p>
    <w:p w14:paraId="564605E0">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330" w:firstLineChars="100"/>
        <w:textAlignment w:val="baseline"/>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pacing w:val="10"/>
          <w:sz w:val="31"/>
          <w:szCs w:val="31"/>
        </w:rPr>
        <w:t>（五）如遇重大赛事、活动或设施维护等特殊情</w:t>
      </w:r>
      <w:r>
        <w:rPr>
          <w:rFonts w:hint="eastAsia" w:ascii="方正仿宋_GBK" w:hAnsi="方正仿宋_GBK" w:eastAsia="方正仿宋_GBK" w:cs="方正仿宋_GBK"/>
          <w:color w:val="auto"/>
          <w:spacing w:val="9"/>
          <w:sz w:val="31"/>
          <w:szCs w:val="31"/>
        </w:rPr>
        <w:t>况，相</w:t>
      </w:r>
      <w:r>
        <w:rPr>
          <w:rFonts w:hint="eastAsia" w:ascii="方正仿宋_GBK" w:hAnsi="方正仿宋_GBK" w:eastAsia="方正仿宋_GBK" w:cs="方正仿宋_GBK"/>
          <w:color w:val="auto"/>
          <w:spacing w:val="10"/>
          <w:sz w:val="31"/>
          <w:szCs w:val="31"/>
        </w:rPr>
        <w:t>关体育设施可能会临时调整开放时间或暂停开放，届时提</w:t>
      </w:r>
      <w:r>
        <w:rPr>
          <w:rFonts w:hint="eastAsia" w:ascii="方正仿宋_GBK" w:hAnsi="方正仿宋_GBK" w:eastAsia="方正仿宋_GBK" w:cs="方正仿宋_GBK"/>
          <w:color w:val="auto"/>
          <w:spacing w:val="9"/>
          <w:sz w:val="31"/>
          <w:szCs w:val="31"/>
        </w:rPr>
        <w:t>前通</w:t>
      </w:r>
      <w:r>
        <w:rPr>
          <w:rFonts w:hint="eastAsia" w:ascii="方正仿宋_GBK" w:hAnsi="方正仿宋_GBK" w:eastAsia="方正仿宋_GBK" w:cs="方正仿宋_GBK"/>
          <w:color w:val="auto"/>
          <w:spacing w:val="-8"/>
          <w:sz w:val="31"/>
          <w:szCs w:val="31"/>
        </w:rPr>
        <w:t>知。</w:t>
      </w:r>
    </w:p>
    <w:p w14:paraId="401DA9B2">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330" w:firstLineChars="100"/>
        <w:textAlignment w:val="baseline"/>
        <w:rPr>
          <w:rFonts w:hint="eastAsia" w:ascii="方正仿宋_GBK" w:hAnsi="方正仿宋_GBK" w:eastAsia="方正仿宋_GBK" w:cs="方正仿宋_GBK"/>
          <w:color w:val="auto"/>
          <w:spacing w:val="1"/>
          <w:sz w:val="31"/>
          <w:szCs w:val="31"/>
        </w:rPr>
      </w:pPr>
      <w:r>
        <w:rPr>
          <w:rFonts w:hint="eastAsia" w:ascii="方正仿宋_GBK" w:hAnsi="方正仿宋_GBK" w:eastAsia="方正仿宋_GBK" w:cs="方正仿宋_GBK"/>
          <w:color w:val="auto"/>
          <w:spacing w:val="10"/>
          <w:sz w:val="31"/>
          <w:szCs w:val="31"/>
        </w:rPr>
        <w:t>（六）市民可使用“公共体育设施免费开放情况</w:t>
      </w:r>
      <w:r>
        <w:rPr>
          <w:rFonts w:hint="eastAsia" w:ascii="方正仿宋_GBK" w:hAnsi="方正仿宋_GBK" w:eastAsia="方正仿宋_GBK" w:cs="方正仿宋_GBK"/>
          <w:color w:val="auto"/>
          <w:spacing w:val="9"/>
          <w:sz w:val="31"/>
          <w:szCs w:val="31"/>
        </w:rPr>
        <w:t>监督二</w:t>
      </w:r>
      <w:r>
        <w:rPr>
          <w:rFonts w:hint="eastAsia" w:ascii="方正仿宋_GBK" w:hAnsi="方正仿宋_GBK" w:eastAsia="方正仿宋_GBK" w:cs="方正仿宋_GBK"/>
          <w:color w:val="auto"/>
          <w:spacing w:val="1"/>
          <w:sz w:val="31"/>
          <w:szCs w:val="31"/>
        </w:rPr>
        <w:t>维码”反映有关问题。</w:t>
      </w:r>
    </w:p>
    <w:p w14:paraId="1B389997">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312" w:firstLineChars="100"/>
        <w:textAlignment w:val="baseline"/>
        <w:rPr>
          <w:rFonts w:hint="eastAsia" w:ascii="方正仿宋_GBK" w:hAnsi="方正仿宋_GBK" w:eastAsia="方正仿宋_GBK" w:cs="方正仿宋_GBK"/>
          <w:color w:val="auto"/>
          <w:spacing w:val="1"/>
          <w:sz w:val="31"/>
          <w:szCs w:val="31"/>
        </w:rPr>
      </w:pPr>
    </w:p>
    <w:p w14:paraId="6176CFD5">
      <w:pPr>
        <w:keepNext w:val="0"/>
        <w:keepLines w:val="0"/>
        <w:pageBreakBefore w:val="0"/>
        <w:widowControl/>
        <w:kinsoku w:val="0"/>
        <w:wordWrap/>
        <w:overflowPunct/>
        <w:topLinePunct w:val="0"/>
        <w:autoSpaceDE w:val="0"/>
        <w:autoSpaceDN w:val="0"/>
        <w:bidi w:val="0"/>
        <w:adjustRightInd w:val="0"/>
        <w:snapToGrid w:val="0"/>
        <w:spacing w:line="580" w:lineRule="exact"/>
        <w:jc w:val="right"/>
        <w:textAlignment w:val="baseline"/>
        <w:rPr>
          <w:rFonts w:hint="default" w:ascii="方正仿宋_GBK" w:hAnsi="方正仿宋_GBK" w:eastAsia="方正仿宋_GBK" w:cs="方正仿宋_GBK"/>
          <w:color w:val="auto"/>
          <w:sz w:val="31"/>
          <w:szCs w:val="31"/>
          <w:lang w:val="en-US"/>
        </w:rPr>
      </w:pPr>
      <w:r>
        <w:rPr>
          <w:rFonts w:ascii="方正仿宋_GBK" w:hAnsi="方正仿宋_GBK" w:eastAsia="方正仿宋_GBK" w:cs="方正仿宋_GBK"/>
          <w:color w:val="auto"/>
          <w:spacing w:val="7"/>
          <w:sz w:val="31"/>
          <w:szCs w:val="31"/>
        </w:rPr>
        <w:t>重庆市</w:t>
      </w:r>
      <w:r>
        <w:rPr>
          <w:rFonts w:hint="eastAsia" w:ascii="方正仿宋_GBK" w:hAnsi="方正仿宋_GBK" w:eastAsia="方正仿宋_GBK" w:cs="方正仿宋_GBK"/>
          <w:color w:val="auto"/>
          <w:spacing w:val="7"/>
          <w:sz w:val="31"/>
          <w:szCs w:val="31"/>
          <w:lang w:val="en-US" w:eastAsia="zh-CN"/>
        </w:rPr>
        <w:t>大渡口区春晖路街道</w:t>
      </w:r>
    </w:p>
    <w:p w14:paraId="210AAA6C">
      <w:pPr>
        <w:keepNext w:val="0"/>
        <w:keepLines w:val="0"/>
        <w:pageBreakBefore w:val="0"/>
        <w:widowControl/>
        <w:kinsoku w:val="0"/>
        <w:wordWrap/>
        <w:overflowPunct/>
        <w:topLinePunct w:val="0"/>
        <w:autoSpaceDE w:val="0"/>
        <w:autoSpaceDN w:val="0"/>
        <w:bidi w:val="0"/>
        <w:adjustRightInd w:val="0"/>
        <w:snapToGrid w:val="0"/>
        <w:spacing w:line="580" w:lineRule="exact"/>
        <w:ind w:left="4675" w:firstLine="420" w:firstLineChars="200"/>
        <w:textAlignment w:val="baseline"/>
        <w:rPr>
          <w:rFonts w:hint="eastAsia" w:eastAsia="宋体"/>
          <w:lang w:eastAsia="zh-CN"/>
        </w:rPr>
      </w:pPr>
      <w:r>
        <w:drawing>
          <wp:anchor distT="0" distB="0" distL="114300" distR="114300" simplePos="0" relativeHeight="251659264" behindDoc="0" locked="0" layoutInCell="1" allowOverlap="1">
            <wp:simplePos x="0" y="0"/>
            <wp:positionH relativeFrom="column">
              <wp:posOffset>528320</wp:posOffset>
            </wp:positionH>
            <wp:positionV relativeFrom="page">
              <wp:posOffset>3957955</wp:posOffset>
            </wp:positionV>
            <wp:extent cx="4321810" cy="5742940"/>
            <wp:effectExtent l="0" t="0" r="2540" b="10160"/>
            <wp:wrapTopAndBottom/>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6"/>
                    <a:stretch>
                      <a:fillRect/>
                    </a:stretch>
                  </pic:blipFill>
                  <pic:spPr>
                    <a:xfrm>
                      <a:off x="0" y="0"/>
                      <a:ext cx="4321810" cy="5742940"/>
                    </a:xfrm>
                    <a:prstGeom prst="rect">
                      <a:avLst/>
                    </a:prstGeom>
                    <a:noFill/>
                    <a:ln>
                      <a:noFill/>
                    </a:ln>
                  </pic:spPr>
                </pic:pic>
              </a:graphicData>
            </a:graphic>
          </wp:anchor>
        </w:drawing>
      </w:r>
      <w:r>
        <w:rPr>
          <w:rFonts w:ascii="方正仿宋_GBK" w:hAnsi="方正仿宋_GBK" w:eastAsia="方正仿宋_GBK" w:cs="方正仿宋_GBK"/>
          <w:color w:val="auto"/>
          <w:spacing w:val="-6"/>
          <w:sz w:val="31"/>
          <w:szCs w:val="31"/>
        </w:rPr>
        <w:t>2025</w:t>
      </w:r>
      <w:r>
        <w:rPr>
          <w:rFonts w:ascii="方正仿宋_GBK" w:hAnsi="方正仿宋_GBK" w:eastAsia="方正仿宋_GBK" w:cs="方正仿宋_GBK"/>
          <w:color w:val="auto"/>
          <w:spacing w:val="-32"/>
          <w:sz w:val="31"/>
          <w:szCs w:val="31"/>
        </w:rPr>
        <w:t xml:space="preserve"> </w:t>
      </w:r>
      <w:r>
        <w:rPr>
          <w:rFonts w:ascii="方正仿宋_GBK" w:hAnsi="方正仿宋_GBK" w:eastAsia="方正仿宋_GBK" w:cs="方正仿宋_GBK"/>
          <w:color w:val="auto"/>
          <w:spacing w:val="-6"/>
          <w:sz w:val="31"/>
          <w:szCs w:val="31"/>
        </w:rPr>
        <w:t>年</w:t>
      </w:r>
      <w:r>
        <w:rPr>
          <w:rFonts w:hint="eastAsia" w:ascii="方正仿宋_GBK" w:hAnsi="方正仿宋_GBK" w:eastAsia="方正仿宋_GBK" w:cs="方正仿宋_GBK"/>
          <w:color w:val="auto"/>
          <w:spacing w:val="-42"/>
          <w:sz w:val="31"/>
          <w:szCs w:val="31"/>
          <w:lang w:val="en-US" w:eastAsia="zh-CN"/>
        </w:rPr>
        <w:t>9</w:t>
      </w:r>
      <w:r>
        <w:rPr>
          <w:rFonts w:ascii="方正仿宋_GBK" w:hAnsi="方正仿宋_GBK" w:eastAsia="方正仿宋_GBK" w:cs="方正仿宋_GBK"/>
          <w:color w:val="auto"/>
          <w:spacing w:val="-27"/>
          <w:sz w:val="31"/>
          <w:szCs w:val="31"/>
        </w:rPr>
        <w:t xml:space="preserve"> </w:t>
      </w:r>
      <w:r>
        <w:rPr>
          <w:rFonts w:ascii="方正仿宋_GBK" w:hAnsi="方正仿宋_GBK" w:eastAsia="方正仿宋_GBK" w:cs="方正仿宋_GBK"/>
          <w:color w:val="auto"/>
          <w:spacing w:val="-6"/>
          <w:sz w:val="31"/>
          <w:szCs w:val="31"/>
        </w:rPr>
        <w:t>月</w:t>
      </w:r>
      <w:r>
        <w:rPr>
          <w:rFonts w:ascii="方正仿宋_GBK" w:hAnsi="方正仿宋_GBK" w:eastAsia="方正仿宋_GBK" w:cs="方正仿宋_GBK"/>
          <w:color w:val="auto"/>
          <w:spacing w:val="-37"/>
          <w:sz w:val="31"/>
          <w:szCs w:val="31"/>
        </w:rPr>
        <w:t xml:space="preserve"> </w:t>
      </w:r>
      <w:r>
        <w:rPr>
          <w:rFonts w:hint="eastAsia" w:ascii="方正仿宋_GBK" w:hAnsi="方正仿宋_GBK" w:eastAsia="方正仿宋_GBK" w:cs="方正仿宋_GBK"/>
          <w:color w:val="auto"/>
          <w:spacing w:val="-6"/>
          <w:sz w:val="31"/>
          <w:szCs w:val="31"/>
          <w:lang w:val="en-US" w:eastAsia="zh-CN"/>
        </w:rPr>
        <w:t>25</w:t>
      </w:r>
      <w:r>
        <w:rPr>
          <w:rFonts w:ascii="方正仿宋_GBK" w:hAnsi="方正仿宋_GBK" w:eastAsia="方正仿宋_GBK" w:cs="方正仿宋_GBK"/>
          <w:color w:val="auto"/>
          <w:spacing w:val="35"/>
          <w:sz w:val="31"/>
          <w:szCs w:val="31"/>
        </w:rPr>
        <w:t xml:space="preserve"> </w:t>
      </w:r>
      <w:r>
        <w:rPr>
          <w:rFonts w:ascii="方正仿宋_GBK" w:hAnsi="方正仿宋_GBK" w:eastAsia="方正仿宋_GBK" w:cs="方正仿宋_GBK"/>
          <w:color w:val="auto"/>
          <w:spacing w:val="-6"/>
          <w:sz w:val="31"/>
          <w:szCs w:val="31"/>
        </w:rPr>
        <w:t>日</w:t>
      </w:r>
    </w:p>
    <w:p w14:paraId="1F537023">
      <w:pPr>
        <w:keepNext w:val="0"/>
        <w:keepLines w:val="0"/>
        <w:pageBreakBefore w:val="0"/>
        <w:widowControl/>
        <w:kinsoku w:val="0"/>
        <w:wordWrap/>
        <w:overflowPunct/>
        <w:topLinePunct w:val="0"/>
        <w:autoSpaceDE w:val="0"/>
        <w:autoSpaceDN w:val="0"/>
        <w:bidi w:val="0"/>
        <w:adjustRightInd w:val="0"/>
        <w:snapToGrid w:val="0"/>
        <w:spacing w:line="299" w:lineRule="auto"/>
        <w:ind w:right="0" w:firstLine="312" w:firstLineChars="100"/>
        <w:textAlignment w:val="baseline"/>
        <w:rPr>
          <w:rFonts w:hint="eastAsia" w:ascii="方正仿宋_GBK" w:hAnsi="方正仿宋_GBK" w:eastAsia="方正仿宋_GBK" w:cs="方正仿宋_GBK"/>
          <w:color w:val="auto"/>
          <w:spacing w:val="1"/>
          <w:sz w:val="31"/>
          <w:szCs w:val="31"/>
          <w:lang w:eastAsia="zh-CN"/>
        </w:rPr>
      </w:pPr>
      <w:bookmarkStart w:id="0" w:name="_GoBack"/>
      <w:bookmarkEnd w:id="0"/>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D9744DD"/>
    <w:rsid w:val="10855BDB"/>
    <w:rsid w:val="18E402E6"/>
    <w:rsid w:val="206207D3"/>
    <w:rsid w:val="24D10F97"/>
    <w:rsid w:val="347E456C"/>
    <w:rsid w:val="37513F85"/>
    <w:rsid w:val="667B65DC"/>
    <w:rsid w:val="70DB5936"/>
    <w:rsid w:val="73221F8B"/>
    <w:rsid w:val="759B7BD1"/>
    <w:rsid w:val="77F969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character" w:styleId="5">
    <w:name w:val="Hyperlink"/>
    <w:basedOn w:val="4"/>
    <w:uiPriority w:val="0"/>
    <w:rPr>
      <w:color w:val="0000FF"/>
      <w:u w:val="single"/>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方正仿宋_GBK" w:hAnsi="方正仿宋_GBK" w:eastAsia="方正仿宋_GBK" w:cs="方正仿宋_GBK"/>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648</Words>
  <Characters>697</Characters>
  <TotalTime>3</TotalTime>
  <ScaleCrop>false</ScaleCrop>
  <LinksUpToDate>false</LinksUpToDate>
  <CharactersWithSpaces>701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2025-09-11T10:29:00Z</dcterms:created>
  <dc:creator>叶子</dc:creator>
  <cp:lastModifiedBy>毛毛雨</cp:lastModifiedBy>
  <dcterms:modified xsi:type="dcterms:W3CDTF">2025-09-25T06:24:37Z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2025-09-19T15:15:41Z</vt:filetime>
  </property>
  <property fmtid="{D5CDD505-2E9C-101B-9397-08002B2CF9AE}" pid="4" name="KSOTemplateDocerSaveRecord">
    <vt:lpwstr>eyJoZGlkIjoiZDM0YjlmN2Y4NDAyNTc2MTMwYmZhNTI4NDgxYjliOWMiLCJ1c2VySWQiOiIxNzM0MDUyMzYxIn0=</vt:lpwstr>
  </property>
  <property fmtid="{D5CDD505-2E9C-101B-9397-08002B2CF9AE}" pid="5" name="KSOProductBuildVer">
    <vt:lpwstr>2052-12.1.0.22529</vt:lpwstr>
  </property>
  <property fmtid="{D5CDD505-2E9C-101B-9397-08002B2CF9AE}" pid="6" name="ICV">
    <vt:lpwstr>D929F0D339B649888090EEC84F745D5B_13</vt:lpwstr>
  </property>
</Properties>
</file>