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  <w:r>
        <w:rPr>
          <w:rFonts w:hint="eastAsia"/>
        </w:rPr>
        <w:pict>
          <v:shape id="_x0000_s2050" o:spid="_x0000_s2050" o:spt="136" type="#_x0000_t136" style="position:absolute;left:0pt;margin-left:88.15pt;margin-top:90.8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人民政府文件" style="font-family:方正小标宋_GBK;font-size:36pt;font-weight:bold;v-rotate-letters:f;v-same-letter-heights:f;v-text-align:center;"/>
          </v:shape>
        </w:pict>
      </w: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textAlignment w:val="auto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大渡口府发〔202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margin">
                  <wp:posOffset>3029585</wp:posOffset>
                </wp:positionV>
                <wp:extent cx="5615940" cy="0"/>
                <wp:effectExtent l="0" t="10795" r="7620" b="120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2pt;margin-top:238.55pt;height:0pt;width:442.2pt;mso-position-horizontal-relative:page;mso-position-vertical-relative:margin;z-index:251658240;mso-width-relative:page;mso-height-relative:page;" filled="f" stroked="t" coordsize="21600,21600" o:gfxdata="UEsDBAoAAAAAAIdO4kAAAAAAAAAAAAAAAAAEAAAAZHJzL1BLAwQUAAAACACHTuJAUYmjTdgAAAAM&#10;AQAADwAAAGRycy9kb3ducmV2LnhtbE2PzU7DMBCE70i8g7VI3KidEjVViNMDEkj8Sik8gBMvSdR4&#10;HWI3LTw9WwkJjjP7aXam2BzdIGacQu9JQ7JQIJAab3tqNby/3V2tQYRoyJrBE2r4wgCb8vysMLn1&#10;B6pw3sZWcAiF3GjoYhxzKUPToTNh4Uckvn34yZnIcmqlncyBw90gl0qtpDM98YfOjHjbYbPb7h2n&#10;zNnu+enlu/p87P1Ddb96rdsBtb68SNQNiIjH+AfDqT5Xh5I71X5PNoiBdbpOGdWQZlkC4kSo6yWv&#10;qX8tWRby/4jyB1BLAwQUAAAACACHTuJANPgbStgBAACZAwAADgAAAGRycy9lMm9Eb2MueG1srVNL&#10;jhMxEN0jcQfLe9KdKBlBK51ZTAgbBJGAA1Rsd7cl/+Qy6eQSXACJHaxYsuc2DMeg7GTCABuE8MJd&#10;5ap6rvdcvbw+WMP2KqL2ruXTSc2ZcsJL7fqWv3m9efSYM0zgJBjvVMuPCvn16uGD5RgaNfODN1JF&#10;RiAOmzG0fEgpNFWFYlAWcOKDchTsfLSQyI19JSOMhG5NNavrq2r0UYbohUKk0/UpyFcFv+uUSC+7&#10;DlVipuXUWyp7LPsu79VqCU0fIQxanNuAf+jCgnZ06QVqDQnY26j/gLJaRI++SxPhbeW7TgtVOBCb&#10;af0bm1cDBFW4kDgYLjLh/4MVL/bbyLRs+ZwzB5ae6Pb9l2/vPn7/+oH228+f2DyLNAZsKPfGbePZ&#10;w7CNmfGhizZ/iQs7FGGPF2HVITFBh4ur6eLJnPQXd7HqZ2GImJ4pb1k2Wm60y5yhgf1zTHQZpd6l&#10;5GPj2NjyGa0F4QHNTGcgkWkDsUDXl2L0RsuNNiaXYOx3NyayPdAUbDY1rcyJgH9Jy7esAYdTXgmd&#10;5mNQIJ86ydIxkD6OBpnnHqySnBlFc58tAoQmgTZ/k0lXG5cLVJnRM9Es8knWbO28PBa1q+zR+5eO&#10;z7OaB+y+T/b9P2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GJo03YAAAADAEAAA8AAAAAAAAA&#10;AQAgAAAAIgAAAGRycy9kb3ducmV2LnhtbFBLAQIUABQAAAAIAIdO4kA0+BtK2AEAAJkDAAAOAAAA&#10;AAAAAAEAIAAAACcBAABkcnMvZTJvRG9jLnhtbFBLBQYAAAAABgAGAFkBAABx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方正小标宋_GBK" w:hAnsi="宋体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重庆市大渡口区人民政府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方正小标宋_GBK" w:hAnsi="宋体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关于公布第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  <w:lang w:val="en-US" w:eastAsia="zh-CN"/>
        </w:rPr>
        <w:t>九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批区级非物质文化遗产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方正小标宋_GBK" w:hAnsi="宋体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代表性项目名录的通知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各镇人民政府，各街道办事处，区政府各部门，有关单位：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为保护和传承非物质文化遗产，弘扬优秀传统文化，推动我区文化大发展大繁荣，根据《中华人民共和国非物质文化遗产法》《重庆市非物质文化遗产条例》有关规定，经区政府第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次常务会审议，同意将《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乐活插花技艺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项非物质文化遗产列入大渡口区第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批非物质文化遗产代表性项目名录，现予以公布。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单位要认真贯彻落实非物质文化遗产保护的相关法律法规，以“保护为主、抢救第一、合理利用、传承发展”的工作方针，制定保护规划，落实工作措施，切实做好非物质文化遗产代表性项目的保护、传承、管理和合理利用工作，推动全区非物质文化遗产保护工作取得新的成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>大渡口区第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>批区级非物质文化遗产代表性项目名录</w:t>
      </w: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重庆市大渡口区人民政府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30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color w:val="auto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30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kern w:val="2"/>
          <w:sz w:val="44"/>
          <w:szCs w:val="44"/>
          <w:lang w:val="en-US" w:eastAsia="zh-CN" w:bidi="ar-SA"/>
        </w:rPr>
        <w:t>大渡口区第九批区级非物质文化遗产</w:t>
      </w:r>
    </w:p>
    <w:p>
      <w:pPr>
        <w:keepNext w:val="0"/>
        <w:keepLines w:val="0"/>
        <w:pageBreakBefore w:val="0"/>
        <w:widowControl w:val="0"/>
        <w:tabs>
          <w:tab w:val="left" w:pos="30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kern w:val="2"/>
          <w:sz w:val="44"/>
          <w:szCs w:val="44"/>
          <w:lang w:val="en-US" w:eastAsia="zh-CN" w:bidi="ar-SA"/>
        </w:rPr>
        <w:t>代表性项目名录</w:t>
      </w:r>
    </w:p>
    <w:tbl>
      <w:tblPr>
        <w:tblStyle w:val="7"/>
        <w:tblpPr w:leftFromText="180" w:rightFromText="180" w:vertAnchor="text" w:horzAnchor="page" w:tblpXSpec="center" w:tblpY="373"/>
        <w:tblOverlap w:val="never"/>
        <w:tblW w:w="9714" w:type="dxa"/>
        <w:jc w:val="center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55"/>
        <w:gridCol w:w="3617"/>
        <w:gridCol w:w="1421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3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Ⅶ-8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乐活插花技艺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传统美术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大渡口区乐活文化传播工作室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Ⅶ-9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春晖食品雕刻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重庆市旅游学校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Ⅸ-10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施氏穴位敷贴针灸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传统医药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九宫庙街道文化服务中心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Ⅸ-11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白氏经筋导引术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重庆态能健康咨询有限公司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Ⅸ-12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九宫庙任氏脏腑推拿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重庆正博兴中医医院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Ⅷ-29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樊氏蜡梅花茶窨制技艺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重庆渝知春茶叶有限公司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Ⅷ-30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古氏鱼火锅底料烹制技艺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大渡口区沐阳食府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Ⅷ-31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卿心桂花红茶传统窨制技艺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清泉茗茶商行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Ⅷ-32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李氏糊辣壳油辣子制作技艺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嘉红臣餐饮管理有限公司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Ⅷ-33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阳明药香制作技艺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大渡口区赤乙文化创意工作室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Ⅷ-34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龚氏面条传统制作技艺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重庆辣来主义品牌管理有限公司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Ⅷ-35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芸楼春老面包子制作技艺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芸楼春包子铺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Ⅷ-36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胡星照老火锅底料炒制技艺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重庆意伦餐饮文化有限公司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Ⅷ-37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八桥刘氏仔姜鱼烹制技艺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大渡口同园仔姜鱼馆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Ⅷ-38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傅氏面条制作技艺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重庆井谷元食品科技有限公司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Ⅷ-39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那氏泡菜·腌渍菜制作技艺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重庆花田里食品经营部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Ⅷ-40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谢氏红烧牛肉制作技艺</w:t>
            </w: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重庆味之海生物科技有限公司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2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03" w:hanging="1120" w:hangingChars="400"/>
        <w:textAlignment w:val="auto"/>
        <w:rPr>
          <w:rFonts w:hint="eastAsia" w:ascii="方正仿宋_GBK" w:hAnsi="Times New Roman" w:eastAsia="方正仿宋_GBK"/>
          <w:color w:val="auto"/>
          <w:sz w:val="28"/>
          <w:szCs w:val="28"/>
        </w:rPr>
      </w:pPr>
      <w:r>
        <w:rPr>
          <w:rFonts w:hint="eastAsia" w:ascii="方正仿宋_GBK" w:hAnsi="Times New Roman" w:eastAsia="方正仿宋_GBK"/>
          <w:color w:val="auto"/>
          <w:sz w:val="28"/>
          <w:szCs w:val="28"/>
        </w:rPr>
        <w:t xml:space="preserve">  抄送：区委办公室，区人大常委会办公室，区政协办公室，区法院，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pBdr>
          <w:top w:val="single" w:color="auto" w:sz="4" w:space="2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03" w:hanging="1120" w:hangingChars="400"/>
        <w:textAlignment w:val="auto"/>
        <w:rPr>
          <w:rFonts w:hint="eastAsia" w:ascii="方正仿宋_GBK" w:hAnsi="Times New Roman" w:eastAsia="方正仿宋_GBK"/>
          <w:color w:val="auto"/>
          <w:sz w:val="28"/>
          <w:szCs w:val="28"/>
        </w:rPr>
      </w:pPr>
      <w:r>
        <w:rPr>
          <w:rFonts w:hint="eastAsia" w:ascii="方正仿宋_GBK" w:hAnsi="Times New Roman" w:eastAsia="方正仿宋_GBK"/>
          <w:color w:val="auto"/>
          <w:sz w:val="28"/>
          <w:szCs w:val="28"/>
        </w:rPr>
        <w:t xml:space="preserve">        区检察院，区人武部。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color w:val="auto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 xml:space="preserve">重庆市大渡口区人民政府办公室   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auto"/>
          <w:sz w:val="28"/>
          <w:szCs w:val="28"/>
        </w:rPr>
        <w:t xml:space="preserve">     20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color w:val="auto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pgNumType w:fmt="decimal" w:start="1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0B2E4D-F1A4-453C-A793-CFA68E1215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E4F703A-E53A-4AA8-8015-E067AA2A413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9BC122-E641-4CED-B653-FF366850137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129C6B-81F7-447C-915C-155947F28FD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C4A779D-703A-4A4A-8529-78E49B030A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B05FF44-FB6E-4B20-9CBF-B8FCD1CA102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jc w:val="left"/>
    </w:pPr>
    <w:r>
      <w:rPr>
        <w:rFonts w:hint="default" w:ascii="Times New Roman" w:hAnsi="Times New Roman" w:cs="Times New Roman"/>
        <w:sz w:val="28"/>
        <w:szCs w:val="28"/>
        <w:lang w:eastAsia="zh-CN"/>
      </w:rPr>
      <w:t xml:space="preserve">— 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1"/>
  <w:bordersDoNotSurroundFooter w:val="1"/>
  <w:revisionView w:markup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jg3YThkNDEyYzUwYWY2NzgyYzg1MjMwMjJjYTUifQ=="/>
  </w:docVars>
  <w:rsids>
    <w:rsidRoot w:val="2F7163A7"/>
    <w:rsid w:val="04CB2483"/>
    <w:rsid w:val="06E77061"/>
    <w:rsid w:val="082D0D5E"/>
    <w:rsid w:val="09A9103E"/>
    <w:rsid w:val="0F7658A1"/>
    <w:rsid w:val="0FA63124"/>
    <w:rsid w:val="0FE23773"/>
    <w:rsid w:val="121447AC"/>
    <w:rsid w:val="15542020"/>
    <w:rsid w:val="188B7B07"/>
    <w:rsid w:val="1D501A97"/>
    <w:rsid w:val="1ED80DEA"/>
    <w:rsid w:val="1EDC25A0"/>
    <w:rsid w:val="208B17B6"/>
    <w:rsid w:val="2F7163A7"/>
    <w:rsid w:val="324B78A9"/>
    <w:rsid w:val="333E1EEE"/>
    <w:rsid w:val="3364646E"/>
    <w:rsid w:val="35821B25"/>
    <w:rsid w:val="3B1F6284"/>
    <w:rsid w:val="420204DA"/>
    <w:rsid w:val="501F49FD"/>
    <w:rsid w:val="5086780D"/>
    <w:rsid w:val="520D183E"/>
    <w:rsid w:val="58CE1AE1"/>
    <w:rsid w:val="61970898"/>
    <w:rsid w:val="64921D08"/>
    <w:rsid w:val="689C1A15"/>
    <w:rsid w:val="6C407DA1"/>
    <w:rsid w:val="6E032E11"/>
    <w:rsid w:val="745358A4"/>
    <w:rsid w:val="79FF552D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rPr>
      <w:rFonts w:ascii="宋体" w:eastAsia="宋体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1"/>
    <w:basedOn w:val="1"/>
    <w:qFormat/>
    <w:uiPriority w:val="0"/>
    <w:pPr>
      <w:spacing w:line="594" w:lineRule="exact"/>
      <w:ind w:right="658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1121</Characters>
  <Lines>0</Lines>
  <Paragraphs>0</Paragraphs>
  <TotalTime>4</TotalTime>
  <ScaleCrop>false</ScaleCrop>
  <LinksUpToDate>false</LinksUpToDate>
  <CharactersWithSpaces>1236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2024-10-22T09:02:00Z</dcterms:created>
  <dc:creator>青玄何需蓝来分。</dc:creator>
  <cp:lastModifiedBy>罗丽华</cp:lastModifiedBy>
  <cp:lastPrinted>2024-11-01T01:56:00Z</cp:lastPrinted>
  <dcterms:modified xsi:type="dcterms:W3CDTF">2024-11-06T08:49:05Z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3B1575EBA4CD4719BB766491E6F9DDCF_13</vt:lpwstr>
  </property>
</Properties>
</file>