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</w:rPr>
        <w:t>重庆市大渡口区</w:t>
      </w:r>
      <w:r>
        <w:rPr>
          <w:rFonts w:hint="default" w:ascii="Times New Roman" w:hAnsi="Times New Roman" w:eastAsia="方正小标宋_GBK" w:cs="Times New Roman"/>
          <w:sz w:val="44"/>
          <w:szCs w:val="44"/>
          <w:vertAlign w:val="baseline"/>
          <w:lang w:val="en-US" w:eastAsia="zh-CN"/>
        </w:rPr>
        <w:t>A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</w:rPr>
        <w:t>级景区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</w:rPr>
        <w:t>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vertAlign w:val="baseline"/>
          <w:lang w:val="en-US" w:eastAsia="zh-CN"/>
        </w:rPr>
        <w:t>2023</w:t>
      </w: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年版</w:t>
      </w: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重庆工业文化博览园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景区名称：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重庆工业文化博览园</w:t>
      </w:r>
    </w:p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景区地址：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重庆市大渡口区义渡路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999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号</w:t>
      </w:r>
    </w:p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联系方式：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191 1283 5615</w:t>
      </w:r>
    </w:p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质量等级：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国家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AAAA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级旅游景区</w:t>
      </w:r>
    </w:p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门票价格：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免费参观</w:t>
      </w:r>
    </w:p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预约方式：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线上通过“重庆工业文化博览园”微信公众号实名制预约；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线下实名制扫码入园。</w:t>
      </w:r>
    </w:p>
    <w:p>
      <w:pPr>
        <w:jc w:val="left"/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优惠政策：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华生园金色蛋糕梦幻王国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景区名称：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华生园金色蛋糕梦幻王国</w:t>
      </w:r>
    </w:p>
    <w:p>
      <w:pPr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景区地址：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重庆市大渡口区凤翔路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联系方式：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4740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5505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质量等级：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国家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AAA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级旅游景区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门票价格：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成人票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/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人、儿童票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元/人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预约方式：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）线上通过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抖音、“金色蛋糕梦幻王国”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微信公众号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购票；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现场购票。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优惠政策：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对现役军人、烈属、革命伤残军人、军队离职退休干部、残疾人、凭有效证件；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对身高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米（含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米）以下儿童；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周岁（含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岁）老人凭身份证或老年证；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持有由国家新闻出版总属颁发的《记者证》的新闻工作者。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重庆市大渡口区南海温泉中心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景区名称：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重庆市大渡口区南海温泉中心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景区</w:t>
      </w: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地址：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重庆市大渡口区跳磴镇西小路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联系方式：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023-68531988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质量等级：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国家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AAA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val="en-US" w:eastAsia="zh-CN"/>
        </w:rPr>
        <w:t>级旅游景区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门票价格：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成人票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元/人、儿童票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元/人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预约方式：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线上通过美团、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去哪儿网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购票；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现场购票。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优惠政策：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美团、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去哪儿网等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APP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上购买成人票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元/人（周一至周五），节假日及周末购买成人票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元/人。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</w:p>
    <w:p/>
    <w:sectPr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YWE5MDFhMDk1ODc2MzdjMTFkZmFjNjM5YzJmM2YifQ=="/>
  </w:docVars>
  <w:rsids>
    <w:rsidRoot w:val="12ED2CC8"/>
    <w:rsid w:val="03F02791"/>
    <w:rsid w:val="0CC53A40"/>
    <w:rsid w:val="100F7175"/>
    <w:rsid w:val="12ED2CC8"/>
    <w:rsid w:val="14301957"/>
    <w:rsid w:val="15C21FFB"/>
    <w:rsid w:val="16D27457"/>
    <w:rsid w:val="370F48D5"/>
    <w:rsid w:val="371F05BD"/>
    <w:rsid w:val="380102BC"/>
    <w:rsid w:val="39794D82"/>
    <w:rsid w:val="397E08D1"/>
    <w:rsid w:val="3DAE3B66"/>
    <w:rsid w:val="3FB31F29"/>
    <w:rsid w:val="42A826DF"/>
    <w:rsid w:val="43995681"/>
    <w:rsid w:val="452F075D"/>
    <w:rsid w:val="45BB2299"/>
    <w:rsid w:val="4B5270E7"/>
    <w:rsid w:val="4C661012"/>
    <w:rsid w:val="63351E60"/>
    <w:rsid w:val="67831ABE"/>
    <w:rsid w:val="6DBE2AC3"/>
    <w:rsid w:val="6F2A2D4B"/>
    <w:rsid w:val="7A5F59E5"/>
    <w:rsid w:val="7DC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563</Words>
  <Characters>619</Characters>
  <Lines>0</Lines>
  <Paragraphs>0</Paragraphs>
  <TotalTime>18</TotalTime>
  <ScaleCrop>false</ScaleCrop>
  <LinksUpToDate>false</LinksUpToDate>
  <CharactersWithSpaces>643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2023-03-06T03:27:00Z</dcterms:created>
  <dc:creator>Administrator</dc:creator>
  <cp:lastModifiedBy>Administrator</cp:lastModifiedBy>
  <cp:lastPrinted>2023-03-09T03:14:00Z</cp:lastPrinted>
  <dcterms:modified xsi:type="dcterms:W3CDTF">2023-03-09T07:18:51Z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842D0BDA1DB644AF94DC2C3195EE4365</vt:lpwstr>
  </property>
</Properties>
</file>