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spacing w:line="600" w:lineRule="exact"/>
        <w:jc w:val="center"/>
        <w:textAlignment w:val="auto"/>
        <w:rPr>
          <w:rFonts w:eastAsia="方正小标宋_GBK"/>
          <w:sz w:val="44"/>
          <w:szCs w:val="44"/>
        </w:rPr>
      </w:pPr>
      <w:r>
        <w:rPr>
          <w:rFonts w:eastAsia="方正小标宋_GBK"/>
          <w:sz w:val="44"/>
          <w:szCs w:val="44"/>
        </w:rPr>
        <w:t>关于长期护理保险的申领流程</w:t>
      </w:r>
    </w:p>
    <w:p>
      <w:pPr>
        <w:pStyle w:val="2"/>
        <w:rPr>
          <w:rFonts w:hint="default"/>
          <w:lang w:eastAsia="zh-CN"/>
        </w:rPr>
      </w:pPr>
    </w:p>
    <w:p>
      <w:pPr>
        <w:pStyle w:val="2"/>
        <w:rPr>
          <w:rFonts w:hint="eastAsia"/>
          <w:lang w:val="en-US" w:eastAsia="zh-CN"/>
        </w:rPr>
      </w:pPr>
    </w:p>
    <w:p>
      <w:pPr>
        <w:widowControl w:val="0"/>
        <w:kinsoku/>
        <w:autoSpaceDE/>
        <w:autoSpaceDN/>
        <w:adjustRightInd/>
        <w:spacing w:after="0" w:line="600" w:lineRule="exact"/>
        <w:ind w:firstLine="640" w:firstLineChars="200"/>
        <w:jc w:val="both"/>
        <w:rPr>
          <w:rFonts w:hint="eastAsia" w:ascii="Times New Roman" w:hAnsi="Times New Roman" w:eastAsia="方正仿宋_GBK" w:cs="Times New Roman"/>
          <w:snapToGrid w:val="0"/>
          <w:kern w:val="0"/>
          <w:sz w:val="32"/>
          <w:szCs w:val="32"/>
          <w:lang w:val="en-US" w:eastAsia="zh-CN" w:bidi="ar-SA"/>
        </w:rPr>
      </w:pPr>
      <w:r>
        <w:rPr>
          <w:rFonts w:hint="eastAsia" w:ascii="方正楷体_GBK" w:hAnsi="方正楷体_GBK" w:eastAsia="方正楷体_GBK" w:cs="方正楷体_GBK"/>
          <w:snapToGrid w:val="0"/>
          <w:kern w:val="0"/>
          <w:sz w:val="32"/>
          <w:szCs w:val="32"/>
          <w:lang w:val="en-US" w:eastAsia="zh-CN" w:bidi="ar-SA"/>
        </w:rPr>
        <w:t>一</w:t>
      </w:r>
      <w:r>
        <w:rPr>
          <w:rFonts w:hint="default" w:ascii="方正楷体_GBK" w:hAnsi="方正楷体_GBK" w:eastAsia="方正楷体_GBK" w:cs="方正楷体_GBK"/>
          <w:snapToGrid w:val="0"/>
          <w:kern w:val="0"/>
          <w:sz w:val="32"/>
          <w:szCs w:val="32"/>
          <w:lang w:eastAsia="zh-CN" w:bidi="ar-SA"/>
        </w:rPr>
        <w:t>、</w:t>
      </w:r>
      <w:r>
        <w:rPr>
          <w:rFonts w:hint="eastAsia" w:ascii="Times New Roman" w:hAnsi="Times New Roman" w:eastAsia="方正仿宋_GBK" w:cs="Times New Roman"/>
          <w:snapToGrid w:val="0"/>
          <w:kern w:val="0"/>
          <w:sz w:val="32"/>
          <w:szCs w:val="32"/>
          <w:lang w:val="en-US" w:eastAsia="zh-CN" w:bidi="ar-SA"/>
        </w:rPr>
        <w:t>参保对象</w:t>
      </w:r>
    </w:p>
    <w:p>
      <w:pPr>
        <w:widowControl w:val="0"/>
        <w:kinsoku/>
        <w:autoSpaceDE/>
        <w:autoSpaceDN/>
        <w:adjustRightInd/>
        <w:spacing w:after="0" w:line="600" w:lineRule="exact"/>
        <w:ind w:firstLine="640" w:firstLineChars="200"/>
        <w:jc w:val="both"/>
        <w:rPr>
          <w:rFonts w:hint="eastAsia"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eastAsia="zh-CN" w:bidi="ar-SA"/>
        </w:rPr>
        <w:t>（一）</w:t>
      </w:r>
      <w:r>
        <w:rPr>
          <w:rFonts w:hint="eastAsia" w:ascii="Times New Roman" w:hAnsi="Times New Roman" w:eastAsia="方正仿宋_GBK" w:cs="Times New Roman"/>
          <w:snapToGrid w:val="0"/>
          <w:kern w:val="0"/>
          <w:sz w:val="32"/>
          <w:szCs w:val="32"/>
          <w:lang w:val="en-US" w:eastAsia="zh-CN" w:bidi="ar-SA"/>
        </w:rPr>
        <w:t>职工身份参保。在职职工的单位、个人缴费部分均以个人职工医保缴费基数为基数，分别按每人每月0.1%的费率筹集。单位缴费部分按月从医保基金中划拨，不增加单位负担；个人缴费部分按月从其职工基本医疗保险个人账户中代扣代缴。</w:t>
      </w:r>
    </w:p>
    <w:p>
      <w:pPr>
        <w:widowControl w:val="0"/>
        <w:kinsoku/>
        <w:autoSpaceDE/>
        <w:autoSpaceDN/>
        <w:adjustRightInd/>
        <w:spacing w:after="0" w:line="600" w:lineRule="exact"/>
        <w:ind w:firstLine="640" w:firstLineChars="200"/>
        <w:jc w:val="both"/>
        <w:rPr>
          <w:rFonts w:hint="eastAsia"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eastAsia="zh-CN" w:bidi="ar-SA"/>
        </w:rPr>
        <w:t>（二）</w:t>
      </w:r>
      <w:r>
        <w:rPr>
          <w:rFonts w:hint="eastAsia" w:ascii="Times New Roman" w:hAnsi="Times New Roman" w:eastAsia="方正仿宋_GBK" w:cs="Times New Roman"/>
          <w:snapToGrid w:val="0"/>
          <w:kern w:val="0"/>
          <w:sz w:val="32"/>
          <w:szCs w:val="32"/>
          <w:lang w:val="en-US" w:eastAsia="zh-CN" w:bidi="ar-SA"/>
        </w:rPr>
        <w:t>个人身份参保。以个人身份参加职工医保人员缴费，以上年度全市在职职工基本医疗保险实际平均缴费基数为基数，按每人每月0.2%的费率筹集。参加职工医保一档的，由个人在按年缴纳医保费时同步一次性缴纳；参加职工医保二档的，每月从其职工基本医疗保险个人账户中代扣代缴。</w:t>
      </w:r>
    </w:p>
    <w:p>
      <w:pPr>
        <w:widowControl w:val="0"/>
        <w:kinsoku/>
        <w:autoSpaceDE/>
        <w:autoSpaceDN/>
        <w:adjustRightInd/>
        <w:spacing w:after="0" w:line="600" w:lineRule="exact"/>
        <w:ind w:firstLine="640" w:firstLineChars="200"/>
        <w:jc w:val="both"/>
        <w:rPr>
          <w:rFonts w:hint="eastAsia"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eastAsia="zh-CN" w:bidi="ar-SA"/>
        </w:rPr>
        <w:t>（三）</w:t>
      </w:r>
      <w:r>
        <w:rPr>
          <w:rFonts w:hint="eastAsia" w:ascii="Times New Roman" w:hAnsi="Times New Roman" w:eastAsia="方正仿宋_GBK" w:cs="Times New Roman"/>
          <w:snapToGrid w:val="0"/>
          <w:kern w:val="0"/>
          <w:sz w:val="32"/>
          <w:szCs w:val="32"/>
          <w:lang w:val="en-US" w:eastAsia="zh-CN" w:bidi="ar-SA"/>
        </w:rPr>
        <w:t>正常享受职工医保退休待遇人员参保。正常享受职工医保退休待遇人员缴费，以上年度全市在职职工基本医疗保险实际平均缴费基数为基数，按每人每月0.2%的费率筹集。其中医保基金承担0.1%，按月从医保基金中划拨；个人承担0.1%，享受以个人身份参加职工医保一档退休待遇的，在按年缴纳职工大额医保费时同步一次性缴纳；其他人员按月从其职工基本医疗保险个人账户中代扣代缴。</w:t>
      </w:r>
    </w:p>
    <w:p>
      <w:pPr>
        <w:widowControl w:val="0"/>
        <w:kinsoku/>
        <w:autoSpaceDE/>
        <w:autoSpaceDN/>
        <w:adjustRightInd/>
        <w:spacing w:after="0" w:line="600" w:lineRule="exact"/>
        <w:ind w:firstLine="640" w:firstLineChars="200"/>
        <w:jc w:val="both"/>
        <w:rPr>
          <w:rFonts w:hint="eastAsia" w:ascii="Times New Roman" w:hAnsi="Times New Roman" w:eastAsia="方正仿宋_GBK" w:cs="Times New Roman"/>
          <w:snapToGrid w:val="0"/>
          <w:kern w:val="0"/>
          <w:sz w:val="32"/>
          <w:szCs w:val="32"/>
          <w:lang w:val="en-US" w:eastAsia="zh-CN" w:bidi="ar-SA"/>
        </w:rPr>
      </w:pPr>
      <w:r>
        <w:rPr>
          <w:rFonts w:hint="eastAsia" w:ascii="Times New Roman" w:hAnsi="Times New Roman" w:eastAsia="方正仿宋_GBK" w:cs="Times New Roman"/>
          <w:snapToGrid w:val="0"/>
          <w:kern w:val="0"/>
          <w:sz w:val="32"/>
          <w:szCs w:val="32"/>
          <w:lang w:val="en-US" w:eastAsia="zh-CN" w:bidi="ar-SA"/>
        </w:rPr>
        <w:t>个人身份参保人员和正常享受职工医保退休待遇人员每年具体筹资缴费标准由市医保局测算后及时公布。2022年缴费标准为122元/年·人。</w:t>
      </w:r>
    </w:p>
    <w:p>
      <w:pPr>
        <w:widowControl w:val="0"/>
        <w:kinsoku/>
        <w:autoSpaceDE/>
        <w:autoSpaceDN/>
        <w:adjustRightInd/>
        <w:spacing w:after="0" w:line="600" w:lineRule="exact"/>
        <w:ind w:firstLine="640" w:firstLineChars="200"/>
        <w:jc w:val="both"/>
        <w:rPr>
          <w:rFonts w:hint="eastAsia" w:ascii="方正楷体_GBK" w:hAnsi="方正楷体_GBK" w:eastAsia="方正楷体_GBK" w:cs="方正楷体_GBK"/>
          <w:snapToGrid w:val="0"/>
          <w:kern w:val="0"/>
          <w:sz w:val="32"/>
          <w:szCs w:val="32"/>
          <w:lang w:val="en-US" w:eastAsia="zh-CN" w:bidi="ar-SA"/>
        </w:rPr>
      </w:pPr>
      <w:r>
        <w:rPr>
          <w:rFonts w:hint="eastAsia" w:ascii="方正楷体_GBK" w:hAnsi="方正楷体_GBK" w:eastAsia="方正楷体_GBK" w:cs="方正楷体_GBK"/>
          <w:snapToGrid w:val="0"/>
          <w:kern w:val="0"/>
          <w:sz w:val="32"/>
          <w:szCs w:val="32"/>
          <w:lang w:val="en-US" w:eastAsia="zh-CN" w:bidi="ar-SA"/>
        </w:rPr>
        <w:t>二</w:t>
      </w:r>
      <w:r>
        <w:rPr>
          <w:rFonts w:hint="default" w:ascii="方正楷体_GBK" w:hAnsi="方正楷体_GBK" w:eastAsia="方正楷体_GBK" w:cs="方正楷体_GBK"/>
          <w:snapToGrid w:val="0"/>
          <w:kern w:val="0"/>
          <w:sz w:val="32"/>
          <w:szCs w:val="32"/>
          <w:lang w:eastAsia="zh-CN" w:bidi="ar-SA"/>
        </w:rPr>
        <w:t>、</w:t>
      </w:r>
      <w:r>
        <w:rPr>
          <w:rFonts w:hint="eastAsia" w:ascii="方正楷体_GBK" w:hAnsi="方正楷体_GBK" w:eastAsia="方正楷体_GBK" w:cs="方正楷体_GBK"/>
          <w:snapToGrid w:val="0"/>
          <w:kern w:val="0"/>
          <w:sz w:val="32"/>
          <w:szCs w:val="32"/>
          <w:lang w:val="en-US" w:eastAsia="zh-CN" w:bidi="ar-SA"/>
        </w:rPr>
        <w:t>待遇享受</w:t>
      </w:r>
    </w:p>
    <w:p>
      <w:pPr>
        <w:widowControl w:val="0"/>
        <w:kinsoku/>
        <w:autoSpaceDE/>
        <w:autoSpaceDN/>
        <w:adjustRightInd/>
        <w:spacing w:after="0" w:line="600" w:lineRule="exact"/>
        <w:ind w:firstLine="640" w:firstLineChars="200"/>
        <w:jc w:val="both"/>
        <w:rPr>
          <w:rFonts w:hint="eastAsia" w:ascii="Times New Roman" w:hAnsi="Times New Roman" w:eastAsia="方正仿宋_GBK" w:cs="Times New Roman"/>
          <w:snapToGrid w:val="0"/>
          <w:kern w:val="0"/>
          <w:sz w:val="32"/>
          <w:szCs w:val="32"/>
          <w:lang w:val="en-US" w:eastAsia="zh-CN" w:bidi="ar-SA"/>
        </w:rPr>
      </w:pPr>
      <w:bookmarkStart w:id="0" w:name="_Toc5589_WPSOffice_Level1"/>
      <w:r>
        <w:rPr>
          <w:rFonts w:hint="default" w:ascii="Times New Roman" w:hAnsi="Times New Roman" w:eastAsia="方正仿宋_GBK" w:cs="Times New Roman"/>
          <w:snapToGrid w:val="0"/>
          <w:kern w:val="0"/>
          <w:sz w:val="32"/>
          <w:szCs w:val="32"/>
          <w:lang w:eastAsia="zh-CN" w:bidi="ar-SA"/>
        </w:rPr>
        <w:t>（一）</w:t>
      </w:r>
      <w:r>
        <w:rPr>
          <w:rFonts w:hint="eastAsia" w:ascii="Times New Roman" w:hAnsi="Times New Roman" w:eastAsia="方正仿宋_GBK" w:cs="Times New Roman"/>
          <w:snapToGrid w:val="0"/>
          <w:kern w:val="0"/>
          <w:sz w:val="32"/>
          <w:szCs w:val="32"/>
          <w:lang w:val="en-US" w:eastAsia="zh-CN" w:bidi="ar-SA"/>
        </w:rPr>
        <w:t>享受条件。长期护理保险参保人员达到失能评估标准且 职工医保累计缴费满15年（含视同缴费年限）的，从评估结论下达的次月起开始享受待遇；长期护理保险参保人员达到失能评估标准但职工医保累计缴费未满15年（含视同缴费年限）的，需按不足年限补缴长期护理保险费，从补足长期护理保险费（按评估结论作出时当年以个人身份参加职工医保参保人员的长期护理保险缴费标准乘以不足年限的方式一次性补足）的次月起开始享受待遇。</w:t>
      </w:r>
    </w:p>
    <w:p>
      <w:pPr>
        <w:widowControl w:val="0"/>
        <w:kinsoku/>
        <w:autoSpaceDE/>
        <w:autoSpaceDN/>
        <w:adjustRightInd/>
        <w:spacing w:after="0" w:line="600" w:lineRule="exact"/>
        <w:ind w:firstLine="640" w:firstLineChars="200"/>
        <w:jc w:val="both"/>
        <w:rPr>
          <w:rFonts w:hint="eastAsia" w:ascii="Times New Roman" w:hAnsi="Times New Roman" w:eastAsia="方正仿宋_GBK" w:cs="Times New Roman"/>
          <w:snapToGrid w:val="0"/>
          <w:kern w:val="0"/>
          <w:sz w:val="32"/>
          <w:szCs w:val="32"/>
          <w:lang w:val="en-US" w:eastAsia="zh-CN" w:bidi="ar-SA"/>
        </w:rPr>
      </w:pPr>
      <w:r>
        <w:rPr>
          <w:rFonts w:hint="eastAsia" w:ascii="Times New Roman" w:hAnsi="Times New Roman" w:eastAsia="方正仿宋_GBK" w:cs="Times New Roman"/>
          <w:snapToGrid w:val="0"/>
          <w:kern w:val="0"/>
          <w:sz w:val="32"/>
          <w:szCs w:val="32"/>
          <w:lang w:val="en-US" w:eastAsia="zh-CN" w:bidi="ar-SA"/>
        </w:rPr>
        <w:t>未按规定连续缴纳长期护理保险费（含因医保缴费中断无法划转医保基金部分和个人应缴纳部分）的，从中断缴费的次月起停止享受待遇。中断缴费3个月内补齐欠费的，欠费期间待遇按规定标准补付；中断缴费超过3个月的，从新开始缴费的次月起享受待遇，欠费期间待遇不予支付。</w:t>
      </w:r>
    </w:p>
    <w:p>
      <w:pPr>
        <w:widowControl w:val="0"/>
        <w:kinsoku/>
        <w:autoSpaceDE/>
        <w:autoSpaceDN/>
        <w:adjustRightInd/>
        <w:spacing w:after="0" w:line="600" w:lineRule="exact"/>
        <w:ind w:firstLine="640" w:firstLineChars="200"/>
        <w:jc w:val="both"/>
        <w:rPr>
          <w:rFonts w:hint="eastAsia" w:ascii="Times New Roman" w:hAnsi="Times New Roman" w:eastAsia="方正仿宋_GBK" w:cs="Times New Roman"/>
          <w:snapToGrid w:val="0"/>
          <w:kern w:val="0"/>
          <w:sz w:val="32"/>
          <w:szCs w:val="32"/>
          <w:lang w:val="en-US" w:eastAsia="zh-CN" w:bidi="ar-SA"/>
        </w:rPr>
      </w:pPr>
      <w:r>
        <w:rPr>
          <w:rFonts w:hint="eastAsia" w:ascii="Times New Roman" w:hAnsi="Times New Roman" w:eastAsia="方正仿宋_GBK" w:cs="Times New Roman"/>
          <w:snapToGrid w:val="0"/>
          <w:kern w:val="0"/>
          <w:sz w:val="32"/>
          <w:szCs w:val="32"/>
          <w:lang w:val="en-US" w:eastAsia="zh-CN" w:bidi="ar-SA"/>
        </w:rPr>
        <w:t>经治疗康复后不再达到失能评估标准的，从次月起停止享受待遇；参保人员死亡的，从死亡次日起停止享受待遇。</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eastAsia="zh-CN" w:bidi="ar-SA"/>
        </w:rPr>
        <w:t>（二）</w:t>
      </w:r>
      <w:r>
        <w:rPr>
          <w:rFonts w:hint="eastAsia" w:ascii="Times New Roman" w:hAnsi="Times New Roman" w:eastAsia="方正仿宋_GBK" w:cs="Times New Roman"/>
          <w:snapToGrid w:val="0"/>
          <w:kern w:val="0"/>
          <w:sz w:val="32"/>
          <w:szCs w:val="32"/>
          <w:lang w:val="en-US" w:eastAsia="zh-CN" w:bidi="ar-SA"/>
        </w:rPr>
        <w:t>享受方式。长期护理保险参保人员经评估符合待遇享受条件的，可根据其失能状况、护理需求和家庭情况，自愿选择以下服务方式：</w:t>
      </w:r>
    </w:p>
    <w:p>
      <w:pPr>
        <w:widowControl w:val="0"/>
        <w:numPr>
          <w:ilvl w:val="0"/>
          <w:numId w:val="0"/>
        </w:numPr>
        <w:kinsoku/>
        <w:autoSpaceDE/>
        <w:autoSpaceDN/>
        <w:adjustRightInd/>
        <w:spacing w:after="0" w:line="600" w:lineRule="exact"/>
        <w:ind w:firstLine="640" w:firstLineChars="200"/>
        <w:jc w:val="both"/>
        <w:rPr>
          <w:rFonts w:hint="eastAsia" w:ascii="Times New Roman" w:hAnsi="Times New Roman" w:eastAsia="方正仿宋_GBK" w:cs="Times New Roman"/>
          <w:snapToGrid w:val="0"/>
          <w:kern w:val="0"/>
          <w:sz w:val="32"/>
          <w:szCs w:val="32"/>
          <w:lang w:val="en-US" w:eastAsia="zh-CN" w:bidi="ar-SA"/>
        </w:rPr>
      </w:pPr>
      <w:r>
        <w:rPr>
          <w:rFonts w:hint="eastAsia" w:ascii="Times New Roman" w:hAnsi="Times New Roman" w:eastAsia="方正仿宋_GBK" w:cs="Times New Roman"/>
          <w:snapToGrid w:val="0"/>
          <w:kern w:val="0"/>
          <w:sz w:val="32"/>
          <w:szCs w:val="32"/>
          <w:lang w:val="en-US" w:eastAsia="zh-CN" w:bidi="ar-SA"/>
        </w:rPr>
        <w:t>1</w:t>
      </w:r>
      <w:r>
        <w:rPr>
          <w:rFonts w:hint="default" w:ascii="Times New Roman" w:hAnsi="Times New Roman" w:eastAsia="方正仿宋_GBK" w:cs="Times New Roman"/>
          <w:snapToGrid w:val="0"/>
          <w:kern w:val="0"/>
          <w:sz w:val="32"/>
          <w:szCs w:val="32"/>
          <w:lang w:eastAsia="zh-CN" w:bidi="ar-SA"/>
        </w:rPr>
        <w:t>.</w:t>
      </w:r>
      <w:r>
        <w:rPr>
          <w:rFonts w:hint="eastAsia" w:ascii="Times New Roman" w:hAnsi="Times New Roman" w:eastAsia="方正仿宋_GBK" w:cs="Times New Roman"/>
          <w:snapToGrid w:val="0"/>
          <w:kern w:val="0"/>
          <w:sz w:val="32"/>
          <w:szCs w:val="32"/>
          <w:lang w:val="en-US" w:eastAsia="zh-CN" w:bidi="ar-SA"/>
        </w:rPr>
        <w:t>居家个人护理。长期护理保险待遇享受人员选择居家，由本人或监护人指定的个体服务人员，在委托承办机构的管理和指导下，提供符合政策规定的护理服务。</w:t>
      </w:r>
    </w:p>
    <w:p>
      <w:pPr>
        <w:widowControl w:val="0"/>
        <w:kinsoku/>
        <w:autoSpaceDE/>
        <w:autoSpaceDN/>
        <w:adjustRightInd/>
        <w:spacing w:after="0" w:line="600" w:lineRule="exact"/>
        <w:ind w:firstLine="640" w:firstLineChars="200"/>
        <w:jc w:val="both"/>
        <w:rPr>
          <w:rFonts w:hint="eastAsia" w:ascii="Times New Roman" w:hAnsi="Times New Roman" w:eastAsia="方正仿宋_GBK" w:cs="Times New Roman"/>
          <w:snapToGrid w:val="0"/>
          <w:kern w:val="0"/>
          <w:sz w:val="32"/>
          <w:szCs w:val="32"/>
          <w:lang w:val="en-US" w:eastAsia="zh-CN" w:bidi="ar-SA"/>
        </w:rPr>
      </w:pPr>
      <w:r>
        <w:rPr>
          <w:rFonts w:hint="eastAsia" w:ascii="Times New Roman" w:hAnsi="Times New Roman" w:eastAsia="方正仿宋_GBK" w:cs="Times New Roman"/>
          <w:snapToGrid w:val="0"/>
          <w:kern w:val="0"/>
          <w:sz w:val="32"/>
          <w:szCs w:val="32"/>
          <w:lang w:val="en-US" w:eastAsia="zh-CN" w:bidi="ar-SA"/>
        </w:rPr>
        <w:t>2</w:t>
      </w:r>
      <w:r>
        <w:rPr>
          <w:rFonts w:hint="default" w:ascii="Times New Roman" w:hAnsi="Times New Roman" w:eastAsia="方正仿宋_GBK" w:cs="Times New Roman"/>
          <w:snapToGrid w:val="0"/>
          <w:kern w:val="0"/>
          <w:sz w:val="32"/>
          <w:szCs w:val="32"/>
          <w:lang w:eastAsia="zh-CN" w:bidi="ar-SA"/>
        </w:rPr>
        <w:t>.</w:t>
      </w:r>
      <w:r>
        <w:rPr>
          <w:rFonts w:hint="eastAsia" w:ascii="Times New Roman" w:hAnsi="Times New Roman" w:eastAsia="方正仿宋_GBK" w:cs="Times New Roman"/>
          <w:snapToGrid w:val="0"/>
          <w:kern w:val="0"/>
          <w:sz w:val="32"/>
          <w:szCs w:val="32"/>
          <w:lang w:val="en-US" w:eastAsia="zh-CN" w:bidi="ar-SA"/>
        </w:rPr>
        <w:t>居家上门护理。长期护理保险待遇享受人员选择居家，由本人或监护人指定的长护护理机构上门提供符合政策规定的护理服务。长护护理机构指具备相应护理资质（含民政部门注册登记的社区护理协议机构）并与我区医保经办机构签订了定点协议，为长期护理保险待遇享受人员提供护理服务的机构（长护护理机构具体管理办法和服务协议文本由市医保局另行制定）。</w:t>
      </w:r>
    </w:p>
    <w:p>
      <w:pPr>
        <w:widowControl w:val="0"/>
        <w:kinsoku/>
        <w:autoSpaceDE/>
        <w:autoSpaceDN/>
        <w:adjustRightInd/>
        <w:spacing w:after="0" w:line="600" w:lineRule="exact"/>
        <w:ind w:firstLine="640" w:firstLineChars="200"/>
        <w:jc w:val="both"/>
        <w:rPr>
          <w:rFonts w:hint="eastAsia" w:ascii="Times New Roman" w:hAnsi="Times New Roman" w:eastAsia="方正仿宋_GBK" w:cs="Times New Roman"/>
          <w:snapToGrid w:val="0"/>
          <w:kern w:val="0"/>
          <w:sz w:val="32"/>
          <w:szCs w:val="32"/>
          <w:lang w:val="en-US" w:eastAsia="zh-CN" w:bidi="ar-SA"/>
        </w:rPr>
      </w:pPr>
      <w:r>
        <w:rPr>
          <w:rFonts w:hint="eastAsia" w:ascii="Times New Roman" w:hAnsi="Times New Roman" w:eastAsia="方正仿宋_GBK" w:cs="Times New Roman"/>
          <w:snapToGrid w:val="0"/>
          <w:kern w:val="0"/>
          <w:sz w:val="32"/>
          <w:szCs w:val="32"/>
          <w:lang w:val="en-US" w:eastAsia="zh-CN" w:bidi="ar-SA"/>
        </w:rPr>
        <w:t>3</w:t>
      </w:r>
      <w:r>
        <w:rPr>
          <w:rFonts w:hint="default" w:ascii="Times New Roman" w:hAnsi="Times New Roman" w:eastAsia="方正仿宋_GBK" w:cs="Times New Roman"/>
          <w:snapToGrid w:val="0"/>
          <w:kern w:val="0"/>
          <w:sz w:val="32"/>
          <w:szCs w:val="32"/>
          <w:lang w:eastAsia="zh-CN" w:bidi="ar-SA"/>
        </w:rPr>
        <w:t>.</w:t>
      </w:r>
      <w:r>
        <w:rPr>
          <w:rFonts w:hint="eastAsia" w:ascii="Times New Roman" w:hAnsi="Times New Roman" w:eastAsia="方正仿宋_GBK" w:cs="Times New Roman"/>
          <w:snapToGrid w:val="0"/>
          <w:kern w:val="0"/>
          <w:sz w:val="32"/>
          <w:szCs w:val="32"/>
          <w:lang w:val="en-US" w:eastAsia="zh-CN" w:bidi="ar-SA"/>
        </w:rPr>
        <w:t>机构集中护理。长期护理保险待遇享受人员选择入住由本人或监护人指定的长护护理机构，由长护护理机构集中提供符合政策规定的护理服务。</w:t>
      </w:r>
    </w:p>
    <w:p>
      <w:pPr>
        <w:widowControl w:val="0"/>
        <w:kinsoku/>
        <w:autoSpaceDE/>
        <w:autoSpaceDN/>
        <w:adjustRightInd/>
        <w:spacing w:after="0" w:line="600" w:lineRule="exact"/>
        <w:ind w:firstLine="640" w:firstLineChars="200"/>
        <w:jc w:val="both"/>
        <w:rPr>
          <w:rFonts w:hint="eastAsia"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eastAsia="zh-CN" w:bidi="ar-SA"/>
        </w:rPr>
        <w:t>（三）</w:t>
      </w:r>
      <w:r>
        <w:rPr>
          <w:rFonts w:hint="eastAsia" w:ascii="Times New Roman" w:hAnsi="Times New Roman" w:eastAsia="方正仿宋_GBK" w:cs="Times New Roman"/>
          <w:snapToGrid w:val="0"/>
          <w:kern w:val="0"/>
          <w:sz w:val="32"/>
          <w:szCs w:val="32"/>
          <w:lang w:val="en-US" w:eastAsia="zh-CN" w:bidi="ar-SA"/>
        </w:rPr>
        <w:t>享受标准。居家个人护理的长期护理保险护理费用标准为40元/日·人；机构集中护理、居家上门护理的长期护理保险护理费用标准为50元/日·人（护理服务项目和标准具体办法由市医保局另行制定）。</w:t>
      </w:r>
    </w:p>
    <w:p>
      <w:pPr>
        <w:pStyle w:val="2"/>
        <w:rPr>
          <w:rFonts w:hint="eastAsia"/>
          <w:lang w:val="en-US" w:eastAsia="zh-CN"/>
        </w:rPr>
      </w:pPr>
    </w:p>
    <w:bookmarkEnd w:id="0"/>
    <w:p>
      <w:pPr>
        <w:widowControl w:val="0"/>
        <w:kinsoku/>
        <w:autoSpaceDE/>
        <w:autoSpaceDN/>
        <w:adjustRightInd/>
        <w:spacing w:after="0" w:line="600" w:lineRule="exact"/>
        <w:ind w:firstLine="640" w:firstLineChars="200"/>
        <w:jc w:val="both"/>
        <w:rPr>
          <w:rFonts w:hint="eastAsia" w:ascii="方正楷体_GBK" w:hAnsi="方正楷体_GBK" w:eastAsia="方正楷体_GBK" w:cs="方正楷体_GBK"/>
          <w:snapToGrid w:val="0"/>
          <w:kern w:val="0"/>
          <w:sz w:val="32"/>
          <w:szCs w:val="32"/>
          <w:lang w:val="en-US" w:eastAsia="zh-CN" w:bidi="ar-SA"/>
        </w:rPr>
      </w:pPr>
      <w:r>
        <w:rPr>
          <w:rFonts w:hint="eastAsia" w:ascii="方正楷体_GBK" w:hAnsi="方正楷体_GBK" w:eastAsia="方正楷体_GBK" w:cs="方正楷体_GBK"/>
          <w:snapToGrid w:val="0"/>
          <w:kern w:val="0"/>
          <w:sz w:val="32"/>
          <w:szCs w:val="32"/>
          <w:lang w:eastAsia="zh-CN" w:bidi="ar-SA"/>
        </w:rPr>
        <w:t>三</w:t>
      </w:r>
      <w:r>
        <w:rPr>
          <w:rFonts w:hint="default" w:ascii="方正楷体_GBK" w:hAnsi="方正楷体_GBK" w:eastAsia="方正楷体_GBK" w:cs="方正楷体_GBK"/>
          <w:snapToGrid w:val="0"/>
          <w:kern w:val="0"/>
          <w:sz w:val="32"/>
          <w:szCs w:val="32"/>
          <w:lang w:eastAsia="zh-CN" w:bidi="ar-SA"/>
        </w:rPr>
        <w:t>、</w:t>
      </w:r>
      <w:r>
        <w:rPr>
          <w:rFonts w:hint="eastAsia" w:ascii="方正楷体_GBK" w:hAnsi="方正楷体_GBK" w:eastAsia="方正楷体_GBK" w:cs="方正楷体_GBK"/>
          <w:snapToGrid w:val="0"/>
          <w:kern w:val="0"/>
          <w:sz w:val="32"/>
          <w:szCs w:val="32"/>
          <w:lang w:val="en-US" w:eastAsia="zh-CN" w:bidi="ar-SA"/>
        </w:rPr>
        <w:t>失能评估</w:t>
      </w:r>
    </w:p>
    <w:p>
      <w:pPr>
        <w:widowControl w:val="0"/>
        <w:numPr>
          <w:ilvl w:val="0"/>
          <w:numId w:val="0"/>
        </w:numPr>
        <w:kinsoku/>
        <w:autoSpaceDE/>
        <w:autoSpaceDN/>
        <w:adjustRightInd/>
        <w:spacing w:after="0" w:line="600" w:lineRule="exact"/>
        <w:ind w:left="0" w:leftChars="0" w:firstLine="0" w:firstLineChars="0"/>
        <w:jc w:val="both"/>
        <w:rPr>
          <w:rFonts w:hint="eastAsia"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b w:val="0"/>
          <w:bCs w:val="0"/>
          <w:snapToGrid w:val="0"/>
          <w:kern w:val="0"/>
          <w:sz w:val="32"/>
          <w:szCs w:val="32"/>
          <w:lang w:eastAsia="zh-CN" w:bidi="ar-SA"/>
        </w:rPr>
        <w:t xml:space="preserve">   （一）</w:t>
      </w:r>
      <w:r>
        <w:rPr>
          <w:rFonts w:hint="default" w:ascii="Times New Roman" w:hAnsi="Times New Roman" w:eastAsia="方正仿宋_GBK" w:cs="Times New Roman"/>
          <w:b w:val="0"/>
          <w:bCs w:val="0"/>
          <w:snapToGrid w:val="0"/>
          <w:kern w:val="0"/>
          <w:sz w:val="32"/>
          <w:szCs w:val="32"/>
          <w:lang w:val="en-US" w:eastAsia="zh-CN" w:bidi="ar-SA"/>
        </w:rPr>
        <w:t>评估申请</w:t>
      </w:r>
      <w:r>
        <w:rPr>
          <w:rFonts w:hint="default" w:ascii="Times New Roman" w:hAnsi="Times New Roman" w:eastAsia="方正楷体_GBK" w:cs="Times New Roman"/>
          <w:b w:val="0"/>
          <w:bCs w:val="0"/>
          <w:snapToGrid w:val="0"/>
          <w:kern w:val="0"/>
          <w:sz w:val="32"/>
          <w:szCs w:val="32"/>
          <w:lang w:val="en-US" w:eastAsia="zh-CN" w:bidi="ar-SA"/>
        </w:rPr>
        <w:t>。</w:t>
      </w:r>
      <w:r>
        <w:rPr>
          <w:rFonts w:hint="eastAsia" w:ascii="Times New Roman" w:hAnsi="Times New Roman" w:eastAsia="方正仿宋_GBK" w:cs="Times New Roman"/>
          <w:snapToGrid w:val="0"/>
          <w:kern w:val="0"/>
          <w:sz w:val="32"/>
          <w:szCs w:val="32"/>
          <w:lang w:val="en-US" w:eastAsia="zh-CN" w:bidi="ar-SA"/>
        </w:rPr>
        <w:t>长期护理保险参保人员向委托承办机构申请失能评估。申请时参保人应有含申请当月前连续参加我市职工医保24个月（含）以上的参保缴费记录（含视同缴费年限），并经医疗机构或康复机构规范诊疗、失能状态持续6个月（含）以上，且自行评估达到我市失能评估管理办法要求的等级。连续二次申请需间隔6个月（含）以上。</w:t>
      </w:r>
    </w:p>
    <w:p>
      <w:pPr>
        <w:widowControl w:val="0"/>
        <w:numPr>
          <w:ilvl w:val="0"/>
          <w:numId w:val="0"/>
        </w:numPr>
        <w:kinsoku/>
        <w:autoSpaceDE/>
        <w:autoSpaceDN/>
        <w:adjustRightInd/>
        <w:spacing w:after="0" w:line="600" w:lineRule="exact"/>
        <w:ind w:left="0" w:leftChars="0" w:firstLine="640" w:firstLineChars="200"/>
        <w:jc w:val="both"/>
        <w:rPr>
          <w:rFonts w:hint="eastAsia"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eastAsia="zh-CN" w:bidi="ar-SA"/>
        </w:rPr>
        <w:t>（二）</w:t>
      </w:r>
      <w:r>
        <w:rPr>
          <w:rFonts w:hint="default" w:ascii="Times New Roman" w:hAnsi="Times New Roman" w:eastAsia="方正仿宋_GBK" w:cs="Times New Roman"/>
          <w:snapToGrid w:val="0"/>
          <w:kern w:val="0"/>
          <w:sz w:val="32"/>
          <w:szCs w:val="32"/>
          <w:lang w:val="en-US" w:eastAsia="zh-CN" w:bidi="ar-SA"/>
        </w:rPr>
        <w:t>评估受理。</w:t>
      </w:r>
      <w:r>
        <w:rPr>
          <w:rFonts w:hint="eastAsia" w:ascii="Times New Roman" w:hAnsi="Times New Roman" w:eastAsia="方正仿宋_GBK" w:cs="Times New Roman"/>
          <w:snapToGrid w:val="0"/>
          <w:kern w:val="0"/>
          <w:sz w:val="32"/>
          <w:szCs w:val="32"/>
          <w:lang w:val="en-US" w:eastAsia="zh-CN" w:bidi="ar-SA"/>
        </w:rPr>
        <w:t>委托承办机构收到长期护理保险参保人失能评估申请后，应及时将受理情况反馈参保人。</w:t>
      </w:r>
    </w:p>
    <w:p>
      <w:pPr>
        <w:widowControl w:val="0"/>
        <w:numPr>
          <w:ilvl w:val="0"/>
          <w:numId w:val="0"/>
        </w:numPr>
        <w:kinsoku/>
        <w:autoSpaceDE/>
        <w:autoSpaceDN/>
        <w:adjustRightInd/>
        <w:spacing w:after="0" w:line="600" w:lineRule="exact"/>
        <w:ind w:left="0" w:leftChars="0" w:firstLine="640" w:firstLineChars="200"/>
        <w:jc w:val="both"/>
        <w:rPr>
          <w:rFonts w:hint="eastAsia"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eastAsia="zh-CN" w:bidi="ar-SA"/>
        </w:rPr>
        <w:t>（三）</w:t>
      </w:r>
      <w:r>
        <w:rPr>
          <w:rFonts w:hint="eastAsia" w:ascii="Times New Roman" w:hAnsi="Times New Roman" w:eastAsia="方正仿宋_GBK" w:cs="Times New Roman"/>
          <w:snapToGrid w:val="0"/>
          <w:kern w:val="0"/>
          <w:sz w:val="32"/>
          <w:szCs w:val="32"/>
          <w:lang w:val="en-US" w:eastAsia="zh-CN" w:bidi="ar-SA"/>
        </w:rPr>
        <w:t>评估方式。申请受理后，由参保人指定一家符合条件的失能评估机构对其失能状况进行评估。</w:t>
      </w:r>
    </w:p>
    <w:p>
      <w:pPr>
        <w:widowControl w:val="0"/>
        <w:numPr>
          <w:ilvl w:val="0"/>
          <w:numId w:val="0"/>
        </w:numPr>
        <w:kinsoku/>
        <w:autoSpaceDE/>
        <w:autoSpaceDN/>
        <w:adjustRightInd/>
        <w:spacing w:after="0" w:line="600" w:lineRule="exact"/>
        <w:ind w:firstLine="640" w:firstLineChars="200"/>
        <w:jc w:val="both"/>
        <w:rPr>
          <w:rFonts w:hint="eastAsia" w:ascii="Times New Roman" w:hAnsi="Times New Roman" w:eastAsia="方正仿宋_GBK" w:cs="Times New Roman"/>
          <w:snapToGrid w:val="0"/>
          <w:kern w:val="0"/>
          <w:sz w:val="32"/>
          <w:szCs w:val="32"/>
          <w:lang w:val="en-US" w:eastAsia="zh-CN" w:bidi="ar-SA"/>
        </w:rPr>
      </w:pPr>
      <w:r>
        <w:rPr>
          <w:rFonts w:hint="eastAsia" w:ascii="Times New Roman" w:hAnsi="Times New Roman" w:eastAsia="方正仿宋_GBK" w:cs="Times New Roman"/>
          <w:snapToGrid w:val="0"/>
          <w:kern w:val="0"/>
          <w:sz w:val="32"/>
          <w:szCs w:val="32"/>
          <w:lang w:val="en-US" w:eastAsia="zh-CN" w:bidi="ar-SA"/>
        </w:rPr>
        <w:t>申请人对评估结论有异议的，可申请再次评估，再次评估结论为最终结论。</w:t>
      </w:r>
    </w:p>
    <w:p>
      <w:pPr>
        <w:widowControl w:val="0"/>
        <w:numPr>
          <w:ilvl w:val="0"/>
          <w:numId w:val="0"/>
        </w:numPr>
        <w:kinsoku/>
        <w:autoSpaceDE/>
        <w:autoSpaceDN/>
        <w:adjustRightInd/>
        <w:spacing w:after="0" w:line="600" w:lineRule="exact"/>
        <w:ind w:firstLine="640" w:firstLineChars="200"/>
        <w:jc w:val="both"/>
        <w:rPr>
          <w:rFonts w:hint="eastAsia" w:ascii="Times New Roman" w:hAnsi="Times New Roman" w:eastAsia="方正仿宋_GBK" w:cs="Times New Roman"/>
          <w:snapToGrid w:val="0"/>
          <w:kern w:val="0"/>
          <w:sz w:val="32"/>
          <w:szCs w:val="32"/>
          <w:lang w:val="en-US" w:eastAsia="zh-CN" w:bidi="ar-SA"/>
        </w:rPr>
      </w:pPr>
      <w:r>
        <w:rPr>
          <w:rFonts w:hint="eastAsia" w:ascii="Times New Roman" w:hAnsi="Times New Roman" w:eastAsia="方正仿宋_GBK" w:cs="Times New Roman"/>
          <w:snapToGrid w:val="0"/>
          <w:kern w:val="0"/>
          <w:sz w:val="32"/>
          <w:szCs w:val="32"/>
          <w:lang w:val="en-US" w:eastAsia="zh-CN" w:bidi="ar-SA"/>
        </w:rPr>
        <w:t>（四）评估费用。失能评估费按照实际评估人数300元/人·次标准确定，试点阶段暂从长期护理保险基金中列支，参保人不缴纳失能评估费。失能评估费用由委托承办机构与失能评估机构按月结算（失能评估具体办法由市医保局另行制定）。</w:t>
      </w:r>
    </w:p>
    <w:p>
      <w:pPr>
        <w:widowControl w:val="0"/>
        <w:numPr>
          <w:ilvl w:val="0"/>
          <w:numId w:val="0"/>
        </w:numPr>
        <w:kinsoku/>
        <w:autoSpaceDE/>
        <w:autoSpaceDN/>
        <w:adjustRightInd/>
        <w:spacing w:after="0" w:line="600" w:lineRule="exact"/>
        <w:ind w:firstLine="640" w:firstLineChars="200"/>
        <w:jc w:val="both"/>
        <w:rPr>
          <w:rFonts w:hint="eastAsia" w:ascii="方正楷体_GBK" w:hAnsi="方正楷体_GBK" w:eastAsia="方正楷体_GBK" w:cs="方正楷体_GBK"/>
          <w:snapToGrid w:val="0"/>
          <w:kern w:val="0"/>
          <w:sz w:val="32"/>
          <w:szCs w:val="32"/>
          <w:lang w:val="en-US" w:eastAsia="zh-CN" w:bidi="ar-SA"/>
        </w:rPr>
      </w:pPr>
      <w:r>
        <w:rPr>
          <w:rFonts w:hint="eastAsia" w:ascii="方正楷体_GBK" w:hAnsi="方正楷体_GBK" w:eastAsia="方正楷体_GBK" w:cs="方正楷体_GBK"/>
          <w:snapToGrid w:val="0"/>
          <w:kern w:val="0"/>
          <w:sz w:val="32"/>
          <w:szCs w:val="32"/>
          <w:lang w:eastAsia="zh-CN" w:bidi="ar-SA"/>
        </w:rPr>
        <w:t>四</w:t>
      </w:r>
      <w:r>
        <w:rPr>
          <w:rFonts w:hint="default" w:ascii="方正楷体_GBK" w:hAnsi="方正楷体_GBK" w:eastAsia="方正楷体_GBK" w:cs="方正楷体_GBK"/>
          <w:snapToGrid w:val="0"/>
          <w:kern w:val="0"/>
          <w:sz w:val="32"/>
          <w:szCs w:val="32"/>
          <w:lang w:eastAsia="zh-CN" w:bidi="ar-SA"/>
        </w:rPr>
        <w:t>、</w:t>
      </w:r>
      <w:r>
        <w:rPr>
          <w:rFonts w:hint="eastAsia" w:ascii="方正楷体_GBK" w:hAnsi="方正楷体_GBK" w:eastAsia="方正楷体_GBK" w:cs="方正楷体_GBK"/>
          <w:snapToGrid w:val="0"/>
          <w:kern w:val="0"/>
          <w:sz w:val="32"/>
          <w:szCs w:val="32"/>
          <w:lang w:val="en-US" w:eastAsia="zh-CN" w:bidi="ar-SA"/>
        </w:rPr>
        <w:t>待遇审核</w:t>
      </w:r>
    </w:p>
    <w:p>
      <w:pPr>
        <w:widowControl w:val="0"/>
        <w:kinsoku/>
        <w:autoSpaceDE/>
        <w:autoSpaceDN/>
        <w:adjustRightInd/>
        <w:spacing w:after="0" w:line="600" w:lineRule="exact"/>
        <w:ind w:firstLine="640" w:firstLineChars="200"/>
        <w:jc w:val="both"/>
        <w:rPr>
          <w:rFonts w:hint="eastAsia" w:ascii="Times New Roman" w:hAnsi="Times New Roman" w:eastAsia="方正仿宋_GBK" w:cs="Times New Roman"/>
          <w:snapToGrid w:val="0"/>
          <w:kern w:val="0"/>
          <w:sz w:val="32"/>
          <w:szCs w:val="32"/>
          <w:lang w:val="en-US" w:eastAsia="zh-CN" w:bidi="ar-SA"/>
        </w:rPr>
      </w:pPr>
      <w:r>
        <w:rPr>
          <w:rFonts w:hint="eastAsia" w:ascii="Times New Roman" w:hAnsi="Times New Roman" w:eastAsia="方正仿宋_GBK" w:cs="Times New Roman"/>
          <w:snapToGrid w:val="0"/>
          <w:kern w:val="0"/>
          <w:sz w:val="32"/>
          <w:szCs w:val="32"/>
          <w:lang w:val="en-US" w:eastAsia="zh-CN" w:bidi="ar-SA"/>
        </w:rPr>
        <w:t>参保人员经评估达到失能评估标准的，委托承办机构应及时查询其是否达到待遇享受标准，对因缴费年限不足导致不能享受待遇的应及时通知其到参保地医保经办机构按规定补缴保费后享受待遇。待遇享受人员按规定程序选择服务方式后，委托承办机构应及时确定其待遇。</w:t>
      </w:r>
    </w:p>
    <w:p>
      <w:pPr>
        <w:widowControl w:val="0"/>
        <w:kinsoku/>
        <w:autoSpaceDE/>
        <w:autoSpaceDN/>
        <w:adjustRightInd/>
        <w:spacing w:after="0" w:line="600" w:lineRule="exact"/>
        <w:ind w:firstLine="640" w:firstLineChars="200"/>
        <w:jc w:val="both"/>
        <w:rPr>
          <w:rFonts w:hint="eastAsia" w:ascii="方正楷体_GBK" w:hAnsi="方正楷体_GBK" w:eastAsia="方正楷体_GBK" w:cs="方正楷体_GBK"/>
          <w:snapToGrid w:val="0"/>
          <w:kern w:val="0"/>
          <w:sz w:val="32"/>
          <w:szCs w:val="32"/>
          <w:lang w:val="en-US" w:eastAsia="zh-CN" w:bidi="ar-SA"/>
        </w:rPr>
      </w:pPr>
      <w:r>
        <w:rPr>
          <w:rFonts w:hint="eastAsia" w:ascii="方正楷体_GBK" w:hAnsi="方正楷体_GBK" w:eastAsia="方正楷体_GBK" w:cs="方正楷体_GBK"/>
          <w:snapToGrid w:val="0"/>
          <w:kern w:val="0"/>
          <w:sz w:val="32"/>
          <w:szCs w:val="32"/>
          <w:lang w:eastAsia="zh-CN" w:bidi="ar-SA"/>
        </w:rPr>
        <w:t>五</w:t>
      </w:r>
      <w:r>
        <w:rPr>
          <w:rFonts w:hint="default" w:ascii="方正楷体_GBK" w:hAnsi="方正楷体_GBK" w:eastAsia="方正楷体_GBK" w:cs="方正楷体_GBK"/>
          <w:snapToGrid w:val="0"/>
          <w:kern w:val="0"/>
          <w:sz w:val="32"/>
          <w:szCs w:val="32"/>
          <w:lang w:eastAsia="zh-CN" w:bidi="ar-SA"/>
        </w:rPr>
        <w:t>、</w:t>
      </w:r>
      <w:r>
        <w:rPr>
          <w:rFonts w:hint="eastAsia" w:ascii="方正楷体_GBK" w:hAnsi="方正楷体_GBK" w:eastAsia="方正楷体_GBK" w:cs="方正楷体_GBK"/>
          <w:snapToGrid w:val="0"/>
          <w:kern w:val="0"/>
          <w:sz w:val="32"/>
          <w:szCs w:val="32"/>
          <w:lang w:val="en-US" w:eastAsia="zh-CN" w:bidi="ar-SA"/>
        </w:rPr>
        <w:t>费用结算</w:t>
      </w:r>
    </w:p>
    <w:p>
      <w:pPr>
        <w:widowControl w:val="0"/>
        <w:kinsoku/>
        <w:autoSpaceDE/>
        <w:autoSpaceDN/>
        <w:adjustRightInd/>
        <w:spacing w:after="0" w:line="600" w:lineRule="exact"/>
        <w:ind w:firstLine="640" w:firstLineChars="200"/>
        <w:jc w:val="both"/>
        <w:rPr>
          <w:rFonts w:hint="eastAsia" w:ascii="Times New Roman" w:hAnsi="Times New Roman" w:eastAsia="方正仿宋_GBK" w:cs="Times New Roman"/>
          <w:snapToGrid w:val="0"/>
          <w:kern w:val="0"/>
          <w:sz w:val="32"/>
          <w:szCs w:val="32"/>
          <w:lang w:val="en-US" w:eastAsia="zh-CN" w:bidi="ar-SA"/>
        </w:rPr>
      </w:pPr>
      <w:r>
        <w:rPr>
          <w:rFonts w:hint="eastAsia" w:ascii="Times New Roman" w:hAnsi="Times New Roman" w:eastAsia="方正仿宋_GBK" w:cs="Times New Roman"/>
          <w:snapToGrid w:val="0"/>
          <w:kern w:val="0"/>
          <w:sz w:val="32"/>
          <w:szCs w:val="32"/>
          <w:lang w:val="en-US" w:eastAsia="zh-CN" w:bidi="ar-SA"/>
        </w:rPr>
        <w:t>护理待遇按日计算，由委托承办机构与长护护理机构、居家个人护理个体服务人员按月结算护理费用，及时完成费用的审核、结算和支付工作。</w:t>
      </w:r>
    </w:p>
    <w:p>
      <w:pPr>
        <w:widowControl w:val="0"/>
        <w:kinsoku/>
        <w:autoSpaceDE/>
        <w:autoSpaceDN/>
        <w:adjustRightInd/>
        <w:spacing w:after="0" w:line="600" w:lineRule="exact"/>
        <w:ind w:firstLine="640" w:firstLineChars="200"/>
        <w:jc w:val="both"/>
        <w:rPr>
          <w:rFonts w:hint="eastAsia" w:ascii="Times New Roman" w:hAnsi="Times New Roman" w:eastAsia="方正仿宋_GBK" w:cs="Times New Roman"/>
          <w:snapToGrid w:val="0"/>
          <w:kern w:val="0"/>
          <w:sz w:val="32"/>
          <w:szCs w:val="32"/>
          <w:lang w:val="en-US" w:eastAsia="zh-CN" w:bidi="ar-SA"/>
        </w:rPr>
      </w:pPr>
      <w:r>
        <w:rPr>
          <w:rFonts w:hint="eastAsia" w:ascii="Times New Roman" w:hAnsi="Times New Roman" w:eastAsia="方正仿宋_GBK" w:cs="Times New Roman"/>
          <w:snapToGrid w:val="0"/>
          <w:kern w:val="0"/>
          <w:sz w:val="32"/>
          <w:szCs w:val="32"/>
          <w:lang w:eastAsia="zh-CN" w:bidi="ar-SA"/>
        </w:rPr>
        <w:t>六</w:t>
      </w:r>
      <w:r>
        <w:rPr>
          <w:rFonts w:hint="default" w:ascii="Times New Roman" w:hAnsi="Times New Roman" w:eastAsia="方正仿宋_GBK" w:cs="Times New Roman"/>
          <w:snapToGrid w:val="0"/>
          <w:kern w:val="0"/>
          <w:sz w:val="32"/>
          <w:szCs w:val="32"/>
          <w:lang w:eastAsia="zh-CN" w:bidi="ar-SA"/>
        </w:rPr>
        <w:t>、</w:t>
      </w:r>
      <w:r>
        <w:rPr>
          <w:rFonts w:hint="eastAsia" w:ascii="Times New Roman" w:hAnsi="Times New Roman" w:eastAsia="方正仿宋_GBK" w:cs="Times New Roman"/>
          <w:snapToGrid w:val="0"/>
          <w:kern w:val="0"/>
          <w:sz w:val="32"/>
          <w:szCs w:val="32"/>
          <w:lang w:val="en-US" w:eastAsia="zh-CN" w:bidi="ar-SA"/>
        </w:rPr>
        <w:t>资金支付</w:t>
      </w:r>
    </w:p>
    <w:p>
      <w:pPr>
        <w:widowControl w:val="0"/>
        <w:kinsoku/>
        <w:autoSpaceDE/>
        <w:autoSpaceDN/>
        <w:adjustRightInd/>
        <w:spacing w:after="0" w:line="600" w:lineRule="exact"/>
        <w:ind w:firstLine="640" w:firstLineChars="200"/>
        <w:jc w:val="both"/>
        <w:rPr>
          <w:rFonts w:hint="eastAsia" w:ascii="Times New Roman" w:hAnsi="Times New Roman" w:eastAsia="方正仿宋_GBK" w:cs="Times New Roman"/>
          <w:snapToGrid w:val="0"/>
          <w:kern w:val="0"/>
          <w:sz w:val="32"/>
          <w:szCs w:val="32"/>
          <w:lang w:val="en-US" w:eastAsia="zh-CN" w:bidi="ar-SA"/>
        </w:rPr>
      </w:pPr>
      <w:r>
        <w:rPr>
          <w:rFonts w:hint="eastAsia" w:ascii="Times New Roman" w:hAnsi="Times New Roman" w:eastAsia="方正仿宋_GBK" w:cs="Times New Roman"/>
          <w:snapToGrid w:val="0"/>
          <w:kern w:val="0"/>
          <w:sz w:val="32"/>
          <w:szCs w:val="32"/>
          <w:lang w:val="en-US" w:eastAsia="zh-CN" w:bidi="ar-SA"/>
        </w:rPr>
        <w:t>长期护理保险运行过程中发生的待遇支付费用、失能评估费用、委托承办机构承办服务费用（合理的运行成本和工作绩效）以及法律法规规定的其他费用等，纳入长期护理保险基金支付范围。探索将辅助器具租赁服务费用纳入长期护理保险基金支付范围。享受长期护理保险待遇人员在医疗机构住院治疗期间符合规定的相关费用，按居家个人护理待遇标准纳入长期护理保险基金支付范围。</w:t>
      </w:r>
    </w:p>
    <w:p>
      <w:pPr>
        <w:widowControl w:val="0"/>
        <w:kinsoku/>
        <w:autoSpaceDE/>
        <w:autoSpaceDN/>
        <w:adjustRightInd/>
        <w:spacing w:after="0" w:line="600" w:lineRule="exact"/>
        <w:ind w:firstLine="640" w:firstLineChars="200"/>
        <w:jc w:val="both"/>
        <w:rPr>
          <w:rFonts w:hint="eastAsia" w:ascii="Times New Roman" w:hAnsi="Times New Roman" w:eastAsia="方正仿宋_GBK" w:cs="Times New Roman"/>
          <w:snapToGrid w:val="0"/>
          <w:kern w:val="0"/>
          <w:sz w:val="32"/>
          <w:szCs w:val="32"/>
          <w:lang w:val="en-US" w:eastAsia="zh-CN" w:bidi="ar-SA"/>
        </w:rPr>
      </w:pPr>
      <w:r>
        <w:rPr>
          <w:rFonts w:hint="eastAsia" w:ascii="Times New Roman" w:hAnsi="Times New Roman" w:eastAsia="方正仿宋_GBK" w:cs="Times New Roman"/>
          <w:snapToGrid w:val="0"/>
          <w:kern w:val="0"/>
          <w:sz w:val="32"/>
          <w:szCs w:val="32"/>
          <w:lang w:val="en-US" w:eastAsia="zh-CN" w:bidi="ar-SA"/>
        </w:rPr>
        <w:t>属于工伤保险、依法由第三方承担的等应由已有社会保障制度和国家法律规定支付的护理服务费用，长期护理保险基金不予支付。</w:t>
      </w:r>
    </w:p>
    <w:p>
      <w:pPr>
        <w:pStyle w:val="2"/>
        <w:tabs>
          <w:tab w:val="left" w:pos="3549"/>
          <w:tab w:val="clear" w:pos="4153"/>
        </w:tabs>
        <w:bidi w:val="0"/>
        <w:rPr>
          <w:rFonts w:hint="default"/>
          <w:u w:val="single"/>
          <w:lang w:val="en-US" w:eastAsia="zh-CN"/>
        </w:rPr>
      </w:pPr>
      <w:bookmarkStart w:id="1" w:name="_GoBack"/>
      <w:bookmarkEnd w:id="1"/>
    </w:p>
    <w:sectPr>
      <w:footerReference r:id="rId3" w:type="default"/>
      <w:pgSz w:w="11906" w:h="16838"/>
      <w:pgMar w:top="2098" w:right="1474" w:bottom="1984" w:left="1587" w:header="851" w:footer="1389"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Theme="minorEastAsia"/>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Theme="minorEastAsia"/>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3OGZlN2UwNjlkNzExZTYxZmVhMWJiOWRlOTgxZmEifQ=="/>
  </w:docVars>
  <w:rsids>
    <w:rsidRoot w:val="00000000"/>
    <w:rsid w:val="02350006"/>
    <w:rsid w:val="22470507"/>
    <w:rsid w:val="27B34651"/>
    <w:rsid w:val="29E46292"/>
    <w:rsid w:val="33F62651"/>
    <w:rsid w:val="3BEB0291"/>
    <w:rsid w:val="3C265B88"/>
    <w:rsid w:val="46F750FB"/>
    <w:rsid w:val="4CEF6962"/>
    <w:rsid w:val="53B510E6"/>
    <w:rsid w:val="58724F17"/>
    <w:rsid w:val="5D8A79B5"/>
    <w:rsid w:val="5FB41DD9"/>
    <w:rsid w:val="712E1BB0"/>
    <w:rsid w:val="766426BA"/>
    <w:rsid w:val="77EC7BDB"/>
    <w:rsid w:val="7B2A0E45"/>
    <w:rsid w:val="D7DBA15D"/>
    <w:rsid w:val="ED7F7402"/>
    <w:rsid w:val="EFDDF4F6"/>
    <w:rsid w:val="FB14E6CC"/>
    <w:rsid w:val="FBB79563"/>
    <w:rsid w:val="FF1F15CE"/>
    <w:rsid w:val="FF770B97"/>
    <w:rsid w:val="FFFAD5E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b/>
      <w:bCs/>
      <w:kern w:val="44"/>
      <w:sz w:val="44"/>
      <w:szCs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4">
    <w:name w:val="Body Text"/>
    <w:basedOn w:val="1"/>
    <w:qFormat/>
    <w:uiPriority w:val="0"/>
    <w:rPr>
      <w:rFonts w:eastAsia="仿宋_GB2312"/>
      <w:sz w:val="32"/>
      <w:szCs w:val="24"/>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Message Header"/>
    <w:basedOn w:val="1"/>
    <w:next w:val="4"/>
    <w:unhideWhenUsed/>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7">
    <w:name w:val="Normal (Web)"/>
    <w:basedOn w:val="1"/>
    <w:qFormat/>
    <w:uiPriority w:val="0"/>
    <w:pPr>
      <w:spacing w:before="100" w:beforeLines="0" w:beforeAutospacing="1" w:after="100" w:afterLines="0" w:afterAutospacing="1"/>
      <w:ind w:left="0" w:right="0"/>
      <w:jc w:val="left"/>
    </w:pPr>
    <w:rPr>
      <w:kern w:val="0"/>
      <w:sz w:val="24"/>
      <w:szCs w:val="20"/>
      <w:lang w:val="en-US" w:eastAsia="zh-CN"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0"/>
    <w:basedOn w:val="1"/>
    <w:qFormat/>
    <w:uiPriority w:val="0"/>
    <w:pPr>
      <w:widowControl/>
      <w:snapToGrid w:val="0"/>
    </w:pPr>
    <w:rPr>
      <w:rFonts w:eastAsia="仿宋_GB2312"/>
      <w:kern w:val="0"/>
      <w:sz w:val="32"/>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2136</Words>
  <Characters>2166</Characters>
  <Lines>0</Lines>
  <Paragraphs>0</Paragraphs>
  <TotalTime>18</TotalTime>
  <ScaleCrop>false</ScaleCrop>
  <LinksUpToDate>false</LinksUpToDate>
  <CharactersWithSpaces>2170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2021-12-01T08:01:00Z</dcterms:created>
  <dc:creator>HP-02</dc:creator>
  <cp:lastModifiedBy>Administrator</cp:lastModifiedBy>
  <dcterms:modified xsi:type="dcterms:W3CDTF">2023-06-09T07:03:02Z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D87D3A3CE1084814A08EBADAE4BB5A16</vt:lpwstr>
  </property>
</Properties>
</file>