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600" w:lineRule="exact"/>
        <w:jc w:val="center"/>
        <w:textAlignment w:val="auto"/>
        <w:rPr>
          <w:rFonts w:eastAsia="方正小标宋_GBK"/>
          <w:sz w:val="44"/>
          <w:szCs w:val="44"/>
        </w:rPr>
      </w:pPr>
      <w:r>
        <w:rPr>
          <w:rFonts w:eastAsia="方正小标宋_GBK"/>
          <w:sz w:val="44"/>
          <w:szCs w:val="44"/>
        </w:rPr>
        <w:t>关于长期护理保险的申领流程</w:t>
      </w:r>
    </w:p>
    <w:p>
      <w:pPr>
        <w:pStyle w:val="2"/>
        <w:rPr>
          <w:rFonts w:hint="default"/>
          <w:lang w:eastAsia="zh-CN"/>
        </w:rPr>
      </w:pPr>
    </w:p>
    <w:p>
      <w:pPr>
        <w:pStyle w:val="2"/>
        <w:rPr>
          <w:rFonts w:hint="eastAsia"/>
          <w:lang w:val="en-US" w:eastAsia="zh-CN"/>
        </w:rPr>
      </w:pP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方正楷体_GBK" w:hAnsi="方正楷体_GBK" w:eastAsia="方正楷体_GBK" w:cs="方正楷体_GBK"/>
          <w:snapToGrid w:val="0"/>
          <w:kern w:val="0"/>
          <w:sz w:val="32"/>
          <w:szCs w:val="32"/>
          <w:lang w:val="en-US" w:eastAsia="zh-CN" w:bidi="ar-SA"/>
        </w:rPr>
        <w:t>一</w:t>
      </w:r>
      <w:r>
        <w:rPr>
          <w:rFonts w:hint="default" w:ascii="方正楷体_GBK" w:hAnsi="方正楷体_GBK" w:eastAsia="方正楷体_GBK" w:cs="方正楷体_GBK"/>
          <w:snapToGrid w:val="0"/>
          <w:kern w:val="0"/>
          <w:sz w:val="32"/>
          <w:szCs w:val="32"/>
          <w:lang w:eastAsia="zh-CN" w:bidi="ar-SA"/>
        </w:rPr>
        <w:t>、</w:t>
      </w:r>
      <w:r>
        <w:rPr>
          <w:rFonts w:hint="eastAsia" w:ascii="Times New Roman" w:hAnsi="Times New Roman" w:eastAsia="方正仿宋_GBK" w:cs="Times New Roman"/>
          <w:snapToGrid w:val="0"/>
          <w:kern w:val="0"/>
          <w:sz w:val="32"/>
          <w:szCs w:val="32"/>
          <w:lang w:val="en-US" w:eastAsia="zh-CN" w:bidi="ar-SA"/>
        </w:rPr>
        <w:t>参保对象</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（一）</w:t>
      </w:r>
      <w:r>
        <w:rPr>
          <w:rFonts w:hint="eastAsia" w:ascii="Times New Roman" w:hAnsi="Times New Roman" w:eastAsia="方正仿宋_GBK" w:cs="Times New Roman"/>
          <w:snapToGrid w:val="0"/>
          <w:kern w:val="0"/>
          <w:sz w:val="32"/>
          <w:szCs w:val="32"/>
          <w:lang w:val="en-US" w:eastAsia="zh-CN" w:bidi="ar-SA"/>
        </w:rPr>
        <w:t>职工身份参保。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（二）</w:t>
      </w:r>
      <w:r>
        <w:rPr>
          <w:rFonts w:hint="eastAsia" w:ascii="Times New Roman" w:hAnsi="Times New Roman" w:eastAsia="方正仿宋_GBK" w:cs="Times New Roman"/>
          <w:snapToGrid w:val="0"/>
          <w:kern w:val="0"/>
          <w:sz w:val="32"/>
          <w:szCs w:val="32"/>
          <w:lang w:val="en-US" w:eastAsia="zh-CN" w:bidi="ar-SA"/>
        </w:rPr>
        <w:t>个人身份参保。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（三）</w:t>
      </w:r>
      <w:r>
        <w:rPr>
          <w:rFonts w:hint="eastAsia" w:ascii="Times New Roman" w:hAnsi="Times New Roman" w:eastAsia="方正仿宋_GBK" w:cs="Times New Roman"/>
          <w:snapToGrid w:val="0"/>
          <w:kern w:val="0"/>
          <w:sz w:val="32"/>
          <w:szCs w:val="32"/>
          <w:lang w:val="en-US" w:eastAsia="zh-CN" w:bidi="ar-SA"/>
        </w:rPr>
        <w:t>正常享受职工医保退休待遇人员参保。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个人身份参保人员和正常享受职工医保退休待遇人员每年具体筹资缴费标准由市医保局测算后及时公布。2022年缴费标准为122元/年·人。</w:t>
      </w:r>
    </w:p>
    <w:p>
      <w:pPr>
        <w:widowControl w:val="0"/>
        <w:kinsoku/>
        <w:autoSpaceDE/>
        <w:autoSpaceDN/>
        <w:adjustRightInd/>
        <w:spacing w:after="0" w:line="600" w:lineRule="exact"/>
        <w:ind w:firstLine="640" w:firstLineChars="200"/>
        <w:jc w:val="both"/>
        <w:rPr>
          <w:rFonts w:hint="eastAsia" w:ascii="方正楷体_GBK" w:hAnsi="方正楷体_GBK" w:eastAsia="方正楷体_GBK" w:cs="方正楷体_GBK"/>
          <w:snapToGrid w:val="0"/>
          <w:kern w:val="0"/>
          <w:sz w:val="32"/>
          <w:szCs w:val="32"/>
          <w:lang w:val="en-US" w:eastAsia="zh-CN" w:bidi="ar-SA"/>
        </w:rPr>
      </w:pPr>
      <w:r>
        <w:rPr>
          <w:rFonts w:hint="eastAsia" w:ascii="方正楷体_GBK" w:hAnsi="方正楷体_GBK" w:eastAsia="方正楷体_GBK" w:cs="方正楷体_GBK"/>
          <w:snapToGrid w:val="0"/>
          <w:kern w:val="0"/>
          <w:sz w:val="32"/>
          <w:szCs w:val="32"/>
          <w:lang w:val="en-US" w:eastAsia="zh-CN" w:bidi="ar-SA"/>
        </w:rPr>
        <w:t>二</w:t>
      </w:r>
      <w:r>
        <w:rPr>
          <w:rFonts w:hint="default" w:ascii="方正楷体_GBK" w:hAnsi="方正楷体_GBK" w:eastAsia="方正楷体_GBK" w:cs="方正楷体_GBK"/>
          <w:snapToGrid w:val="0"/>
          <w:kern w:val="0"/>
          <w:sz w:val="32"/>
          <w:szCs w:val="32"/>
          <w:lang w:eastAsia="zh-CN" w:bidi="ar-SA"/>
        </w:rPr>
        <w:t>、</w:t>
      </w:r>
      <w:r>
        <w:rPr>
          <w:rFonts w:hint="eastAsia" w:ascii="方正楷体_GBK" w:hAnsi="方正楷体_GBK" w:eastAsia="方正楷体_GBK" w:cs="方正楷体_GBK"/>
          <w:snapToGrid w:val="0"/>
          <w:kern w:val="0"/>
          <w:sz w:val="32"/>
          <w:szCs w:val="32"/>
          <w:lang w:val="en-US" w:eastAsia="zh-CN" w:bidi="ar-SA"/>
        </w:rPr>
        <w:t>待遇享受</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bookmarkStart w:id="0" w:name="_Toc5589_WPSOffice_Level1"/>
      <w:r>
        <w:rPr>
          <w:rFonts w:hint="default" w:ascii="Times New Roman" w:hAnsi="Times New Roman" w:eastAsia="方正仿宋_GBK" w:cs="Times New Roman"/>
          <w:snapToGrid w:val="0"/>
          <w:kern w:val="0"/>
          <w:sz w:val="32"/>
          <w:szCs w:val="32"/>
          <w:lang w:eastAsia="zh-CN" w:bidi="ar-SA"/>
        </w:rPr>
        <w:t>（一）</w:t>
      </w:r>
      <w:r>
        <w:rPr>
          <w:rFonts w:hint="eastAsia" w:ascii="Times New Roman" w:hAnsi="Times New Roman" w:eastAsia="方正仿宋_GBK" w:cs="Times New Roman"/>
          <w:snapToGrid w:val="0"/>
          <w:kern w:val="0"/>
          <w:sz w:val="32"/>
          <w:szCs w:val="32"/>
          <w:lang w:val="en-US" w:eastAsia="zh-CN" w:bidi="ar-SA"/>
        </w:rPr>
        <w:t>享受条件。长期护理保险参保人员达到失能评估标准且 职工医保累计缴费满15年（含视同缴费年限）的，从评估结论下达的次月起开始享受待遇；长期护理保险参保人员达到失能评估标准但职工医保累计缴费未满15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未按规定连续缴纳长期护理保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经治疗康复后不再达到失能评估标准的，从次月起停止享受待遇；参保人员死亡的，从死亡次日起停止享受待遇。</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（二）</w:t>
      </w:r>
      <w:r>
        <w:rPr>
          <w:rFonts w:hint="eastAsia" w:ascii="Times New Roman" w:hAnsi="Times New Roman" w:eastAsia="方正仿宋_GBK" w:cs="Times New Roman"/>
          <w:snapToGrid w:val="0"/>
          <w:kern w:val="0"/>
          <w:sz w:val="32"/>
          <w:szCs w:val="32"/>
          <w:lang w:val="en-US" w:eastAsia="zh-CN" w:bidi="ar-SA"/>
        </w:rPr>
        <w:t>享受方式。长期护理保险参保人员经评估符合待遇享受条件的，可根据其失能状况、护理需求和家庭情况，自愿选择以下服务方式：</w:t>
      </w:r>
    </w:p>
    <w:p>
      <w:pPr>
        <w:widowControl w:val="0"/>
        <w:numPr>
          <w:ilvl w:val="0"/>
          <w:numId w:val="0"/>
        </w:numPr>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1</w:t>
      </w:r>
      <w:r>
        <w:rPr>
          <w:rFonts w:hint="default" w:ascii="Times New Roman" w:hAnsi="Times New Roman" w:eastAsia="方正仿宋_GBK" w:cs="Times New Roman"/>
          <w:snapToGrid w:val="0"/>
          <w:kern w:val="0"/>
          <w:sz w:val="32"/>
          <w:szCs w:val="32"/>
          <w:lang w:eastAsia="zh-CN" w:bidi="ar-SA"/>
        </w:rPr>
        <w:t>.</w:t>
      </w:r>
      <w:r>
        <w:rPr>
          <w:rFonts w:hint="eastAsia" w:ascii="Times New Roman" w:hAnsi="Times New Roman" w:eastAsia="方正仿宋_GBK" w:cs="Times New Roman"/>
          <w:snapToGrid w:val="0"/>
          <w:kern w:val="0"/>
          <w:sz w:val="32"/>
          <w:szCs w:val="32"/>
          <w:lang w:val="en-US" w:eastAsia="zh-CN" w:bidi="ar-SA"/>
        </w:rPr>
        <w:t>居家个人护理。长期护理保险待遇享受人员选择居家，由本人或监护人指定的个体服务人员，在委托承办机构的管理和指导下，提供符合政策规定的护理服务。</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2</w:t>
      </w:r>
      <w:r>
        <w:rPr>
          <w:rFonts w:hint="default" w:ascii="Times New Roman" w:hAnsi="Times New Roman" w:eastAsia="方正仿宋_GBK" w:cs="Times New Roman"/>
          <w:snapToGrid w:val="0"/>
          <w:kern w:val="0"/>
          <w:sz w:val="32"/>
          <w:szCs w:val="32"/>
          <w:lang w:eastAsia="zh-CN" w:bidi="ar-SA"/>
        </w:rPr>
        <w:t>.</w:t>
      </w:r>
      <w:r>
        <w:rPr>
          <w:rFonts w:hint="eastAsia" w:ascii="Times New Roman" w:hAnsi="Times New Roman" w:eastAsia="方正仿宋_GBK" w:cs="Times New Roman"/>
          <w:snapToGrid w:val="0"/>
          <w:kern w:val="0"/>
          <w:sz w:val="32"/>
          <w:szCs w:val="32"/>
          <w:lang w:val="en-US" w:eastAsia="zh-CN" w:bidi="ar-SA"/>
        </w:rPr>
        <w:t>居家上门护理。长期护理保险待遇享受人员选择居家，由本人或监护人指定的长护护理机构上门提供符合政策规定的护理服务。长护护理机构指具备相应护理资质（含民政部门注册登记的社区护理协议机构）并与我区医保经办机构签订了定点协议，为长期护理保险待遇享受人员提供护理服务的机构（长护护理机构具体管理办法和服务协议文本由市医保局另行制定）。</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3</w:t>
      </w:r>
      <w:r>
        <w:rPr>
          <w:rFonts w:hint="default" w:ascii="Times New Roman" w:hAnsi="Times New Roman" w:eastAsia="方正仿宋_GBK" w:cs="Times New Roman"/>
          <w:snapToGrid w:val="0"/>
          <w:kern w:val="0"/>
          <w:sz w:val="32"/>
          <w:szCs w:val="32"/>
          <w:lang w:eastAsia="zh-CN" w:bidi="ar-SA"/>
        </w:rPr>
        <w:t>.</w:t>
      </w:r>
      <w:r>
        <w:rPr>
          <w:rFonts w:hint="eastAsia" w:ascii="Times New Roman" w:hAnsi="Times New Roman" w:eastAsia="方正仿宋_GBK" w:cs="Times New Roman"/>
          <w:snapToGrid w:val="0"/>
          <w:kern w:val="0"/>
          <w:sz w:val="32"/>
          <w:szCs w:val="32"/>
          <w:lang w:val="en-US" w:eastAsia="zh-CN" w:bidi="ar-SA"/>
        </w:rPr>
        <w:t>机构集中护理。长期护理保险待遇享受人员选择入住由本人或监护人指定的长护护理机构，由长护护理机构集中提供符合政策规定的护理服务。</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（三）</w:t>
      </w:r>
      <w:r>
        <w:rPr>
          <w:rFonts w:hint="eastAsia" w:ascii="Times New Roman" w:hAnsi="Times New Roman" w:eastAsia="方正仿宋_GBK" w:cs="Times New Roman"/>
          <w:snapToGrid w:val="0"/>
          <w:kern w:val="0"/>
          <w:sz w:val="32"/>
          <w:szCs w:val="32"/>
          <w:lang w:val="en-US" w:eastAsia="zh-CN" w:bidi="ar-SA"/>
        </w:rPr>
        <w:t>享受标准。居家个人护理的长期护理保险护理费用标准为40元/日·人；机构集中护理、居家上门护理的长期护理保险护理费用标准为50元/日·人（护理服务项目和标准具体办法由市医保局另行制定）。</w:t>
      </w:r>
    </w:p>
    <w:p>
      <w:pPr>
        <w:pStyle w:val="2"/>
        <w:rPr>
          <w:rFonts w:hint="eastAsia"/>
          <w:lang w:val="en-US" w:eastAsia="zh-CN"/>
        </w:rPr>
      </w:pPr>
    </w:p>
    <w:bookmarkEnd w:id="0"/>
    <w:p>
      <w:pPr>
        <w:widowControl w:val="0"/>
        <w:kinsoku/>
        <w:autoSpaceDE/>
        <w:autoSpaceDN/>
        <w:adjustRightInd/>
        <w:spacing w:after="0" w:line="600" w:lineRule="exact"/>
        <w:ind w:firstLine="640" w:firstLineChars="200"/>
        <w:jc w:val="both"/>
        <w:rPr>
          <w:rFonts w:hint="eastAsia" w:ascii="方正楷体_GBK" w:hAnsi="方正楷体_GBK" w:eastAsia="方正楷体_GBK" w:cs="方正楷体_GBK"/>
          <w:snapToGrid w:val="0"/>
          <w:kern w:val="0"/>
          <w:sz w:val="32"/>
          <w:szCs w:val="32"/>
          <w:lang w:val="en-US" w:eastAsia="zh-CN" w:bidi="ar-SA"/>
        </w:rPr>
      </w:pPr>
      <w:r>
        <w:rPr>
          <w:rFonts w:hint="eastAsia" w:ascii="方正楷体_GBK" w:hAnsi="方正楷体_GBK" w:eastAsia="方正楷体_GBK" w:cs="方正楷体_GBK"/>
          <w:snapToGrid w:val="0"/>
          <w:kern w:val="0"/>
          <w:sz w:val="32"/>
          <w:szCs w:val="32"/>
          <w:lang w:eastAsia="zh-CN" w:bidi="ar-SA"/>
        </w:rPr>
        <w:t>三</w:t>
      </w:r>
      <w:r>
        <w:rPr>
          <w:rFonts w:hint="default" w:ascii="方正楷体_GBK" w:hAnsi="方正楷体_GBK" w:eastAsia="方正楷体_GBK" w:cs="方正楷体_GBK"/>
          <w:snapToGrid w:val="0"/>
          <w:kern w:val="0"/>
          <w:sz w:val="32"/>
          <w:szCs w:val="32"/>
          <w:lang w:eastAsia="zh-CN" w:bidi="ar-SA"/>
        </w:rPr>
        <w:t>、</w:t>
      </w:r>
      <w:r>
        <w:rPr>
          <w:rFonts w:hint="eastAsia" w:ascii="方正楷体_GBK" w:hAnsi="方正楷体_GBK" w:eastAsia="方正楷体_GBK" w:cs="方正楷体_GBK"/>
          <w:snapToGrid w:val="0"/>
          <w:kern w:val="0"/>
          <w:sz w:val="32"/>
          <w:szCs w:val="32"/>
          <w:lang w:val="en-US" w:eastAsia="zh-CN" w:bidi="ar-SA"/>
        </w:rPr>
        <w:t>失能评估</w:t>
      </w:r>
    </w:p>
    <w:p>
      <w:pPr>
        <w:widowControl w:val="0"/>
        <w:numPr>
          <w:ilvl w:val="0"/>
          <w:numId w:val="0"/>
        </w:numPr>
        <w:kinsoku/>
        <w:autoSpaceDE/>
        <w:autoSpaceDN/>
        <w:adjustRightInd/>
        <w:spacing w:after="0" w:line="600" w:lineRule="exact"/>
        <w:ind w:left="0" w:leftChars="0" w:firstLine="0" w:firstLineChars="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b w:val="0"/>
          <w:bCs w:val="0"/>
          <w:snapToGrid w:val="0"/>
          <w:kern w:val="0"/>
          <w:sz w:val="32"/>
          <w:szCs w:val="32"/>
          <w:lang w:eastAsia="zh-CN" w:bidi="ar-SA"/>
        </w:rPr>
        <w:t xml:space="preserve">   （一）</w:t>
      </w:r>
      <w:r>
        <w:rPr>
          <w:rFonts w:hint="default" w:ascii="Times New Roman" w:hAnsi="Times New Roman" w:eastAsia="方正仿宋_GBK" w:cs="Times New Roman"/>
          <w:b w:val="0"/>
          <w:bCs w:val="0"/>
          <w:snapToGrid w:val="0"/>
          <w:kern w:val="0"/>
          <w:sz w:val="32"/>
          <w:szCs w:val="32"/>
          <w:lang w:val="en-US" w:eastAsia="zh-CN" w:bidi="ar-SA"/>
        </w:rPr>
        <w:t>评估申请</w:t>
      </w:r>
      <w:r>
        <w:rPr>
          <w:rFonts w:hint="default" w:ascii="Times New Roman" w:hAnsi="Times New Roman" w:eastAsia="方正楷体_GBK" w:cs="Times New Roman"/>
          <w:b w:val="0"/>
          <w:bCs w:val="0"/>
          <w:snapToGrid w:val="0"/>
          <w:kern w:val="0"/>
          <w:sz w:val="32"/>
          <w:szCs w:val="32"/>
          <w:lang w:val="en-US" w:eastAsia="zh-CN" w:bidi="ar-SA"/>
        </w:rPr>
        <w:t>。</w:t>
      </w:r>
      <w:r>
        <w:rPr>
          <w:rFonts w:hint="eastAsia" w:ascii="Times New Roman" w:hAnsi="Times New Roman" w:eastAsia="方正仿宋_GBK" w:cs="Times New Roman"/>
          <w:snapToGrid w:val="0"/>
          <w:kern w:val="0"/>
          <w:sz w:val="32"/>
          <w:szCs w:val="32"/>
          <w:lang w:val="en-US" w:eastAsia="zh-CN" w:bidi="ar-SA"/>
        </w:rPr>
        <w:t>长期护理保险参保人员向委托承办机构申请失能评估。申请时参保人应有含申请当月前连续参加我市职工医保24个月（含）以上的参保缴费记录（含视同缴费年限），并经医疗机构或康复机构规范诊疗、失能状态持续6个月（含）以上，且自行评估达到我市失能评估管理办法要求的等级。连续二次申请需间隔6个月（含）以上。</w:t>
      </w:r>
    </w:p>
    <w:p>
      <w:pPr>
        <w:widowControl w:val="0"/>
        <w:numPr>
          <w:ilvl w:val="0"/>
          <w:numId w:val="0"/>
        </w:numPr>
        <w:kinsoku/>
        <w:autoSpaceDE/>
        <w:autoSpaceDN/>
        <w:adjustRightInd/>
        <w:spacing w:after="0" w:line="600" w:lineRule="exact"/>
        <w:ind w:left="0" w:leftChars="0"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（二）</w:t>
      </w:r>
      <w:r>
        <w:rPr>
          <w:rFonts w:hint="default" w:ascii="Times New Roman" w:hAnsi="Times New Roman" w:eastAsia="方正仿宋_GBK" w:cs="Times New Roman"/>
          <w:snapToGrid w:val="0"/>
          <w:kern w:val="0"/>
          <w:sz w:val="32"/>
          <w:szCs w:val="32"/>
          <w:lang w:val="en-US" w:eastAsia="zh-CN" w:bidi="ar-SA"/>
        </w:rPr>
        <w:t>评估受理。</w:t>
      </w:r>
      <w:r>
        <w:rPr>
          <w:rFonts w:hint="eastAsia" w:ascii="Times New Roman" w:hAnsi="Times New Roman" w:eastAsia="方正仿宋_GBK" w:cs="Times New Roman"/>
          <w:snapToGrid w:val="0"/>
          <w:kern w:val="0"/>
          <w:sz w:val="32"/>
          <w:szCs w:val="32"/>
          <w:lang w:val="en-US" w:eastAsia="zh-CN" w:bidi="ar-SA"/>
        </w:rPr>
        <w:t>委托承办机构收到长期护理保险参保人失能评估申请后，应及时将受理情况反馈参保人。</w:t>
      </w:r>
    </w:p>
    <w:p>
      <w:pPr>
        <w:widowControl w:val="0"/>
        <w:numPr>
          <w:ilvl w:val="0"/>
          <w:numId w:val="0"/>
        </w:numPr>
        <w:kinsoku/>
        <w:autoSpaceDE/>
        <w:autoSpaceDN/>
        <w:adjustRightInd/>
        <w:spacing w:after="0" w:line="600" w:lineRule="exact"/>
        <w:ind w:left="0" w:leftChars="0"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eastAsia="zh-CN" w:bidi="ar-SA"/>
        </w:rPr>
        <w:t>（三）</w:t>
      </w:r>
      <w:r>
        <w:rPr>
          <w:rFonts w:hint="eastAsia" w:ascii="Times New Roman" w:hAnsi="Times New Roman" w:eastAsia="方正仿宋_GBK" w:cs="Times New Roman"/>
          <w:snapToGrid w:val="0"/>
          <w:kern w:val="0"/>
          <w:sz w:val="32"/>
          <w:szCs w:val="32"/>
          <w:lang w:val="en-US" w:eastAsia="zh-CN" w:bidi="ar-SA"/>
        </w:rPr>
        <w:t>评估方式。申请受理后，由参保人指定一家符合条件的失能评估机构对其失能状况进行评估。</w:t>
      </w:r>
    </w:p>
    <w:p>
      <w:pPr>
        <w:widowControl w:val="0"/>
        <w:numPr>
          <w:ilvl w:val="0"/>
          <w:numId w:val="0"/>
        </w:numPr>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申请人对评估结论有异议的，可申请再次评估，再次评估结论为最终结论。</w:t>
      </w:r>
    </w:p>
    <w:p>
      <w:pPr>
        <w:widowControl w:val="0"/>
        <w:numPr>
          <w:ilvl w:val="0"/>
          <w:numId w:val="0"/>
        </w:numPr>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四）评估费用。失能评估费按照实际评估人数300元/人·次标准确定，试点阶段暂从长期护理保险基金中列支，参保人不缴纳失能评估费。失能评估费用由委托承办机构与失能评估机构按月结算（失能评估具体办法由市医保局另行制定）。</w:t>
      </w:r>
    </w:p>
    <w:p>
      <w:pPr>
        <w:widowControl w:val="0"/>
        <w:numPr>
          <w:ilvl w:val="0"/>
          <w:numId w:val="0"/>
        </w:numPr>
        <w:kinsoku/>
        <w:autoSpaceDE/>
        <w:autoSpaceDN/>
        <w:adjustRightInd/>
        <w:spacing w:after="0" w:line="600" w:lineRule="exact"/>
        <w:ind w:firstLine="640" w:firstLineChars="200"/>
        <w:jc w:val="both"/>
        <w:rPr>
          <w:rFonts w:hint="eastAsia" w:ascii="方正楷体_GBK" w:hAnsi="方正楷体_GBK" w:eastAsia="方正楷体_GBK" w:cs="方正楷体_GBK"/>
          <w:snapToGrid w:val="0"/>
          <w:kern w:val="0"/>
          <w:sz w:val="32"/>
          <w:szCs w:val="32"/>
          <w:lang w:val="en-US" w:eastAsia="zh-CN" w:bidi="ar-SA"/>
        </w:rPr>
      </w:pPr>
      <w:r>
        <w:rPr>
          <w:rFonts w:hint="eastAsia" w:ascii="方正楷体_GBK" w:hAnsi="方正楷体_GBK" w:eastAsia="方正楷体_GBK" w:cs="方正楷体_GBK"/>
          <w:snapToGrid w:val="0"/>
          <w:kern w:val="0"/>
          <w:sz w:val="32"/>
          <w:szCs w:val="32"/>
          <w:lang w:eastAsia="zh-CN" w:bidi="ar-SA"/>
        </w:rPr>
        <w:t>四</w:t>
      </w:r>
      <w:r>
        <w:rPr>
          <w:rFonts w:hint="default" w:ascii="方正楷体_GBK" w:hAnsi="方正楷体_GBK" w:eastAsia="方正楷体_GBK" w:cs="方正楷体_GBK"/>
          <w:snapToGrid w:val="0"/>
          <w:kern w:val="0"/>
          <w:sz w:val="32"/>
          <w:szCs w:val="32"/>
          <w:lang w:eastAsia="zh-CN" w:bidi="ar-SA"/>
        </w:rPr>
        <w:t>、</w:t>
      </w:r>
      <w:r>
        <w:rPr>
          <w:rFonts w:hint="eastAsia" w:ascii="方正楷体_GBK" w:hAnsi="方正楷体_GBK" w:eastAsia="方正楷体_GBK" w:cs="方正楷体_GBK"/>
          <w:snapToGrid w:val="0"/>
          <w:kern w:val="0"/>
          <w:sz w:val="32"/>
          <w:szCs w:val="32"/>
          <w:lang w:val="en-US" w:eastAsia="zh-CN" w:bidi="ar-SA"/>
        </w:rPr>
        <w:t>待遇审核</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widowControl w:val="0"/>
        <w:kinsoku/>
        <w:autoSpaceDE/>
        <w:autoSpaceDN/>
        <w:adjustRightInd/>
        <w:spacing w:after="0" w:line="600" w:lineRule="exact"/>
        <w:ind w:firstLine="640" w:firstLineChars="200"/>
        <w:jc w:val="both"/>
        <w:rPr>
          <w:rFonts w:hint="eastAsia" w:ascii="方正楷体_GBK" w:hAnsi="方正楷体_GBK" w:eastAsia="方正楷体_GBK" w:cs="方正楷体_GBK"/>
          <w:snapToGrid w:val="0"/>
          <w:kern w:val="0"/>
          <w:sz w:val="32"/>
          <w:szCs w:val="32"/>
          <w:lang w:val="en-US" w:eastAsia="zh-CN" w:bidi="ar-SA"/>
        </w:rPr>
      </w:pPr>
      <w:r>
        <w:rPr>
          <w:rFonts w:hint="eastAsia" w:ascii="方正楷体_GBK" w:hAnsi="方正楷体_GBK" w:eastAsia="方正楷体_GBK" w:cs="方正楷体_GBK"/>
          <w:snapToGrid w:val="0"/>
          <w:kern w:val="0"/>
          <w:sz w:val="32"/>
          <w:szCs w:val="32"/>
          <w:lang w:eastAsia="zh-CN" w:bidi="ar-SA"/>
        </w:rPr>
        <w:t>五</w:t>
      </w:r>
      <w:r>
        <w:rPr>
          <w:rFonts w:hint="default" w:ascii="方正楷体_GBK" w:hAnsi="方正楷体_GBK" w:eastAsia="方正楷体_GBK" w:cs="方正楷体_GBK"/>
          <w:snapToGrid w:val="0"/>
          <w:kern w:val="0"/>
          <w:sz w:val="32"/>
          <w:szCs w:val="32"/>
          <w:lang w:eastAsia="zh-CN" w:bidi="ar-SA"/>
        </w:rPr>
        <w:t>、</w:t>
      </w:r>
      <w:r>
        <w:rPr>
          <w:rFonts w:hint="eastAsia" w:ascii="方正楷体_GBK" w:hAnsi="方正楷体_GBK" w:eastAsia="方正楷体_GBK" w:cs="方正楷体_GBK"/>
          <w:snapToGrid w:val="0"/>
          <w:kern w:val="0"/>
          <w:sz w:val="32"/>
          <w:szCs w:val="32"/>
          <w:lang w:val="en-US" w:eastAsia="zh-CN" w:bidi="ar-SA"/>
        </w:rPr>
        <w:t>费用结算</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护理待遇按日计算，由委托承办机构与长护护理机构、居家个人护理个体服务人员按月结算护理费用，及时完成费用的审核、结算和支付工作。</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eastAsia="zh-CN" w:bidi="ar-SA"/>
        </w:rPr>
        <w:t>六</w:t>
      </w:r>
      <w:r>
        <w:rPr>
          <w:rFonts w:hint="default" w:ascii="Times New Roman" w:hAnsi="Times New Roman" w:eastAsia="方正仿宋_GBK" w:cs="Times New Roman"/>
          <w:snapToGrid w:val="0"/>
          <w:kern w:val="0"/>
          <w:sz w:val="32"/>
          <w:szCs w:val="32"/>
          <w:lang w:eastAsia="zh-CN" w:bidi="ar-SA"/>
        </w:rPr>
        <w:t>、</w:t>
      </w:r>
      <w:r>
        <w:rPr>
          <w:rFonts w:hint="eastAsia" w:ascii="Times New Roman" w:hAnsi="Times New Roman" w:eastAsia="方正仿宋_GBK" w:cs="Times New Roman"/>
          <w:snapToGrid w:val="0"/>
          <w:kern w:val="0"/>
          <w:sz w:val="32"/>
          <w:szCs w:val="32"/>
          <w:lang w:val="en-US" w:eastAsia="zh-CN" w:bidi="ar-SA"/>
        </w:rPr>
        <w:t>资金支付</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widowControl w:val="0"/>
        <w:kinsoku/>
        <w:autoSpaceDE/>
        <w:autoSpaceDN/>
        <w:adjustRightInd/>
        <w:spacing w:after="0" w:line="600" w:lineRule="exact"/>
        <w:ind w:firstLine="640" w:firstLineChars="200"/>
        <w:jc w:val="both"/>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属于工伤保险、依法由第三方承担的等应由已有社会保障制度和国家法律规定支付的护理服务费用，长期护理保险基金不予支付。</w:t>
      </w:r>
    </w:p>
    <w:p>
      <w:pPr>
        <w:pStyle w:val="2"/>
        <w:tabs>
          <w:tab w:val="left" w:pos="3549"/>
          <w:tab w:val="clear" w:pos="4153"/>
        </w:tabs>
        <w:bidi w:val="0"/>
        <w:rPr>
          <w:rFonts w:hint="default"/>
          <w:u w:val="single"/>
          <w:lang w:val="en-US" w:eastAsia="zh-CN"/>
        </w:rPr>
      </w:pPr>
      <w:bookmarkStart w:id="1" w:name="_GoBack"/>
      <w:bookmarkEnd w:id="1"/>
    </w:p>
    <w:sectPr>
      <w:footerReference r:id="rId3" w:type="default"/>
      <w:pgSz w:w="11906" w:h="16838"/>
      <w:pgMar w:top="2098" w:right="1474" w:bottom="1984" w:left="1587" w:header="851" w:footer="138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OGZlN2UwNjlkNzExZTYxZmVhMWJiOWRlOTgxZmEifQ=="/>
  </w:docVars>
  <w:rsids>
    <w:rsidRoot w:val="00000000"/>
    <w:rsid w:val="02350006"/>
    <w:rsid w:val="22470507"/>
    <w:rsid w:val="27B34651"/>
    <w:rsid w:val="29E46292"/>
    <w:rsid w:val="33F62651"/>
    <w:rsid w:val="3BEB0291"/>
    <w:rsid w:val="3C265B88"/>
    <w:rsid w:val="46F750FB"/>
    <w:rsid w:val="4CEF6962"/>
    <w:rsid w:val="53B510E6"/>
    <w:rsid w:val="58724F17"/>
    <w:rsid w:val="5D8A79B5"/>
    <w:rsid w:val="5FB41DD9"/>
    <w:rsid w:val="712E1BB0"/>
    <w:rsid w:val="766426BA"/>
    <w:rsid w:val="77EC7BDB"/>
    <w:rsid w:val="7B2A0E45"/>
    <w:rsid w:val="D7DBA15D"/>
    <w:rsid w:val="ED7F7402"/>
    <w:rsid w:val="EFDDF4F6"/>
    <w:rsid w:val="FB14E6CC"/>
    <w:rsid w:val="FBB79563"/>
    <w:rsid w:val="FF1F15CE"/>
    <w:rsid w:val="FF770B97"/>
    <w:rsid w:val="FFFAD5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w:basedOn w:val="1"/>
    <w:qFormat/>
    <w:uiPriority w:val="0"/>
    <w:rPr>
      <w:rFonts w:eastAsia="仿宋_GB2312"/>
      <w:sz w:val="32"/>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4"/>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7">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0"/>
    <w:basedOn w:val="1"/>
    <w:qFormat/>
    <w:uiPriority w:val="0"/>
    <w:pPr>
      <w:widowControl/>
      <w:snapToGrid w:val="0"/>
    </w:pPr>
    <w:rPr>
      <w:rFonts w:eastAsia="仿宋_GB2312"/>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2136</Words>
  <Characters>2166</Characters>
  <Lines>0</Lines>
  <Paragraphs>0</Paragraphs>
  <TotalTime>18</TotalTime>
  <ScaleCrop>false</ScaleCrop>
  <LinksUpToDate>false</LinksUpToDate>
  <CharactersWithSpaces>2170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2021-12-01T08:01:00Z</dcterms:created>
  <dc:creator>HP-02</dc:creator>
  <cp:lastModifiedBy>Administrator</cp:lastModifiedBy>
  <dcterms:modified xsi:type="dcterms:W3CDTF">2023-06-09T07:03:02Z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D87D3A3CE1084814A08EBADAE4BB5A16</vt:lpwstr>
  </property>
</Properties>
</file>