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Times New Roman" w:hAnsi="Times New Roman" w:eastAsia="方正仿宋_GBK"/>
          <w:sz w:val="32"/>
          <w:szCs w:val="32"/>
        </w:rPr>
      </w:pPr>
    </w:p>
    <w:p>
      <w:pPr>
        <w:pStyle w:val="2"/>
        <w:rPr>
          <w:rFonts w:hint="eastAsia"/>
        </w:rPr>
      </w:pPr>
    </w:p>
    <w:p>
      <w:pPr>
        <w:pStyle w:val="2"/>
        <w:rPr>
          <w:rFonts w:hint="eastAsia"/>
        </w:rPr>
      </w:pPr>
    </w:p>
    <w:p>
      <w:pPr>
        <w:pStyle w:val="2"/>
        <w:spacing w:line="680" w:lineRule="exact"/>
        <w:rPr>
          <w:rFonts w:hint="eastAsia"/>
        </w:rPr>
      </w:pPr>
    </w:p>
    <w:p>
      <w:pPr>
        <w:pStyle w:val="2"/>
        <w:rPr>
          <w:rFonts w:hint="eastAsia"/>
        </w:rPr>
      </w:pPr>
    </w:p>
    <w:p>
      <w:pPr>
        <w:pStyle w:val="2"/>
        <w:rPr>
          <w:rFonts w:hint="eastAsia"/>
        </w:rPr>
      </w:pPr>
    </w:p>
    <w:p>
      <w:pPr>
        <w:pStyle w:val="2"/>
        <w:rPr>
          <w:rFonts w:hint="eastAsia"/>
        </w:rPr>
      </w:pPr>
    </w:p>
    <w:p>
      <w:pPr>
        <w:adjustRightInd w:val="0"/>
        <w:snapToGrid w:val="0"/>
        <w:spacing w:line="600" w:lineRule="exact"/>
        <w:jc w:val="center"/>
        <w:rPr>
          <w:rFonts w:ascii="Times New Roman" w:hAnsi="Times New Roman" w:eastAsia="方正仿宋_GBK"/>
          <w:sz w:val="32"/>
          <w:szCs w:val="32"/>
        </w:rPr>
      </w:pPr>
      <w:r>
        <w:rPr>
          <w:rFonts w:hint="eastAsia" w:ascii="Times New Roman" w:hAnsi="Times New Roman" w:eastAsia="方正仿宋_GBK"/>
          <w:sz w:val="32"/>
          <w:szCs w:val="32"/>
          <w:lang w:eastAsia="zh-CN"/>
        </w:rPr>
        <w:t>跳磴党政办</w:t>
      </w:r>
      <w:r>
        <w:rPr>
          <w:rFonts w:ascii="Times New Roman" w:hAnsi="Times New Roman" w:eastAsia="方正仿宋_GBK"/>
          <w:sz w:val="32"/>
          <w:szCs w:val="32"/>
        </w:rPr>
        <w:t>发〔202</w:t>
      </w:r>
      <w:r>
        <w:rPr>
          <w:rFonts w:hint="eastAsia" w:ascii="Times New Roman" w:hAnsi="Times New Roman" w:eastAsia="方正仿宋_GBK"/>
          <w:sz w:val="32"/>
          <w:szCs w:val="32"/>
        </w:rPr>
        <w:t>1</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094</w:t>
      </w:r>
      <w:r>
        <w:rPr>
          <w:rFonts w:ascii="Times New Roman" w:hAnsi="Times New Roman" w:eastAsia="方正仿宋_GBK"/>
          <w:sz w:val="32"/>
          <w:szCs w:val="32"/>
        </w:rPr>
        <w:t>号</w:t>
      </w:r>
    </w:p>
    <w:p>
      <w:pPr>
        <w:spacing w:line="600" w:lineRule="exact"/>
        <w:jc w:val="center"/>
        <w:rPr>
          <w:rFonts w:hint="eastAsia" w:ascii="方正小标宋_GBK" w:hAnsi="Times New Roman" w:eastAsia="方正小标宋_GBK"/>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Times New Roman" w:eastAsia="方正小标宋_GBK"/>
          <w:sz w:val="44"/>
          <w:szCs w:val="44"/>
        </w:rPr>
      </w:pPr>
      <w:bookmarkStart w:id="0" w:name="_GoBack"/>
      <w:r>
        <w:rPr>
          <w:rFonts w:hint="eastAsia" w:ascii="方正小标宋_GBK" w:hAnsi="Times New Roman" w:eastAsia="方正小标宋_GBK"/>
          <w:sz w:val="44"/>
          <w:szCs w:val="44"/>
        </w:rPr>
        <w:t>大渡口区</w:t>
      </w:r>
      <w:r>
        <w:rPr>
          <w:rFonts w:hint="eastAsia" w:ascii="方正小标宋_GBK" w:hAnsi="Times New Roman" w:eastAsia="方正小标宋_GBK"/>
          <w:sz w:val="44"/>
          <w:szCs w:val="44"/>
          <w:lang w:eastAsia="zh-CN"/>
        </w:rPr>
        <w:t>跳磴镇党政</w:t>
      </w:r>
      <w:r>
        <w:rPr>
          <w:rFonts w:hint="eastAsia" w:ascii="方正小标宋_GBK" w:hAnsi="Times New Roman" w:eastAsia="方正小标宋_GBK"/>
          <w:sz w:val="44"/>
          <w:szCs w:val="44"/>
        </w:rPr>
        <w:t>办公室</w:t>
      </w:r>
    </w:p>
    <w:bookmarkEnd w:id="0"/>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关于</w:t>
      </w:r>
      <w:r>
        <w:rPr>
          <w:rFonts w:hint="eastAsia" w:ascii="方正小标宋_GBK" w:hAnsi="Times New Roman" w:eastAsia="方正小标宋_GBK"/>
          <w:sz w:val="44"/>
          <w:szCs w:val="44"/>
          <w:lang w:eastAsia="zh-CN"/>
        </w:rPr>
        <w:t>转发</w:t>
      </w:r>
      <w:r>
        <w:rPr>
          <w:rFonts w:hint="eastAsia" w:ascii="方正小标宋_GBK" w:hAnsi="Times New Roman" w:eastAsia="方正小标宋_GBK"/>
          <w:sz w:val="44"/>
          <w:szCs w:val="44"/>
        </w:rPr>
        <w:t>重庆市大渡口区防止耕地“非粮化”稳定粮食生产实施方案的通知</w:t>
      </w:r>
    </w:p>
    <w:p>
      <w:pPr>
        <w:snapToGrid w:val="0"/>
        <w:spacing w:line="580" w:lineRule="exact"/>
        <w:rPr>
          <w:rFonts w:hint="eastAsia" w:ascii="方正仿宋_GBK" w:hAnsi="仿宋_GB2312" w:eastAsia="方正仿宋_GBK" w:cs="仿宋_GB2312"/>
          <w:kern w:val="0"/>
          <w:sz w:val="32"/>
          <w:szCs w:val="32"/>
        </w:rPr>
      </w:pPr>
    </w:p>
    <w:p>
      <w:pPr>
        <w:snapToGrid w:val="0"/>
        <w:spacing w:line="580" w:lineRule="exact"/>
        <w:rPr>
          <w:rFonts w:hint="eastAsia"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lang w:eastAsia="zh-CN"/>
        </w:rPr>
        <w:t>机关各科室</w:t>
      </w:r>
      <w:r>
        <w:rPr>
          <w:rFonts w:hint="eastAsia" w:ascii="方正仿宋_GBK" w:hAnsi="仿宋_GB2312" w:eastAsia="方正仿宋_GBK" w:cs="仿宋_GB2312"/>
          <w:kern w:val="0"/>
          <w:sz w:val="32"/>
          <w:szCs w:val="32"/>
        </w:rPr>
        <w:t>，</w:t>
      </w:r>
      <w:r>
        <w:rPr>
          <w:rFonts w:hint="eastAsia" w:ascii="方正仿宋_GBK" w:hAnsi="仿宋_GB2312" w:eastAsia="方正仿宋_GBK" w:cs="仿宋_GB2312"/>
          <w:kern w:val="0"/>
          <w:sz w:val="32"/>
          <w:szCs w:val="32"/>
          <w:lang w:eastAsia="zh-CN"/>
        </w:rPr>
        <w:t>各村（社区）</w:t>
      </w:r>
      <w:r>
        <w:rPr>
          <w:rFonts w:hint="eastAsia" w:ascii="方正仿宋_GBK" w:hAnsi="仿宋_GB2312" w:eastAsia="方正仿宋_GBK" w:cs="仿宋_GB2312"/>
          <w:kern w:val="0"/>
          <w:sz w:val="32"/>
          <w:szCs w:val="32"/>
        </w:rPr>
        <w:t>：</w:t>
      </w:r>
    </w:p>
    <w:p>
      <w:pPr>
        <w:snapToGrid w:val="0"/>
        <w:spacing w:line="580" w:lineRule="exact"/>
        <w:ind w:firstLine="640"/>
        <w:rPr>
          <w:rFonts w:hint="eastAsia"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经</w:t>
      </w:r>
      <w:r>
        <w:rPr>
          <w:rFonts w:hint="eastAsia" w:ascii="方正仿宋_GBK" w:hAnsi="仿宋_GB2312" w:eastAsia="方正仿宋_GBK" w:cs="仿宋_GB2312"/>
          <w:kern w:val="0"/>
          <w:sz w:val="32"/>
          <w:szCs w:val="32"/>
          <w:lang w:eastAsia="zh-CN"/>
        </w:rPr>
        <w:t>镇</w:t>
      </w:r>
      <w:r>
        <w:rPr>
          <w:rFonts w:hint="eastAsia" w:ascii="方正仿宋_GBK" w:hAnsi="仿宋_GB2312" w:eastAsia="方正仿宋_GBK" w:cs="仿宋_GB2312"/>
          <w:kern w:val="0"/>
          <w:sz w:val="32"/>
          <w:szCs w:val="32"/>
        </w:rPr>
        <w:t>政府同意，</w:t>
      </w:r>
      <w:r>
        <w:rPr>
          <w:rFonts w:hint="eastAsia" w:ascii="方正仿宋_GBK" w:hAnsi="仿宋_GB2312" w:eastAsia="方正仿宋_GBK" w:cs="仿宋_GB2312"/>
          <w:kern w:val="0"/>
          <w:sz w:val="32"/>
          <w:szCs w:val="32"/>
          <w:lang w:eastAsia="zh-CN"/>
        </w:rPr>
        <w:t>现将</w:t>
      </w:r>
      <w:r>
        <w:rPr>
          <w:rFonts w:hint="eastAsia" w:ascii="方正仿宋_GBK" w:hAnsi="仿宋_GB2312" w:eastAsia="方正仿宋_GBK" w:cs="仿宋_GB2312"/>
          <w:kern w:val="0"/>
          <w:sz w:val="32"/>
          <w:szCs w:val="32"/>
        </w:rPr>
        <w:t>《重庆市大渡口区防止耕地“非粮化”稳定粮食生产实施方案》</w:t>
      </w:r>
      <w:r>
        <w:rPr>
          <w:rFonts w:hint="eastAsia" w:ascii="方正仿宋_GBK" w:hAnsi="仿宋_GB2312" w:eastAsia="方正仿宋_GBK" w:cs="仿宋_GB2312"/>
          <w:kern w:val="0"/>
          <w:sz w:val="32"/>
          <w:szCs w:val="32"/>
          <w:lang w:eastAsia="zh-CN"/>
        </w:rPr>
        <w:t>转发</w:t>
      </w:r>
      <w:r>
        <w:rPr>
          <w:rFonts w:hint="eastAsia" w:ascii="方正仿宋_GBK" w:hAnsi="仿宋_GB2312" w:eastAsia="方正仿宋_GBK" w:cs="仿宋_GB2312"/>
          <w:kern w:val="0"/>
          <w:sz w:val="32"/>
          <w:szCs w:val="32"/>
        </w:rPr>
        <w:t>给你们</w:t>
      </w:r>
      <w:r>
        <w:rPr>
          <w:rFonts w:hint="eastAsia" w:ascii="方正仿宋_GBK" w:hAnsi="仿宋_GB2312" w:eastAsia="方正仿宋_GBK" w:cs="仿宋_GB2312"/>
          <w:kern w:val="0"/>
          <w:sz w:val="32"/>
          <w:szCs w:val="32"/>
          <w:lang w:eastAsia="zh-CN"/>
        </w:rPr>
        <w:t>。</w:t>
      </w:r>
      <w:r>
        <w:rPr>
          <w:rFonts w:hint="eastAsia" w:ascii="方正仿宋_GBK" w:hAnsi="仿宋_GB2312" w:eastAsia="方正仿宋_GBK" w:cs="仿宋_GB2312"/>
          <w:kern w:val="0"/>
          <w:sz w:val="32"/>
          <w:szCs w:val="32"/>
        </w:rPr>
        <w:t>请</w:t>
      </w:r>
      <w:r>
        <w:rPr>
          <w:rFonts w:hint="eastAsia" w:ascii="方正仿宋_GBK" w:hAnsi="仿宋_GB2312" w:eastAsia="方正仿宋_GBK" w:cs="仿宋_GB2312"/>
          <w:kern w:val="0"/>
          <w:sz w:val="32"/>
          <w:szCs w:val="32"/>
          <w:lang w:eastAsia="zh-CN"/>
        </w:rPr>
        <w:t>相关科室按照职责分工，加强宣传引导和规范管理，切实抓好耕地种粮情况监测。各村（社区）强化巡查检查，</w:t>
      </w:r>
      <w:r>
        <w:rPr>
          <w:rFonts w:hint="eastAsia" w:ascii="方正仿宋_GBK" w:hAnsi="Times New Roman" w:eastAsia="方正仿宋_GBK"/>
          <w:sz w:val="32"/>
          <w:szCs w:val="32"/>
        </w:rPr>
        <w:t>切实防止耕地“非粮化”，有效稳定粮食生产</w:t>
      </w:r>
      <w:r>
        <w:rPr>
          <w:rFonts w:hint="eastAsia" w:ascii="方正仿宋_GBK" w:hAnsi="仿宋_GB2312" w:eastAsia="方正仿宋_GBK" w:cs="仿宋_GB2312"/>
          <w:kern w:val="0"/>
          <w:sz w:val="32"/>
          <w:szCs w:val="32"/>
        </w:rPr>
        <w:t>。</w:t>
      </w:r>
    </w:p>
    <w:p>
      <w:pPr>
        <w:snapToGrid w:val="0"/>
        <w:spacing w:line="580" w:lineRule="exact"/>
        <w:rPr>
          <w:rFonts w:hint="eastAsia" w:ascii="方正仿宋_GBK" w:hAnsi="仿宋_GB2312" w:eastAsia="方正仿宋_GBK" w:cs="仿宋_GB2312"/>
          <w:kern w:val="0"/>
          <w:sz w:val="32"/>
          <w:szCs w:val="32"/>
        </w:rPr>
      </w:pPr>
    </w:p>
    <w:p>
      <w:pPr>
        <w:pStyle w:val="2"/>
        <w:rPr>
          <w:rFonts w:hint="eastAsia"/>
        </w:rPr>
      </w:pPr>
    </w:p>
    <w:p>
      <w:pPr>
        <w:snapToGrid w:val="0"/>
        <w:spacing w:line="580" w:lineRule="exact"/>
        <w:ind w:firstLine="640"/>
        <w:jc w:val="center"/>
        <w:rPr>
          <w:rFonts w:hint="eastAsia"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lang w:val="en-US" w:eastAsia="zh-CN"/>
        </w:rPr>
        <w:t xml:space="preserve">                  </w:t>
      </w:r>
      <w:r>
        <w:rPr>
          <w:rFonts w:hint="eastAsia" w:ascii="方正仿宋_GBK" w:hAnsi="仿宋_GB2312" w:eastAsia="方正仿宋_GBK" w:cs="仿宋_GB2312"/>
          <w:kern w:val="0"/>
          <w:sz w:val="32"/>
          <w:szCs w:val="32"/>
        </w:rPr>
        <w:t>大渡口区</w:t>
      </w:r>
      <w:r>
        <w:rPr>
          <w:rFonts w:hint="eastAsia" w:ascii="方正仿宋_GBK" w:hAnsi="仿宋_GB2312" w:eastAsia="方正仿宋_GBK" w:cs="仿宋_GB2312"/>
          <w:kern w:val="0"/>
          <w:sz w:val="32"/>
          <w:szCs w:val="32"/>
          <w:lang w:eastAsia="zh-CN"/>
        </w:rPr>
        <w:t>跳磴镇党政</w:t>
      </w:r>
      <w:r>
        <w:rPr>
          <w:rFonts w:hint="eastAsia" w:ascii="方正仿宋_GBK" w:hAnsi="仿宋_GB2312" w:eastAsia="方正仿宋_GBK" w:cs="仿宋_GB2312"/>
          <w:kern w:val="0"/>
          <w:sz w:val="32"/>
          <w:szCs w:val="32"/>
        </w:rPr>
        <w:t>办公室</w:t>
      </w:r>
    </w:p>
    <w:p>
      <w:pPr>
        <w:snapToGrid w:val="0"/>
        <w:spacing w:line="580" w:lineRule="exact"/>
        <w:ind w:right="640" w:firstLine="640"/>
        <w:jc w:val="center"/>
        <w:rPr>
          <w:rFonts w:hint="eastAsia" w:ascii="Times New Roman" w:hAnsi="Times New Roman"/>
          <w:kern w:val="0"/>
          <w:sz w:val="32"/>
          <w:szCs w:val="32"/>
        </w:rPr>
      </w:pPr>
      <w:r>
        <w:rPr>
          <w:rFonts w:hint="eastAsia" w:ascii="方正仿宋_GBK" w:hAnsi="仿宋_GB2312" w:eastAsia="方正仿宋_GBK" w:cs="仿宋_GB2312"/>
          <w:kern w:val="0"/>
          <w:sz w:val="32"/>
          <w:szCs w:val="32"/>
        </w:rPr>
        <w:t xml:space="preserve">                          2021年11月</w:t>
      </w:r>
      <w:r>
        <w:rPr>
          <w:rFonts w:hint="eastAsia" w:ascii="方正仿宋_GBK" w:hAnsi="仿宋_GB2312" w:eastAsia="方正仿宋_GBK" w:cs="仿宋_GB2312"/>
          <w:kern w:val="0"/>
          <w:sz w:val="32"/>
          <w:szCs w:val="32"/>
          <w:lang w:val="en-US" w:eastAsia="zh-CN"/>
        </w:rPr>
        <w:t>29</w:t>
      </w:r>
      <w:r>
        <w:rPr>
          <w:rFonts w:hint="eastAsia" w:ascii="方正仿宋_GBK" w:hAnsi="仿宋_GB2312" w:eastAsia="方正仿宋_GBK" w:cs="仿宋_GB2312"/>
          <w:kern w:val="0"/>
          <w:sz w:val="32"/>
          <w:szCs w:val="32"/>
        </w:rPr>
        <w:t>日</w:t>
      </w:r>
    </w:p>
    <w:p>
      <w:pPr>
        <w:snapToGrid w:val="0"/>
        <w:spacing w:line="720" w:lineRule="atLeast"/>
        <w:jc w:val="center"/>
        <w:rPr>
          <w:rFonts w:hint="eastAsia" w:eastAsia="方正小标宋_GBK"/>
          <w:sz w:val="44"/>
          <w:szCs w:val="44"/>
        </w:rPr>
      </w:pPr>
    </w:p>
    <w:p>
      <w:pPr>
        <w:snapToGrid w:val="0"/>
        <w:spacing w:line="720" w:lineRule="atLeast"/>
        <w:jc w:val="center"/>
        <w:rPr>
          <w:rFonts w:hint="eastAsia" w:eastAsia="方正小标宋_GBK"/>
          <w:sz w:val="44"/>
          <w:szCs w:val="44"/>
        </w:rPr>
      </w:pPr>
    </w:p>
    <w:p>
      <w:pPr>
        <w:snapToGrid w:val="0"/>
        <w:spacing w:line="720" w:lineRule="atLeast"/>
        <w:jc w:val="center"/>
        <w:rPr>
          <w:rFonts w:hint="eastAsia" w:eastAsia="方正小标宋_GBK"/>
          <w:sz w:val="44"/>
          <w:szCs w:val="44"/>
        </w:rPr>
      </w:pPr>
    </w:p>
    <w:p>
      <w:pPr>
        <w:snapToGrid w:val="0"/>
        <w:spacing w:line="720" w:lineRule="atLeast"/>
        <w:jc w:val="center"/>
        <w:rPr>
          <w:rFonts w:hint="eastAsia" w:eastAsia="方正小标宋_GBK"/>
          <w:sz w:val="44"/>
          <w:szCs w:val="44"/>
        </w:rPr>
      </w:pPr>
    </w:p>
    <w:p>
      <w:pPr>
        <w:snapToGrid w:val="0"/>
        <w:spacing w:line="720" w:lineRule="atLeast"/>
        <w:jc w:val="center"/>
        <w:rPr>
          <w:rFonts w:hint="eastAsia" w:eastAsia="方正小标宋_GBK"/>
          <w:sz w:val="44"/>
          <w:szCs w:val="44"/>
        </w:rPr>
      </w:pPr>
    </w:p>
    <w:p>
      <w:pPr>
        <w:snapToGrid w:val="0"/>
        <w:spacing w:line="720" w:lineRule="atLeast"/>
        <w:jc w:val="center"/>
        <w:rPr>
          <w:rFonts w:hint="eastAsia" w:eastAsia="方正小标宋_GBK"/>
          <w:sz w:val="44"/>
          <w:szCs w:val="44"/>
        </w:rPr>
      </w:pPr>
    </w:p>
    <w:p>
      <w:pPr>
        <w:snapToGrid w:val="0"/>
        <w:spacing w:line="720" w:lineRule="atLeast"/>
        <w:jc w:val="center"/>
        <w:rPr>
          <w:rFonts w:hint="eastAsia" w:eastAsia="方正小标宋_GBK"/>
          <w:sz w:val="44"/>
          <w:szCs w:val="44"/>
        </w:rPr>
      </w:pPr>
    </w:p>
    <w:p>
      <w:pPr>
        <w:snapToGrid w:val="0"/>
        <w:spacing w:line="720" w:lineRule="atLeast"/>
        <w:jc w:val="center"/>
        <w:rPr>
          <w:rFonts w:hint="eastAsia" w:eastAsia="方正小标宋_GBK"/>
          <w:sz w:val="44"/>
          <w:szCs w:val="44"/>
        </w:rPr>
      </w:pPr>
    </w:p>
    <w:p>
      <w:pPr>
        <w:snapToGrid w:val="0"/>
        <w:spacing w:line="720" w:lineRule="atLeast"/>
        <w:jc w:val="center"/>
        <w:rPr>
          <w:rFonts w:hint="eastAsia" w:eastAsia="方正小标宋_GBK"/>
          <w:sz w:val="44"/>
          <w:szCs w:val="44"/>
        </w:rPr>
      </w:pPr>
    </w:p>
    <w:p>
      <w:pPr>
        <w:snapToGrid w:val="0"/>
        <w:spacing w:line="720" w:lineRule="atLeast"/>
        <w:jc w:val="center"/>
        <w:rPr>
          <w:rFonts w:hint="eastAsia" w:eastAsia="方正小标宋_GBK"/>
          <w:sz w:val="44"/>
          <w:szCs w:val="44"/>
        </w:rPr>
      </w:pPr>
    </w:p>
    <w:p>
      <w:pPr>
        <w:snapToGrid w:val="0"/>
        <w:spacing w:line="720" w:lineRule="atLeast"/>
        <w:jc w:val="center"/>
        <w:rPr>
          <w:rFonts w:hint="eastAsia" w:eastAsia="方正小标宋_GBK"/>
          <w:sz w:val="44"/>
          <w:szCs w:val="44"/>
        </w:rPr>
      </w:pPr>
    </w:p>
    <w:p>
      <w:pPr>
        <w:snapToGrid w:val="0"/>
        <w:spacing w:line="720" w:lineRule="atLeast"/>
        <w:jc w:val="center"/>
        <w:rPr>
          <w:rFonts w:hint="eastAsia" w:eastAsia="方正小标宋_GBK"/>
          <w:sz w:val="44"/>
          <w:szCs w:val="44"/>
        </w:rPr>
      </w:pPr>
    </w:p>
    <w:p>
      <w:pPr>
        <w:snapToGrid w:val="0"/>
        <w:spacing w:line="720" w:lineRule="atLeast"/>
        <w:jc w:val="center"/>
        <w:rPr>
          <w:rFonts w:hint="eastAsia" w:eastAsia="方正小标宋_GBK"/>
          <w:sz w:val="44"/>
          <w:szCs w:val="44"/>
        </w:rPr>
      </w:pPr>
    </w:p>
    <w:p>
      <w:pPr>
        <w:snapToGrid w:val="0"/>
        <w:spacing w:line="720" w:lineRule="atLeast"/>
        <w:jc w:val="center"/>
        <w:rPr>
          <w:rFonts w:hint="eastAsia" w:eastAsia="方正小标宋_GBK"/>
          <w:sz w:val="44"/>
          <w:szCs w:val="44"/>
        </w:rPr>
      </w:pPr>
    </w:p>
    <w:p>
      <w:pPr>
        <w:snapToGrid w:val="0"/>
        <w:spacing w:line="720" w:lineRule="atLeast"/>
        <w:jc w:val="center"/>
        <w:rPr>
          <w:rFonts w:hint="eastAsia" w:eastAsia="方正小标宋_GBK"/>
          <w:sz w:val="44"/>
          <w:szCs w:val="44"/>
        </w:rPr>
      </w:pPr>
    </w:p>
    <w:p>
      <w:pPr>
        <w:snapToGrid w:val="0"/>
        <w:spacing w:line="720" w:lineRule="atLeast"/>
        <w:jc w:val="center"/>
        <w:rPr>
          <w:rFonts w:hint="eastAsia" w:eastAsia="方正小标宋_GBK"/>
          <w:sz w:val="44"/>
          <w:szCs w:val="44"/>
        </w:rPr>
      </w:pPr>
      <w:r>
        <w:rPr>
          <w:rFonts w:hint="eastAsia" w:eastAsia="方正小标宋_GBK"/>
          <w:sz w:val="44"/>
          <w:szCs w:val="44"/>
        </w:rPr>
        <w:t>重庆市</w:t>
      </w:r>
      <w:r>
        <w:rPr>
          <w:rFonts w:eastAsia="方正小标宋_GBK"/>
          <w:sz w:val="44"/>
          <w:szCs w:val="44"/>
        </w:rPr>
        <w:t>大渡口区</w:t>
      </w:r>
      <w:r>
        <w:rPr>
          <w:rFonts w:hint="eastAsia" w:eastAsia="方正小标宋_GBK"/>
          <w:sz w:val="44"/>
          <w:szCs w:val="44"/>
        </w:rPr>
        <w:t>防止耕地“非粮化”</w:t>
      </w:r>
    </w:p>
    <w:p>
      <w:pPr>
        <w:snapToGrid w:val="0"/>
        <w:spacing w:line="720" w:lineRule="atLeast"/>
        <w:jc w:val="center"/>
        <w:rPr>
          <w:rFonts w:hint="eastAsia" w:eastAsia="方正小标宋_GBK"/>
          <w:sz w:val="44"/>
          <w:szCs w:val="44"/>
        </w:rPr>
      </w:pPr>
      <w:r>
        <w:rPr>
          <w:rFonts w:hint="eastAsia" w:eastAsia="方正小标宋_GBK"/>
          <w:sz w:val="44"/>
          <w:szCs w:val="44"/>
        </w:rPr>
        <w:t>稳定粮食生产实施方案</w:t>
      </w:r>
    </w:p>
    <w:p>
      <w:pPr>
        <w:spacing w:line="580" w:lineRule="exact"/>
        <w:rPr>
          <w:rFonts w:ascii="Times New Roman" w:hAnsi="Times New Roman" w:eastAsia="方正仿宋_GBK"/>
          <w:sz w:val="32"/>
          <w:szCs w:val="32"/>
        </w:rPr>
      </w:pPr>
    </w:p>
    <w:p>
      <w:pPr>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耕地是粮食安全的基础，事关民生福祉和国家安全。按照《国务院办公厅关于防止耕地“非粮化”稳定粮食生产的意见》（国办发〔2020〕44号）、《重庆市人民政府办公厅关于防止耕地“非粮化”稳定粮食生产的实施意见》（渝府办发〔2021〕20号）要求，为切实防止耕地“非粮化”，有效稳定粮食生产，结合全区实际，制定本实施方案。</w:t>
      </w:r>
    </w:p>
    <w:p>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ind w:firstLine="640" w:firstLineChars="200"/>
        <w:rPr>
          <w:rFonts w:hint="eastAsia" w:ascii="方正仿宋_GBK" w:hAnsi="Times New Roman" w:eastAsia="方正仿宋_GBK"/>
          <w:sz w:val="32"/>
          <w:szCs w:val="32"/>
        </w:rPr>
      </w:pPr>
      <w:r>
        <w:rPr>
          <w:rFonts w:hint="eastAsia" w:eastAsia="方正楷体_GBK"/>
          <w:sz w:val="32"/>
          <w:szCs w:val="32"/>
        </w:rPr>
        <w:t>（一）指导思想。</w:t>
      </w:r>
      <w:r>
        <w:rPr>
          <w:rFonts w:hint="eastAsia" w:ascii="方正仿宋_GBK" w:hAnsi="Times New Roman" w:eastAsia="方正仿宋_GBK"/>
          <w:sz w:val="32"/>
          <w:szCs w:val="32"/>
        </w:rPr>
        <w:t>坚持以习近平新时代中国特色社会主义思想为指导，深入贯彻习近平总书记关于耕地保护和粮食安全的系列重要指示精神，全面落实习近平总书记对重庆提出的营造良好政治生态，坚持“两点”定位、“两地”“两高”目标，发挥“三个作用”和推动成渝地区双城经济圈建设等重要指示要求，准确把握新发展阶段，深入践行新发展理念，积极融入新发展格局，切实担当新发展使命，正确处理好发展粮食生产和发挥比较效益的关系，把确保国家粮食安全作为“三农”工作的首要任务，把稳定粮食生产作为农业供给侧结构性改革的前提，实施最严格的耕地保护制度，坚持管控、建设、激励并举，切实防止耕地“非粮化”，着力稳政策、稳面积、稳产量，不断巩固提升粮食综合生产能力，为稳定经济社会发展大局提供坚实支撑。</w:t>
      </w:r>
    </w:p>
    <w:p>
      <w:pPr>
        <w:ind w:firstLine="640" w:firstLineChars="200"/>
        <w:rPr>
          <w:rFonts w:ascii="方正仿宋_GBK" w:hAnsi="Times New Roman" w:eastAsia="方正仿宋_GBK"/>
          <w:sz w:val="32"/>
          <w:szCs w:val="32"/>
        </w:rPr>
      </w:pPr>
      <w:r>
        <w:rPr>
          <w:rFonts w:hint="eastAsia" w:eastAsia="方正楷体_GBK"/>
          <w:sz w:val="32"/>
          <w:szCs w:val="32"/>
        </w:rPr>
        <w:t>（二）主要目标。“</w:t>
      </w:r>
      <w:r>
        <w:rPr>
          <w:rFonts w:hint="eastAsia" w:ascii="方正仿宋_GBK" w:hAnsi="Times New Roman" w:eastAsia="方正仿宋_GBK"/>
          <w:sz w:val="32"/>
          <w:szCs w:val="32"/>
        </w:rPr>
        <w:t>十四五”时期，构建完善粮食安全保障政策机制，建设高标准农田面积不低于4000亩，集中连片撂荒地逐步复耕，耕地基础地力稳步提升，粮食播种面积和产量保持稳定，粮食播种面积不低于2000亩，粮食产量不低于600吨。</w:t>
      </w:r>
    </w:p>
    <w:p>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二、重点任务</w:t>
      </w:r>
    </w:p>
    <w:p>
      <w:pPr>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rPr>
        <w:t>（一）坚持将耕地优先用于粮食生产。</w:t>
      </w:r>
      <w:r>
        <w:rPr>
          <w:rFonts w:hint="eastAsia" w:ascii="方正仿宋_GBK" w:hAnsi="Times New Roman" w:eastAsia="方正仿宋_GBK"/>
          <w:sz w:val="32"/>
          <w:szCs w:val="32"/>
        </w:rPr>
        <w:t>正确处理农业结构调整与粮食生产的关系，农业结构调整要以不影响粮食生产为前提。明确耕地利用优先序，对耕地实行特殊保护和用途管制，严格控制耕地转为林地、园地等其他类型农用地。永久基本农田要重点用于发展粮食生产，特别是稻谷、玉米等谷物种植。一般耕地应主要用于粮油、蔬菜等农产品。耕地在优先满足粮食和食用农产品生产基础上，适度用于非食用农产品生产。（责任单位：区农业农村委</w:t>
      </w:r>
      <w:r>
        <w:rPr>
          <w:rFonts w:hint="eastAsia" w:ascii="方正仿宋_GBK" w:hAnsi="Times New Roman" w:eastAsia="方正仿宋_GBK"/>
          <w:sz w:val="32"/>
          <w:szCs w:val="32"/>
          <w:lang w:eastAsia="zh-CN"/>
        </w:rPr>
        <w:t>、</w:t>
      </w:r>
      <w:r>
        <w:rPr>
          <w:rFonts w:hint="eastAsia" w:ascii="方正仿宋_GBK" w:hAnsi="Times New Roman" w:eastAsia="方正仿宋_GBK"/>
          <w:sz w:val="32"/>
          <w:szCs w:val="32"/>
        </w:rPr>
        <w:t>各镇</w:t>
      </w:r>
      <w:r>
        <w:rPr>
          <w:rFonts w:hint="eastAsia" w:ascii="方正仿宋_GBK" w:hAnsi="Times New Roman" w:eastAsia="方正仿宋_GBK"/>
          <w:sz w:val="32"/>
          <w:szCs w:val="32"/>
          <w:lang w:eastAsia="zh-CN"/>
        </w:rPr>
        <w:t>人民政府</w:t>
      </w:r>
      <w:r>
        <w:rPr>
          <w:rFonts w:hint="eastAsia" w:ascii="方正仿宋_GBK" w:hAnsi="Times New Roman" w:eastAsia="方正仿宋_GBK"/>
          <w:sz w:val="32"/>
          <w:szCs w:val="32"/>
        </w:rPr>
        <w:t>）</w:t>
      </w:r>
    </w:p>
    <w:p>
      <w:pPr>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rPr>
        <w:t>（二）严禁违规占用永久基本农田种树挖塘。</w:t>
      </w:r>
      <w:r>
        <w:rPr>
          <w:rFonts w:hint="eastAsia" w:ascii="方正仿宋_GBK" w:hAnsi="Times New Roman" w:eastAsia="方正仿宋_GBK"/>
          <w:sz w:val="32"/>
          <w:szCs w:val="32"/>
        </w:rPr>
        <w:t>认真贯彻《土地管理法》《基本农田保护条例》有关规定，明确耕地和永久基本农田不同的管制目标和管制强度，落实耕地保护目标和永久基本农田保护任务。禁止占用永久基本农田从事林果业、挖塘养鱼、非法取土等破坏耕作层的行为。禁止闲置、荒芜永久基本农田。利用永久基本农田发展稻渔、稻虾、稻蟹等综合立体种养，沟坑占比要符合相关技术规范通则标准。（责任单位：区规划自然资源局、区农业农村委</w:t>
      </w:r>
      <w:r>
        <w:rPr>
          <w:rFonts w:hint="eastAsia" w:ascii="方正仿宋_GBK" w:hAnsi="Times New Roman" w:eastAsia="方正仿宋_GBK"/>
          <w:sz w:val="32"/>
          <w:szCs w:val="32"/>
          <w:lang w:eastAsia="zh-CN"/>
        </w:rPr>
        <w:t>、</w:t>
      </w:r>
      <w:r>
        <w:rPr>
          <w:rFonts w:hint="eastAsia" w:ascii="方正仿宋_GBK" w:hAnsi="Times New Roman" w:eastAsia="方正仿宋_GBK"/>
          <w:sz w:val="32"/>
          <w:szCs w:val="32"/>
        </w:rPr>
        <w:t>各镇</w:t>
      </w:r>
      <w:r>
        <w:rPr>
          <w:rFonts w:hint="eastAsia" w:ascii="方正仿宋_GBK" w:hAnsi="Times New Roman" w:eastAsia="方正仿宋_GBK"/>
          <w:sz w:val="32"/>
          <w:szCs w:val="32"/>
          <w:lang w:eastAsia="zh-CN"/>
        </w:rPr>
        <w:t>人民政府</w:t>
      </w:r>
      <w:r>
        <w:rPr>
          <w:rFonts w:hint="eastAsia" w:ascii="方正仿宋_GBK" w:hAnsi="Times New Roman" w:eastAsia="方正仿宋_GBK"/>
          <w:sz w:val="32"/>
          <w:szCs w:val="32"/>
        </w:rPr>
        <w:t>）</w:t>
      </w:r>
    </w:p>
    <w:p>
      <w:pPr>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rPr>
        <w:t>（三）稳定粮食生产面积。</w:t>
      </w:r>
      <w:r>
        <w:rPr>
          <w:rFonts w:hint="eastAsia" w:ascii="方正仿宋_GBK" w:hAnsi="Times New Roman" w:eastAsia="方正仿宋_GBK"/>
          <w:sz w:val="32"/>
          <w:szCs w:val="32"/>
        </w:rPr>
        <w:t>严防耕地“非粮化”增量，摸清存量问题情况，从实际出发，分类稳妥处置，不搞“一刀切”。制定粮食安全任务清单，落实面积和产量任务，建立生产调度和通报机制。认真贯彻落实《土地管理法》《农村土地承包法》有关规定，防止耕地撂荒。要建立撂荒耕地摸排机制，采取切实有效措施，积极动员农户复耕复种，或采取村集体代耕代种、托管服务等形式，重点用于发展粮食生产。健全农村土地经营权流转管理制度，加强工商资本租赁农地备案管理，引导土地优先向种粮主体流转。对工商资本违反相关产业发展规划大规模流转耕地不种粮的“非粮化”行为，立即停止其享受相关扶持政策，并坚决予以纠正。实施粮食稳产提质增效行动，调整优化粮食种植结构，大力发展优质稻、优质玉米等特色效益粮食。支持和鼓励在现有经济作物中间（套）种粮食作物。（责任单位：区农业农村委、区规划自然资源局</w:t>
      </w:r>
      <w:r>
        <w:rPr>
          <w:rFonts w:hint="eastAsia" w:ascii="方正仿宋_GBK" w:hAnsi="Times New Roman" w:eastAsia="方正仿宋_GBK"/>
          <w:sz w:val="32"/>
          <w:szCs w:val="32"/>
          <w:lang w:eastAsia="zh-CN"/>
        </w:rPr>
        <w:t>、</w:t>
      </w:r>
      <w:r>
        <w:rPr>
          <w:rFonts w:hint="eastAsia" w:ascii="方正仿宋_GBK" w:hAnsi="Times New Roman" w:eastAsia="方正仿宋_GBK"/>
          <w:sz w:val="32"/>
          <w:szCs w:val="32"/>
        </w:rPr>
        <w:t>各镇</w:t>
      </w:r>
      <w:r>
        <w:rPr>
          <w:rFonts w:hint="eastAsia" w:ascii="方正仿宋_GBK" w:hAnsi="Times New Roman" w:eastAsia="方正仿宋_GBK"/>
          <w:sz w:val="32"/>
          <w:szCs w:val="32"/>
          <w:lang w:eastAsia="zh-CN"/>
        </w:rPr>
        <w:t>人民政府</w:t>
      </w:r>
      <w:r>
        <w:rPr>
          <w:rFonts w:hint="eastAsia" w:ascii="方正仿宋_GBK" w:hAnsi="Times New Roman" w:eastAsia="方正仿宋_GBK"/>
          <w:sz w:val="32"/>
          <w:szCs w:val="32"/>
        </w:rPr>
        <w:t>）</w:t>
      </w:r>
    </w:p>
    <w:p>
      <w:pPr>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rPr>
        <w:t>（四）加强粮食产能建设。</w:t>
      </w:r>
      <w:r>
        <w:rPr>
          <w:rFonts w:hint="eastAsia" w:ascii="方正仿宋_GBK" w:hAnsi="Times New Roman" w:eastAsia="方正仿宋_GBK"/>
          <w:sz w:val="32"/>
          <w:szCs w:val="32"/>
        </w:rPr>
        <w:t>落实藏粮于地、藏粮于技战略，加强耕地质量保护提升和农业技术装备支撑。实施“千年良田”建设工程，整村推进高标准农田建设和农田宜机化改造，加强农田水利建设，推广高效节水灌溉技术。探索建设占用耕地耕作层剥离再利用，强化农田生态系统保育及退化农田改良修复，推广土地翻耕、秸秆还田、种植绿肥、施用有机肥等技术，稳步提升耕地基础地力。（责任单位：区农业农村委、区规划自然资源局</w:t>
      </w:r>
      <w:r>
        <w:rPr>
          <w:rFonts w:hint="eastAsia" w:ascii="方正仿宋_GBK" w:hAnsi="Times New Roman" w:eastAsia="方正仿宋_GBK"/>
          <w:sz w:val="32"/>
          <w:szCs w:val="32"/>
          <w:lang w:eastAsia="zh-CN"/>
        </w:rPr>
        <w:t>、</w:t>
      </w:r>
      <w:r>
        <w:rPr>
          <w:rFonts w:hint="eastAsia" w:ascii="方正仿宋_GBK" w:hAnsi="Times New Roman" w:eastAsia="方正仿宋_GBK"/>
          <w:sz w:val="32"/>
          <w:szCs w:val="32"/>
        </w:rPr>
        <w:t>各镇</w:t>
      </w:r>
      <w:r>
        <w:rPr>
          <w:rFonts w:hint="eastAsia" w:ascii="方正仿宋_GBK" w:hAnsi="Times New Roman" w:eastAsia="方正仿宋_GBK"/>
          <w:sz w:val="32"/>
          <w:szCs w:val="32"/>
          <w:lang w:eastAsia="zh-CN"/>
        </w:rPr>
        <w:t>人民政府</w:t>
      </w:r>
      <w:r>
        <w:rPr>
          <w:rFonts w:hint="eastAsia" w:ascii="方正仿宋_GBK" w:hAnsi="Times New Roman" w:eastAsia="方正仿宋_GBK"/>
          <w:sz w:val="32"/>
          <w:szCs w:val="32"/>
        </w:rPr>
        <w:t>）</w:t>
      </w:r>
    </w:p>
    <w:p>
      <w:pPr>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rPr>
        <w:t>（五）培育发展种粮主体。</w:t>
      </w:r>
      <w:r>
        <w:rPr>
          <w:rFonts w:hint="eastAsia" w:ascii="方正仿宋_GBK" w:hAnsi="Times New Roman" w:eastAsia="方正仿宋_GBK"/>
          <w:sz w:val="32"/>
          <w:szCs w:val="32"/>
        </w:rPr>
        <w:t>实施种粮大户补助政策，引导粮食种植大户、家庭农场、农民专业合作社、农村集体组织有序扩大生产，开展适度规模经营，提高粮食生产经营效益。鼓励和引导工商资本到农村从事良种繁育、粮食加工流通和粮食生产专业化社会化服务，打造特色粮油品牌。大力培育粮食生产服务组织，推进代耕代种、统防统治、土地托管等社会化服务。支持从事粮食生产经营的家庭农场、农民专业合作社、农村集体经济组织、农产品加工企业等开展示范创建，申报和实施农业生产社会化服务项目。（责任单位：区农业农村委、区发展改革委、区供销合作社</w:t>
      </w:r>
      <w:r>
        <w:rPr>
          <w:rFonts w:hint="eastAsia" w:ascii="方正仿宋_GBK" w:hAnsi="Times New Roman" w:eastAsia="方正仿宋_GBK"/>
          <w:sz w:val="32"/>
          <w:szCs w:val="32"/>
          <w:lang w:eastAsia="zh-CN"/>
        </w:rPr>
        <w:t>、</w:t>
      </w:r>
      <w:r>
        <w:rPr>
          <w:rFonts w:hint="eastAsia" w:ascii="方正仿宋_GBK" w:hAnsi="Times New Roman" w:eastAsia="方正仿宋_GBK"/>
          <w:sz w:val="32"/>
          <w:szCs w:val="32"/>
        </w:rPr>
        <w:t>各镇</w:t>
      </w:r>
      <w:r>
        <w:rPr>
          <w:rFonts w:hint="eastAsia" w:ascii="方正仿宋_GBK" w:hAnsi="Times New Roman" w:eastAsia="方正仿宋_GBK"/>
          <w:sz w:val="32"/>
          <w:szCs w:val="32"/>
          <w:lang w:eastAsia="zh-CN"/>
        </w:rPr>
        <w:t>人民政府</w:t>
      </w:r>
      <w:r>
        <w:rPr>
          <w:rFonts w:hint="eastAsia" w:ascii="方正仿宋_GBK" w:hAnsi="Times New Roman" w:eastAsia="方正仿宋_GBK"/>
          <w:sz w:val="32"/>
          <w:szCs w:val="32"/>
        </w:rPr>
        <w:t>）</w:t>
      </w:r>
    </w:p>
    <w:p>
      <w:pPr>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rPr>
        <w:t>（六）完善种粮支持政策。</w:t>
      </w:r>
      <w:r>
        <w:rPr>
          <w:rFonts w:hint="eastAsia" w:ascii="方正仿宋_GBK" w:hAnsi="Times New Roman" w:eastAsia="方正仿宋_GBK"/>
          <w:sz w:val="32"/>
          <w:szCs w:val="32"/>
        </w:rPr>
        <w:t>及时兑现耕地地力保护补贴、农机购置补贴等各项补贴政策，让种粮有钱可挣。支持建设粮食产后烘干、加工设施。加大粮食作物保险政策支持力度。持续开展送农资下乡活动，加强农资市场监管，保障生产物资需求。引导各类粮食加工、经营企业和产销服务组织与农户建立稳固的粮食产销关系，发展订单生产，健全完善利益联结机制。（责任单位：区农业农村委、区规划自然资源局、区财政局、区供销合作社</w:t>
      </w:r>
      <w:r>
        <w:rPr>
          <w:rFonts w:hint="eastAsia" w:ascii="方正仿宋_GBK" w:hAnsi="Times New Roman" w:eastAsia="方正仿宋_GBK"/>
          <w:sz w:val="32"/>
          <w:szCs w:val="32"/>
          <w:lang w:eastAsia="zh-CN"/>
        </w:rPr>
        <w:t>、</w:t>
      </w:r>
      <w:r>
        <w:rPr>
          <w:rFonts w:hint="eastAsia" w:ascii="方正仿宋_GBK" w:hAnsi="Times New Roman" w:eastAsia="方正仿宋_GBK"/>
          <w:sz w:val="32"/>
          <w:szCs w:val="32"/>
        </w:rPr>
        <w:t>各镇</w:t>
      </w:r>
      <w:r>
        <w:rPr>
          <w:rFonts w:hint="eastAsia" w:ascii="方正仿宋_GBK" w:hAnsi="Times New Roman" w:eastAsia="方正仿宋_GBK"/>
          <w:sz w:val="32"/>
          <w:szCs w:val="32"/>
          <w:lang w:eastAsia="zh-CN"/>
        </w:rPr>
        <w:t>人民政府</w:t>
      </w:r>
      <w:r>
        <w:rPr>
          <w:rFonts w:hint="eastAsia" w:ascii="方正仿宋_GBK" w:hAnsi="Times New Roman" w:eastAsia="方正仿宋_GBK"/>
          <w:sz w:val="32"/>
          <w:szCs w:val="32"/>
        </w:rPr>
        <w:t>）</w:t>
      </w:r>
    </w:p>
    <w:p>
      <w:pPr>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rPr>
        <w:t>（七）做好防灾减损工作。</w:t>
      </w:r>
      <w:r>
        <w:rPr>
          <w:rFonts w:hint="eastAsia" w:ascii="方正仿宋_GBK" w:hAnsi="Times New Roman" w:eastAsia="方正仿宋_GBK"/>
          <w:sz w:val="32"/>
          <w:szCs w:val="32"/>
        </w:rPr>
        <w:t>加强应急值守和监测预警，及时发布预警信息。建立健全各类灾情应急处置预案和响应机制，灾情发生后迅速启动，最大限度减轻损失。加强病虫监测，建立粮食病虫害专业化防治机构，推广专业化统防统治和绿色防控技术。采取有效措施防控野猪等生物危害。（责任单位：区农业农村委</w:t>
      </w:r>
      <w:r>
        <w:rPr>
          <w:rFonts w:hint="eastAsia" w:ascii="方正仿宋_GBK" w:hAnsi="Times New Roman" w:eastAsia="方正仿宋_GBK"/>
          <w:sz w:val="32"/>
          <w:szCs w:val="32"/>
          <w:lang w:eastAsia="zh-CN"/>
        </w:rPr>
        <w:t>、区规划自然资源局、</w:t>
      </w:r>
      <w:r>
        <w:rPr>
          <w:rFonts w:hint="eastAsia" w:ascii="方正仿宋_GBK" w:hAnsi="Times New Roman" w:eastAsia="方正仿宋_GBK"/>
          <w:sz w:val="32"/>
          <w:szCs w:val="32"/>
        </w:rPr>
        <w:t>各镇</w:t>
      </w:r>
      <w:r>
        <w:rPr>
          <w:rFonts w:hint="eastAsia" w:ascii="方正仿宋_GBK" w:hAnsi="Times New Roman" w:eastAsia="方正仿宋_GBK"/>
          <w:sz w:val="32"/>
          <w:szCs w:val="32"/>
          <w:lang w:eastAsia="zh-CN"/>
        </w:rPr>
        <w:t>人民政府</w:t>
      </w:r>
      <w:r>
        <w:rPr>
          <w:rFonts w:hint="eastAsia" w:ascii="方正仿宋_GBK" w:hAnsi="Times New Roman" w:eastAsia="方正仿宋_GBK"/>
          <w:sz w:val="32"/>
          <w:szCs w:val="32"/>
        </w:rPr>
        <w:t>）</w:t>
      </w:r>
    </w:p>
    <w:p>
      <w:pPr>
        <w:ind w:firstLine="640" w:firstLineChars="200"/>
        <w:rPr>
          <w:rFonts w:ascii="方正仿宋_GBK" w:hAnsi="Times New Roman" w:eastAsia="方正仿宋_GBK"/>
          <w:sz w:val="32"/>
          <w:szCs w:val="32"/>
        </w:rPr>
      </w:pPr>
      <w:r>
        <w:rPr>
          <w:rFonts w:hint="eastAsia" w:ascii="方正黑体_GBK" w:hAnsi="方正黑体_GBK" w:eastAsia="方正黑体_GBK" w:cs="方正黑体_GBK"/>
          <w:sz w:val="32"/>
          <w:szCs w:val="32"/>
        </w:rPr>
        <w:t>三、保障措施</w:t>
      </w:r>
    </w:p>
    <w:p>
      <w:pPr>
        <w:ind w:firstLine="518" w:firstLineChars="162"/>
        <w:rPr>
          <w:rFonts w:ascii="方正仿宋_GBK" w:hAnsi="Times New Roman" w:eastAsia="方正仿宋_GBK"/>
          <w:sz w:val="32"/>
          <w:szCs w:val="32"/>
        </w:rPr>
      </w:pPr>
      <w:r>
        <w:rPr>
          <w:rFonts w:hint="eastAsia" w:ascii="方正楷体_GBK" w:hAnsi="方正楷体_GBK" w:eastAsia="方正楷体_GBK" w:cs="方正楷体_GBK"/>
          <w:sz w:val="32"/>
          <w:szCs w:val="32"/>
        </w:rPr>
        <w:t>（一）坚决扛起粮食安全的政治责任。</w:t>
      </w:r>
      <w:r>
        <w:rPr>
          <w:rFonts w:hint="eastAsia" w:ascii="方正仿宋_GBK" w:hAnsi="Times New Roman" w:eastAsia="方正仿宋_GBK"/>
          <w:sz w:val="32"/>
          <w:szCs w:val="32"/>
        </w:rPr>
        <w:t>要把防止耕地“非粮化”、稳定粮食生产作为做好“六稳”工作、落实“六保”任务的重要内容，加强组织领导，实行党政同责，切实担起责任，努力维护国家粮食安全。区政府有关部门要按照职责分工，细化实化政策措施，切实做好监管指导服务。区农业农村委、区规划自然资源局要会同有关部门对本实施方案落实情况开展监督检查。（责任单位：各镇</w:t>
      </w:r>
      <w:r>
        <w:rPr>
          <w:rFonts w:hint="eastAsia" w:ascii="方正仿宋_GBK" w:hAnsi="Times New Roman" w:eastAsia="方正仿宋_GBK"/>
          <w:sz w:val="32"/>
          <w:szCs w:val="32"/>
          <w:lang w:eastAsia="zh-CN"/>
        </w:rPr>
        <w:t>人民政府</w:t>
      </w:r>
      <w:r>
        <w:rPr>
          <w:rFonts w:hint="eastAsia" w:ascii="方正仿宋_GBK" w:hAnsi="Times New Roman" w:eastAsia="方正仿宋_GBK"/>
          <w:sz w:val="32"/>
          <w:szCs w:val="32"/>
        </w:rPr>
        <w:t>，区农业农村委、区规划自然资源局、区发展改革委、区财政局、区供销合作社）</w:t>
      </w:r>
    </w:p>
    <w:p>
      <w:pPr>
        <w:ind w:firstLine="518" w:firstLineChars="162"/>
        <w:rPr>
          <w:rFonts w:ascii="方正仿宋_GBK" w:hAnsi="Times New Roman" w:eastAsia="方正仿宋_GBK"/>
          <w:sz w:val="32"/>
          <w:szCs w:val="32"/>
        </w:rPr>
      </w:pPr>
      <w:r>
        <w:rPr>
          <w:rFonts w:hint="eastAsia" w:ascii="方正楷体_GBK" w:hAnsi="方正楷体_GBK" w:eastAsia="方正楷体_GBK" w:cs="方正楷体_GBK"/>
          <w:sz w:val="32"/>
          <w:szCs w:val="32"/>
        </w:rPr>
        <w:t>（二）强化日常监测。</w:t>
      </w:r>
      <w:r>
        <w:rPr>
          <w:rFonts w:hint="eastAsia" w:ascii="方正仿宋_GBK" w:hAnsi="Times New Roman" w:eastAsia="方正仿宋_GBK"/>
          <w:sz w:val="32"/>
          <w:szCs w:val="32"/>
        </w:rPr>
        <w:t>按照农业农村部、自然资源部安排部署和市农业农村委、市规划自然资源局统一要求，各镇要切实抓好耕地种粮情况监测。建立耕地“非粮化”情况通报机制，区农业农村委要对本区域耕地种粮情况进行动态监测评价，发现问题及时整改，重大情况及时报告。（责任单位：区农业农村委、区规划自然资源局）</w:t>
      </w:r>
    </w:p>
    <w:p>
      <w:pPr>
        <w:ind w:firstLine="518" w:firstLineChars="162"/>
        <w:rPr>
          <w:rFonts w:ascii="方正仿宋_GBK" w:hAnsi="Times New Roman" w:eastAsia="方正仿宋_GBK"/>
          <w:sz w:val="32"/>
          <w:szCs w:val="32"/>
        </w:rPr>
      </w:pPr>
      <w:r>
        <w:rPr>
          <w:rFonts w:hint="eastAsia" w:ascii="方正楷体_GBK" w:hAnsi="方正楷体_GBK" w:eastAsia="方正楷体_GBK" w:cs="方正楷体_GBK"/>
          <w:sz w:val="32"/>
          <w:szCs w:val="32"/>
        </w:rPr>
        <w:t>（三）强化督查考核。</w:t>
      </w:r>
      <w:r>
        <w:rPr>
          <w:rFonts w:hint="eastAsia" w:ascii="方正仿宋_GBK" w:hAnsi="Times New Roman" w:eastAsia="方正仿宋_GBK"/>
          <w:sz w:val="32"/>
          <w:szCs w:val="32"/>
        </w:rPr>
        <w:t>严格落实粮食安全行政首长责任制，加大考核激励约束力度。在粮食安全责任制年度考核中，突出防止耕地“非粮化”，将耕地质量保护提升、粮食种植面积和产量、高标准农田建设等纳入考核重点内容，提高考核分值比重，增强考核评价的导向性和针对性。（责任单位：区发展改革委、区农业农村委）</w:t>
      </w:r>
    </w:p>
    <w:p>
      <w:pPr>
        <w:ind w:firstLine="518" w:firstLineChars="162"/>
        <w:rPr>
          <w:rFonts w:ascii="方正仿宋_GBK" w:hAnsi="Times New Roman" w:eastAsia="方正仿宋_GBK"/>
          <w:sz w:val="32"/>
          <w:szCs w:val="32"/>
        </w:rPr>
      </w:pPr>
      <w:r>
        <w:rPr>
          <w:rFonts w:hint="eastAsia" w:ascii="方正楷体_GBK" w:hAnsi="方正楷体_GBK" w:eastAsia="方正楷体_GBK" w:cs="方正楷体_GBK"/>
          <w:sz w:val="32"/>
          <w:szCs w:val="32"/>
        </w:rPr>
        <w:t>（四）强化宣传引导。</w:t>
      </w:r>
      <w:r>
        <w:rPr>
          <w:rFonts w:hint="eastAsia" w:ascii="方正仿宋_GBK" w:hAnsi="Times New Roman" w:eastAsia="方正仿宋_GBK"/>
          <w:sz w:val="32"/>
          <w:szCs w:val="32"/>
        </w:rPr>
        <w:t>做好防止耕地“非粮化”稳定粮食生产宣传，营造保护耕地、发展粮食生产的良好氛围。加强典型宣传推介，推广先进经验做法，引导种粮主体和农户积极发展粮食生产。（责任单位：区农业农村委）</w:t>
      </w:r>
    </w:p>
    <w:p>
      <w:pPr>
        <w:spacing w:line="600" w:lineRule="exact"/>
        <w:jc w:val="left"/>
        <w:rPr>
          <w:rFonts w:hint="eastAsia" w:ascii="方正仿宋_GBK" w:hAnsi="Times New Roman" w:eastAsia="方正仿宋_GBK"/>
          <w:sz w:val="32"/>
          <w:szCs w:val="32"/>
        </w:rPr>
      </w:pPr>
    </w:p>
    <w:p>
      <w:pPr>
        <w:pStyle w:val="2"/>
        <w:rPr>
          <w:rFonts w:hint="eastAsia"/>
        </w:rPr>
      </w:pPr>
    </w:p>
    <w:p>
      <w:pPr>
        <w:pStyle w:val="2"/>
      </w:pPr>
    </w:p>
    <w:p>
      <w:pPr>
        <w:spacing w:line="600" w:lineRule="exact"/>
        <w:ind w:left="0" w:leftChars="0" w:firstLine="0" w:firstLineChars="0"/>
        <w:jc w:val="left"/>
        <w:rPr>
          <w:rFonts w:ascii="Times New Roman" w:hAnsi="Times New Roman" w:eastAsia="方正仿宋_GBK"/>
          <w:sz w:val="32"/>
          <w:szCs w:val="32"/>
        </w:rPr>
      </w:pPr>
    </w:p>
    <w:p>
      <w:pPr>
        <w:spacing w:line="600" w:lineRule="exact"/>
        <w:ind w:left="0" w:leftChars="0" w:firstLine="0" w:firstLineChars="0"/>
        <w:jc w:val="left"/>
        <w:rPr>
          <w:rFonts w:ascii="Times New Roman" w:hAnsi="Times New Roman" w:eastAsia="方正仿宋_GBK"/>
          <w:sz w:val="32"/>
          <w:szCs w:val="32"/>
        </w:rPr>
      </w:pPr>
    </w:p>
    <w:p>
      <w:pPr>
        <w:spacing w:line="600" w:lineRule="exact"/>
        <w:ind w:left="0" w:leftChars="0" w:firstLine="0" w:firstLineChars="0"/>
        <w:jc w:val="left"/>
        <w:rPr>
          <w:rFonts w:ascii="Times New Roman" w:hAnsi="Times New Roman" w:eastAsia="方正仿宋_GBK"/>
          <w:sz w:val="32"/>
          <w:szCs w:val="32"/>
        </w:rPr>
      </w:pPr>
    </w:p>
    <w:p>
      <w:pPr>
        <w:spacing w:line="600" w:lineRule="exact"/>
        <w:ind w:left="0" w:leftChars="0" w:firstLine="0" w:firstLineChars="0"/>
        <w:jc w:val="left"/>
        <w:rPr>
          <w:rFonts w:ascii="Times New Roman" w:hAnsi="Times New Roman" w:eastAsia="方正仿宋_GBK"/>
          <w:sz w:val="32"/>
          <w:szCs w:val="32"/>
        </w:rPr>
      </w:pPr>
    </w:p>
    <w:p>
      <w:pPr>
        <w:spacing w:line="600" w:lineRule="exact"/>
        <w:ind w:left="0" w:leftChars="0" w:firstLine="0" w:firstLineChars="0"/>
        <w:jc w:val="left"/>
        <w:rPr>
          <w:rFonts w:ascii="Times New Roman" w:hAnsi="Times New Roman" w:eastAsia="方正仿宋_GBK"/>
          <w:sz w:val="32"/>
          <w:szCs w:val="32"/>
        </w:rPr>
      </w:pPr>
    </w:p>
    <w:p>
      <w:pPr>
        <w:spacing w:line="600" w:lineRule="exact"/>
        <w:ind w:left="0" w:leftChars="0" w:firstLine="0" w:firstLineChars="0"/>
        <w:jc w:val="left"/>
        <w:rPr>
          <w:rFonts w:ascii="Times New Roman" w:hAnsi="Times New Roman" w:eastAsia="方正仿宋_GBK"/>
          <w:sz w:val="32"/>
          <w:szCs w:val="32"/>
        </w:rPr>
      </w:pPr>
    </w:p>
    <w:p>
      <w:pPr>
        <w:spacing w:line="600" w:lineRule="exact"/>
        <w:ind w:left="0" w:leftChars="0" w:firstLine="0" w:firstLineChars="0"/>
        <w:jc w:val="left"/>
        <w:rPr>
          <w:rFonts w:ascii="Times New Roman" w:hAnsi="Times New Roman" w:eastAsia="方正仿宋_GBK"/>
          <w:sz w:val="32"/>
          <w:szCs w:val="32"/>
        </w:rPr>
      </w:pPr>
    </w:p>
    <w:p>
      <w:pPr>
        <w:spacing w:line="600" w:lineRule="exact"/>
        <w:ind w:left="0" w:leftChars="0" w:firstLine="0" w:firstLineChars="0"/>
        <w:jc w:val="left"/>
        <w:rPr>
          <w:rFonts w:ascii="Times New Roman" w:hAnsi="Times New Roman" w:eastAsia="方正仿宋_GBK"/>
          <w:sz w:val="32"/>
          <w:szCs w:val="32"/>
        </w:rPr>
      </w:pPr>
    </w:p>
    <w:p>
      <w:pPr>
        <w:spacing w:line="600" w:lineRule="exact"/>
        <w:ind w:left="0" w:leftChars="0" w:firstLine="0" w:firstLineChars="0"/>
        <w:jc w:val="left"/>
        <w:rPr>
          <w:rFonts w:ascii="Times New Roman" w:hAnsi="Times New Roman" w:eastAsia="方正仿宋_GBK"/>
          <w:sz w:val="32"/>
          <w:szCs w:val="32"/>
        </w:rPr>
      </w:pPr>
    </w:p>
    <w:p>
      <w:pPr>
        <w:spacing w:line="600" w:lineRule="exact"/>
        <w:ind w:left="0" w:leftChars="0" w:firstLine="0" w:firstLineChars="0"/>
        <w:jc w:val="left"/>
        <w:rPr>
          <w:rFonts w:ascii="Times New Roman" w:hAnsi="Times New Roman" w:eastAsia="方正仿宋_GBK"/>
          <w:sz w:val="32"/>
          <w:szCs w:val="32"/>
        </w:rPr>
      </w:pPr>
    </w:p>
    <w:p>
      <w:pPr>
        <w:spacing w:line="600" w:lineRule="exact"/>
        <w:ind w:left="0" w:leftChars="0" w:firstLine="0" w:firstLineChars="0"/>
        <w:jc w:val="left"/>
        <w:rPr>
          <w:rFonts w:ascii="Times New Roman" w:hAnsi="Times New Roman" w:eastAsia="方正仿宋_GBK"/>
          <w:sz w:val="32"/>
          <w:szCs w:val="32"/>
        </w:rPr>
      </w:pPr>
    </w:p>
    <w:p>
      <w:pPr>
        <w:spacing w:line="600" w:lineRule="exact"/>
        <w:ind w:left="0" w:leftChars="0" w:firstLine="0" w:firstLineChars="0"/>
        <w:jc w:val="left"/>
        <w:rPr>
          <w:rFonts w:ascii="Times New Roman" w:hAnsi="Times New Roman" w:eastAsia="方正仿宋_GBK"/>
          <w:sz w:val="32"/>
          <w:szCs w:val="32"/>
        </w:rPr>
      </w:pPr>
    </w:p>
    <w:p>
      <w:pPr>
        <w:pBdr>
          <w:top w:val="single" w:color="auto" w:sz="4" w:space="0"/>
          <w:bottom w:val="single" w:color="auto" w:sz="4" w:space="0"/>
        </w:pBdr>
        <w:spacing w:line="240" w:lineRule="auto"/>
        <w:ind w:left="0" w:leftChars="0" w:firstLine="0" w:firstLineChars="0"/>
        <w:jc w:val="left"/>
      </w:pPr>
      <w:r>
        <w:rPr>
          <w:rFonts w:hint="eastAsia" w:ascii="Times New Roman" w:hAnsi="Times New Roman" w:eastAsia="方正仿宋_GBK"/>
          <w:sz w:val="28"/>
          <w:szCs w:val="28"/>
          <w:lang w:val="en-US" w:eastAsia="zh-CN"/>
        </w:rPr>
        <w:t xml:space="preserve"> 大渡口区跳磴镇党政办公室                2021年11月29日印发</w:t>
      </w:r>
    </w:p>
    <w:sectPr>
      <w:footerReference r:id="rId3" w:type="default"/>
      <w:footerReference r:id="rId4" w:type="even"/>
      <w:pgSz w:w="11906" w:h="16838"/>
      <w:pgMar w:top="2098" w:right="1531" w:bottom="1984" w:left="1531" w:header="851" w:footer="1474" w:gutter="0"/>
      <w:cols w:space="720" w:num="1"/>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firstLine="280" w:firstLineChars="100"/>
      <w:jc w:val="right"/>
      <w:rPr>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15BC9"/>
    <w:rsid w:val="0DE82277"/>
    <w:rsid w:val="31996EDA"/>
    <w:rsid w:val="616C7EE3"/>
    <w:rsid w:val="61A15BC9"/>
    <w:rsid w:val="77BA0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szCs w:val="24"/>
    </w:r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2021-11-29T03:11:00Z</dcterms:created>
  <dc:creator>Administrator</dc:creator>
  <cp:lastModifiedBy>Administrator</cp:lastModifiedBy>
  <dcterms:modified xsi:type="dcterms:W3CDTF">2021-12-16T08:42:17Z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94744C61E4254CE5B5242738F09F69E6</vt:lpwstr>
  </property>
</Properties>
</file>