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szCs w:val="32"/>
        </w:rPr>
      </w:pPr>
    </w:p>
    <w:p>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eastAsia" w:eastAsia="方正小标宋_GBK"/>
          <w:bCs/>
          <w:sz w:val="44"/>
          <w:szCs w:val="44"/>
        </w:rPr>
      </w:pPr>
      <w:r>
        <w:rPr>
          <w:rFonts w:hint="eastAsia" w:eastAsia="方正小标宋_GBK"/>
          <w:bCs/>
          <w:sz w:val="44"/>
          <w:szCs w:val="44"/>
          <w:lang w:eastAsia="zh-CN"/>
        </w:rPr>
        <w:t>重庆市</w:t>
      </w:r>
      <w:r>
        <w:rPr>
          <w:rFonts w:hint="eastAsia" w:eastAsia="方正小标宋_GBK"/>
          <w:bCs/>
          <w:sz w:val="44"/>
          <w:szCs w:val="44"/>
        </w:rPr>
        <w:t>大渡口区司法局</w:t>
      </w:r>
    </w:p>
    <w:p>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default" w:eastAsia="方正小标宋_GBK" w:cs="方正小标宋_GBK"/>
          <w:sz w:val="44"/>
          <w:szCs w:val="44"/>
          <w:lang w:val="en-US" w:eastAsia="zh-CN"/>
        </w:rPr>
      </w:pPr>
      <w:bookmarkStart w:id="1" w:name="_GoBack"/>
      <w:r>
        <w:rPr>
          <w:rFonts w:hint="eastAsia" w:eastAsia="方正小标宋_GBK"/>
          <w:bCs/>
          <w:sz w:val="44"/>
          <w:szCs w:val="44"/>
          <w:lang w:val="en-US" w:eastAsia="zh-CN"/>
        </w:rPr>
        <w:t>2022年法治政府建设年度报告</w:t>
      </w:r>
    </w:p>
    <w:bookmarkEnd w:id="1"/>
    <w:p>
      <w:pPr>
        <w:keepNext w:val="0"/>
        <w:keepLines w:val="0"/>
        <w:pageBreakBefore w:val="0"/>
        <w:widowControl w:val="0"/>
        <w:kinsoku/>
        <w:wordWrap/>
        <w:overflowPunct/>
        <w:topLinePunct w:val="0"/>
        <w:autoSpaceDE/>
        <w:autoSpaceDN/>
        <w:bidi w:val="0"/>
        <w:adjustRightInd w:val="0"/>
        <w:snapToGrid w:val="0"/>
        <w:spacing w:line="594" w:lineRule="exact"/>
        <w:textAlignment w:val="baseline"/>
        <w:rPr>
          <w:szCs w:val="32"/>
        </w:rPr>
      </w:pPr>
    </w:p>
    <w:p>
      <w:pPr>
        <w:keepNext w:val="0"/>
        <w:keepLines w:val="0"/>
        <w:pageBreakBefore w:val="0"/>
        <w:widowControl w:val="0"/>
        <w:kinsoku/>
        <w:wordWrap/>
        <w:topLinePunct w:val="0"/>
        <w:autoSpaceDE/>
        <w:autoSpaceDN/>
        <w:bidi w:val="0"/>
        <w:adjustRightInd w:val="0"/>
        <w:snapToGrid w:val="0"/>
        <w:spacing w:line="590" w:lineRule="exact"/>
        <w:ind w:firstLine="632" w:firstLineChars="200"/>
        <w:jc w:val="both"/>
        <w:textAlignment w:val="auto"/>
        <w:rPr>
          <w:rFonts w:cs="方正仿宋_GBK"/>
          <w:szCs w:val="32"/>
        </w:rPr>
      </w:pPr>
      <w:r>
        <w:rPr>
          <w:rFonts w:hint="eastAsia" w:cs="方正仿宋_GBK"/>
          <w:szCs w:val="32"/>
        </w:rPr>
        <w:t>2022年，大渡口区司法局在区委区政府的正确领导和区委政法委的精心指导下，坚持以习近平新时代中国特色社会主义思想为指导，深入贯彻落实习近平法治思想，紧紧围绕市区工作目标，立足“一个统筹、四大职能”，凝心聚神、紧抓快干，司法行政各项工作取得新进展，为</w:t>
      </w:r>
      <w:r>
        <w:rPr>
          <w:rFonts w:hint="eastAsia"/>
          <w:szCs w:val="32"/>
        </w:rPr>
        <w:t>建设</w:t>
      </w:r>
      <w:r>
        <w:rPr>
          <w:rFonts w:hint="eastAsia" w:cs="方正仿宋_GBK"/>
          <w:szCs w:val="32"/>
        </w:rPr>
        <w:t>“公园大渡口、多彩艺</w:t>
      </w:r>
      <w:r>
        <w:rPr>
          <w:rFonts w:hint="eastAsia" w:cs="方正仿宋_GBK"/>
          <w:bCs/>
          <w:kern w:val="0"/>
          <w:szCs w:val="32"/>
        </w:rPr>
        <w:t>术湾”</w:t>
      </w:r>
      <w:r>
        <w:rPr>
          <w:rFonts w:hint="eastAsia" w:cs="方正仿宋_GBK"/>
          <w:szCs w:val="32"/>
        </w:rPr>
        <w:t>提供坚强的法治保障。现将我局2022年度法治政府建设工作情况汇报如下：</w:t>
      </w:r>
    </w:p>
    <w:p>
      <w:pPr>
        <w:keepNext w:val="0"/>
        <w:keepLines w:val="0"/>
        <w:pageBreakBefore w:val="0"/>
        <w:widowControl w:val="0"/>
        <w:kinsoku/>
        <w:wordWrap/>
        <w:topLinePunct w:val="0"/>
        <w:autoSpaceDE/>
        <w:autoSpaceDN/>
        <w:bidi w:val="0"/>
        <w:adjustRightInd w:val="0"/>
        <w:snapToGrid w:val="0"/>
        <w:spacing w:line="590" w:lineRule="exact"/>
        <w:ind w:firstLine="632" w:firstLineChars="200"/>
        <w:jc w:val="both"/>
        <w:textAlignment w:val="auto"/>
        <w:rPr>
          <w:rFonts w:eastAsia="方正黑体_GBK" w:cs="方正黑体_GBK"/>
          <w:szCs w:val="32"/>
        </w:rPr>
      </w:pPr>
      <w:r>
        <w:rPr>
          <w:rFonts w:hint="eastAsia" w:eastAsia="方正黑体_GBK" w:cs="方正黑体_GBK"/>
          <w:szCs w:val="32"/>
        </w:rPr>
        <w:t>一、2022年工作情况</w:t>
      </w:r>
    </w:p>
    <w:p>
      <w:pPr>
        <w:keepNext w:val="0"/>
        <w:keepLines w:val="0"/>
        <w:pageBreakBefore w:val="0"/>
        <w:widowControl w:val="0"/>
        <w:kinsoku/>
        <w:wordWrap/>
        <w:topLinePunct w:val="0"/>
        <w:autoSpaceDE/>
        <w:autoSpaceDN/>
        <w:bidi w:val="0"/>
        <w:adjustRightInd w:val="0"/>
        <w:snapToGrid w:val="0"/>
        <w:spacing w:line="590" w:lineRule="exact"/>
        <w:ind w:firstLine="632" w:firstLineChars="200"/>
        <w:jc w:val="both"/>
        <w:textAlignment w:val="auto"/>
        <w:rPr>
          <w:rFonts w:eastAsia="方正楷体_GBK" w:cs="方正楷体_GBK"/>
          <w:szCs w:val="32"/>
        </w:rPr>
      </w:pPr>
      <w:r>
        <w:rPr>
          <w:rFonts w:hint="eastAsia" w:eastAsia="方正楷体_GBK" w:cs="方正楷体_GBK"/>
          <w:szCs w:val="32"/>
        </w:rPr>
        <w:t>（一）坚持高质量发展，法治大渡口建设迈出新步伐</w:t>
      </w:r>
    </w:p>
    <w:p>
      <w:pPr>
        <w:keepNext w:val="0"/>
        <w:keepLines w:val="0"/>
        <w:pageBreakBefore w:val="0"/>
        <w:widowControl w:val="0"/>
        <w:kinsoku/>
        <w:wordWrap/>
        <w:topLinePunct w:val="0"/>
        <w:autoSpaceDE/>
        <w:autoSpaceDN/>
        <w:bidi w:val="0"/>
        <w:adjustRightInd w:val="0"/>
        <w:snapToGrid w:val="0"/>
        <w:spacing w:line="590" w:lineRule="exact"/>
        <w:ind w:firstLine="632" w:firstLineChars="200"/>
        <w:jc w:val="both"/>
        <w:textAlignment w:val="auto"/>
        <w:rPr>
          <w:rFonts w:cs="方正仿宋_GBK"/>
          <w:szCs w:val="32"/>
        </w:rPr>
      </w:pPr>
      <w:r>
        <w:rPr>
          <w:rFonts w:hint="eastAsia" w:cs="方正仿宋_GBK"/>
          <w:b/>
          <w:bCs/>
          <w:szCs w:val="32"/>
        </w:rPr>
        <w:t>1. 深学笃用习近平法治思想。一是</w:t>
      </w:r>
      <w:r>
        <w:rPr>
          <w:rFonts w:hint="eastAsia" w:cs="方正仿宋_GBK"/>
          <w:szCs w:val="32"/>
        </w:rPr>
        <w:t>印发《重庆市大渡口区学习宣传习近平法治思想工作方案》，把习近平法治思想列为各级理论学习中心组学习重点内容，全区各级理论学习中心组学习讨论习近平法治思想50余次。</w:t>
      </w:r>
      <w:r>
        <w:rPr>
          <w:rFonts w:hint="eastAsia" w:cs="方正仿宋_GBK"/>
          <w:b/>
          <w:bCs/>
          <w:szCs w:val="32"/>
        </w:rPr>
        <w:t>二是</w:t>
      </w:r>
      <w:r>
        <w:rPr>
          <w:rFonts w:hint="eastAsia" w:cs="方正仿宋_GBK"/>
          <w:szCs w:val="32"/>
        </w:rPr>
        <w:t>将习近平法治思想列为新提任领导干部法治理论考试和国家工作人员年度法治理论考试重点内容，组织开展新提任领导干部法治理论考试2次，43人次参加。</w:t>
      </w:r>
      <w:r>
        <w:rPr>
          <w:rFonts w:hint="eastAsia" w:cs="方正仿宋_GBK"/>
          <w:b/>
          <w:bCs/>
          <w:szCs w:val="32"/>
        </w:rPr>
        <w:t>三是</w:t>
      </w:r>
      <w:r>
        <w:rPr>
          <w:rFonts w:hint="eastAsia" w:cs="方正仿宋_GBK"/>
          <w:szCs w:val="32"/>
        </w:rPr>
        <w:t>将习近平法治思想纳入我区公务员培训计划重要内容，2022年四期主体班均安排《习近平法治思想研究》等课程，共计有135人次参加学习。</w:t>
      </w:r>
      <w:r>
        <w:rPr>
          <w:rFonts w:hint="eastAsia" w:cs="方正仿宋_GBK"/>
          <w:b/>
          <w:bCs/>
          <w:szCs w:val="32"/>
        </w:rPr>
        <w:t>四是</w:t>
      </w:r>
      <w:r>
        <w:rPr>
          <w:rFonts w:hint="eastAsia" w:cs="方正仿宋_GBK"/>
          <w:szCs w:val="32"/>
        </w:rPr>
        <w:t>组建习近平法治思想宣讲团深入机关、镇街、企业等开展宣讲活动，开展习近平法治思想微宣讲比赛，聘请专家学者（律师）开展习近平法治思想讲座60余场次，发放《习近平法治思想概论》982本、习近平法治思想宣传台历1600本，制作习近平法治思想宣传展板98块。</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32" w:firstLineChars="200"/>
        <w:jc w:val="both"/>
        <w:textAlignment w:val="auto"/>
        <w:rPr>
          <w:szCs w:val="32"/>
        </w:rPr>
      </w:pPr>
      <w:r>
        <w:rPr>
          <w:rFonts w:hint="eastAsia" w:cs="方正仿宋_GBK"/>
          <w:b/>
          <w:bCs/>
          <w:szCs w:val="32"/>
        </w:rPr>
        <w:t>2. 统筹推进全面依法治区。</w:t>
      </w:r>
      <w:r>
        <w:rPr>
          <w:rFonts w:hint="eastAsia"/>
          <w:b/>
          <w:szCs w:val="32"/>
        </w:rPr>
        <w:t>一</w:t>
      </w:r>
      <w:r>
        <w:rPr>
          <w:b/>
          <w:szCs w:val="32"/>
        </w:rPr>
        <w:t>是</w:t>
      </w:r>
      <w:r>
        <w:rPr>
          <w:rFonts w:hint="eastAsia"/>
          <w:szCs w:val="32"/>
        </w:rPr>
        <w:t>抓牢抓实</w:t>
      </w:r>
      <w:r>
        <w:rPr>
          <w:szCs w:val="32"/>
        </w:rPr>
        <w:t>中央及市委关于法治工作相关部署</w:t>
      </w:r>
      <w:r>
        <w:rPr>
          <w:rFonts w:hint="eastAsia"/>
          <w:szCs w:val="32"/>
        </w:rPr>
        <w:t>的</w:t>
      </w:r>
      <w:r>
        <w:rPr>
          <w:szCs w:val="32"/>
        </w:rPr>
        <w:t>落实</w:t>
      </w:r>
      <w:r>
        <w:rPr>
          <w:rFonts w:hint="eastAsia"/>
          <w:szCs w:val="32"/>
        </w:rPr>
        <w:t>。组织召开区委全面依法治区委员会第六次会议，深入学习贯彻中央全面依法治国工作会议和市委全面依法治市工作会议精神，</w:t>
      </w:r>
      <w:r>
        <w:rPr>
          <w:szCs w:val="32"/>
        </w:rPr>
        <w:t>审议</w:t>
      </w:r>
      <w:r>
        <w:rPr>
          <w:rFonts w:hint="eastAsia"/>
          <w:szCs w:val="32"/>
        </w:rPr>
        <w:t>并</w:t>
      </w:r>
      <w:r>
        <w:rPr>
          <w:szCs w:val="32"/>
        </w:rPr>
        <w:t>通过依法治区工作要点</w:t>
      </w:r>
      <w:r>
        <w:rPr>
          <w:rFonts w:hint="eastAsia"/>
          <w:szCs w:val="32"/>
        </w:rPr>
        <w:t>、</w:t>
      </w:r>
      <w:r>
        <w:rPr>
          <w:szCs w:val="32"/>
        </w:rPr>
        <w:t>法治政府建设工作要点</w:t>
      </w:r>
      <w:r>
        <w:rPr>
          <w:rFonts w:hint="eastAsia"/>
          <w:szCs w:val="32"/>
        </w:rPr>
        <w:t>、法治</w:t>
      </w:r>
      <w:r>
        <w:rPr>
          <w:szCs w:val="32"/>
        </w:rPr>
        <w:t>人才培养任务分工方案、法治文化</w:t>
      </w:r>
      <w:r>
        <w:rPr>
          <w:rFonts w:hint="eastAsia"/>
          <w:szCs w:val="32"/>
        </w:rPr>
        <w:t>建设</w:t>
      </w:r>
      <w:r>
        <w:rPr>
          <w:szCs w:val="32"/>
        </w:rPr>
        <w:t>任务分工方案等</w:t>
      </w:r>
      <w:r>
        <w:rPr>
          <w:rFonts w:hint="eastAsia"/>
          <w:szCs w:val="32"/>
        </w:rPr>
        <w:t>系列</w:t>
      </w:r>
      <w:r>
        <w:rPr>
          <w:szCs w:val="32"/>
        </w:rPr>
        <w:t>制度文件</w:t>
      </w:r>
      <w:r>
        <w:rPr>
          <w:rFonts w:hint="eastAsia"/>
          <w:szCs w:val="32"/>
        </w:rPr>
        <w:t>。</w:t>
      </w:r>
      <w:r>
        <w:rPr>
          <w:rFonts w:hint="eastAsia"/>
          <w:b/>
          <w:szCs w:val="32"/>
        </w:rPr>
        <w:t>二</w:t>
      </w:r>
      <w:r>
        <w:rPr>
          <w:b/>
          <w:szCs w:val="32"/>
        </w:rPr>
        <w:t>是</w:t>
      </w:r>
      <w:r>
        <w:rPr>
          <w:rFonts w:hint="eastAsia"/>
          <w:szCs w:val="32"/>
        </w:rPr>
        <w:t>动态</w:t>
      </w:r>
      <w:r>
        <w:rPr>
          <w:szCs w:val="32"/>
        </w:rPr>
        <w:t>调整依法治区协调小组</w:t>
      </w:r>
      <w:r>
        <w:rPr>
          <w:rFonts w:hint="eastAsia"/>
          <w:szCs w:val="32"/>
        </w:rPr>
        <w:t>及</w:t>
      </w:r>
      <w:r>
        <w:rPr>
          <w:szCs w:val="32"/>
        </w:rPr>
        <w:t>成员。</w:t>
      </w:r>
      <w:r>
        <w:rPr>
          <w:rFonts w:hint="eastAsia"/>
          <w:szCs w:val="32"/>
        </w:rPr>
        <w:t>根据人事</w:t>
      </w:r>
      <w:r>
        <w:rPr>
          <w:szCs w:val="32"/>
        </w:rPr>
        <w:t>变动及</w:t>
      </w:r>
      <w:r>
        <w:rPr>
          <w:rFonts w:hint="eastAsia"/>
          <w:szCs w:val="32"/>
        </w:rPr>
        <w:t>工作需要，及时调整区委全面依法治区委员会各协调小组成员。</w:t>
      </w:r>
      <w:r>
        <w:rPr>
          <w:rFonts w:hint="eastAsia"/>
          <w:b/>
          <w:szCs w:val="32"/>
        </w:rPr>
        <w:t>三</w:t>
      </w:r>
      <w:r>
        <w:rPr>
          <w:b/>
          <w:szCs w:val="32"/>
        </w:rPr>
        <w:t>是</w:t>
      </w:r>
      <w:r>
        <w:rPr>
          <w:rFonts w:hint="eastAsia"/>
          <w:szCs w:val="32"/>
        </w:rPr>
        <w:t>部门</w:t>
      </w:r>
      <w:r>
        <w:rPr>
          <w:szCs w:val="32"/>
        </w:rPr>
        <w:t>（</w:t>
      </w:r>
      <w:r>
        <w:rPr>
          <w:rFonts w:hint="eastAsia"/>
          <w:szCs w:val="32"/>
        </w:rPr>
        <w:t>镇街</w:t>
      </w:r>
      <w:r>
        <w:rPr>
          <w:szCs w:val="32"/>
        </w:rPr>
        <w:t>）</w:t>
      </w:r>
      <w:r>
        <w:rPr>
          <w:rFonts w:hint="eastAsia"/>
          <w:szCs w:val="32"/>
        </w:rPr>
        <w:t>向</w:t>
      </w:r>
      <w:r>
        <w:rPr>
          <w:szCs w:val="32"/>
        </w:rPr>
        <w:t>区委报告法治工作机制常态化开展。</w:t>
      </w:r>
      <w:r>
        <w:rPr>
          <w:rFonts w:hint="eastAsia"/>
          <w:szCs w:val="32"/>
        </w:rPr>
        <w:t>根据</w:t>
      </w:r>
      <w:r>
        <w:rPr>
          <w:szCs w:val="32"/>
        </w:rPr>
        <w:t>相关工作要求，</w:t>
      </w:r>
      <w:r>
        <w:rPr>
          <w:rFonts w:hint="eastAsia"/>
          <w:szCs w:val="32"/>
        </w:rPr>
        <w:t>组织9个部门（镇街）向区委报告党政主要负责人抓法治工作情况汇报。</w:t>
      </w:r>
      <w:r>
        <w:rPr>
          <w:rFonts w:hint="eastAsia"/>
          <w:b/>
          <w:szCs w:val="32"/>
        </w:rPr>
        <w:t>四</w:t>
      </w:r>
      <w:r>
        <w:rPr>
          <w:b/>
          <w:szCs w:val="32"/>
        </w:rPr>
        <w:t>是</w:t>
      </w:r>
      <w:r>
        <w:rPr>
          <w:rFonts w:hint="eastAsia"/>
          <w:szCs w:val="32"/>
        </w:rPr>
        <w:t>领导</w:t>
      </w:r>
      <w:r>
        <w:rPr>
          <w:szCs w:val="32"/>
        </w:rPr>
        <w:t>干部述法全覆盖。</w:t>
      </w:r>
      <w:r>
        <w:rPr>
          <w:rFonts w:hint="eastAsia"/>
          <w:szCs w:val="32"/>
        </w:rPr>
        <w:t>压牢压实全区各级党政主要负责人履行推进法治建设第一责任人职责，紧紧抓住领导干部这个“关键少数”，将“推进法治建设、党政负责人履行推进法治建设第一责任人情况、依法决策、依法履职”等情况纳入述职的重要内容，实现市管及区管领导干部述职述法“全覆盖”。</w:t>
      </w:r>
    </w:p>
    <w:p>
      <w:pPr>
        <w:keepNext w:val="0"/>
        <w:keepLines w:val="0"/>
        <w:pageBreakBefore w:val="0"/>
        <w:widowControl w:val="0"/>
        <w:kinsoku/>
        <w:wordWrap/>
        <w:topLinePunct w:val="0"/>
        <w:autoSpaceDE/>
        <w:autoSpaceDN/>
        <w:bidi w:val="0"/>
        <w:adjustRightInd w:val="0"/>
        <w:snapToGrid w:val="0"/>
        <w:spacing w:line="590" w:lineRule="exact"/>
        <w:ind w:firstLine="632" w:firstLineChars="200"/>
        <w:jc w:val="both"/>
        <w:textAlignment w:val="auto"/>
        <w:rPr>
          <w:rFonts w:cs="方正仿宋_GBK"/>
          <w:szCs w:val="32"/>
        </w:rPr>
      </w:pPr>
      <w:r>
        <w:rPr>
          <w:rFonts w:hint="eastAsia" w:cs="方正仿宋_GBK"/>
          <w:b/>
          <w:bCs/>
          <w:szCs w:val="32"/>
        </w:rPr>
        <w:t>3. 深入推进法治政府建设。</w:t>
      </w:r>
      <w:r>
        <w:rPr>
          <w:rFonts w:hint="eastAsia"/>
          <w:b/>
          <w:szCs w:val="32"/>
        </w:rPr>
        <w:t>一是</w:t>
      </w:r>
      <w:r>
        <w:rPr>
          <w:rFonts w:hint="eastAsia"/>
          <w:szCs w:val="32"/>
        </w:rPr>
        <w:t>扎实</w:t>
      </w:r>
      <w:r>
        <w:rPr>
          <w:szCs w:val="32"/>
        </w:rPr>
        <w:t>推进督察整改。</w:t>
      </w:r>
      <w:r>
        <w:rPr>
          <w:rFonts w:hint="eastAsia"/>
          <w:szCs w:val="32"/>
          <w:lang w:val="zh-CN"/>
        </w:rPr>
        <w:t>印发我区法治社会建设的实施方案、中央依法治国办关于对重庆市开展法治政府建设实地督察的反馈意见整改实施方案，</w:t>
      </w:r>
      <w:r>
        <w:rPr>
          <w:rFonts w:hint="eastAsia"/>
          <w:szCs w:val="32"/>
        </w:rPr>
        <w:t>组织召开全面依法治区委员会办公室（扩大）会议暨法治政府建设督察整改部署会议，部署</w:t>
      </w:r>
      <w:r>
        <w:rPr>
          <w:szCs w:val="32"/>
        </w:rPr>
        <w:t>推动</w:t>
      </w:r>
      <w:r>
        <w:rPr>
          <w:rFonts w:hint="eastAsia"/>
          <w:szCs w:val="32"/>
        </w:rPr>
        <w:t>中央</w:t>
      </w:r>
      <w:r>
        <w:rPr>
          <w:szCs w:val="32"/>
        </w:rPr>
        <w:t>法治政府督察反馈意见整改</w:t>
      </w:r>
      <w:r>
        <w:rPr>
          <w:rFonts w:hint="eastAsia"/>
          <w:szCs w:val="32"/>
        </w:rPr>
        <w:t>落实</w:t>
      </w:r>
      <w:r>
        <w:rPr>
          <w:szCs w:val="32"/>
        </w:rPr>
        <w:t>。</w:t>
      </w:r>
      <w:r>
        <w:rPr>
          <w:b/>
          <w:bCs/>
          <w:kern w:val="0"/>
          <w:szCs w:val="32"/>
        </w:rPr>
        <w:t>二是</w:t>
      </w:r>
      <w:r>
        <w:rPr>
          <w:szCs w:val="32"/>
        </w:rPr>
        <w:t>提升依法科学</w:t>
      </w:r>
      <w:r>
        <w:rPr>
          <w:rFonts w:hint="eastAsia"/>
          <w:szCs w:val="32"/>
        </w:rPr>
        <w:t>民主</w:t>
      </w:r>
      <w:r>
        <w:rPr>
          <w:szCs w:val="32"/>
        </w:rPr>
        <w:t>决策水平</w:t>
      </w:r>
      <w:r>
        <w:rPr>
          <w:rFonts w:hint="eastAsia"/>
          <w:szCs w:val="32"/>
        </w:rPr>
        <w:t>。</w:t>
      </w:r>
      <w:r>
        <w:rPr>
          <w:rFonts w:hint="eastAsia" w:cs="方正仿宋_GBK"/>
          <w:szCs w:val="32"/>
        </w:rPr>
        <w:t>出台《重庆市大渡口区法治政府建设实施方案（2022—2025年）》，为建设更高水平、更高质量的法治政府提供新的指引。</w:t>
      </w:r>
      <w:r>
        <w:rPr>
          <w:rFonts w:hint="eastAsia"/>
          <w:szCs w:val="32"/>
        </w:rPr>
        <w:t>制定并公布2022年度重大行政决策事项目录，</w:t>
      </w:r>
      <w:r>
        <w:rPr>
          <w:bCs/>
          <w:kern w:val="0"/>
          <w:szCs w:val="32"/>
        </w:rPr>
        <w:t>加强规范性文件管理。</w:t>
      </w:r>
      <w:r>
        <w:rPr>
          <w:rFonts w:hint="eastAsia"/>
          <w:bCs/>
          <w:kern w:val="0"/>
          <w:szCs w:val="32"/>
        </w:rPr>
        <w:t>完成8件区政府规范性文件合法性审核和2件部门规范性文件备案审查，开展</w:t>
      </w:r>
      <w:r>
        <w:rPr>
          <w:bCs/>
          <w:kern w:val="0"/>
          <w:szCs w:val="32"/>
        </w:rPr>
        <w:t>规范性文件清理工作，废止区政府规范性文件</w:t>
      </w:r>
      <w:r>
        <w:rPr>
          <w:rFonts w:hint="eastAsia"/>
          <w:bCs/>
          <w:kern w:val="0"/>
          <w:szCs w:val="32"/>
        </w:rPr>
        <w:t>19</w:t>
      </w:r>
      <w:r>
        <w:rPr>
          <w:bCs/>
          <w:kern w:val="0"/>
          <w:szCs w:val="32"/>
        </w:rPr>
        <w:t>件，部门规范性文件</w:t>
      </w:r>
      <w:r>
        <w:rPr>
          <w:rFonts w:hint="eastAsia"/>
          <w:bCs/>
          <w:kern w:val="0"/>
          <w:szCs w:val="32"/>
        </w:rPr>
        <w:t>2</w:t>
      </w:r>
      <w:r>
        <w:rPr>
          <w:bCs/>
          <w:kern w:val="0"/>
          <w:szCs w:val="32"/>
        </w:rPr>
        <w:t>件</w:t>
      </w:r>
      <w:r>
        <w:rPr>
          <w:rFonts w:hint="eastAsia"/>
          <w:bCs/>
          <w:kern w:val="0"/>
          <w:szCs w:val="32"/>
        </w:rPr>
        <w:t>，</w:t>
      </w:r>
      <w:r>
        <w:rPr>
          <w:szCs w:val="32"/>
        </w:rPr>
        <w:t>规范性文件</w:t>
      </w:r>
      <w:r>
        <w:rPr>
          <w:rFonts w:hint="eastAsia"/>
          <w:color w:val="000000"/>
          <w:szCs w:val="44"/>
        </w:rPr>
        <w:t>报备率、报备及时率、规范率均达</w:t>
      </w:r>
      <w:r>
        <w:rPr>
          <w:rFonts w:hint="eastAsia"/>
          <w:szCs w:val="44"/>
        </w:rPr>
        <w:t>100%</w:t>
      </w:r>
      <w:r>
        <w:rPr>
          <w:kern w:val="0"/>
          <w:szCs w:val="32"/>
          <w:lang w:val="zh-CN"/>
        </w:rPr>
        <w:t>。</w:t>
      </w:r>
      <w:r>
        <w:rPr>
          <w:b/>
          <w:bCs/>
          <w:kern w:val="0"/>
          <w:szCs w:val="32"/>
        </w:rPr>
        <w:t>三是</w:t>
      </w:r>
      <w:r>
        <w:rPr>
          <w:bCs/>
          <w:kern w:val="0"/>
          <w:szCs w:val="32"/>
        </w:rPr>
        <w:t>严格规范公正文明执法。</w:t>
      </w:r>
      <w:r>
        <w:rPr>
          <w:rFonts w:hint="eastAsia"/>
          <w:bCs/>
          <w:kern w:val="0"/>
          <w:szCs w:val="32"/>
        </w:rPr>
        <w:t>分</w:t>
      </w:r>
      <w:r>
        <w:rPr>
          <w:bCs/>
          <w:kern w:val="0"/>
          <w:szCs w:val="32"/>
        </w:rPr>
        <w:t>两批次组织</w:t>
      </w:r>
      <w:r>
        <w:rPr>
          <w:rFonts w:hint="eastAsia"/>
          <w:bCs/>
          <w:kern w:val="0"/>
          <w:szCs w:val="32"/>
        </w:rPr>
        <w:t>131</w:t>
      </w:r>
      <w:r>
        <w:rPr>
          <w:bCs/>
          <w:kern w:val="0"/>
          <w:szCs w:val="32"/>
        </w:rPr>
        <w:t>人次行政执法人员开展通用法律</w:t>
      </w:r>
      <w:r>
        <w:rPr>
          <w:rFonts w:hint="eastAsia"/>
          <w:bCs/>
          <w:kern w:val="0"/>
          <w:szCs w:val="32"/>
        </w:rPr>
        <w:t>知识</w:t>
      </w:r>
      <w:r>
        <w:rPr>
          <w:bCs/>
          <w:kern w:val="0"/>
          <w:szCs w:val="32"/>
        </w:rPr>
        <w:t>培训，</w:t>
      </w:r>
      <w:r>
        <w:rPr>
          <w:rFonts w:hint="eastAsia"/>
          <w:bCs/>
          <w:kern w:val="0"/>
          <w:szCs w:val="32"/>
        </w:rPr>
        <w:t>完成300余</w:t>
      </w:r>
      <w:r>
        <w:rPr>
          <w:color w:val="000000"/>
          <w:szCs w:val="32"/>
        </w:rPr>
        <w:t>名</w:t>
      </w:r>
      <w:r>
        <w:rPr>
          <w:rFonts w:hint="eastAsia"/>
          <w:color w:val="000000"/>
          <w:szCs w:val="32"/>
        </w:rPr>
        <w:t>行政</w:t>
      </w:r>
      <w:r>
        <w:rPr>
          <w:color w:val="000000"/>
          <w:szCs w:val="32"/>
        </w:rPr>
        <w:t>执法人员</w:t>
      </w:r>
      <w:r>
        <w:rPr>
          <w:rFonts w:hint="eastAsia"/>
          <w:color w:val="000000"/>
          <w:szCs w:val="32"/>
        </w:rPr>
        <w:t>换证</w:t>
      </w:r>
      <w:r>
        <w:rPr>
          <w:color w:val="000000"/>
          <w:szCs w:val="32"/>
        </w:rPr>
        <w:t>、领证工作，确保行政执法人员全部</w:t>
      </w:r>
      <w:r>
        <w:rPr>
          <w:rFonts w:hint="eastAsia"/>
          <w:color w:val="000000"/>
          <w:szCs w:val="32"/>
        </w:rPr>
        <w:t>持证上岗，</w:t>
      </w:r>
      <w:r>
        <w:rPr>
          <w:rFonts w:hint="eastAsia"/>
          <w:bCs/>
          <w:kern w:val="0"/>
          <w:szCs w:val="32"/>
        </w:rPr>
        <w:t>指导监督行政机关严格</w:t>
      </w:r>
      <w:r>
        <w:rPr>
          <w:rFonts w:hint="eastAsia"/>
          <w:kern w:val="0"/>
          <w:szCs w:val="32"/>
        </w:rPr>
        <w:t>落实行政执法“三项制度”</w:t>
      </w:r>
      <w:r>
        <w:rPr>
          <w:kern w:val="0"/>
          <w:szCs w:val="32"/>
        </w:rPr>
        <w:t>。</w:t>
      </w:r>
      <w:bookmarkStart w:id="0" w:name="OLE_LINK1"/>
      <w:r>
        <w:rPr>
          <w:rFonts w:hint="eastAsia"/>
          <w:b/>
          <w:bCs/>
          <w:kern w:val="0"/>
          <w:szCs w:val="32"/>
        </w:rPr>
        <w:t>四</w:t>
      </w:r>
      <w:r>
        <w:rPr>
          <w:b/>
          <w:bCs/>
          <w:kern w:val="0"/>
          <w:szCs w:val="32"/>
        </w:rPr>
        <w:t>是</w:t>
      </w:r>
      <w:r>
        <w:rPr>
          <w:bCs/>
          <w:kern w:val="0"/>
          <w:szCs w:val="32"/>
        </w:rPr>
        <w:t>服务经济社会发展大局。</w:t>
      </w:r>
      <w:r>
        <w:rPr>
          <w:kern w:val="0"/>
          <w:szCs w:val="32"/>
          <w:lang w:val="zh-CN"/>
        </w:rPr>
        <w:t>发挥法治参谋助手作用，</w:t>
      </w:r>
      <w:r>
        <w:rPr>
          <w:rFonts w:hint="eastAsia"/>
          <w:kern w:val="0"/>
          <w:szCs w:val="32"/>
          <w:lang w:val="zh-CN"/>
        </w:rPr>
        <w:t>202</w:t>
      </w:r>
      <w:r>
        <w:rPr>
          <w:kern w:val="0"/>
          <w:szCs w:val="32"/>
          <w:lang w:val="zh-CN"/>
        </w:rPr>
        <w:t>2</w:t>
      </w:r>
      <w:r>
        <w:rPr>
          <w:rFonts w:hint="eastAsia"/>
          <w:kern w:val="0"/>
          <w:szCs w:val="32"/>
          <w:lang w:val="zh-CN"/>
        </w:rPr>
        <w:t>年审核招商引资、征收拆迁等涉法事务类协议</w:t>
      </w:r>
      <w:r>
        <w:rPr>
          <w:rFonts w:hint="eastAsia"/>
          <w:kern w:val="0"/>
          <w:szCs w:val="32"/>
        </w:rPr>
        <w:t>100余</w:t>
      </w:r>
      <w:r>
        <w:rPr>
          <w:rFonts w:hint="eastAsia"/>
          <w:kern w:val="0"/>
          <w:szCs w:val="32"/>
          <w:lang w:val="zh-CN"/>
        </w:rPr>
        <w:t>份，为全区重点项目建设出具</w:t>
      </w:r>
      <w:r>
        <w:rPr>
          <w:rFonts w:hint="eastAsia"/>
          <w:kern w:val="0"/>
          <w:szCs w:val="32"/>
        </w:rPr>
        <w:t>50余</w:t>
      </w:r>
      <w:r>
        <w:rPr>
          <w:rFonts w:hint="eastAsia"/>
          <w:kern w:val="0"/>
          <w:szCs w:val="32"/>
          <w:lang w:val="zh-CN"/>
        </w:rPr>
        <w:t>份法律意见书</w:t>
      </w:r>
      <w:r>
        <w:rPr>
          <w:kern w:val="0"/>
          <w:szCs w:val="32"/>
          <w:lang w:val="zh-CN"/>
        </w:rPr>
        <w:t>，牵头开展顺祥壹街区项目处置工作，</w:t>
      </w:r>
      <w:r>
        <w:rPr>
          <w:rFonts w:hint="eastAsia"/>
          <w:kern w:val="0"/>
          <w:szCs w:val="32"/>
          <w:lang w:val="zh-CN"/>
        </w:rPr>
        <w:t>全程参与全区恒大及类恒大类房地产领域重大问题的</w:t>
      </w:r>
      <w:r>
        <w:rPr>
          <w:kern w:val="0"/>
          <w:szCs w:val="32"/>
          <w:lang w:val="zh-CN"/>
        </w:rPr>
        <w:t>处置</w:t>
      </w:r>
      <w:r>
        <w:rPr>
          <w:kern w:val="0"/>
          <w:szCs w:val="32"/>
        </w:rPr>
        <w:t>。</w:t>
      </w:r>
      <w:bookmarkEnd w:id="0"/>
      <w:r>
        <w:rPr>
          <w:rFonts w:hint="eastAsia" w:cs="方正仿宋_GBK"/>
          <w:b/>
          <w:bCs/>
          <w:szCs w:val="32"/>
        </w:rPr>
        <w:t>五是</w:t>
      </w:r>
      <w:r>
        <w:rPr>
          <w:rFonts w:hint="eastAsia" w:cs="方正仿宋_GBK"/>
          <w:szCs w:val="32"/>
        </w:rPr>
        <w:t>切实做好行政复议和应诉。在8个镇街设立“行政复议咨询服务点”，实现基层行政复议咨询服务点全覆盖。实行重大疑难案件听证制度，推进行政复议调解工作，充分发挥复议化解争议主渠道作用。2022年，共受理行政复议案件30件，办结31件（含2020年结转4件、2021年结案27件），经行政复议纠错案件5件（均为信息公开案件），直接纠错率16%。按照“谁分管谁出庭，谁决策谁出庭”原则完善行政机关负责人出庭制度，并将其纳入法治政府建设考核和政府绩效评估。2022年，全区共收到行政诉讼案件33件，已结8件一审案件，行政机关负责人出庭应诉率100%，无行政机关负责人零出庭的单位。</w:t>
      </w:r>
    </w:p>
    <w:p>
      <w:pPr>
        <w:keepNext w:val="0"/>
        <w:keepLines w:val="0"/>
        <w:pageBreakBefore w:val="0"/>
        <w:widowControl w:val="0"/>
        <w:kinsoku/>
        <w:wordWrap/>
        <w:topLinePunct w:val="0"/>
        <w:autoSpaceDE/>
        <w:autoSpaceDN/>
        <w:bidi w:val="0"/>
        <w:adjustRightInd w:val="0"/>
        <w:snapToGrid w:val="0"/>
        <w:spacing w:line="590" w:lineRule="exact"/>
        <w:ind w:firstLine="632" w:firstLineChars="200"/>
        <w:jc w:val="both"/>
        <w:textAlignment w:val="auto"/>
        <w:rPr>
          <w:rFonts w:cs="方正仿宋_GBK"/>
          <w:szCs w:val="32"/>
        </w:rPr>
      </w:pPr>
      <w:r>
        <w:rPr>
          <w:rFonts w:hint="eastAsia" w:cs="方正仿宋_GBK"/>
          <w:b/>
          <w:bCs/>
          <w:szCs w:val="32"/>
        </w:rPr>
        <w:t>4. 优化法治营商环境。一是</w:t>
      </w:r>
      <w:r>
        <w:rPr>
          <w:rFonts w:hint="eastAsia" w:cs="方正仿宋_GBK"/>
          <w:szCs w:val="32"/>
        </w:rPr>
        <w:t>深入开展公共法律服务进园区。组建由18名律师、7名公证员组成的公益法律服务团，深入企业开展专项法律服务，推进民营“法治体检”常态化，充分发挥律师、公证等法律服务队伍的作用，为民营企业避免和挽回经济损失近5000万元。</w:t>
      </w:r>
      <w:r>
        <w:rPr>
          <w:rFonts w:hint="eastAsia" w:cs="方正仿宋_GBK"/>
          <w:b/>
          <w:bCs/>
          <w:szCs w:val="32"/>
        </w:rPr>
        <w:t>二是</w:t>
      </w:r>
      <w:r>
        <w:rPr>
          <w:rFonts w:hint="eastAsia" w:cs="方正仿宋_GBK"/>
          <w:szCs w:val="32"/>
        </w:rPr>
        <w:t>打造专业法律服务队伍。全区律师、公证、司法鉴定队伍拥护中国共产党领导、拥护我国社会主义法治，律师事务所已为89家民营企业担任常年法律顾问，全年共出具法律意见书108件，提供合理化建议132 条，发出法律风险提示函41份，审查各类合同267余份，参与诉讼案件178件；办理公证6190件。</w:t>
      </w:r>
      <w:r>
        <w:rPr>
          <w:rFonts w:hint="eastAsia" w:cs="方正仿宋_GBK"/>
          <w:b/>
          <w:bCs/>
          <w:szCs w:val="32"/>
        </w:rPr>
        <w:t>三是</w:t>
      </w:r>
      <w:r>
        <w:rPr>
          <w:rFonts w:hint="eastAsia" w:cs="方正仿宋_GBK"/>
          <w:szCs w:val="32"/>
        </w:rPr>
        <w:t>全面推行证明事项告知承诺制工作。严格落实市级公布的两批次86项证明事项告知承诺制，推行告知承诺制以来以上事项办理</w:t>
      </w:r>
      <w:r>
        <w:rPr>
          <w:rFonts w:hint="eastAsia" w:cs="方正仿宋_GBK"/>
          <w:szCs w:val="32"/>
          <w:lang w:val="en-US" w:eastAsia="zh-CN"/>
        </w:rPr>
        <w:t>72</w:t>
      </w:r>
      <w:r>
        <w:rPr>
          <w:rFonts w:hint="eastAsia" w:cs="方正仿宋_GBK"/>
          <w:szCs w:val="32"/>
        </w:rPr>
        <w:t>件次，采取告知承诺制方式办理</w:t>
      </w:r>
      <w:r>
        <w:rPr>
          <w:rFonts w:hint="eastAsia" w:cs="方正仿宋_GBK"/>
          <w:szCs w:val="32"/>
          <w:lang w:val="en-US" w:eastAsia="zh-CN"/>
        </w:rPr>
        <w:t>41</w:t>
      </w:r>
      <w:r>
        <w:rPr>
          <w:rFonts w:hint="eastAsia" w:cs="方正仿宋_GBK"/>
          <w:szCs w:val="32"/>
        </w:rPr>
        <w:t>件次，有效为群众和企业解决办事难、办事慢、办事烦、多头跑、来回跑等问题。</w:t>
      </w:r>
    </w:p>
    <w:p>
      <w:pPr>
        <w:keepNext w:val="0"/>
        <w:keepLines w:val="0"/>
        <w:pageBreakBefore w:val="0"/>
        <w:widowControl w:val="0"/>
        <w:kinsoku/>
        <w:wordWrap/>
        <w:topLinePunct w:val="0"/>
        <w:autoSpaceDE/>
        <w:autoSpaceDN/>
        <w:bidi w:val="0"/>
        <w:adjustRightInd w:val="0"/>
        <w:snapToGrid w:val="0"/>
        <w:spacing w:line="590" w:lineRule="exact"/>
        <w:ind w:firstLine="632" w:firstLineChars="200"/>
        <w:jc w:val="both"/>
        <w:textAlignment w:val="auto"/>
        <w:rPr>
          <w:rFonts w:eastAsia="方正楷体_GBK" w:cs="方正楷体_GBK"/>
          <w:szCs w:val="32"/>
        </w:rPr>
      </w:pPr>
      <w:r>
        <w:rPr>
          <w:rFonts w:hint="eastAsia" w:eastAsia="方正楷体_GBK" w:cs="方正楷体_GBK"/>
          <w:szCs w:val="32"/>
        </w:rPr>
        <w:t>（二）响应民生期待，司法服务为民取得新成效</w:t>
      </w:r>
    </w:p>
    <w:p>
      <w:pPr>
        <w:keepNext w:val="0"/>
        <w:keepLines w:val="0"/>
        <w:pageBreakBefore w:val="0"/>
        <w:widowControl w:val="0"/>
        <w:kinsoku/>
        <w:wordWrap/>
        <w:topLinePunct w:val="0"/>
        <w:autoSpaceDE/>
        <w:autoSpaceDN/>
        <w:bidi w:val="0"/>
        <w:adjustRightInd w:val="0"/>
        <w:snapToGrid w:val="0"/>
        <w:spacing w:line="590" w:lineRule="exact"/>
        <w:ind w:firstLine="632" w:firstLineChars="200"/>
        <w:jc w:val="both"/>
        <w:textAlignment w:val="auto"/>
        <w:rPr>
          <w:rFonts w:cs="方正仿宋_GBK"/>
          <w:szCs w:val="32"/>
        </w:rPr>
      </w:pPr>
      <w:r>
        <w:rPr>
          <w:rFonts w:hint="eastAsia" w:cs="方正仿宋_GBK"/>
          <w:b/>
          <w:bCs/>
          <w:szCs w:val="32"/>
        </w:rPr>
        <w:t>1. 公共法律服务精准有效。一是</w:t>
      </w:r>
      <w:r>
        <w:rPr>
          <w:rFonts w:hint="eastAsia"/>
          <w:szCs w:val="32"/>
        </w:rPr>
        <w:t>提档升级公共法律服务平台。推广村居法律顾问微信小程序，</w:t>
      </w:r>
      <w:r>
        <w:rPr>
          <w:rFonts w:hint="eastAsia" w:cs="方正仿宋_GBK"/>
          <w:szCs w:val="32"/>
        </w:rPr>
        <w:t>开展村（居）法律顾问进万家、法律援助进万户、公证服务进小区等专项活动，村居民扫描二维码即可通过微信与村居法律顾问、公证员进行法律咨询，让村居民足不出户即可享受线上免费法律服务。截至目前，我区村居法律顾问小程序居民用户22564人，提供各类法治服务3710人次，受到居民群众的热烈欢迎。</w:t>
      </w:r>
      <w:r>
        <w:rPr>
          <w:rFonts w:hint="eastAsia"/>
          <w:b/>
          <w:bCs/>
          <w:szCs w:val="32"/>
        </w:rPr>
        <w:t>二是</w:t>
      </w:r>
      <w:r>
        <w:rPr>
          <w:rFonts w:hint="eastAsia" w:cs="方正仿宋_GBK"/>
          <w:szCs w:val="32"/>
        </w:rPr>
        <w:t>深入实施“法援惠民生”工程。新增科技人才、退役军人服务2个法律援助工作站，不断扩大法律援助范围，降低援助门槛，做到“应援尽援、应援优援”，充分发挥法律援助“保基本”“兜底线”作用。2022年，区法律援助中心共受理援助案件281件，为受援人挽回经济损失共计220.56万元，接待法律咨询2108人次，案件回访群众满意度98%以上；其中涉及农民工87件、未成年人35件、残疾人13件、老年人11件、妇女53件，切实让困难群众感受到公平正义。</w:t>
      </w:r>
      <w:r>
        <w:rPr>
          <w:rFonts w:hint="eastAsia" w:cs="方正仿宋_GBK"/>
          <w:b/>
          <w:bCs/>
          <w:szCs w:val="32"/>
        </w:rPr>
        <w:t>三</w:t>
      </w:r>
      <w:r>
        <w:rPr>
          <w:rFonts w:hint="eastAsia"/>
          <w:b/>
          <w:bCs/>
          <w:szCs w:val="32"/>
        </w:rPr>
        <w:t>是</w:t>
      </w:r>
      <w:r>
        <w:rPr>
          <w:rFonts w:hint="eastAsia" w:cs="方正仿宋_GBK"/>
          <w:bCs/>
          <w:szCs w:val="32"/>
        </w:rPr>
        <w:t>严格落实法律服务监管责任。</w:t>
      </w:r>
      <w:r>
        <w:rPr>
          <w:rFonts w:hint="eastAsia" w:cs="方正仿宋_GBK"/>
          <w:szCs w:val="32"/>
        </w:rPr>
        <w:t>每年对律师事务所、公证处、基层法律服务所、司法鉴定机构开展一次“双随机、一公开”检查，建立完善守信联合激励和失信联合惩戒制度、推进法律服务行业信用体系建设，进一步规范法律服务机构及其执业人员的执业行为。</w:t>
      </w:r>
    </w:p>
    <w:p>
      <w:pPr>
        <w:keepNext w:val="0"/>
        <w:keepLines w:val="0"/>
        <w:pageBreakBefore w:val="0"/>
        <w:widowControl w:val="0"/>
        <w:kinsoku/>
        <w:wordWrap/>
        <w:topLinePunct w:val="0"/>
        <w:autoSpaceDE/>
        <w:autoSpaceDN/>
        <w:bidi w:val="0"/>
        <w:adjustRightInd w:val="0"/>
        <w:snapToGrid w:val="0"/>
        <w:spacing w:line="590" w:lineRule="exact"/>
        <w:ind w:firstLine="632" w:firstLineChars="200"/>
        <w:jc w:val="both"/>
        <w:textAlignment w:val="auto"/>
        <w:rPr>
          <w:rFonts w:cs="方正仿宋_GBK"/>
          <w:szCs w:val="32"/>
        </w:rPr>
      </w:pPr>
      <w:r>
        <w:rPr>
          <w:rFonts w:hint="eastAsia" w:cs="方正仿宋_GBK"/>
          <w:b/>
          <w:bCs/>
          <w:szCs w:val="32"/>
        </w:rPr>
        <w:t>2. “八五”普法工作推进有力。一是</w:t>
      </w:r>
      <w:r>
        <w:rPr>
          <w:rFonts w:hint="eastAsia" w:cs="方正仿宋_GBK"/>
          <w:szCs w:val="32"/>
        </w:rPr>
        <w:t>高标准谋划“八五”普法工作。编制实施《关于开展第八个五年法治宣传教育的决议》《大渡口区2022年度普法计划》，常态化推进全区普法依法治理工作。落实普法责任制联席会议制度，组织召开全区普法依法治理工作会，审议通过《2022年度大渡口区普法依法治理工作要点》，进一步深化全域普法“一盘棋”理念。</w:t>
      </w:r>
      <w:r>
        <w:rPr>
          <w:rFonts w:hint="eastAsia" w:cs="方正仿宋_GBK"/>
          <w:b/>
          <w:bCs/>
          <w:szCs w:val="32"/>
        </w:rPr>
        <w:t>二是</w:t>
      </w:r>
      <w:r>
        <w:rPr>
          <w:rFonts w:hint="eastAsia" w:cs="方正仿宋_GBK"/>
          <w:szCs w:val="32"/>
        </w:rPr>
        <w:t>精准推进“法律八进”。组织开展以《宪法》《民法典》《长江保护法》为主题的多层次、多领域、全方位普法宣传活动，积极营造“抬头见法、处处有法”的浓厚氛围，全区各部门、镇街共计开展各类宣传活动500余场次，组织开展各类法治讲座150余场次。</w:t>
      </w:r>
      <w:r>
        <w:rPr>
          <w:rFonts w:hint="eastAsia" w:cs="方正仿宋_GBK"/>
          <w:b/>
          <w:bCs/>
          <w:szCs w:val="32"/>
        </w:rPr>
        <w:t>三是</w:t>
      </w:r>
      <w:r>
        <w:rPr>
          <w:rFonts w:hint="eastAsia" w:cs="方正仿宋_GBK"/>
          <w:szCs w:val="32"/>
        </w:rPr>
        <w:t>大力推进法治文化阵地建设。充分发挥品牌示范引领作用，升级打造区禁毒教育基地和20余个法治宣传阵地，新打造“跳磴镇蜂窝坝村法治宣传阵地”“建胜镇百佳园社区援法议事堂”等基层法治宣传阵地，全力推进跃进村司法所“枫桥式”司法所创建。2022年，区禁毒教育基地获评第二批重庆市法治宣传教育基地。</w:t>
      </w:r>
    </w:p>
    <w:p>
      <w:pPr>
        <w:keepNext w:val="0"/>
        <w:keepLines w:val="0"/>
        <w:pageBreakBefore w:val="0"/>
        <w:widowControl w:val="0"/>
        <w:kinsoku/>
        <w:wordWrap/>
        <w:topLinePunct w:val="0"/>
        <w:autoSpaceDE/>
        <w:autoSpaceDN/>
        <w:bidi w:val="0"/>
        <w:adjustRightInd w:val="0"/>
        <w:snapToGrid w:val="0"/>
        <w:spacing w:line="590" w:lineRule="exact"/>
        <w:ind w:firstLine="632" w:firstLineChars="200"/>
        <w:jc w:val="both"/>
        <w:textAlignment w:val="auto"/>
        <w:rPr>
          <w:rFonts w:eastAsia="方正楷体_GBK" w:cs="方正楷体_GBK"/>
          <w:szCs w:val="32"/>
        </w:rPr>
      </w:pPr>
      <w:r>
        <w:rPr>
          <w:rFonts w:hint="eastAsia" w:eastAsia="方正楷体_GBK" w:cs="方正楷体_GBK"/>
          <w:szCs w:val="32"/>
        </w:rPr>
        <w:t>（三）筑牢稳定基石，平安大渡口建设续写新篇章</w:t>
      </w:r>
    </w:p>
    <w:p>
      <w:pPr>
        <w:pStyle w:val="5"/>
        <w:keepNext w:val="0"/>
        <w:keepLines w:val="0"/>
        <w:pageBreakBefore w:val="0"/>
        <w:widowControl w:val="0"/>
        <w:kinsoku/>
        <w:wordWrap/>
        <w:topLinePunct w:val="0"/>
        <w:autoSpaceDE/>
        <w:autoSpaceDN/>
        <w:bidi w:val="0"/>
        <w:adjustRightInd w:val="0"/>
        <w:snapToGrid w:val="0"/>
        <w:spacing w:line="590" w:lineRule="exact"/>
        <w:ind w:firstLine="632" w:firstLineChars="200"/>
        <w:jc w:val="both"/>
        <w:textAlignment w:val="auto"/>
        <w:rPr>
          <w:sz w:val="32"/>
          <w:szCs w:val="32"/>
        </w:rPr>
      </w:pPr>
      <w:r>
        <w:rPr>
          <w:rFonts w:hint="eastAsia" w:cs="方正仿宋_GBK"/>
          <w:b/>
          <w:bCs/>
          <w:sz w:val="32"/>
          <w:szCs w:val="32"/>
        </w:rPr>
        <w:t>1. 优化升级多元矛盾纠纷化解体系。一是</w:t>
      </w:r>
      <w:r>
        <w:rPr>
          <w:rFonts w:hint="eastAsia" w:cs="方正仿宋_GBK"/>
          <w:sz w:val="32"/>
          <w:szCs w:val="32"/>
        </w:rPr>
        <w:t>筑牢筑紧调解防线。将矛盾纠纷排查化解与风险防控紧密结合，持续深化“调解促稳定、喜迎二十大”专项行动，聚焦房地产、民间借贷、物业管理等矛盾纠纷集中领域，深入开展矛盾纠纷排查化解，坚决防止民间纠纷转化为刑事案件、群体性事件、极端案事件。</w:t>
      </w:r>
      <w:r>
        <w:rPr>
          <w:rFonts w:hint="eastAsia" w:cs="方正仿宋_GBK"/>
          <w:b/>
          <w:bCs/>
          <w:sz w:val="32"/>
          <w:szCs w:val="32"/>
        </w:rPr>
        <w:t>二是</w:t>
      </w:r>
      <w:r>
        <w:rPr>
          <w:rFonts w:hint="eastAsia" w:cs="方正仿宋_GBK"/>
          <w:sz w:val="32"/>
          <w:szCs w:val="32"/>
        </w:rPr>
        <w:t>推</w:t>
      </w:r>
      <w:r>
        <w:rPr>
          <w:sz w:val="32"/>
          <w:szCs w:val="32"/>
        </w:rPr>
        <w:t>进专职调解员配备</w:t>
      </w:r>
      <w:r>
        <w:rPr>
          <w:rFonts w:hint="eastAsia"/>
          <w:sz w:val="32"/>
          <w:szCs w:val="32"/>
        </w:rPr>
        <w:t>。</w:t>
      </w:r>
      <w:r>
        <w:rPr>
          <w:sz w:val="32"/>
          <w:szCs w:val="32"/>
        </w:rPr>
        <w:t>区司法局主动与相关行业主管部门沟通协调，更新全区13个行业性专业性人民调解委员会人员配备。2022年</w:t>
      </w:r>
      <w:r>
        <w:rPr>
          <w:rFonts w:hint="eastAsia"/>
          <w:sz w:val="32"/>
          <w:szCs w:val="32"/>
        </w:rPr>
        <w:t>，</w:t>
      </w:r>
      <w:r>
        <w:rPr>
          <w:sz w:val="32"/>
          <w:szCs w:val="32"/>
        </w:rPr>
        <w:t>全区镇街、村（社区）、行业性专业性调委会调解案件6551件，调解成功6538件，调解成功率99.8%，切实将矛盾化解在基层、化解在萌芽状态。</w:t>
      </w:r>
      <w:r>
        <w:rPr>
          <w:rFonts w:hint="eastAsia"/>
          <w:b/>
          <w:bCs/>
          <w:sz w:val="32"/>
          <w:szCs w:val="32"/>
        </w:rPr>
        <w:t>三是</w:t>
      </w:r>
      <w:r>
        <w:rPr>
          <w:rFonts w:hint="eastAsia" w:cs="方正仿宋_GBK"/>
          <w:sz w:val="32"/>
          <w:szCs w:val="32"/>
        </w:rPr>
        <w:t>不断健全完善“诉调、警调、访调”对接机制和“一庭两所”矛盾纠纷联调机制，不断完善人民调解、行政调解、司法调解联动的工作体系。</w:t>
      </w:r>
      <w:r>
        <w:rPr>
          <w:sz w:val="32"/>
          <w:szCs w:val="32"/>
        </w:rPr>
        <w:t>2022年，驻警调解室调解案件5985件，调解成功5936件；驻法院调解室调解案件8121件，调解成功4297件；驻信访调解室</w:t>
      </w:r>
      <w:r>
        <w:rPr>
          <w:rFonts w:hint="eastAsia"/>
          <w:sz w:val="32"/>
          <w:szCs w:val="32"/>
        </w:rPr>
        <w:t>、驻检察院莎姐调解室</w:t>
      </w:r>
      <w:r>
        <w:rPr>
          <w:sz w:val="32"/>
          <w:szCs w:val="32"/>
        </w:rPr>
        <w:t>调解工作稳步推进。</w:t>
      </w:r>
    </w:p>
    <w:p>
      <w:pPr>
        <w:pStyle w:val="11"/>
        <w:keepNext w:val="0"/>
        <w:keepLines w:val="0"/>
        <w:pageBreakBefore w:val="0"/>
        <w:widowControl w:val="0"/>
        <w:kinsoku/>
        <w:wordWrap/>
        <w:topLinePunct w:val="0"/>
        <w:autoSpaceDE/>
        <w:autoSpaceDN/>
        <w:bidi w:val="0"/>
        <w:adjustRightInd w:val="0"/>
        <w:snapToGrid w:val="0"/>
        <w:spacing w:line="590" w:lineRule="exact"/>
        <w:ind w:firstLine="632" w:firstLineChars="200"/>
        <w:jc w:val="both"/>
        <w:textAlignment w:val="auto"/>
        <w:rPr>
          <w:rFonts w:eastAsia="方正仿宋_GBK" w:cs="方正仿宋_GBK"/>
          <w:sz w:val="32"/>
          <w:szCs w:val="32"/>
        </w:rPr>
      </w:pPr>
      <w:r>
        <w:rPr>
          <w:rFonts w:hint="eastAsia" w:eastAsia="方正仿宋_GBK" w:cs="方正仿宋_GBK"/>
          <w:b/>
          <w:bCs/>
          <w:sz w:val="32"/>
          <w:szCs w:val="32"/>
        </w:rPr>
        <w:t>2.完善重点人群服务管理体系。一是</w:t>
      </w:r>
      <w:r>
        <w:rPr>
          <w:rFonts w:hint="eastAsia" w:eastAsia="方正仿宋_GBK" w:cs="方正仿宋_GBK"/>
          <w:sz w:val="32"/>
          <w:szCs w:val="32"/>
        </w:rPr>
        <w:t>构建起司法行政机关、公安机关和检察机关三方联合调查协作机制。针对重点人群中处于失联状态的388名服务管理对象，区司法局加强与区公安分局、区检察院对接联系，充分发挥司法所、派出所和检察监督的优势作用，畅通信息渠道，整合力量全面开展查找。通过公安机关大数据共查找到335名失联人员予以依法管控，有力维护全区平安稳定。</w:t>
      </w:r>
      <w:r>
        <w:rPr>
          <w:rFonts w:hint="eastAsia" w:eastAsia="方正仿宋_GBK" w:cs="方正仿宋_GBK"/>
          <w:b/>
          <w:bCs/>
          <w:sz w:val="32"/>
          <w:szCs w:val="32"/>
        </w:rPr>
        <w:t>二是</w:t>
      </w:r>
      <w:r>
        <w:rPr>
          <w:rFonts w:hint="eastAsia" w:eastAsia="方正仿宋_GBK" w:cs="方正仿宋_GBK"/>
          <w:sz w:val="32"/>
          <w:szCs w:val="32"/>
        </w:rPr>
        <w:t>重点人员管控到位。2022年以来，我区新接收社区矫正对象159人，解除矫正178人，目前在矫社区矫正对象177人全部在管在控；新接收刑满释放人员211名，目前安置帮教对象951人均按要求落实衔接、帮扶措施。</w:t>
      </w:r>
      <w:r>
        <w:rPr>
          <w:rFonts w:hint="eastAsia" w:eastAsia="方正仿宋_GBK" w:cs="方正仿宋_GBK"/>
          <w:b/>
          <w:bCs/>
          <w:sz w:val="32"/>
          <w:szCs w:val="32"/>
        </w:rPr>
        <w:t>三是</w:t>
      </w:r>
      <w:r>
        <w:rPr>
          <w:rFonts w:hint="eastAsia" w:eastAsia="方正仿宋_GBK" w:cs="方正仿宋_GBK"/>
          <w:sz w:val="32"/>
          <w:szCs w:val="32"/>
        </w:rPr>
        <w:t>重点人群专项组组长单位职责履行到位。严格落实“1+4”分级分类管控制度，统筹各单位力量、整合各单位资源，联合开展风险排查，坚决防止 “两失人员”、“重症精神病患者”、刑满释放人员等个人极端暴力案事件发生。</w:t>
      </w:r>
    </w:p>
    <w:p>
      <w:pPr>
        <w:keepNext w:val="0"/>
        <w:keepLines w:val="0"/>
        <w:pageBreakBefore w:val="0"/>
        <w:widowControl w:val="0"/>
        <w:kinsoku/>
        <w:wordWrap/>
        <w:topLinePunct w:val="0"/>
        <w:autoSpaceDE/>
        <w:autoSpaceDN/>
        <w:bidi w:val="0"/>
        <w:adjustRightInd w:val="0"/>
        <w:snapToGrid w:val="0"/>
        <w:spacing w:line="590" w:lineRule="exact"/>
        <w:ind w:firstLine="632" w:firstLineChars="200"/>
        <w:jc w:val="both"/>
        <w:textAlignment w:val="auto"/>
        <w:rPr>
          <w:rFonts w:cs="方正仿宋_GBK"/>
          <w:szCs w:val="32"/>
        </w:rPr>
      </w:pPr>
      <w:r>
        <w:rPr>
          <w:rFonts w:hint="eastAsia" w:cs="方正仿宋_GBK"/>
          <w:b/>
          <w:bCs/>
          <w:szCs w:val="32"/>
        </w:rPr>
        <w:t>3. 健全融合基层治理体系。一是</w:t>
      </w:r>
      <w:r>
        <w:rPr>
          <w:rFonts w:hint="eastAsia" w:cs="方正仿宋_GBK"/>
          <w:szCs w:val="32"/>
        </w:rPr>
        <w:t>全力推进法治村（社区）建设。巩固提升国家级、市级民主法治示范村（社区）建设成果，着力打造自治、法治、德治、智治相结合的乡村治理新模式。2022年，跳磴镇蜂窝坝村获评全国民主法治示范村，八桥镇龙都社区、建胜镇百佳园社区获评市级民主法治示范社区；截至目前已成功创建国家级民主法治示范村（社区）3个、市级民主法治示范村（社区）50个。</w:t>
      </w:r>
      <w:r>
        <w:rPr>
          <w:rFonts w:hint="eastAsia" w:cs="方正仿宋_GBK"/>
          <w:b/>
          <w:bCs/>
          <w:szCs w:val="32"/>
        </w:rPr>
        <w:t>二是</w:t>
      </w:r>
      <w:r>
        <w:rPr>
          <w:rFonts w:hint="eastAsia" w:cs="方正仿宋_GBK"/>
          <w:szCs w:val="32"/>
        </w:rPr>
        <w:t>大力培育法律明白人。2022年共计培养277名法律明白人，每个村（社区）至少达到3名，实现了全区各村社区“法律明白人”全覆盖。试点建设14个“法律之家”，极大地充实了法治乡村建设力量，让法治更充分融入广大群众的日常生活。</w:t>
      </w:r>
      <w:r>
        <w:rPr>
          <w:rFonts w:hint="eastAsia" w:cs="方正仿宋_GBK"/>
          <w:b/>
          <w:bCs/>
          <w:szCs w:val="32"/>
        </w:rPr>
        <w:t>三是</w:t>
      </w:r>
      <w:r>
        <w:rPr>
          <w:rFonts w:hint="eastAsia" w:cs="方正仿宋_GBK"/>
          <w:szCs w:val="32"/>
        </w:rPr>
        <w:t>深入开展村居法律顾问巩固提升工程。整合律师、基层法律服务工作者、公证员深入村（社区）开展法治讲座66场，法律服务宣讲活动16场，实现村居法律顾问工作全覆盖。</w:t>
      </w:r>
    </w:p>
    <w:p>
      <w:pPr>
        <w:keepNext w:val="0"/>
        <w:keepLines w:val="0"/>
        <w:pageBreakBefore w:val="0"/>
        <w:widowControl w:val="0"/>
        <w:kinsoku/>
        <w:wordWrap/>
        <w:topLinePunct w:val="0"/>
        <w:autoSpaceDE/>
        <w:autoSpaceDN/>
        <w:bidi w:val="0"/>
        <w:adjustRightInd w:val="0"/>
        <w:snapToGrid w:val="0"/>
        <w:spacing w:line="590" w:lineRule="exact"/>
        <w:ind w:firstLine="632" w:firstLineChars="200"/>
        <w:jc w:val="both"/>
        <w:textAlignment w:val="auto"/>
        <w:rPr>
          <w:rFonts w:eastAsia="方正黑体_GBK" w:cs="方正黑体_GBK"/>
          <w:kern w:val="0"/>
          <w:szCs w:val="32"/>
        </w:rPr>
      </w:pPr>
      <w:r>
        <w:rPr>
          <w:rFonts w:hint="eastAsia" w:eastAsia="方正黑体_GBK" w:cs="方正黑体_GBK"/>
          <w:kern w:val="0"/>
          <w:szCs w:val="32"/>
        </w:rPr>
        <w:t>二、存在的问题及2023年工作安排</w:t>
      </w:r>
    </w:p>
    <w:p>
      <w:pPr>
        <w:keepNext w:val="0"/>
        <w:keepLines w:val="0"/>
        <w:pageBreakBefore w:val="0"/>
        <w:widowControl w:val="0"/>
        <w:kinsoku/>
        <w:wordWrap/>
        <w:topLinePunct w:val="0"/>
        <w:autoSpaceDE/>
        <w:autoSpaceDN/>
        <w:bidi w:val="0"/>
        <w:adjustRightInd w:val="0"/>
        <w:snapToGrid w:val="0"/>
        <w:spacing w:line="590" w:lineRule="exact"/>
        <w:ind w:firstLine="632" w:firstLineChars="200"/>
        <w:jc w:val="both"/>
        <w:textAlignment w:val="auto"/>
        <w:rPr>
          <w:rFonts w:cs="方正仿宋_GBK"/>
          <w:kern w:val="0"/>
          <w:szCs w:val="32"/>
        </w:rPr>
      </w:pPr>
      <w:r>
        <w:rPr>
          <w:rFonts w:hint="eastAsia" w:cs="方正仿宋_GBK"/>
          <w:kern w:val="0"/>
          <w:szCs w:val="32"/>
        </w:rPr>
        <w:t>2022年，全区依法治区和司法行政工作取得了一定的成效，但对照“十四五”期间高质量发展的新形势、新任务，司法行政工作在法治大渡口建设、法律服务提升、矛盾纠纷调处等方面还有一些薄弱环节，需要在下一步工作中有针对性的予以解决。2023年，区司法局将在区委区政府的正确领导</w:t>
      </w:r>
      <w:r>
        <w:rPr>
          <w:rFonts w:hint="eastAsia" w:cs="方正仿宋_GBK"/>
          <w:szCs w:val="32"/>
        </w:rPr>
        <w:t>和区委政法委的精心指导</w:t>
      </w:r>
      <w:r>
        <w:rPr>
          <w:rFonts w:hint="eastAsia" w:cs="方正仿宋_GBK"/>
          <w:kern w:val="0"/>
          <w:szCs w:val="32"/>
        </w:rPr>
        <w:t>下，以习近平新时代中国特色社会主义思想为指导，深入学习贯彻党的二十大精神，坚持高质量发展总导向，紧紧围绕区委区政府中心工作，立足新蓝图、聚焦新需求、瞄准新目标，不断提升社会治理体系和治理能力，为“公园大渡口、多彩艺术湾”建设提供更加坚实的法治保障，重点抓好以下五个方面工作。</w:t>
      </w:r>
    </w:p>
    <w:p>
      <w:pPr>
        <w:keepNext w:val="0"/>
        <w:keepLines w:val="0"/>
        <w:pageBreakBefore w:val="0"/>
        <w:widowControl w:val="0"/>
        <w:kinsoku/>
        <w:wordWrap/>
        <w:topLinePunct w:val="0"/>
        <w:autoSpaceDE/>
        <w:autoSpaceDN/>
        <w:bidi w:val="0"/>
        <w:adjustRightInd w:val="0"/>
        <w:snapToGrid w:val="0"/>
        <w:spacing w:line="590" w:lineRule="exact"/>
        <w:ind w:firstLine="632" w:firstLineChars="200"/>
        <w:jc w:val="both"/>
        <w:textAlignment w:val="auto"/>
        <w:rPr>
          <w:rFonts w:cs="方正仿宋_GBK"/>
          <w:szCs w:val="32"/>
        </w:rPr>
      </w:pPr>
      <w:r>
        <w:rPr>
          <w:rFonts w:hint="eastAsia" w:cs="方正仿宋_GBK"/>
          <w:b/>
          <w:bCs/>
          <w:szCs w:val="32"/>
        </w:rPr>
        <w:t>一是</w:t>
      </w:r>
      <w:r>
        <w:rPr>
          <w:rFonts w:hint="eastAsia" w:cs="方正仿宋_GBK"/>
          <w:szCs w:val="32"/>
        </w:rPr>
        <w:t>深入推进全面依法治区。进一步加强法治责任落实，不断推动法治国家、法治政府、法治社会一体建设，持续推进法治领域改革，</w:t>
      </w:r>
      <w:r>
        <w:rPr>
          <w:rFonts w:hint="eastAsia"/>
          <w:szCs w:val="32"/>
        </w:rPr>
        <w:t>加强法治督察，</w:t>
      </w:r>
      <w:r>
        <w:rPr>
          <w:rFonts w:hint="eastAsia" w:cs="方正仿宋_GBK"/>
          <w:szCs w:val="32"/>
        </w:rPr>
        <w:t>坚持严格执法、公正司法、全民守法各环节法治工作相互贯通、相互促进、形成合力。</w:t>
      </w:r>
      <w:r>
        <w:rPr>
          <w:rFonts w:hint="eastAsia" w:cs="方正仿宋_GBK"/>
          <w:b/>
          <w:bCs/>
          <w:szCs w:val="32"/>
        </w:rPr>
        <w:t>二是</w:t>
      </w:r>
      <w:r>
        <w:rPr>
          <w:rFonts w:hint="eastAsia" w:cs="方正仿宋_GBK"/>
          <w:szCs w:val="32"/>
        </w:rPr>
        <w:t>全面建设法治政府。</w:t>
      </w:r>
      <w:r>
        <w:rPr>
          <w:rFonts w:hint="eastAsia"/>
          <w:szCs w:val="32"/>
        </w:rPr>
        <w:t>深入开展法治政府建设示范创建活动，力争获评市级法治政府建设示范区县。深化“放管服”改革，提高审批服务效率。全</w:t>
      </w:r>
      <w:r>
        <w:rPr>
          <w:rFonts w:hint="eastAsia" w:cs="方正仿宋_GBK"/>
          <w:szCs w:val="32"/>
        </w:rPr>
        <w:t>面推进严格规范公正文明执法。</w:t>
      </w:r>
      <w:r>
        <w:rPr>
          <w:rFonts w:hint="eastAsia" w:cs="方正仿宋_GBK"/>
          <w:b/>
          <w:bCs/>
          <w:szCs w:val="32"/>
        </w:rPr>
        <w:t>三是</w:t>
      </w:r>
      <w:r>
        <w:rPr>
          <w:rFonts w:hint="eastAsia" w:cs="方正仿宋_GBK"/>
          <w:szCs w:val="32"/>
        </w:rPr>
        <w:t>加快法治社会建设进度。深入实施“八五”普法规划，打造具有浓郁特色的大渡口普法品牌。广泛开展普法宣传及法治文化活动，提升法治文化感染力。</w:t>
      </w:r>
      <w:r>
        <w:rPr>
          <w:rFonts w:hint="eastAsia" w:cs="方正仿宋_GBK"/>
          <w:b/>
          <w:bCs/>
          <w:szCs w:val="32"/>
        </w:rPr>
        <w:t>四是</w:t>
      </w:r>
      <w:r>
        <w:rPr>
          <w:rFonts w:hint="eastAsia" w:cs="方正仿宋_GBK"/>
          <w:szCs w:val="32"/>
        </w:rPr>
        <w:t>持续深化公共法律服务体系建设。不断完善公共法律服务产品目录，畅通服务渠道、丰富服务内容。加快公共法律服务实体平台、热线平台、网络平台融合发展，借助村居法律顾问小程序加强村居法律顾问服务监管，推动服务力量下沉网格。</w:t>
      </w:r>
      <w:r>
        <w:rPr>
          <w:rFonts w:hint="eastAsia" w:cs="方正仿宋_GBK"/>
          <w:b/>
          <w:bCs/>
          <w:szCs w:val="32"/>
        </w:rPr>
        <w:t>五是</w:t>
      </w:r>
      <w:r>
        <w:rPr>
          <w:rFonts w:hint="eastAsia" w:cs="方正仿宋_GBK"/>
          <w:szCs w:val="32"/>
        </w:rPr>
        <w:t>加强和创新基层治理。持续加强基层调解组织规范化建设，提升人民调解工作规范化水平，落实矛盾纠纷调处行业性专业性责任，优化基层矛盾纠纷化解资源和力量。深化“智慧矫正”建设，加强智能平台设备运用，落实“精细管理、精准矫治、精心帮扶”，提升重点人群管理教育效能。</w:t>
      </w:r>
    </w:p>
    <w:sectPr>
      <w:footerReference r:id="rId3" w:type="default"/>
      <w:footerReference r:id="rId4" w:type="even"/>
      <w:pgSz w:w="11906" w:h="16838"/>
      <w:pgMar w:top="1984" w:right="1446" w:bottom="1644" w:left="1446"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rStyle w:val="9"/>
        <w:rFonts w:hint="eastAsia"/>
        <w:sz w:val="28"/>
      </w:rPr>
      <w:t>―</w:t>
    </w:r>
    <w:r>
      <w:rPr>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7</w:t>
    </w:r>
    <w:r>
      <w:rPr>
        <w:rFonts w:ascii="宋体" w:hAnsi="宋体" w:eastAsia="宋体"/>
        <w:kern w:val="0"/>
        <w:sz w:val="28"/>
      </w:rPr>
      <w:fldChar w:fldCharType="end"/>
    </w:r>
    <w:r>
      <w:rPr>
        <w:kern w:val="0"/>
        <w:sz w:val="28"/>
      </w:rPr>
      <w:t xml:space="preserve"> </w:t>
    </w:r>
    <w:r>
      <w:rPr>
        <w:rStyle w:val="9"/>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rStyle w:val="9"/>
        <w:rFonts w:hint="eastAsia"/>
        <w:sz w:val="28"/>
      </w:rPr>
      <w:t>―</w:t>
    </w:r>
    <w:r>
      <w:rPr>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8</w:t>
    </w:r>
    <w:r>
      <w:rPr>
        <w:rFonts w:ascii="宋体" w:hAnsi="宋体" w:eastAsia="宋体"/>
        <w:kern w:val="0"/>
        <w:sz w:val="28"/>
      </w:rPr>
      <w:fldChar w:fldCharType="end"/>
    </w:r>
    <w:r>
      <w:rPr>
        <w:kern w:val="0"/>
        <w:sz w:val="28"/>
      </w:rPr>
      <w:t xml:space="preserve"> </w:t>
    </w:r>
    <w:r>
      <w:rPr>
        <w:rStyle w:val="9"/>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5"/>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FC"/>
    <w:rsid w:val="00000382"/>
    <w:rsid w:val="000011A2"/>
    <w:rsid w:val="00001B7B"/>
    <w:rsid w:val="00003093"/>
    <w:rsid w:val="0000329F"/>
    <w:rsid w:val="00004CD7"/>
    <w:rsid w:val="00005B3A"/>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D35"/>
    <w:rsid w:val="0002225C"/>
    <w:rsid w:val="0002331B"/>
    <w:rsid w:val="000239A5"/>
    <w:rsid w:val="00023E38"/>
    <w:rsid w:val="0002417D"/>
    <w:rsid w:val="0002493A"/>
    <w:rsid w:val="00024B01"/>
    <w:rsid w:val="00025490"/>
    <w:rsid w:val="00026491"/>
    <w:rsid w:val="00026F0E"/>
    <w:rsid w:val="000274E9"/>
    <w:rsid w:val="00030168"/>
    <w:rsid w:val="00030299"/>
    <w:rsid w:val="00031173"/>
    <w:rsid w:val="000315F5"/>
    <w:rsid w:val="00031C22"/>
    <w:rsid w:val="000325D8"/>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25A2"/>
    <w:rsid w:val="000436B5"/>
    <w:rsid w:val="0004373C"/>
    <w:rsid w:val="00043866"/>
    <w:rsid w:val="00043AB3"/>
    <w:rsid w:val="00043F97"/>
    <w:rsid w:val="000460AE"/>
    <w:rsid w:val="000476FF"/>
    <w:rsid w:val="00050279"/>
    <w:rsid w:val="000510E6"/>
    <w:rsid w:val="00051699"/>
    <w:rsid w:val="00051EA7"/>
    <w:rsid w:val="0005288B"/>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419E"/>
    <w:rsid w:val="00064691"/>
    <w:rsid w:val="00065EDA"/>
    <w:rsid w:val="000660AB"/>
    <w:rsid w:val="00066D40"/>
    <w:rsid w:val="00067F0D"/>
    <w:rsid w:val="00070408"/>
    <w:rsid w:val="000713E8"/>
    <w:rsid w:val="000714DF"/>
    <w:rsid w:val="00071E64"/>
    <w:rsid w:val="000729F4"/>
    <w:rsid w:val="00072F7B"/>
    <w:rsid w:val="00074173"/>
    <w:rsid w:val="00074193"/>
    <w:rsid w:val="000741CF"/>
    <w:rsid w:val="000749FB"/>
    <w:rsid w:val="000761F2"/>
    <w:rsid w:val="000767F3"/>
    <w:rsid w:val="00076B9B"/>
    <w:rsid w:val="00080EFD"/>
    <w:rsid w:val="00084781"/>
    <w:rsid w:val="000858A8"/>
    <w:rsid w:val="000878C1"/>
    <w:rsid w:val="00091529"/>
    <w:rsid w:val="000917C2"/>
    <w:rsid w:val="00092641"/>
    <w:rsid w:val="00092DCC"/>
    <w:rsid w:val="00094549"/>
    <w:rsid w:val="0009670D"/>
    <w:rsid w:val="00096AB3"/>
    <w:rsid w:val="00097768"/>
    <w:rsid w:val="000A1446"/>
    <w:rsid w:val="000A4164"/>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0B3A"/>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3696"/>
    <w:rsid w:val="000E3EBE"/>
    <w:rsid w:val="000E4032"/>
    <w:rsid w:val="000E51C4"/>
    <w:rsid w:val="000E5323"/>
    <w:rsid w:val="000E534A"/>
    <w:rsid w:val="000F045B"/>
    <w:rsid w:val="000F2923"/>
    <w:rsid w:val="000F34E2"/>
    <w:rsid w:val="000F51C7"/>
    <w:rsid w:val="000F54A2"/>
    <w:rsid w:val="000F5DA0"/>
    <w:rsid w:val="000F64D2"/>
    <w:rsid w:val="000F6A3E"/>
    <w:rsid w:val="00106917"/>
    <w:rsid w:val="001074B4"/>
    <w:rsid w:val="00107781"/>
    <w:rsid w:val="00113397"/>
    <w:rsid w:val="00114199"/>
    <w:rsid w:val="0011527B"/>
    <w:rsid w:val="001160AD"/>
    <w:rsid w:val="0011669C"/>
    <w:rsid w:val="0011723B"/>
    <w:rsid w:val="00117B81"/>
    <w:rsid w:val="001202C1"/>
    <w:rsid w:val="00122677"/>
    <w:rsid w:val="00122F31"/>
    <w:rsid w:val="001230FC"/>
    <w:rsid w:val="00125E3B"/>
    <w:rsid w:val="0012609C"/>
    <w:rsid w:val="00126520"/>
    <w:rsid w:val="001303B6"/>
    <w:rsid w:val="00130780"/>
    <w:rsid w:val="00130C02"/>
    <w:rsid w:val="00130E4D"/>
    <w:rsid w:val="0013201D"/>
    <w:rsid w:val="0013224A"/>
    <w:rsid w:val="00132A20"/>
    <w:rsid w:val="00133386"/>
    <w:rsid w:val="0013484F"/>
    <w:rsid w:val="00134C96"/>
    <w:rsid w:val="00136D9F"/>
    <w:rsid w:val="0014002A"/>
    <w:rsid w:val="00140220"/>
    <w:rsid w:val="001411E4"/>
    <w:rsid w:val="00141B55"/>
    <w:rsid w:val="00142AA9"/>
    <w:rsid w:val="00144D97"/>
    <w:rsid w:val="00144E65"/>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6272"/>
    <w:rsid w:val="0015694C"/>
    <w:rsid w:val="001578D5"/>
    <w:rsid w:val="00160E8A"/>
    <w:rsid w:val="00160F7A"/>
    <w:rsid w:val="00162C80"/>
    <w:rsid w:val="001644EB"/>
    <w:rsid w:val="00165E94"/>
    <w:rsid w:val="00166911"/>
    <w:rsid w:val="00166EAB"/>
    <w:rsid w:val="00170182"/>
    <w:rsid w:val="00170B82"/>
    <w:rsid w:val="00171FC6"/>
    <w:rsid w:val="00173BAA"/>
    <w:rsid w:val="0017419F"/>
    <w:rsid w:val="001759DE"/>
    <w:rsid w:val="00175C23"/>
    <w:rsid w:val="0017638A"/>
    <w:rsid w:val="0017677B"/>
    <w:rsid w:val="00176EDD"/>
    <w:rsid w:val="00180B55"/>
    <w:rsid w:val="00181320"/>
    <w:rsid w:val="00182365"/>
    <w:rsid w:val="001829CF"/>
    <w:rsid w:val="0018388A"/>
    <w:rsid w:val="00184836"/>
    <w:rsid w:val="00184880"/>
    <w:rsid w:val="001853F2"/>
    <w:rsid w:val="00190637"/>
    <w:rsid w:val="00190910"/>
    <w:rsid w:val="00190B5C"/>
    <w:rsid w:val="00190CD0"/>
    <w:rsid w:val="0019192F"/>
    <w:rsid w:val="00192BD7"/>
    <w:rsid w:val="00192F3A"/>
    <w:rsid w:val="00194A52"/>
    <w:rsid w:val="00194B5C"/>
    <w:rsid w:val="00195D86"/>
    <w:rsid w:val="0019633C"/>
    <w:rsid w:val="00197446"/>
    <w:rsid w:val="001A0CE8"/>
    <w:rsid w:val="001A20B9"/>
    <w:rsid w:val="001A355E"/>
    <w:rsid w:val="001A35F7"/>
    <w:rsid w:val="001A368C"/>
    <w:rsid w:val="001A3C53"/>
    <w:rsid w:val="001A3EB5"/>
    <w:rsid w:val="001A3EDE"/>
    <w:rsid w:val="001A65A2"/>
    <w:rsid w:val="001A65A6"/>
    <w:rsid w:val="001A7BC4"/>
    <w:rsid w:val="001B01D0"/>
    <w:rsid w:val="001B03F0"/>
    <w:rsid w:val="001B1681"/>
    <w:rsid w:val="001B1D8D"/>
    <w:rsid w:val="001B1E84"/>
    <w:rsid w:val="001B232E"/>
    <w:rsid w:val="001B236F"/>
    <w:rsid w:val="001B3A3F"/>
    <w:rsid w:val="001B5281"/>
    <w:rsid w:val="001B5FA3"/>
    <w:rsid w:val="001B6981"/>
    <w:rsid w:val="001B6C61"/>
    <w:rsid w:val="001B6D91"/>
    <w:rsid w:val="001B6F66"/>
    <w:rsid w:val="001B796D"/>
    <w:rsid w:val="001B7CB0"/>
    <w:rsid w:val="001C0AE4"/>
    <w:rsid w:val="001C249F"/>
    <w:rsid w:val="001C2525"/>
    <w:rsid w:val="001C2E43"/>
    <w:rsid w:val="001C436D"/>
    <w:rsid w:val="001C43B5"/>
    <w:rsid w:val="001C586A"/>
    <w:rsid w:val="001C69ED"/>
    <w:rsid w:val="001C6D8F"/>
    <w:rsid w:val="001C796C"/>
    <w:rsid w:val="001C7AA8"/>
    <w:rsid w:val="001C7F40"/>
    <w:rsid w:val="001D01DF"/>
    <w:rsid w:val="001D11AB"/>
    <w:rsid w:val="001D1323"/>
    <w:rsid w:val="001D14C7"/>
    <w:rsid w:val="001D1889"/>
    <w:rsid w:val="001D1CAD"/>
    <w:rsid w:val="001D328C"/>
    <w:rsid w:val="001D4F93"/>
    <w:rsid w:val="001D56D9"/>
    <w:rsid w:val="001D585C"/>
    <w:rsid w:val="001D5D73"/>
    <w:rsid w:val="001D6275"/>
    <w:rsid w:val="001D6DDE"/>
    <w:rsid w:val="001D735E"/>
    <w:rsid w:val="001D75CD"/>
    <w:rsid w:val="001D7777"/>
    <w:rsid w:val="001E0403"/>
    <w:rsid w:val="001E0422"/>
    <w:rsid w:val="001E0EAB"/>
    <w:rsid w:val="001E14DC"/>
    <w:rsid w:val="001E1567"/>
    <w:rsid w:val="001E3E01"/>
    <w:rsid w:val="001E5DD4"/>
    <w:rsid w:val="001E6849"/>
    <w:rsid w:val="001E7EA3"/>
    <w:rsid w:val="001F188B"/>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8D9"/>
    <w:rsid w:val="0022621C"/>
    <w:rsid w:val="00226F12"/>
    <w:rsid w:val="00227095"/>
    <w:rsid w:val="0023028B"/>
    <w:rsid w:val="002316B7"/>
    <w:rsid w:val="00231F10"/>
    <w:rsid w:val="00232D70"/>
    <w:rsid w:val="002338E4"/>
    <w:rsid w:val="00233FB8"/>
    <w:rsid w:val="00235010"/>
    <w:rsid w:val="00236D56"/>
    <w:rsid w:val="0023797B"/>
    <w:rsid w:val="00237E75"/>
    <w:rsid w:val="0024049A"/>
    <w:rsid w:val="002411B8"/>
    <w:rsid w:val="002423BA"/>
    <w:rsid w:val="002428FF"/>
    <w:rsid w:val="00242AFD"/>
    <w:rsid w:val="00244344"/>
    <w:rsid w:val="00245352"/>
    <w:rsid w:val="00245F32"/>
    <w:rsid w:val="00247742"/>
    <w:rsid w:val="00247DF9"/>
    <w:rsid w:val="00251358"/>
    <w:rsid w:val="00252E04"/>
    <w:rsid w:val="002532C2"/>
    <w:rsid w:val="0025354C"/>
    <w:rsid w:val="00254CD6"/>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1B86"/>
    <w:rsid w:val="002721CE"/>
    <w:rsid w:val="002729B5"/>
    <w:rsid w:val="00275090"/>
    <w:rsid w:val="00275265"/>
    <w:rsid w:val="002753B4"/>
    <w:rsid w:val="00276BED"/>
    <w:rsid w:val="0027798F"/>
    <w:rsid w:val="002802D2"/>
    <w:rsid w:val="00281675"/>
    <w:rsid w:val="00281BD8"/>
    <w:rsid w:val="00281BDD"/>
    <w:rsid w:val="00282903"/>
    <w:rsid w:val="0028300F"/>
    <w:rsid w:val="0028529E"/>
    <w:rsid w:val="00290500"/>
    <w:rsid w:val="0029229C"/>
    <w:rsid w:val="00292AD6"/>
    <w:rsid w:val="00292F3F"/>
    <w:rsid w:val="00294488"/>
    <w:rsid w:val="00294F1E"/>
    <w:rsid w:val="00295286"/>
    <w:rsid w:val="00295FDC"/>
    <w:rsid w:val="0029604E"/>
    <w:rsid w:val="002963BC"/>
    <w:rsid w:val="002965E4"/>
    <w:rsid w:val="0029667C"/>
    <w:rsid w:val="002A04DB"/>
    <w:rsid w:val="002A0513"/>
    <w:rsid w:val="002A05F8"/>
    <w:rsid w:val="002A0EE7"/>
    <w:rsid w:val="002A1DED"/>
    <w:rsid w:val="002A1ED7"/>
    <w:rsid w:val="002A30E7"/>
    <w:rsid w:val="002A37BA"/>
    <w:rsid w:val="002A3993"/>
    <w:rsid w:val="002A419A"/>
    <w:rsid w:val="002A452E"/>
    <w:rsid w:val="002A5796"/>
    <w:rsid w:val="002A69F6"/>
    <w:rsid w:val="002A7176"/>
    <w:rsid w:val="002A7E6E"/>
    <w:rsid w:val="002B0185"/>
    <w:rsid w:val="002B112B"/>
    <w:rsid w:val="002B190E"/>
    <w:rsid w:val="002B2343"/>
    <w:rsid w:val="002B2777"/>
    <w:rsid w:val="002B5135"/>
    <w:rsid w:val="002B56DD"/>
    <w:rsid w:val="002B7A47"/>
    <w:rsid w:val="002C1542"/>
    <w:rsid w:val="002C2025"/>
    <w:rsid w:val="002C20A7"/>
    <w:rsid w:val="002C293B"/>
    <w:rsid w:val="002C2B42"/>
    <w:rsid w:val="002C2F71"/>
    <w:rsid w:val="002C3B2A"/>
    <w:rsid w:val="002C5979"/>
    <w:rsid w:val="002C6013"/>
    <w:rsid w:val="002C667B"/>
    <w:rsid w:val="002C776E"/>
    <w:rsid w:val="002C79F6"/>
    <w:rsid w:val="002D00D5"/>
    <w:rsid w:val="002D1241"/>
    <w:rsid w:val="002D162B"/>
    <w:rsid w:val="002D2B3B"/>
    <w:rsid w:val="002D3AF1"/>
    <w:rsid w:val="002D3E81"/>
    <w:rsid w:val="002D479B"/>
    <w:rsid w:val="002D66DF"/>
    <w:rsid w:val="002D698C"/>
    <w:rsid w:val="002D6992"/>
    <w:rsid w:val="002D71D3"/>
    <w:rsid w:val="002E0141"/>
    <w:rsid w:val="002E1618"/>
    <w:rsid w:val="002E3E9F"/>
    <w:rsid w:val="002E4B7D"/>
    <w:rsid w:val="002E5373"/>
    <w:rsid w:val="002E5E4E"/>
    <w:rsid w:val="002E792F"/>
    <w:rsid w:val="002F050A"/>
    <w:rsid w:val="002F07E9"/>
    <w:rsid w:val="002F0EDC"/>
    <w:rsid w:val="002F19AD"/>
    <w:rsid w:val="002F1C37"/>
    <w:rsid w:val="002F21CC"/>
    <w:rsid w:val="002F2AA4"/>
    <w:rsid w:val="002F2F9A"/>
    <w:rsid w:val="002F51F3"/>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4155"/>
    <w:rsid w:val="003046F3"/>
    <w:rsid w:val="00306347"/>
    <w:rsid w:val="00306919"/>
    <w:rsid w:val="00306AA4"/>
    <w:rsid w:val="0030749E"/>
    <w:rsid w:val="003076E2"/>
    <w:rsid w:val="003102BA"/>
    <w:rsid w:val="003112FF"/>
    <w:rsid w:val="00312B2A"/>
    <w:rsid w:val="00313459"/>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6BC"/>
    <w:rsid w:val="00332A67"/>
    <w:rsid w:val="00333459"/>
    <w:rsid w:val="00333F1D"/>
    <w:rsid w:val="0033612A"/>
    <w:rsid w:val="00336200"/>
    <w:rsid w:val="00336B22"/>
    <w:rsid w:val="00336D04"/>
    <w:rsid w:val="00336FE1"/>
    <w:rsid w:val="00340685"/>
    <w:rsid w:val="00340CC3"/>
    <w:rsid w:val="0034163E"/>
    <w:rsid w:val="003422A9"/>
    <w:rsid w:val="00342B1E"/>
    <w:rsid w:val="00343210"/>
    <w:rsid w:val="00343C8C"/>
    <w:rsid w:val="00343ECD"/>
    <w:rsid w:val="00344BEE"/>
    <w:rsid w:val="00346317"/>
    <w:rsid w:val="00350DEA"/>
    <w:rsid w:val="003515EF"/>
    <w:rsid w:val="003530C5"/>
    <w:rsid w:val="00354D77"/>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321"/>
    <w:rsid w:val="00363C17"/>
    <w:rsid w:val="00363D73"/>
    <w:rsid w:val="00364A64"/>
    <w:rsid w:val="0036617C"/>
    <w:rsid w:val="003670A0"/>
    <w:rsid w:val="00371599"/>
    <w:rsid w:val="00371B13"/>
    <w:rsid w:val="00372810"/>
    <w:rsid w:val="003728F2"/>
    <w:rsid w:val="00375A01"/>
    <w:rsid w:val="003770C7"/>
    <w:rsid w:val="0037719B"/>
    <w:rsid w:val="00380382"/>
    <w:rsid w:val="00380A0A"/>
    <w:rsid w:val="00380BB0"/>
    <w:rsid w:val="00380D5A"/>
    <w:rsid w:val="00380EB5"/>
    <w:rsid w:val="0038100B"/>
    <w:rsid w:val="0038208F"/>
    <w:rsid w:val="00382BB6"/>
    <w:rsid w:val="00384132"/>
    <w:rsid w:val="00384420"/>
    <w:rsid w:val="00385153"/>
    <w:rsid w:val="0038564B"/>
    <w:rsid w:val="00386805"/>
    <w:rsid w:val="00386B76"/>
    <w:rsid w:val="0038773B"/>
    <w:rsid w:val="003903E3"/>
    <w:rsid w:val="003913F0"/>
    <w:rsid w:val="00392691"/>
    <w:rsid w:val="00392F1C"/>
    <w:rsid w:val="0039402B"/>
    <w:rsid w:val="003940D9"/>
    <w:rsid w:val="003942E1"/>
    <w:rsid w:val="0039571A"/>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3200"/>
    <w:rsid w:val="003B32E3"/>
    <w:rsid w:val="003B3D8A"/>
    <w:rsid w:val="003B417A"/>
    <w:rsid w:val="003B42C6"/>
    <w:rsid w:val="003B4FE4"/>
    <w:rsid w:val="003B68E3"/>
    <w:rsid w:val="003B7073"/>
    <w:rsid w:val="003B74EB"/>
    <w:rsid w:val="003C0386"/>
    <w:rsid w:val="003C0792"/>
    <w:rsid w:val="003C0A11"/>
    <w:rsid w:val="003C0DA0"/>
    <w:rsid w:val="003C30A5"/>
    <w:rsid w:val="003C36BD"/>
    <w:rsid w:val="003C3C7B"/>
    <w:rsid w:val="003C3DE7"/>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0D9"/>
    <w:rsid w:val="003D61DD"/>
    <w:rsid w:val="003D7775"/>
    <w:rsid w:val="003E0D68"/>
    <w:rsid w:val="003E0FD8"/>
    <w:rsid w:val="003E3917"/>
    <w:rsid w:val="003E3B91"/>
    <w:rsid w:val="003E4469"/>
    <w:rsid w:val="003E4BC5"/>
    <w:rsid w:val="003E56DB"/>
    <w:rsid w:val="003E5BC0"/>
    <w:rsid w:val="003E5FD5"/>
    <w:rsid w:val="003F0225"/>
    <w:rsid w:val="003F2372"/>
    <w:rsid w:val="003F2B2A"/>
    <w:rsid w:val="003F476F"/>
    <w:rsid w:val="003F4E5F"/>
    <w:rsid w:val="003F59A1"/>
    <w:rsid w:val="003F5E8A"/>
    <w:rsid w:val="003F6D1D"/>
    <w:rsid w:val="003F7B7E"/>
    <w:rsid w:val="004002C1"/>
    <w:rsid w:val="00401638"/>
    <w:rsid w:val="00401FD1"/>
    <w:rsid w:val="00403B6C"/>
    <w:rsid w:val="00404571"/>
    <w:rsid w:val="00406782"/>
    <w:rsid w:val="00406A4E"/>
    <w:rsid w:val="00407B6E"/>
    <w:rsid w:val="00410789"/>
    <w:rsid w:val="00410C20"/>
    <w:rsid w:val="00410FD6"/>
    <w:rsid w:val="00411D13"/>
    <w:rsid w:val="00412565"/>
    <w:rsid w:val="004127A4"/>
    <w:rsid w:val="00412BB8"/>
    <w:rsid w:val="004148F8"/>
    <w:rsid w:val="0041595F"/>
    <w:rsid w:val="00415A2B"/>
    <w:rsid w:val="00415B16"/>
    <w:rsid w:val="00416796"/>
    <w:rsid w:val="00416C1B"/>
    <w:rsid w:val="00416E30"/>
    <w:rsid w:val="00416ECC"/>
    <w:rsid w:val="004215B4"/>
    <w:rsid w:val="004216CC"/>
    <w:rsid w:val="00422B22"/>
    <w:rsid w:val="00422ED4"/>
    <w:rsid w:val="00423242"/>
    <w:rsid w:val="0042331F"/>
    <w:rsid w:val="00425136"/>
    <w:rsid w:val="0042580B"/>
    <w:rsid w:val="00426909"/>
    <w:rsid w:val="004271EF"/>
    <w:rsid w:val="00430559"/>
    <w:rsid w:val="00431B60"/>
    <w:rsid w:val="00432085"/>
    <w:rsid w:val="00432138"/>
    <w:rsid w:val="00432546"/>
    <w:rsid w:val="00432DDA"/>
    <w:rsid w:val="00433CAD"/>
    <w:rsid w:val="0043404B"/>
    <w:rsid w:val="00436211"/>
    <w:rsid w:val="004363D7"/>
    <w:rsid w:val="0044037B"/>
    <w:rsid w:val="004414F7"/>
    <w:rsid w:val="0044204E"/>
    <w:rsid w:val="004422E1"/>
    <w:rsid w:val="00442BEA"/>
    <w:rsid w:val="00443407"/>
    <w:rsid w:val="00443E83"/>
    <w:rsid w:val="00444980"/>
    <w:rsid w:val="00445B10"/>
    <w:rsid w:val="00445FC8"/>
    <w:rsid w:val="00446F3A"/>
    <w:rsid w:val="004512C8"/>
    <w:rsid w:val="00451491"/>
    <w:rsid w:val="00452A7D"/>
    <w:rsid w:val="0045639A"/>
    <w:rsid w:val="004563B2"/>
    <w:rsid w:val="00456A7A"/>
    <w:rsid w:val="00456F24"/>
    <w:rsid w:val="00456FE6"/>
    <w:rsid w:val="00457450"/>
    <w:rsid w:val="0045784F"/>
    <w:rsid w:val="00462D4A"/>
    <w:rsid w:val="00462E26"/>
    <w:rsid w:val="004634D9"/>
    <w:rsid w:val="0046382F"/>
    <w:rsid w:val="004648E5"/>
    <w:rsid w:val="00464EEA"/>
    <w:rsid w:val="00465823"/>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77112"/>
    <w:rsid w:val="00480ADB"/>
    <w:rsid w:val="00480F15"/>
    <w:rsid w:val="004813F7"/>
    <w:rsid w:val="00482441"/>
    <w:rsid w:val="00482F6C"/>
    <w:rsid w:val="00483044"/>
    <w:rsid w:val="004831A7"/>
    <w:rsid w:val="00483F76"/>
    <w:rsid w:val="00484300"/>
    <w:rsid w:val="00484A69"/>
    <w:rsid w:val="0048562D"/>
    <w:rsid w:val="004856BC"/>
    <w:rsid w:val="0048664A"/>
    <w:rsid w:val="00486B4A"/>
    <w:rsid w:val="00490890"/>
    <w:rsid w:val="0049102C"/>
    <w:rsid w:val="00491353"/>
    <w:rsid w:val="004918FD"/>
    <w:rsid w:val="00493354"/>
    <w:rsid w:val="00493B7B"/>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2A6"/>
    <w:rsid w:val="004B2A16"/>
    <w:rsid w:val="004B353B"/>
    <w:rsid w:val="004B3DA6"/>
    <w:rsid w:val="004B6231"/>
    <w:rsid w:val="004B77ED"/>
    <w:rsid w:val="004C0318"/>
    <w:rsid w:val="004C09C0"/>
    <w:rsid w:val="004C1BB7"/>
    <w:rsid w:val="004C2358"/>
    <w:rsid w:val="004C35BD"/>
    <w:rsid w:val="004C602E"/>
    <w:rsid w:val="004C6C3F"/>
    <w:rsid w:val="004C7F91"/>
    <w:rsid w:val="004D0001"/>
    <w:rsid w:val="004D05A4"/>
    <w:rsid w:val="004D2B5A"/>
    <w:rsid w:val="004D2FAE"/>
    <w:rsid w:val="004D371C"/>
    <w:rsid w:val="004D37D9"/>
    <w:rsid w:val="004D50D0"/>
    <w:rsid w:val="004D53E2"/>
    <w:rsid w:val="004D774B"/>
    <w:rsid w:val="004D7821"/>
    <w:rsid w:val="004E045E"/>
    <w:rsid w:val="004E0D71"/>
    <w:rsid w:val="004E12E0"/>
    <w:rsid w:val="004E2003"/>
    <w:rsid w:val="004E29B3"/>
    <w:rsid w:val="004E2A38"/>
    <w:rsid w:val="004E34B5"/>
    <w:rsid w:val="004E4451"/>
    <w:rsid w:val="004E4AB6"/>
    <w:rsid w:val="004E59F0"/>
    <w:rsid w:val="004E5B19"/>
    <w:rsid w:val="004E5DBE"/>
    <w:rsid w:val="004E6476"/>
    <w:rsid w:val="004E6D38"/>
    <w:rsid w:val="004F075A"/>
    <w:rsid w:val="004F2856"/>
    <w:rsid w:val="004F2EF7"/>
    <w:rsid w:val="004F4E03"/>
    <w:rsid w:val="004F4E3A"/>
    <w:rsid w:val="004F4E6A"/>
    <w:rsid w:val="004F632C"/>
    <w:rsid w:val="005009EA"/>
    <w:rsid w:val="00501FED"/>
    <w:rsid w:val="0050495F"/>
    <w:rsid w:val="00504D06"/>
    <w:rsid w:val="00505A67"/>
    <w:rsid w:val="00505CF1"/>
    <w:rsid w:val="00506344"/>
    <w:rsid w:val="005063E2"/>
    <w:rsid w:val="005075C4"/>
    <w:rsid w:val="00511739"/>
    <w:rsid w:val="00511CF8"/>
    <w:rsid w:val="005124CF"/>
    <w:rsid w:val="005154E5"/>
    <w:rsid w:val="00516A23"/>
    <w:rsid w:val="00517738"/>
    <w:rsid w:val="005177EA"/>
    <w:rsid w:val="00517C76"/>
    <w:rsid w:val="00521D36"/>
    <w:rsid w:val="00523D39"/>
    <w:rsid w:val="00525073"/>
    <w:rsid w:val="0052522F"/>
    <w:rsid w:val="00526832"/>
    <w:rsid w:val="00527BE2"/>
    <w:rsid w:val="00527C67"/>
    <w:rsid w:val="0053213C"/>
    <w:rsid w:val="0053403E"/>
    <w:rsid w:val="0053488A"/>
    <w:rsid w:val="00534AB0"/>
    <w:rsid w:val="005355AE"/>
    <w:rsid w:val="005367DB"/>
    <w:rsid w:val="00540C25"/>
    <w:rsid w:val="005425FC"/>
    <w:rsid w:val="00544048"/>
    <w:rsid w:val="0054409A"/>
    <w:rsid w:val="00544351"/>
    <w:rsid w:val="00546BC6"/>
    <w:rsid w:val="00546BFA"/>
    <w:rsid w:val="00552ABE"/>
    <w:rsid w:val="00553517"/>
    <w:rsid w:val="005537DE"/>
    <w:rsid w:val="00554226"/>
    <w:rsid w:val="00554E1D"/>
    <w:rsid w:val="005550A0"/>
    <w:rsid w:val="0055528E"/>
    <w:rsid w:val="005557A9"/>
    <w:rsid w:val="00555808"/>
    <w:rsid w:val="00555C9A"/>
    <w:rsid w:val="00556588"/>
    <w:rsid w:val="005569D4"/>
    <w:rsid w:val="005570FD"/>
    <w:rsid w:val="0056204C"/>
    <w:rsid w:val="005633B2"/>
    <w:rsid w:val="005645AA"/>
    <w:rsid w:val="00564F93"/>
    <w:rsid w:val="00565A09"/>
    <w:rsid w:val="00566633"/>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64F6"/>
    <w:rsid w:val="005A7AE0"/>
    <w:rsid w:val="005B030E"/>
    <w:rsid w:val="005B0E4B"/>
    <w:rsid w:val="005B0E89"/>
    <w:rsid w:val="005B1B9C"/>
    <w:rsid w:val="005B23DB"/>
    <w:rsid w:val="005B2CD4"/>
    <w:rsid w:val="005B3681"/>
    <w:rsid w:val="005B4012"/>
    <w:rsid w:val="005B43AD"/>
    <w:rsid w:val="005B464B"/>
    <w:rsid w:val="005B52D5"/>
    <w:rsid w:val="005B5388"/>
    <w:rsid w:val="005B7211"/>
    <w:rsid w:val="005B793F"/>
    <w:rsid w:val="005C14B2"/>
    <w:rsid w:val="005C176B"/>
    <w:rsid w:val="005C31F3"/>
    <w:rsid w:val="005C361D"/>
    <w:rsid w:val="005C3DA5"/>
    <w:rsid w:val="005C447E"/>
    <w:rsid w:val="005C49FE"/>
    <w:rsid w:val="005C5515"/>
    <w:rsid w:val="005C771F"/>
    <w:rsid w:val="005C79A7"/>
    <w:rsid w:val="005D06DD"/>
    <w:rsid w:val="005D1A43"/>
    <w:rsid w:val="005D1DDF"/>
    <w:rsid w:val="005D4666"/>
    <w:rsid w:val="005D714F"/>
    <w:rsid w:val="005D765C"/>
    <w:rsid w:val="005D77DF"/>
    <w:rsid w:val="005D78D1"/>
    <w:rsid w:val="005E0AF7"/>
    <w:rsid w:val="005E0E89"/>
    <w:rsid w:val="005E2129"/>
    <w:rsid w:val="005E2FE8"/>
    <w:rsid w:val="005E3384"/>
    <w:rsid w:val="005E3F3E"/>
    <w:rsid w:val="005E3FAF"/>
    <w:rsid w:val="005E4D94"/>
    <w:rsid w:val="005E6DE5"/>
    <w:rsid w:val="005E7F1C"/>
    <w:rsid w:val="005F01D9"/>
    <w:rsid w:val="005F07D7"/>
    <w:rsid w:val="005F2796"/>
    <w:rsid w:val="005F2D78"/>
    <w:rsid w:val="005F304E"/>
    <w:rsid w:val="005F4EF1"/>
    <w:rsid w:val="005F4EFC"/>
    <w:rsid w:val="005F5640"/>
    <w:rsid w:val="005F6171"/>
    <w:rsid w:val="005F6BD6"/>
    <w:rsid w:val="005F7336"/>
    <w:rsid w:val="005F7990"/>
    <w:rsid w:val="005F7C32"/>
    <w:rsid w:val="00601AEE"/>
    <w:rsid w:val="006024AB"/>
    <w:rsid w:val="006049EC"/>
    <w:rsid w:val="00606B42"/>
    <w:rsid w:val="00606B8C"/>
    <w:rsid w:val="00607907"/>
    <w:rsid w:val="00607B3F"/>
    <w:rsid w:val="00610224"/>
    <w:rsid w:val="00610419"/>
    <w:rsid w:val="0061052B"/>
    <w:rsid w:val="0061189B"/>
    <w:rsid w:val="00611EEE"/>
    <w:rsid w:val="00612373"/>
    <w:rsid w:val="00614A60"/>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27917"/>
    <w:rsid w:val="00631146"/>
    <w:rsid w:val="00631FFA"/>
    <w:rsid w:val="00634B1D"/>
    <w:rsid w:val="006353D8"/>
    <w:rsid w:val="006369F5"/>
    <w:rsid w:val="00637E34"/>
    <w:rsid w:val="006400EF"/>
    <w:rsid w:val="00640C9E"/>
    <w:rsid w:val="00640E01"/>
    <w:rsid w:val="00640FC0"/>
    <w:rsid w:val="006419EB"/>
    <w:rsid w:val="00641C93"/>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592A"/>
    <w:rsid w:val="0066656F"/>
    <w:rsid w:val="0066777D"/>
    <w:rsid w:val="006718B7"/>
    <w:rsid w:val="006734B4"/>
    <w:rsid w:val="006736EF"/>
    <w:rsid w:val="00673B7D"/>
    <w:rsid w:val="00674A9B"/>
    <w:rsid w:val="00674AF6"/>
    <w:rsid w:val="00674C3A"/>
    <w:rsid w:val="00674F34"/>
    <w:rsid w:val="006750A8"/>
    <w:rsid w:val="00675249"/>
    <w:rsid w:val="00675B7A"/>
    <w:rsid w:val="00677696"/>
    <w:rsid w:val="0067776D"/>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84B"/>
    <w:rsid w:val="00694955"/>
    <w:rsid w:val="00695AE7"/>
    <w:rsid w:val="00696BD3"/>
    <w:rsid w:val="006A0332"/>
    <w:rsid w:val="006A0687"/>
    <w:rsid w:val="006A1CBB"/>
    <w:rsid w:val="006A1D4C"/>
    <w:rsid w:val="006A2938"/>
    <w:rsid w:val="006A2A41"/>
    <w:rsid w:val="006A37F9"/>
    <w:rsid w:val="006A3E40"/>
    <w:rsid w:val="006A5297"/>
    <w:rsid w:val="006A5983"/>
    <w:rsid w:val="006A6056"/>
    <w:rsid w:val="006A72DD"/>
    <w:rsid w:val="006A7719"/>
    <w:rsid w:val="006B0914"/>
    <w:rsid w:val="006B0CB0"/>
    <w:rsid w:val="006B2BBC"/>
    <w:rsid w:val="006B34A3"/>
    <w:rsid w:val="006B402B"/>
    <w:rsid w:val="006B42D1"/>
    <w:rsid w:val="006B52BB"/>
    <w:rsid w:val="006B5E40"/>
    <w:rsid w:val="006B678E"/>
    <w:rsid w:val="006B684D"/>
    <w:rsid w:val="006B7E9A"/>
    <w:rsid w:val="006C10DA"/>
    <w:rsid w:val="006C1A94"/>
    <w:rsid w:val="006C2387"/>
    <w:rsid w:val="006C36C2"/>
    <w:rsid w:val="006C56F8"/>
    <w:rsid w:val="006C585A"/>
    <w:rsid w:val="006C6213"/>
    <w:rsid w:val="006C65B9"/>
    <w:rsid w:val="006C6C44"/>
    <w:rsid w:val="006C7961"/>
    <w:rsid w:val="006D1279"/>
    <w:rsid w:val="006D210F"/>
    <w:rsid w:val="006D2A94"/>
    <w:rsid w:val="006D3640"/>
    <w:rsid w:val="006D366D"/>
    <w:rsid w:val="006D3E0D"/>
    <w:rsid w:val="006D3FE7"/>
    <w:rsid w:val="006D4CBB"/>
    <w:rsid w:val="006D6265"/>
    <w:rsid w:val="006D7E39"/>
    <w:rsid w:val="006E0400"/>
    <w:rsid w:val="006E22A9"/>
    <w:rsid w:val="006E35BD"/>
    <w:rsid w:val="006E3745"/>
    <w:rsid w:val="006E57C1"/>
    <w:rsid w:val="006E644B"/>
    <w:rsid w:val="006E65FF"/>
    <w:rsid w:val="006E75A6"/>
    <w:rsid w:val="006E794F"/>
    <w:rsid w:val="006E7C5B"/>
    <w:rsid w:val="006F0D41"/>
    <w:rsid w:val="006F0ECC"/>
    <w:rsid w:val="006F1165"/>
    <w:rsid w:val="006F2093"/>
    <w:rsid w:val="006F292D"/>
    <w:rsid w:val="006F42C2"/>
    <w:rsid w:val="006F42D5"/>
    <w:rsid w:val="006F44E9"/>
    <w:rsid w:val="006F4CAF"/>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11FF0"/>
    <w:rsid w:val="00712141"/>
    <w:rsid w:val="0071303F"/>
    <w:rsid w:val="007144F4"/>
    <w:rsid w:val="00714E48"/>
    <w:rsid w:val="007164B9"/>
    <w:rsid w:val="007164FB"/>
    <w:rsid w:val="00717174"/>
    <w:rsid w:val="00717FD5"/>
    <w:rsid w:val="007209A6"/>
    <w:rsid w:val="007217C1"/>
    <w:rsid w:val="00721D23"/>
    <w:rsid w:val="00721FD5"/>
    <w:rsid w:val="00722592"/>
    <w:rsid w:val="007232DB"/>
    <w:rsid w:val="0072376D"/>
    <w:rsid w:val="00723D5C"/>
    <w:rsid w:val="0072529B"/>
    <w:rsid w:val="007256FC"/>
    <w:rsid w:val="00725E29"/>
    <w:rsid w:val="007260CA"/>
    <w:rsid w:val="00727DED"/>
    <w:rsid w:val="007303B8"/>
    <w:rsid w:val="007310BE"/>
    <w:rsid w:val="00733008"/>
    <w:rsid w:val="007332DE"/>
    <w:rsid w:val="00733AD5"/>
    <w:rsid w:val="007341A2"/>
    <w:rsid w:val="00734E28"/>
    <w:rsid w:val="007371CB"/>
    <w:rsid w:val="00737AE4"/>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B1F"/>
    <w:rsid w:val="00790466"/>
    <w:rsid w:val="00790C68"/>
    <w:rsid w:val="007916DF"/>
    <w:rsid w:val="0079195B"/>
    <w:rsid w:val="007919A3"/>
    <w:rsid w:val="00791C06"/>
    <w:rsid w:val="0079556B"/>
    <w:rsid w:val="007959AF"/>
    <w:rsid w:val="00796335"/>
    <w:rsid w:val="007963A1"/>
    <w:rsid w:val="007979CC"/>
    <w:rsid w:val="007A00C5"/>
    <w:rsid w:val="007A0E2B"/>
    <w:rsid w:val="007A1B95"/>
    <w:rsid w:val="007A243D"/>
    <w:rsid w:val="007A2700"/>
    <w:rsid w:val="007A3691"/>
    <w:rsid w:val="007A3EAF"/>
    <w:rsid w:val="007A46C8"/>
    <w:rsid w:val="007A493E"/>
    <w:rsid w:val="007A4ADB"/>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2446"/>
    <w:rsid w:val="007C3278"/>
    <w:rsid w:val="007C3A3B"/>
    <w:rsid w:val="007C41E1"/>
    <w:rsid w:val="007C4A27"/>
    <w:rsid w:val="007C63C4"/>
    <w:rsid w:val="007C67A8"/>
    <w:rsid w:val="007C69B1"/>
    <w:rsid w:val="007C6A57"/>
    <w:rsid w:val="007C7D67"/>
    <w:rsid w:val="007D05ED"/>
    <w:rsid w:val="007D2915"/>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1A92"/>
    <w:rsid w:val="007E21C4"/>
    <w:rsid w:val="007E25A3"/>
    <w:rsid w:val="007E2840"/>
    <w:rsid w:val="007E4AD3"/>
    <w:rsid w:val="007E7945"/>
    <w:rsid w:val="007F049E"/>
    <w:rsid w:val="007F1982"/>
    <w:rsid w:val="007F2486"/>
    <w:rsid w:val="007F3591"/>
    <w:rsid w:val="007F4598"/>
    <w:rsid w:val="007F4CA2"/>
    <w:rsid w:val="007F7679"/>
    <w:rsid w:val="007F796B"/>
    <w:rsid w:val="00802B46"/>
    <w:rsid w:val="0080486D"/>
    <w:rsid w:val="00805493"/>
    <w:rsid w:val="00805AA8"/>
    <w:rsid w:val="00805DCF"/>
    <w:rsid w:val="00806C2A"/>
    <w:rsid w:val="008073F7"/>
    <w:rsid w:val="0081097F"/>
    <w:rsid w:val="00810D07"/>
    <w:rsid w:val="00812A0E"/>
    <w:rsid w:val="008149ED"/>
    <w:rsid w:val="00816F46"/>
    <w:rsid w:val="008203D2"/>
    <w:rsid w:val="00820AB7"/>
    <w:rsid w:val="00820CE1"/>
    <w:rsid w:val="00820E34"/>
    <w:rsid w:val="0082111A"/>
    <w:rsid w:val="00821D6E"/>
    <w:rsid w:val="008221B8"/>
    <w:rsid w:val="008226C2"/>
    <w:rsid w:val="0082278E"/>
    <w:rsid w:val="00823BB0"/>
    <w:rsid w:val="00824FE2"/>
    <w:rsid w:val="008251D5"/>
    <w:rsid w:val="00825544"/>
    <w:rsid w:val="00826C16"/>
    <w:rsid w:val="00827A64"/>
    <w:rsid w:val="00827CC4"/>
    <w:rsid w:val="00827E2E"/>
    <w:rsid w:val="00830245"/>
    <w:rsid w:val="0083061C"/>
    <w:rsid w:val="00830995"/>
    <w:rsid w:val="008310EE"/>
    <w:rsid w:val="00831676"/>
    <w:rsid w:val="008319C7"/>
    <w:rsid w:val="00831D4E"/>
    <w:rsid w:val="008322B8"/>
    <w:rsid w:val="00832878"/>
    <w:rsid w:val="00832B54"/>
    <w:rsid w:val="00832ECA"/>
    <w:rsid w:val="00832F88"/>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4165"/>
    <w:rsid w:val="008565DA"/>
    <w:rsid w:val="00856BE7"/>
    <w:rsid w:val="00856D10"/>
    <w:rsid w:val="00857730"/>
    <w:rsid w:val="00857C9F"/>
    <w:rsid w:val="00860505"/>
    <w:rsid w:val="00860B75"/>
    <w:rsid w:val="00861602"/>
    <w:rsid w:val="0086162E"/>
    <w:rsid w:val="008622B7"/>
    <w:rsid w:val="0086293C"/>
    <w:rsid w:val="00862B68"/>
    <w:rsid w:val="0086411B"/>
    <w:rsid w:val="0086665C"/>
    <w:rsid w:val="0086795B"/>
    <w:rsid w:val="00870269"/>
    <w:rsid w:val="008705CB"/>
    <w:rsid w:val="008707A8"/>
    <w:rsid w:val="00870955"/>
    <w:rsid w:val="008710F2"/>
    <w:rsid w:val="0087200E"/>
    <w:rsid w:val="00873357"/>
    <w:rsid w:val="008737BA"/>
    <w:rsid w:val="00873CB9"/>
    <w:rsid w:val="00873CD2"/>
    <w:rsid w:val="00873D3D"/>
    <w:rsid w:val="00875631"/>
    <w:rsid w:val="00875B55"/>
    <w:rsid w:val="00875F96"/>
    <w:rsid w:val="008767A9"/>
    <w:rsid w:val="00876998"/>
    <w:rsid w:val="00876A75"/>
    <w:rsid w:val="0087741D"/>
    <w:rsid w:val="00880993"/>
    <w:rsid w:val="0088169C"/>
    <w:rsid w:val="008820DC"/>
    <w:rsid w:val="00882B46"/>
    <w:rsid w:val="00882DAB"/>
    <w:rsid w:val="008837D6"/>
    <w:rsid w:val="00883CFD"/>
    <w:rsid w:val="00883F82"/>
    <w:rsid w:val="00884609"/>
    <w:rsid w:val="00885D0A"/>
    <w:rsid w:val="0088730E"/>
    <w:rsid w:val="008906A9"/>
    <w:rsid w:val="00891775"/>
    <w:rsid w:val="00891951"/>
    <w:rsid w:val="0089281F"/>
    <w:rsid w:val="0089368F"/>
    <w:rsid w:val="00893A2C"/>
    <w:rsid w:val="00894496"/>
    <w:rsid w:val="00894DA4"/>
    <w:rsid w:val="00895441"/>
    <w:rsid w:val="00895701"/>
    <w:rsid w:val="00897AE2"/>
    <w:rsid w:val="008A1198"/>
    <w:rsid w:val="008A16C7"/>
    <w:rsid w:val="008A1FC1"/>
    <w:rsid w:val="008A2069"/>
    <w:rsid w:val="008A31AB"/>
    <w:rsid w:val="008A3431"/>
    <w:rsid w:val="008A37BF"/>
    <w:rsid w:val="008A4020"/>
    <w:rsid w:val="008A4F49"/>
    <w:rsid w:val="008A64E8"/>
    <w:rsid w:val="008B07E0"/>
    <w:rsid w:val="008B0970"/>
    <w:rsid w:val="008B11F2"/>
    <w:rsid w:val="008B26A0"/>
    <w:rsid w:val="008B5BED"/>
    <w:rsid w:val="008B5D80"/>
    <w:rsid w:val="008B7C55"/>
    <w:rsid w:val="008C04A2"/>
    <w:rsid w:val="008C0F4D"/>
    <w:rsid w:val="008C0F68"/>
    <w:rsid w:val="008C3E5F"/>
    <w:rsid w:val="008C48DA"/>
    <w:rsid w:val="008C5684"/>
    <w:rsid w:val="008C56D3"/>
    <w:rsid w:val="008C5B2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3DB6"/>
    <w:rsid w:val="008D6215"/>
    <w:rsid w:val="008D68CB"/>
    <w:rsid w:val="008E0C57"/>
    <w:rsid w:val="008E3524"/>
    <w:rsid w:val="008E3E59"/>
    <w:rsid w:val="008E403C"/>
    <w:rsid w:val="008E4445"/>
    <w:rsid w:val="008E46EB"/>
    <w:rsid w:val="008E480A"/>
    <w:rsid w:val="008E4D43"/>
    <w:rsid w:val="008E4E57"/>
    <w:rsid w:val="008E525D"/>
    <w:rsid w:val="008E5D86"/>
    <w:rsid w:val="008E6156"/>
    <w:rsid w:val="008E6565"/>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414"/>
    <w:rsid w:val="00903E3C"/>
    <w:rsid w:val="00905624"/>
    <w:rsid w:val="0090597F"/>
    <w:rsid w:val="0090626C"/>
    <w:rsid w:val="00907310"/>
    <w:rsid w:val="00910614"/>
    <w:rsid w:val="009127E4"/>
    <w:rsid w:val="00912A4E"/>
    <w:rsid w:val="00912D37"/>
    <w:rsid w:val="009144A2"/>
    <w:rsid w:val="009144B7"/>
    <w:rsid w:val="00915305"/>
    <w:rsid w:val="0091584A"/>
    <w:rsid w:val="00915BDF"/>
    <w:rsid w:val="009161FE"/>
    <w:rsid w:val="00917804"/>
    <w:rsid w:val="00920BFE"/>
    <w:rsid w:val="009220AD"/>
    <w:rsid w:val="00923EAB"/>
    <w:rsid w:val="00924F1A"/>
    <w:rsid w:val="00924FA4"/>
    <w:rsid w:val="00925447"/>
    <w:rsid w:val="00925476"/>
    <w:rsid w:val="00925D10"/>
    <w:rsid w:val="00925FAE"/>
    <w:rsid w:val="009275E5"/>
    <w:rsid w:val="00930871"/>
    <w:rsid w:val="0093094B"/>
    <w:rsid w:val="00930C22"/>
    <w:rsid w:val="009312AE"/>
    <w:rsid w:val="00932605"/>
    <w:rsid w:val="00933362"/>
    <w:rsid w:val="009343FB"/>
    <w:rsid w:val="0093537D"/>
    <w:rsid w:val="00935F67"/>
    <w:rsid w:val="00935FDB"/>
    <w:rsid w:val="0093693A"/>
    <w:rsid w:val="0093721F"/>
    <w:rsid w:val="00937477"/>
    <w:rsid w:val="0093755A"/>
    <w:rsid w:val="00937A22"/>
    <w:rsid w:val="0094054A"/>
    <w:rsid w:val="00940C90"/>
    <w:rsid w:val="00940D13"/>
    <w:rsid w:val="00940D14"/>
    <w:rsid w:val="00941542"/>
    <w:rsid w:val="00942A73"/>
    <w:rsid w:val="0094338D"/>
    <w:rsid w:val="0094342A"/>
    <w:rsid w:val="00944753"/>
    <w:rsid w:val="00944A00"/>
    <w:rsid w:val="00944A1B"/>
    <w:rsid w:val="009455EA"/>
    <w:rsid w:val="00945690"/>
    <w:rsid w:val="00946776"/>
    <w:rsid w:val="009522B8"/>
    <w:rsid w:val="00952474"/>
    <w:rsid w:val="00952FF8"/>
    <w:rsid w:val="0095359D"/>
    <w:rsid w:val="009544FD"/>
    <w:rsid w:val="009551A5"/>
    <w:rsid w:val="009565C1"/>
    <w:rsid w:val="00957145"/>
    <w:rsid w:val="009579E5"/>
    <w:rsid w:val="00957E6E"/>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996"/>
    <w:rsid w:val="00975EC0"/>
    <w:rsid w:val="009766D9"/>
    <w:rsid w:val="00976D3F"/>
    <w:rsid w:val="009778FB"/>
    <w:rsid w:val="00980A97"/>
    <w:rsid w:val="00981222"/>
    <w:rsid w:val="00982557"/>
    <w:rsid w:val="0098264B"/>
    <w:rsid w:val="00983BC1"/>
    <w:rsid w:val="0098484C"/>
    <w:rsid w:val="00984B39"/>
    <w:rsid w:val="00986157"/>
    <w:rsid w:val="00990553"/>
    <w:rsid w:val="009907C1"/>
    <w:rsid w:val="00990BB8"/>
    <w:rsid w:val="009917F0"/>
    <w:rsid w:val="00991A87"/>
    <w:rsid w:val="00991F30"/>
    <w:rsid w:val="009931FA"/>
    <w:rsid w:val="009954CC"/>
    <w:rsid w:val="0099578F"/>
    <w:rsid w:val="00995EC0"/>
    <w:rsid w:val="0099605A"/>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67A"/>
    <w:rsid w:val="009D34F6"/>
    <w:rsid w:val="009D3705"/>
    <w:rsid w:val="009D3DCE"/>
    <w:rsid w:val="009D549E"/>
    <w:rsid w:val="009D62E0"/>
    <w:rsid w:val="009E0F70"/>
    <w:rsid w:val="009E12CA"/>
    <w:rsid w:val="009E1DFA"/>
    <w:rsid w:val="009E1FEE"/>
    <w:rsid w:val="009E21A7"/>
    <w:rsid w:val="009E2692"/>
    <w:rsid w:val="009E2A91"/>
    <w:rsid w:val="009E2FCF"/>
    <w:rsid w:val="009E30FF"/>
    <w:rsid w:val="009E32E7"/>
    <w:rsid w:val="009E3676"/>
    <w:rsid w:val="009E3C29"/>
    <w:rsid w:val="009E3DA3"/>
    <w:rsid w:val="009E5BFB"/>
    <w:rsid w:val="009E6997"/>
    <w:rsid w:val="009E7151"/>
    <w:rsid w:val="009E7DBD"/>
    <w:rsid w:val="009F4DE8"/>
    <w:rsid w:val="009F52B4"/>
    <w:rsid w:val="009F5BAE"/>
    <w:rsid w:val="009F6A95"/>
    <w:rsid w:val="00A00825"/>
    <w:rsid w:val="00A01204"/>
    <w:rsid w:val="00A01C86"/>
    <w:rsid w:val="00A02A5A"/>
    <w:rsid w:val="00A03A5F"/>
    <w:rsid w:val="00A03D46"/>
    <w:rsid w:val="00A04E80"/>
    <w:rsid w:val="00A0508B"/>
    <w:rsid w:val="00A05B28"/>
    <w:rsid w:val="00A06A61"/>
    <w:rsid w:val="00A10CFB"/>
    <w:rsid w:val="00A12144"/>
    <w:rsid w:val="00A1219A"/>
    <w:rsid w:val="00A14577"/>
    <w:rsid w:val="00A14D9B"/>
    <w:rsid w:val="00A14DDA"/>
    <w:rsid w:val="00A163E0"/>
    <w:rsid w:val="00A167FB"/>
    <w:rsid w:val="00A17058"/>
    <w:rsid w:val="00A1734F"/>
    <w:rsid w:val="00A21BAC"/>
    <w:rsid w:val="00A21D8A"/>
    <w:rsid w:val="00A23BA5"/>
    <w:rsid w:val="00A25D1C"/>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76C8"/>
    <w:rsid w:val="00A378F3"/>
    <w:rsid w:val="00A40506"/>
    <w:rsid w:val="00A42819"/>
    <w:rsid w:val="00A43770"/>
    <w:rsid w:val="00A475F1"/>
    <w:rsid w:val="00A47AAA"/>
    <w:rsid w:val="00A47F23"/>
    <w:rsid w:val="00A51176"/>
    <w:rsid w:val="00A51228"/>
    <w:rsid w:val="00A5130D"/>
    <w:rsid w:val="00A51AA8"/>
    <w:rsid w:val="00A51FC0"/>
    <w:rsid w:val="00A5248A"/>
    <w:rsid w:val="00A524B8"/>
    <w:rsid w:val="00A52517"/>
    <w:rsid w:val="00A55473"/>
    <w:rsid w:val="00A56F21"/>
    <w:rsid w:val="00A607D0"/>
    <w:rsid w:val="00A60EDC"/>
    <w:rsid w:val="00A621AE"/>
    <w:rsid w:val="00A62796"/>
    <w:rsid w:val="00A62E0E"/>
    <w:rsid w:val="00A63E56"/>
    <w:rsid w:val="00A64F69"/>
    <w:rsid w:val="00A657E3"/>
    <w:rsid w:val="00A65D57"/>
    <w:rsid w:val="00A65FE0"/>
    <w:rsid w:val="00A67198"/>
    <w:rsid w:val="00A70862"/>
    <w:rsid w:val="00A70D5A"/>
    <w:rsid w:val="00A71A6C"/>
    <w:rsid w:val="00A72ACD"/>
    <w:rsid w:val="00A72C3A"/>
    <w:rsid w:val="00A72FB9"/>
    <w:rsid w:val="00A741DC"/>
    <w:rsid w:val="00A7426E"/>
    <w:rsid w:val="00A74D00"/>
    <w:rsid w:val="00A76F43"/>
    <w:rsid w:val="00A80907"/>
    <w:rsid w:val="00A80EB0"/>
    <w:rsid w:val="00A81210"/>
    <w:rsid w:val="00A81B04"/>
    <w:rsid w:val="00A8279C"/>
    <w:rsid w:val="00A82ACC"/>
    <w:rsid w:val="00A8323A"/>
    <w:rsid w:val="00A83667"/>
    <w:rsid w:val="00A83961"/>
    <w:rsid w:val="00A84419"/>
    <w:rsid w:val="00A86D2B"/>
    <w:rsid w:val="00A879E4"/>
    <w:rsid w:val="00A87B0B"/>
    <w:rsid w:val="00A87BCF"/>
    <w:rsid w:val="00A87F55"/>
    <w:rsid w:val="00A901D2"/>
    <w:rsid w:val="00A912BF"/>
    <w:rsid w:val="00A92905"/>
    <w:rsid w:val="00A93088"/>
    <w:rsid w:val="00A9318A"/>
    <w:rsid w:val="00A93BBF"/>
    <w:rsid w:val="00A94393"/>
    <w:rsid w:val="00A94ECB"/>
    <w:rsid w:val="00A95E83"/>
    <w:rsid w:val="00A961F2"/>
    <w:rsid w:val="00A96474"/>
    <w:rsid w:val="00A96861"/>
    <w:rsid w:val="00A9736E"/>
    <w:rsid w:val="00A97BFD"/>
    <w:rsid w:val="00AA037D"/>
    <w:rsid w:val="00AA149D"/>
    <w:rsid w:val="00AA3A50"/>
    <w:rsid w:val="00AA5DCF"/>
    <w:rsid w:val="00AA6242"/>
    <w:rsid w:val="00AB021E"/>
    <w:rsid w:val="00AB0EC7"/>
    <w:rsid w:val="00AB1FF0"/>
    <w:rsid w:val="00AB2B4D"/>
    <w:rsid w:val="00AB33DD"/>
    <w:rsid w:val="00AB3C91"/>
    <w:rsid w:val="00AB47D5"/>
    <w:rsid w:val="00AB47DB"/>
    <w:rsid w:val="00AB49AD"/>
    <w:rsid w:val="00AB6040"/>
    <w:rsid w:val="00AB6417"/>
    <w:rsid w:val="00AB6EC4"/>
    <w:rsid w:val="00AB703A"/>
    <w:rsid w:val="00AB7DE7"/>
    <w:rsid w:val="00AC06CA"/>
    <w:rsid w:val="00AC23E1"/>
    <w:rsid w:val="00AC2503"/>
    <w:rsid w:val="00AC39E0"/>
    <w:rsid w:val="00AC47BB"/>
    <w:rsid w:val="00AD083B"/>
    <w:rsid w:val="00AD384E"/>
    <w:rsid w:val="00AD387D"/>
    <w:rsid w:val="00AD4150"/>
    <w:rsid w:val="00AD4AE4"/>
    <w:rsid w:val="00AD5CCB"/>
    <w:rsid w:val="00AD644C"/>
    <w:rsid w:val="00AD6B03"/>
    <w:rsid w:val="00AD75A8"/>
    <w:rsid w:val="00AD7ED1"/>
    <w:rsid w:val="00AE165D"/>
    <w:rsid w:val="00AE1C2B"/>
    <w:rsid w:val="00AE34B5"/>
    <w:rsid w:val="00AE36C3"/>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369"/>
    <w:rsid w:val="00B005D1"/>
    <w:rsid w:val="00B010DC"/>
    <w:rsid w:val="00B02A28"/>
    <w:rsid w:val="00B02A7D"/>
    <w:rsid w:val="00B03F56"/>
    <w:rsid w:val="00B04492"/>
    <w:rsid w:val="00B04DDC"/>
    <w:rsid w:val="00B1012C"/>
    <w:rsid w:val="00B106B3"/>
    <w:rsid w:val="00B1150A"/>
    <w:rsid w:val="00B136A1"/>
    <w:rsid w:val="00B1562F"/>
    <w:rsid w:val="00B15AFB"/>
    <w:rsid w:val="00B16869"/>
    <w:rsid w:val="00B21660"/>
    <w:rsid w:val="00B21F0D"/>
    <w:rsid w:val="00B2418F"/>
    <w:rsid w:val="00B25152"/>
    <w:rsid w:val="00B25D7F"/>
    <w:rsid w:val="00B25DA1"/>
    <w:rsid w:val="00B264AA"/>
    <w:rsid w:val="00B30F2C"/>
    <w:rsid w:val="00B31AEC"/>
    <w:rsid w:val="00B31F9B"/>
    <w:rsid w:val="00B32B74"/>
    <w:rsid w:val="00B33937"/>
    <w:rsid w:val="00B34162"/>
    <w:rsid w:val="00B363E3"/>
    <w:rsid w:val="00B370B3"/>
    <w:rsid w:val="00B37873"/>
    <w:rsid w:val="00B378C8"/>
    <w:rsid w:val="00B4020C"/>
    <w:rsid w:val="00B4088F"/>
    <w:rsid w:val="00B40EC6"/>
    <w:rsid w:val="00B4168A"/>
    <w:rsid w:val="00B44040"/>
    <w:rsid w:val="00B44189"/>
    <w:rsid w:val="00B442D0"/>
    <w:rsid w:val="00B44379"/>
    <w:rsid w:val="00B45963"/>
    <w:rsid w:val="00B467AD"/>
    <w:rsid w:val="00B46BFF"/>
    <w:rsid w:val="00B46EAC"/>
    <w:rsid w:val="00B5014F"/>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1D7E"/>
    <w:rsid w:val="00B621AB"/>
    <w:rsid w:val="00B62302"/>
    <w:rsid w:val="00B6232D"/>
    <w:rsid w:val="00B64CB4"/>
    <w:rsid w:val="00B6690F"/>
    <w:rsid w:val="00B67720"/>
    <w:rsid w:val="00B67B40"/>
    <w:rsid w:val="00B67BCA"/>
    <w:rsid w:val="00B72031"/>
    <w:rsid w:val="00B7293A"/>
    <w:rsid w:val="00B72FA8"/>
    <w:rsid w:val="00B7536B"/>
    <w:rsid w:val="00B763A1"/>
    <w:rsid w:val="00B76F64"/>
    <w:rsid w:val="00B7777C"/>
    <w:rsid w:val="00B77A5C"/>
    <w:rsid w:val="00B77F72"/>
    <w:rsid w:val="00B81367"/>
    <w:rsid w:val="00B826EB"/>
    <w:rsid w:val="00B84751"/>
    <w:rsid w:val="00B84775"/>
    <w:rsid w:val="00B8494A"/>
    <w:rsid w:val="00B85146"/>
    <w:rsid w:val="00B870C1"/>
    <w:rsid w:val="00B87AFB"/>
    <w:rsid w:val="00B9069B"/>
    <w:rsid w:val="00B91AA1"/>
    <w:rsid w:val="00B91D9C"/>
    <w:rsid w:val="00B92647"/>
    <w:rsid w:val="00B93A30"/>
    <w:rsid w:val="00B93EA0"/>
    <w:rsid w:val="00B94815"/>
    <w:rsid w:val="00B94AB3"/>
    <w:rsid w:val="00B95853"/>
    <w:rsid w:val="00B9689A"/>
    <w:rsid w:val="00B97022"/>
    <w:rsid w:val="00B973CD"/>
    <w:rsid w:val="00BA1965"/>
    <w:rsid w:val="00BA1AA5"/>
    <w:rsid w:val="00BA1F9E"/>
    <w:rsid w:val="00BA2005"/>
    <w:rsid w:val="00BA2339"/>
    <w:rsid w:val="00BA28A7"/>
    <w:rsid w:val="00BA3266"/>
    <w:rsid w:val="00BA3AA3"/>
    <w:rsid w:val="00BA50C6"/>
    <w:rsid w:val="00BA5AFF"/>
    <w:rsid w:val="00BA5CCF"/>
    <w:rsid w:val="00BA60DC"/>
    <w:rsid w:val="00BA6B34"/>
    <w:rsid w:val="00BB04EE"/>
    <w:rsid w:val="00BB3D0E"/>
    <w:rsid w:val="00BB403C"/>
    <w:rsid w:val="00BB4E1C"/>
    <w:rsid w:val="00BB50E7"/>
    <w:rsid w:val="00BB5C5F"/>
    <w:rsid w:val="00BB5E46"/>
    <w:rsid w:val="00BB73B5"/>
    <w:rsid w:val="00BC019C"/>
    <w:rsid w:val="00BC088D"/>
    <w:rsid w:val="00BC13BE"/>
    <w:rsid w:val="00BC18BD"/>
    <w:rsid w:val="00BC1FCD"/>
    <w:rsid w:val="00BC2021"/>
    <w:rsid w:val="00BC36E9"/>
    <w:rsid w:val="00BC3715"/>
    <w:rsid w:val="00BC4029"/>
    <w:rsid w:val="00BC417B"/>
    <w:rsid w:val="00BC42F8"/>
    <w:rsid w:val="00BC483F"/>
    <w:rsid w:val="00BC4C16"/>
    <w:rsid w:val="00BC5266"/>
    <w:rsid w:val="00BC5AC9"/>
    <w:rsid w:val="00BC5B81"/>
    <w:rsid w:val="00BC5BFA"/>
    <w:rsid w:val="00BC67BD"/>
    <w:rsid w:val="00BC6EAF"/>
    <w:rsid w:val="00BD09B6"/>
    <w:rsid w:val="00BD09E6"/>
    <w:rsid w:val="00BD1F5E"/>
    <w:rsid w:val="00BD2187"/>
    <w:rsid w:val="00BD2C23"/>
    <w:rsid w:val="00BD32EC"/>
    <w:rsid w:val="00BD376E"/>
    <w:rsid w:val="00BD3A3D"/>
    <w:rsid w:val="00BD4003"/>
    <w:rsid w:val="00BD5308"/>
    <w:rsid w:val="00BD585E"/>
    <w:rsid w:val="00BD6FF8"/>
    <w:rsid w:val="00BE0E24"/>
    <w:rsid w:val="00BE20E6"/>
    <w:rsid w:val="00BE2B93"/>
    <w:rsid w:val="00BE3107"/>
    <w:rsid w:val="00BE4897"/>
    <w:rsid w:val="00BE5F12"/>
    <w:rsid w:val="00BE5F7A"/>
    <w:rsid w:val="00BE6370"/>
    <w:rsid w:val="00BE7394"/>
    <w:rsid w:val="00BE73AC"/>
    <w:rsid w:val="00BE74D2"/>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77C"/>
    <w:rsid w:val="00C150F7"/>
    <w:rsid w:val="00C16C53"/>
    <w:rsid w:val="00C1729C"/>
    <w:rsid w:val="00C20921"/>
    <w:rsid w:val="00C2092F"/>
    <w:rsid w:val="00C21446"/>
    <w:rsid w:val="00C216C7"/>
    <w:rsid w:val="00C21743"/>
    <w:rsid w:val="00C219A6"/>
    <w:rsid w:val="00C22CAC"/>
    <w:rsid w:val="00C2344D"/>
    <w:rsid w:val="00C24086"/>
    <w:rsid w:val="00C24571"/>
    <w:rsid w:val="00C24964"/>
    <w:rsid w:val="00C259E3"/>
    <w:rsid w:val="00C25D06"/>
    <w:rsid w:val="00C26085"/>
    <w:rsid w:val="00C26481"/>
    <w:rsid w:val="00C27DDB"/>
    <w:rsid w:val="00C27EB1"/>
    <w:rsid w:val="00C3194E"/>
    <w:rsid w:val="00C33CAD"/>
    <w:rsid w:val="00C340E7"/>
    <w:rsid w:val="00C3502E"/>
    <w:rsid w:val="00C36567"/>
    <w:rsid w:val="00C36D28"/>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609E9"/>
    <w:rsid w:val="00C60AEC"/>
    <w:rsid w:val="00C6120D"/>
    <w:rsid w:val="00C616E4"/>
    <w:rsid w:val="00C61B0B"/>
    <w:rsid w:val="00C61D2F"/>
    <w:rsid w:val="00C61F68"/>
    <w:rsid w:val="00C62314"/>
    <w:rsid w:val="00C633D2"/>
    <w:rsid w:val="00C63AE6"/>
    <w:rsid w:val="00C67015"/>
    <w:rsid w:val="00C700EA"/>
    <w:rsid w:val="00C711B9"/>
    <w:rsid w:val="00C728F9"/>
    <w:rsid w:val="00C72C19"/>
    <w:rsid w:val="00C737E1"/>
    <w:rsid w:val="00C74178"/>
    <w:rsid w:val="00C74308"/>
    <w:rsid w:val="00C760EF"/>
    <w:rsid w:val="00C767DF"/>
    <w:rsid w:val="00C76B8E"/>
    <w:rsid w:val="00C77A00"/>
    <w:rsid w:val="00C80254"/>
    <w:rsid w:val="00C81540"/>
    <w:rsid w:val="00C81BA6"/>
    <w:rsid w:val="00C820D0"/>
    <w:rsid w:val="00C83598"/>
    <w:rsid w:val="00C83EE6"/>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3B8"/>
    <w:rsid w:val="00CA0828"/>
    <w:rsid w:val="00CA097D"/>
    <w:rsid w:val="00CA102E"/>
    <w:rsid w:val="00CA2A3D"/>
    <w:rsid w:val="00CA34C0"/>
    <w:rsid w:val="00CA3B58"/>
    <w:rsid w:val="00CA40B0"/>
    <w:rsid w:val="00CA4C94"/>
    <w:rsid w:val="00CA6D37"/>
    <w:rsid w:val="00CA6E26"/>
    <w:rsid w:val="00CB21B2"/>
    <w:rsid w:val="00CB271C"/>
    <w:rsid w:val="00CB2D6D"/>
    <w:rsid w:val="00CB3596"/>
    <w:rsid w:val="00CB40FF"/>
    <w:rsid w:val="00CB4639"/>
    <w:rsid w:val="00CB4FA8"/>
    <w:rsid w:val="00CB7034"/>
    <w:rsid w:val="00CC14CA"/>
    <w:rsid w:val="00CC1892"/>
    <w:rsid w:val="00CC28B5"/>
    <w:rsid w:val="00CC2B6F"/>
    <w:rsid w:val="00CC3AD1"/>
    <w:rsid w:val="00CC41B9"/>
    <w:rsid w:val="00CC4CF0"/>
    <w:rsid w:val="00CC5AA6"/>
    <w:rsid w:val="00CC6BF9"/>
    <w:rsid w:val="00CC6FAC"/>
    <w:rsid w:val="00CD05B6"/>
    <w:rsid w:val="00CD095D"/>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66EE"/>
    <w:rsid w:val="00CD766D"/>
    <w:rsid w:val="00CD7776"/>
    <w:rsid w:val="00CD7D8D"/>
    <w:rsid w:val="00CE0F21"/>
    <w:rsid w:val="00CE21FB"/>
    <w:rsid w:val="00CE2DB9"/>
    <w:rsid w:val="00CE39F8"/>
    <w:rsid w:val="00CE4C45"/>
    <w:rsid w:val="00CE57EE"/>
    <w:rsid w:val="00CE5A1E"/>
    <w:rsid w:val="00CE682F"/>
    <w:rsid w:val="00CE70F4"/>
    <w:rsid w:val="00CE78C5"/>
    <w:rsid w:val="00CF3694"/>
    <w:rsid w:val="00CF4BFB"/>
    <w:rsid w:val="00CF5152"/>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097"/>
    <w:rsid w:val="00D1489F"/>
    <w:rsid w:val="00D149EA"/>
    <w:rsid w:val="00D17447"/>
    <w:rsid w:val="00D17BCF"/>
    <w:rsid w:val="00D20E71"/>
    <w:rsid w:val="00D2106F"/>
    <w:rsid w:val="00D2484F"/>
    <w:rsid w:val="00D266AA"/>
    <w:rsid w:val="00D266DF"/>
    <w:rsid w:val="00D2753C"/>
    <w:rsid w:val="00D31536"/>
    <w:rsid w:val="00D31661"/>
    <w:rsid w:val="00D31737"/>
    <w:rsid w:val="00D317CE"/>
    <w:rsid w:val="00D31C32"/>
    <w:rsid w:val="00D3260C"/>
    <w:rsid w:val="00D32E49"/>
    <w:rsid w:val="00D32EB9"/>
    <w:rsid w:val="00D35A41"/>
    <w:rsid w:val="00D35C13"/>
    <w:rsid w:val="00D36772"/>
    <w:rsid w:val="00D36C56"/>
    <w:rsid w:val="00D3709F"/>
    <w:rsid w:val="00D37FDF"/>
    <w:rsid w:val="00D40556"/>
    <w:rsid w:val="00D40B15"/>
    <w:rsid w:val="00D41D00"/>
    <w:rsid w:val="00D43CB0"/>
    <w:rsid w:val="00D440C8"/>
    <w:rsid w:val="00D44201"/>
    <w:rsid w:val="00D449A0"/>
    <w:rsid w:val="00D45301"/>
    <w:rsid w:val="00D45658"/>
    <w:rsid w:val="00D45ADE"/>
    <w:rsid w:val="00D4680B"/>
    <w:rsid w:val="00D47FCB"/>
    <w:rsid w:val="00D50977"/>
    <w:rsid w:val="00D50E00"/>
    <w:rsid w:val="00D51B3F"/>
    <w:rsid w:val="00D54337"/>
    <w:rsid w:val="00D54B91"/>
    <w:rsid w:val="00D5516B"/>
    <w:rsid w:val="00D56306"/>
    <w:rsid w:val="00D57352"/>
    <w:rsid w:val="00D57C49"/>
    <w:rsid w:val="00D6006A"/>
    <w:rsid w:val="00D61A6B"/>
    <w:rsid w:val="00D629FE"/>
    <w:rsid w:val="00D640A3"/>
    <w:rsid w:val="00D64722"/>
    <w:rsid w:val="00D64930"/>
    <w:rsid w:val="00D64E1C"/>
    <w:rsid w:val="00D6531C"/>
    <w:rsid w:val="00D66062"/>
    <w:rsid w:val="00D665D0"/>
    <w:rsid w:val="00D670CB"/>
    <w:rsid w:val="00D67A44"/>
    <w:rsid w:val="00D70611"/>
    <w:rsid w:val="00D70EA2"/>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B09F4"/>
    <w:rsid w:val="00DB1E63"/>
    <w:rsid w:val="00DB228B"/>
    <w:rsid w:val="00DB22B2"/>
    <w:rsid w:val="00DB26E5"/>
    <w:rsid w:val="00DB2EB6"/>
    <w:rsid w:val="00DB347E"/>
    <w:rsid w:val="00DB4DEF"/>
    <w:rsid w:val="00DB58A0"/>
    <w:rsid w:val="00DB58CB"/>
    <w:rsid w:val="00DB5A8F"/>
    <w:rsid w:val="00DB5BA8"/>
    <w:rsid w:val="00DB69B6"/>
    <w:rsid w:val="00DB7B65"/>
    <w:rsid w:val="00DC03DE"/>
    <w:rsid w:val="00DC13F6"/>
    <w:rsid w:val="00DC1759"/>
    <w:rsid w:val="00DC3452"/>
    <w:rsid w:val="00DC5096"/>
    <w:rsid w:val="00DC50FC"/>
    <w:rsid w:val="00DC5A62"/>
    <w:rsid w:val="00DC69E4"/>
    <w:rsid w:val="00DC71D3"/>
    <w:rsid w:val="00DD19A5"/>
    <w:rsid w:val="00DD2A1C"/>
    <w:rsid w:val="00DD307B"/>
    <w:rsid w:val="00DD3D7D"/>
    <w:rsid w:val="00DD5039"/>
    <w:rsid w:val="00DD517B"/>
    <w:rsid w:val="00DD59B6"/>
    <w:rsid w:val="00DD5BEF"/>
    <w:rsid w:val="00DD5EBE"/>
    <w:rsid w:val="00DD614D"/>
    <w:rsid w:val="00DD7A11"/>
    <w:rsid w:val="00DD7E21"/>
    <w:rsid w:val="00DE0422"/>
    <w:rsid w:val="00DE0530"/>
    <w:rsid w:val="00DE05A3"/>
    <w:rsid w:val="00DE0DF8"/>
    <w:rsid w:val="00DE2422"/>
    <w:rsid w:val="00DE43AF"/>
    <w:rsid w:val="00DE4C9C"/>
    <w:rsid w:val="00DE664A"/>
    <w:rsid w:val="00DF055E"/>
    <w:rsid w:val="00DF0E0A"/>
    <w:rsid w:val="00DF1864"/>
    <w:rsid w:val="00DF4789"/>
    <w:rsid w:val="00DF4C16"/>
    <w:rsid w:val="00DF66B4"/>
    <w:rsid w:val="00DF7206"/>
    <w:rsid w:val="00DF78D4"/>
    <w:rsid w:val="00E024B3"/>
    <w:rsid w:val="00E0443C"/>
    <w:rsid w:val="00E0583B"/>
    <w:rsid w:val="00E06582"/>
    <w:rsid w:val="00E076A9"/>
    <w:rsid w:val="00E1094D"/>
    <w:rsid w:val="00E10E18"/>
    <w:rsid w:val="00E10F9F"/>
    <w:rsid w:val="00E11DDD"/>
    <w:rsid w:val="00E1242D"/>
    <w:rsid w:val="00E13489"/>
    <w:rsid w:val="00E14E9B"/>
    <w:rsid w:val="00E15DFA"/>
    <w:rsid w:val="00E16AD2"/>
    <w:rsid w:val="00E20280"/>
    <w:rsid w:val="00E20733"/>
    <w:rsid w:val="00E20B9F"/>
    <w:rsid w:val="00E2137D"/>
    <w:rsid w:val="00E22566"/>
    <w:rsid w:val="00E2277E"/>
    <w:rsid w:val="00E23ABB"/>
    <w:rsid w:val="00E23D0D"/>
    <w:rsid w:val="00E23FF4"/>
    <w:rsid w:val="00E244E1"/>
    <w:rsid w:val="00E25346"/>
    <w:rsid w:val="00E27033"/>
    <w:rsid w:val="00E2769A"/>
    <w:rsid w:val="00E30C6E"/>
    <w:rsid w:val="00E31876"/>
    <w:rsid w:val="00E31A4F"/>
    <w:rsid w:val="00E31D16"/>
    <w:rsid w:val="00E356F8"/>
    <w:rsid w:val="00E35D74"/>
    <w:rsid w:val="00E35F5F"/>
    <w:rsid w:val="00E3733F"/>
    <w:rsid w:val="00E375C2"/>
    <w:rsid w:val="00E4144F"/>
    <w:rsid w:val="00E41CC3"/>
    <w:rsid w:val="00E42400"/>
    <w:rsid w:val="00E435D2"/>
    <w:rsid w:val="00E44203"/>
    <w:rsid w:val="00E44F19"/>
    <w:rsid w:val="00E4513F"/>
    <w:rsid w:val="00E45A56"/>
    <w:rsid w:val="00E460EF"/>
    <w:rsid w:val="00E46AC7"/>
    <w:rsid w:val="00E46C01"/>
    <w:rsid w:val="00E47A65"/>
    <w:rsid w:val="00E47ED6"/>
    <w:rsid w:val="00E507B7"/>
    <w:rsid w:val="00E51F52"/>
    <w:rsid w:val="00E529E1"/>
    <w:rsid w:val="00E538A5"/>
    <w:rsid w:val="00E5414E"/>
    <w:rsid w:val="00E54C31"/>
    <w:rsid w:val="00E54ED2"/>
    <w:rsid w:val="00E55ECD"/>
    <w:rsid w:val="00E56B85"/>
    <w:rsid w:val="00E60C18"/>
    <w:rsid w:val="00E60DFC"/>
    <w:rsid w:val="00E6122D"/>
    <w:rsid w:val="00E630FE"/>
    <w:rsid w:val="00E635BE"/>
    <w:rsid w:val="00E6378F"/>
    <w:rsid w:val="00E64996"/>
    <w:rsid w:val="00E67216"/>
    <w:rsid w:val="00E67469"/>
    <w:rsid w:val="00E70704"/>
    <w:rsid w:val="00E72D46"/>
    <w:rsid w:val="00E734CA"/>
    <w:rsid w:val="00E745BE"/>
    <w:rsid w:val="00E75662"/>
    <w:rsid w:val="00E766A9"/>
    <w:rsid w:val="00E76ACB"/>
    <w:rsid w:val="00E76B34"/>
    <w:rsid w:val="00E7720F"/>
    <w:rsid w:val="00E804E2"/>
    <w:rsid w:val="00E81D50"/>
    <w:rsid w:val="00E834CC"/>
    <w:rsid w:val="00E83705"/>
    <w:rsid w:val="00E84742"/>
    <w:rsid w:val="00E8643F"/>
    <w:rsid w:val="00E87FCA"/>
    <w:rsid w:val="00E90435"/>
    <w:rsid w:val="00E9103C"/>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B0465"/>
    <w:rsid w:val="00EB0A20"/>
    <w:rsid w:val="00EB36E7"/>
    <w:rsid w:val="00EB4D83"/>
    <w:rsid w:val="00EB4F95"/>
    <w:rsid w:val="00EB64F6"/>
    <w:rsid w:val="00EB66F6"/>
    <w:rsid w:val="00EB79E0"/>
    <w:rsid w:val="00EC0064"/>
    <w:rsid w:val="00EC00A4"/>
    <w:rsid w:val="00EC2B8B"/>
    <w:rsid w:val="00EC3225"/>
    <w:rsid w:val="00EC33C3"/>
    <w:rsid w:val="00EC35AD"/>
    <w:rsid w:val="00EC48F5"/>
    <w:rsid w:val="00EC4F9D"/>
    <w:rsid w:val="00EC50A3"/>
    <w:rsid w:val="00EC551F"/>
    <w:rsid w:val="00EC5956"/>
    <w:rsid w:val="00EC5EFB"/>
    <w:rsid w:val="00EC7495"/>
    <w:rsid w:val="00EC766B"/>
    <w:rsid w:val="00ED0537"/>
    <w:rsid w:val="00ED0C25"/>
    <w:rsid w:val="00ED0E35"/>
    <w:rsid w:val="00ED13D8"/>
    <w:rsid w:val="00ED180C"/>
    <w:rsid w:val="00ED2697"/>
    <w:rsid w:val="00ED31D4"/>
    <w:rsid w:val="00ED37D5"/>
    <w:rsid w:val="00ED3B7D"/>
    <w:rsid w:val="00ED4623"/>
    <w:rsid w:val="00ED54DA"/>
    <w:rsid w:val="00ED579A"/>
    <w:rsid w:val="00ED59ED"/>
    <w:rsid w:val="00ED6047"/>
    <w:rsid w:val="00ED6163"/>
    <w:rsid w:val="00ED6286"/>
    <w:rsid w:val="00ED6509"/>
    <w:rsid w:val="00ED6521"/>
    <w:rsid w:val="00ED65C3"/>
    <w:rsid w:val="00ED673B"/>
    <w:rsid w:val="00ED6CFE"/>
    <w:rsid w:val="00ED6FD1"/>
    <w:rsid w:val="00ED7A52"/>
    <w:rsid w:val="00EE0584"/>
    <w:rsid w:val="00EE06C4"/>
    <w:rsid w:val="00EE06E0"/>
    <w:rsid w:val="00EE08DB"/>
    <w:rsid w:val="00EE17C5"/>
    <w:rsid w:val="00EE24C6"/>
    <w:rsid w:val="00EE31E5"/>
    <w:rsid w:val="00EE3534"/>
    <w:rsid w:val="00EE45E6"/>
    <w:rsid w:val="00EE5227"/>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095"/>
    <w:rsid w:val="00EF5DC7"/>
    <w:rsid w:val="00EF7852"/>
    <w:rsid w:val="00EF7CA6"/>
    <w:rsid w:val="00F010BE"/>
    <w:rsid w:val="00F016F6"/>
    <w:rsid w:val="00F0406C"/>
    <w:rsid w:val="00F051E3"/>
    <w:rsid w:val="00F06612"/>
    <w:rsid w:val="00F079C8"/>
    <w:rsid w:val="00F07A4E"/>
    <w:rsid w:val="00F11B1B"/>
    <w:rsid w:val="00F121C4"/>
    <w:rsid w:val="00F1262F"/>
    <w:rsid w:val="00F13AC8"/>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294"/>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F8E"/>
    <w:rsid w:val="00F36050"/>
    <w:rsid w:val="00F368A2"/>
    <w:rsid w:val="00F36B44"/>
    <w:rsid w:val="00F37927"/>
    <w:rsid w:val="00F37EA8"/>
    <w:rsid w:val="00F4375B"/>
    <w:rsid w:val="00F44932"/>
    <w:rsid w:val="00F4630A"/>
    <w:rsid w:val="00F46CA7"/>
    <w:rsid w:val="00F47D50"/>
    <w:rsid w:val="00F52CC4"/>
    <w:rsid w:val="00F52D2E"/>
    <w:rsid w:val="00F53B51"/>
    <w:rsid w:val="00F54212"/>
    <w:rsid w:val="00F55285"/>
    <w:rsid w:val="00F566CD"/>
    <w:rsid w:val="00F60282"/>
    <w:rsid w:val="00F64380"/>
    <w:rsid w:val="00F644AF"/>
    <w:rsid w:val="00F653AE"/>
    <w:rsid w:val="00F654FA"/>
    <w:rsid w:val="00F66E71"/>
    <w:rsid w:val="00F67769"/>
    <w:rsid w:val="00F67AF9"/>
    <w:rsid w:val="00F7023B"/>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4DB8"/>
    <w:rsid w:val="00F85A25"/>
    <w:rsid w:val="00F85BAC"/>
    <w:rsid w:val="00F87669"/>
    <w:rsid w:val="00F87913"/>
    <w:rsid w:val="00F90088"/>
    <w:rsid w:val="00F91D5B"/>
    <w:rsid w:val="00F92D15"/>
    <w:rsid w:val="00F92DC1"/>
    <w:rsid w:val="00F93083"/>
    <w:rsid w:val="00F93BE7"/>
    <w:rsid w:val="00F93C6E"/>
    <w:rsid w:val="00F93FDC"/>
    <w:rsid w:val="00F94458"/>
    <w:rsid w:val="00F95045"/>
    <w:rsid w:val="00F95BF4"/>
    <w:rsid w:val="00F97404"/>
    <w:rsid w:val="00FA043E"/>
    <w:rsid w:val="00FA0B1C"/>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A73"/>
    <w:rsid w:val="00FC0C49"/>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3DA"/>
    <w:rsid w:val="00FD2509"/>
    <w:rsid w:val="00FD25F5"/>
    <w:rsid w:val="00FD371D"/>
    <w:rsid w:val="00FD3A28"/>
    <w:rsid w:val="00FD423B"/>
    <w:rsid w:val="00FD4B7B"/>
    <w:rsid w:val="00FD591D"/>
    <w:rsid w:val="00FD5F7F"/>
    <w:rsid w:val="00FD617C"/>
    <w:rsid w:val="00FD67EC"/>
    <w:rsid w:val="00FE0C99"/>
    <w:rsid w:val="00FE0E3B"/>
    <w:rsid w:val="00FE0FC6"/>
    <w:rsid w:val="00FE1683"/>
    <w:rsid w:val="00FE2963"/>
    <w:rsid w:val="00FE5C93"/>
    <w:rsid w:val="00FE5EF8"/>
    <w:rsid w:val="00FE6E33"/>
    <w:rsid w:val="00FE777B"/>
    <w:rsid w:val="00FF289A"/>
    <w:rsid w:val="00FF40B0"/>
    <w:rsid w:val="00FF4347"/>
    <w:rsid w:val="00FF43E0"/>
    <w:rsid w:val="00FF4515"/>
    <w:rsid w:val="00FF464C"/>
    <w:rsid w:val="00FF4C39"/>
    <w:rsid w:val="00FF6735"/>
    <w:rsid w:val="00FF713E"/>
    <w:rsid w:val="00FF71B2"/>
    <w:rsid w:val="00FF75DB"/>
    <w:rsid w:val="10B63230"/>
    <w:rsid w:val="2F4B9D48"/>
    <w:rsid w:val="3C3C8B94"/>
    <w:rsid w:val="3E9F927E"/>
    <w:rsid w:val="3EF3D74A"/>
    <w:rsid w:val="3F37F195"/>
    <w:rsid w:val="3FE8329B"/>
    <w:rsid w:val="41C01BB1"/>
    <w:rsid w:val="51693947"/>
    <w:rsid w:val="5CDF8E91"/>
    <w:rsid w:val="5F9281A6"/>
    <w:rsid w:val="61EADCAD"/>
    <w:rsid w:val="6BFFDF6C"/>
    <w:rsid w:val="6FE52CC2"/>
    <w:rsid w:val="7BBE976E"/>
    <w:rsid w:val="7DFF5AD7"/>
    <w:rsid w:val="7FAF08E9"/>
    <w:rsid w:val="BF5D24DD"/>
    <w:rsid w:val="BF76A03B"/>
    <w:rsid w:val="BFF9EDBC"/>
    <w:rsid w:val="E6F86DFE"/>
    <w:rsid w:val="E95F854B"/>
    <w:rsid w:val="F17E9E2E"/>
    <w:rsid w:val="F79D334C"/>
    <w:rsid w:val="FB8FBBBC"/>
    <w:rsid w:val="FDBFC327"/>
    <w:rsid w:val="FDFD478E"/>
    <w:rsid w:val="FEEB1B94"/>
    <w:rsid w:val="FFAB5D97"/>
    <w:rsid w:val="FFE7F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Indent"/>
    <w:basedOn w:val="1"/>
    <w:unhideWhenUsed/>
    <w:qFormat/>
    <w:uiPriority w:val="99"/>
    <w:pPr>
      <w:ind w:firstLine="420" w:firstLineChars="200"/>
    </w:pPr>
  </w:style>
  <w:style w:type="paragraph" w:styleId="4">
    <w:name w:val="Date"/>
    <w:basedOn w:val="1"/>
    <w:next w:val="1"/>
    <w:qFormat/>
    <w:uiPriority w:val="0"/>
    <w:pPr>
      <w:ind w:left="100" w:leftChars="2500"/>
    </w:pPr>
    <w:rPr>
      <w:rFonts w:eastAsia="宋体"/>
      <w:sz w:val="21"/>
    </w:rPr>
  </w:style>
  <w:style w:type="paragraph" w:styleId="5">
    <w:name w:val="Balloon Text"/>
    <w:basedOn w:val="1"/>
    <w:link w:val="10"/>
    <w:qFormat/>
    <w:uiPriority w:val="0"/>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character" w:styleId="9">
    <w:name w:val="page number"/>
    <w:basedOn w:val="8"/>
    <w:qFormat/>
    <w:uiPriority w:val="0"/>
  </w:style>
  <w:style w:type="character" w:customStyle="1" w:styleId="10">
    <w:name w:val="批注框文本 Char"/>
    <w:link w:val="5"/>
    <w:qFormat/>
    <w:uiPriority w:val="0"/>
    <w:rPr>
      <w:rFonts w:eastAsia="方正仿宋_GBK"/>
      <w:kern w:val="2"/>
      <w:sz w:val="18"/>
      <w:szCs w:val="18"/>
    </w:rPr>
  </w:style>
  <w:style w:type="paragraph" w:customStyle="1" w:styleId="11">
    <w:name w:val="样式 10 磅7"/>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12</Pages>
  <Words>925</Words>
  <Characters>5279</Characters>
  <Lines>43</Lines>
  <Paragraphs>12</Paragraphs>
  <TotalTime>1</TotalTime>
  <ScaleCrop>false</ScaleCrop>
  <LinksUpToDate>false</LinksUpToDate>
  <CharactersWithSpaces>6192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2019-09-15T06:10:00Z</dcterms:created>
  <dc:creator>微软中国</dc:creator>
  <cp:lastModifiedBy>NTKO</cp:lastModifiedBy>
  <cp:lastPrinted>2022-12-20T10:47:00Z</cp:lastPrinted>
  <dcterms:modified xsi:type="dcterms:W3CDTF">2023-03-16T08:26:51Z</dcterms:modified>
  <dc:title>（来文单位：□□□□）</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