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重庆市</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大渡口区金融发展中心</w:t>
      </w:r>
    </w:p>
    <w:p>
      <w:pPr>
        <w:keepNext w:val="0"/>
        <w:keepLines w:val="0"/>
        <w:pageBreakBefore w:val="0"/>
        <w:kinsoku/>
        <w:overflowPunct/>
        <w:topLinePunct w:val="0"/>
        <w:autoSpaceDE/>
        <w:autoSpaceDN/>
        <w:bidi w:val="0"/>
        <w:adjustRightInd/>
        <w:snapToGrid/>
        <w:spacing w:line="594" w:lineRule="exact"/>
        <w:ind w:right="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3</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年法治</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政府建设情况</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报告</w:t>
      </w:r>
    </w:p>
    <w:p>
      <w:pPr>
        <w:pStyle w:val="3"/>
        <w:keepNext w:val="0"/>
        <w:keepLines w:val="0"/>
        <w:pageBreakBefore w:val="0"/>
        <w:kinsoku/>
        <w:overflowPunct/>
        <w:topLinePunct w:val="0"/>
        <w:autoSpaceDE/>
        <w:autoSpaceDN/>
        <w:bidi w:val="0"/>
        <w:adjustRightInd/>
        <w:snapToGrid/>
        <w:spacing w:line="594" w:lineRule="exact"/>
        <w:ind w:left="0" w:leftChars="0" w:right="0" w:firstLine="0" w:firstLineChars="0"/>
        <w:textAlignment w:val="auto"/>
      </w:pP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lang w:val="en-US" w:eastAsia="zh-CN"/>
        </w:rPr>
        <w:t>2023年以来</w:t>
      </w:r>
      <w:r>
        <w:rPr>
          <w:rFonts w:ascii="Times New Roman" w:hAnsi="Times New Roman" w:eastAsia="方正仿宋_GBK" w:cs="Times New Roman"/>
          <w:sz w:val="32"/>
          <w:szCs w:val="32"/>
        </w:rPr>
        <w:t>，区金融发展中心</w:t>
      </w:r>
      <w:r>
        <w:rPr>
          <w:rFonts w:hint="eastAsia" w:ascii="Times New Roman" w:hAnsi="Times New Roman" w:eastAsia="方正仿宋_GBK" w:cs="Times New Roman"/>
          <w:sz w:val="32"/>
          <w:szCs w:val="32"/>
          <w:lang w:val="en-US" w:eastAsia="zh-CN"/>
        </w:rPr>
        <w:t>坚持</w:t>
      </w:r>
      <w:r>
        <w:rPr>
          <w:rFonts w:ascii="Times New Roman" w:hAnsi="Times New Roman" w:eastAsia="方正仿宋_GBK" w:cs="Times New Roman"/>
          <w:sz w:val="32"/>
          <w:szCs w:val="32"/>
        </w:rPr>
        <w:t>以习近平新时代中国特色社会主义思想为指导，</w:t>
      </w:r>
      <w:r>
        <w:rPr>
          <w:rFonts w:hint="eastAsia" w:ascii="Times New Roman" w:hAnsi="Times New Roman" w:eastAsia="方正仿宋_GBK" w:cs="Times New Roman"/>
          <w:sz w:val="32"/>
          <w:szCs w:val="32"/>
          <w:lang w:val="en-US" w:eastAsia="zh-CN"/>
        </w:rPr>
        <w:t>全面贯彻落实党的二十大和二十届二中全会精神</w:t>
      </w:r>
      <w:r>
        <w:rPr>
          <w:rFonts w:ascii="Times New Roman" w:hAnsi="Times New Roman" w:eastAsia="方正仿宋_GBK" w:cs="Times New Roman"/>
          <w:sz w:val="32"/>
          <w:szCs w:val="32"/>
        </w:rPr>
        <w:t>，深学笃用习近平法治思想，</w:t>
      </w:r>
      <w:r>
        <w:rPr>
          <w:rFonts w:hint="eastAsia" w:ascii="Times New Roman" w:hAnsi="Times New Roman" w:eastAsia="方正仿宋_GBK" w:cs="Times New Roman"/>
          <w:sz w:val="32"/>
          <w:szCs w:val="32"/>
          <w:highlight w:val="none"/>
        </w:rPr>
        <w:t>严格</w:t>
      </w:r>
      <w:r>
        <w:rPr>
          <w:rFonts w:hint="eastAsia" w:ascii="Times New Roman" w:hAnsi="Times New Roman" w:eastAsia="方正仿宋_GBK" w:cs="Times New Roman"/>
          <w:sz w:val="32"/>
          <w:szCs w:val="32"/>
          <w:highlight w:val="none"/>
          <w:lang w:eastAsia="zh-CN"/>
        </w:rPr>
        <w:t>落实</w:t>
      </w:r>
      <w:r>
        <w:rPr>
          <w:rFonts w:hint="eastAsia" w:ascii="Times New Roman" w:hAnsi="Times New Roman" w:eastAsia="方正仿宋_GBK" w:cs="Times New Roman"/>
          <w:sz w:val="32"/>
          <w:szCs w:val="32"/>
          <w:highlight w:val="none"/>
          <w:lang w:val="en-US" w:eastAsia="zh-CN"/>
        </w:rPr>
        <w:t>市委市政府、</w:t>
      </w:r>
      <w:r>
        <w:rPr>
          <w:rFonts w:hint="eastAsia" w:ascii="Times New Roman" w:hAnsi="Times New Roman" w:eastAsia="方正仿宋_GBK" w:cs="Times New Roman"/>
          <w:sz w:val="32"/>
          <w:szCs w:val="32"/>
          <w:highlight w:val="none"/>
          <w:lang w:eastAsia="zh-CN"/>
        </w:rPr>
        <w:t>区委区政府关于法治建设的工作安排，</w:t>
      </w:r>
      <w:r>
        <w:rPr>
          <w:rFonts w:hint="eastAsia" w:ascii="Times New Roman" w:hAnsi="Times New Roman" w:eastAsia="方正仿宋_GBK" w:cs="Times New Roman"/>
          <w:sz w:val="32"/>
          <w:szCs w:val="32"/>
          <w:highlight w:val="none"/>
          <w:lang w:val="en-US" w:eastAsia="zh-CN"/>
        </w:rPr>
        <w:t>落实</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2023年全市法治政府建设工作要点》相关要求，</w:t>
      </w:r>
      <w:r>
        <w:rPr>
          <w:rFonts w:hint="eastAsia" w:ascii="Times New Roman" w:hAnsi="Times New Roman" w:eastAsia="方正仿宋_GBK" w:cs="Times New Roman"/>
          <w:sz w:val="32"/>
          <w:szCs w:val="32"/>
          <w:highlight w:val="none"/>
        </w:rPr>
        <w:t>认真组织、强化领导、明确责任，</w:t>
      </w:r>
      <w:r>
        <w:rPr>
          <w:rFonts w:ascii="Times New Roman" w:hAnsi="Times New Roman" w:eastAsia="方正仿宋_GBK" w:cs="Times New Roman"/>
          <w:sz w:val="32"/>
          <w:szCs w:val="32"/>
          <w:highlight w:val="none"/>
        </w:rPr>
        <w:t>现将有关工作情况报告如下：</w:t>
      </w:r>
    </w:p>
    <w:p>
      <w:pPr>
        <w:keepNext w:val="0"/>
        <w:keepLines w:val="0"/>
        <w:pageBreakBefore w:val="0"/>
        <w:kinsoku/>
        <w:overflowPunct/>
        <w:topLinePunct w:val="0"/>
        <w:autoSpaceDE/>
        <w:autoSpaceDN/>
        <w:bidi w:val="0"/>
        <w:adjustRightInd/>
        <w:snapToGrid/>
        <w:spacing w:line="594" w:lineRule="exact"/>
        <w:ind w:right="0" w:firstLine="640" w:firstLineChars="200"/>
        <w:textAlignment w:val="auto"/>
        <w:rPr>
          <w:rFonts w:ascii="方正黑体_GBK" w:hAnsi="Times New Roman" w:eastAsia="方正黑体_GBK" w:cs="Times New Roman"/>
          <w:color w:val="000000" w:themeColor="text1"/>
          <w:sz w:val="32"/>
          <w:szCs w:val="20"/>
          <w14:textFill>
            <w14:solidFill>
              <w14:schemeClr w14:val="tx1"/>
            </w14:solidFill>
          </w14:textFill>
        </w:rPr>
      </w:pPr>
      <w:r>
        <w:rPr>
          <w:rFonts w:hint="eastAsia" w:ascii="方正黑体_GBK" w:hAnsi="Times New Roman" w:eastAsia="方正黑体_GBK" w:cs="Times New Roman"/>
          <w:color w:val="000000" w:themeColor="text1"/>
          <w:sz w:val="32"/>
          <w:szCs w:val="20"/>
          <w14:textFill>
            <w14:solidFill>
              <w14:schemeClr w14:val="tx1"/>
            </w14:solidFill>
          </w14:textFill>
        </w:rPr>
        <w:t>一、202</w:t>
      </w:r>
      <w:r>
        <w:rPr>
          <w:rFonts w:hint="eastAsia" w:ascii="方正黑体_GBK" w:hAnsi="Times New Roman" w:eastAsia="方正黑体_GBK" w:cs="Times New Roman"/>
          <w:color w:val="000000" w:themeColor="text1"/>
          <w:sz w:val="32"/>
          <w:szCs w:val="20"/>
          <w:lang w:val="en-US" w:eastAsia="zh-CN"/>
          <w14:textFill>
            <w14:solidFill>
              <w14:schemeClr w14:val="tx1"/>
            </w14:solidFill>
          </w14:textFill>
        </w:rPr>
        <w:t>3</w:t>
      </w:r>
      <w:r>
        <w:rPr>
          <w:rFonts w:hint="eastAsia" w:ascii="方正黑体_GBK" w:hAnsi="Times New Roman" w:eastAsia="方正黑体_GBK" w:cs="Times New Roman"/>
          <w:color w:val="000000" w:themeColor="text1"/>
          <w:sz w:val="32"/>
          <w:szCs w:val="20"/>
          <w14:textFill>
            <w14:solidFill>
              <w14:schemeClr w14:val="tx1"/>
            </w14:solidFill>
          </w14:textFill>
        </w:rPr>
        <w:t>年推进法治政府建设的主要举措和成效</w:t>
      </w:r>
    </w:p>
    <w:p>
      <w:pPr>
        <w:keepNext w:val="0"/>
        <w:keepLines w:val="0"/>
        <w:pageBreakBefore w:val="0"/>
        <w:kinsoku/>
        <w:overflowPunct/>
        <w:topLinePunct w:val="0"/>
        <w:autoSpaceDE/>
        <w:autoSpaceDN/>
        <w:bidi w:val="0"/>
        <w:adjustRightInd/>
        <w:snapToGrid/>
        <w:spacing w:line="594" w:lineRule="exact"/>
        <w:ind w:right="0" w:firstLine="640" w:firstLineChars="200"/>
        <w:textAlignment w:val="auto"/>
        <w:rPr>
          <w:rFonts w:hint="eastAsia" w:ascii="Times New Roman" w:hAnsi="Times New Roman" w:eastAsia="方正仿宋_GBK" w:cs="Times New Roman"/>
          <w:sz w:val="32"/>
          <w:szCs w:val="32"/>
          <w:lang w:val="en-US" w:eastAsia="zh-CN"/>
        </w:rPr>
      </w:pPr>
      <w:r>
        <w:rPr>
          <w:rStyle w:val="10"/>
          <w:rFonts w:hint="eastAsia" w:ascii="方正楷体_GBK" w:hAnsi="宋体" w:eastAsia="方正楷体_GBK" w:cs="宋体"/>
          <w:sz w:val="32"/>
          <w:szCs w:val="32"/>
        </w:rPr>
        <w:t>（一）</w:t>
      </w:r>
      <w:r>
        <w:rPr>
          <w:rFonts w:hint="eastAsia" w:ascii="方正楷体_GBK" w:hAnsi="Times New Roman" w:eastAsia="方正楷体_GBK" w:cs="宋体"/>
          <w:kern w:val="0"/>
          <w:sz w:val="32"/>
          <w:szCs w:val="32"/>
          <w:lang w:val="en-US" w:eastAsia="zh-CN" w:bidi="ar-SA"/>
        </w:rPr>
        <w:t>强化组织领导，扛牢第一责任。</w:t>
      </w:r>
    </w:p>
    <w:p>
      <w:pPr>
        <w:keepNext w:val="0"/>
        <w:keepLines w:val="0"/>
        <w:pageBreakBefore w:val="0"/>
        <w:kinsoku/>
        <w:overflowPunct/>
        <w:topLinePunct w:val="0"/>
        <w:autoSpaceDE/>
        <w:autoSpaceDN/>
        <w:bidi w:val="0"/>
        <w:adjustRightInd/>
        <w:snapToGrid/>
        <w:spacing w:line="594" w:lineRule="exact"/>
        <w:ind w:right="0"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一是带头重视法治、真诚推进法治。金融发展中心主要领导</w:t>
      </w:r>
      <w:r>
        <w:rPr>
          <w:rFonts w:hint="eastAsia" w:ascii="Times New Roman" w:hAnsi="Times New Roman" w:eastAsia="方正仿宋_GBK" w:cs="Times New Roman"/>
          <w:sz w:val="32"/>
          <w:szCs w:val="32"/>
          <w:highlight w:val="none"/>
        </w:rPr>
        <w:t>切实履行推进法治政府建设第一责任人职责，认真落实</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严格履行</w:t>
      </w:r>
      <w:r>
        <w:rPr>
          <w:rFonts w:hint="eastAsia" w:ascii="Times New Roman" w:hAnsi="Times New Roman" w:eastAsia="方正仿宋_GBK" w:cs="Times New Roman"/>
          <w:sz w:val="32"/>
          <w:szCs w:val="32"/>
          <w:highlight w:val="none"/>
        </w:rPr>
        <w:t>《党政主要负责人履行推进</w:t>
      </w:r>
      <w:r>
        <w:rPr>
          <w:rFonts w:hint="eastAsia" w:ascii="Times New Roman" w:hAnsi="Times New Roman" w:eastAsia="方正仿宋_GBK" w:cs="Times New Roman"/>
          <w:sz w:val="32"/>
          <w:szCs w:val="32"/>
          <w:highlight w:val="none"/>
          <w:lang w:val="en-US" w:eastAsia="zh-CN"/>
        </w:rPr>
        <w:t>法治</w:t>
      </w:r>
      <w:r>
        <w:rPr>
          <w:rFonts w:hint="eastAsia" w:ascii="Times New Roman" w:hAnsi="Times New Roman" w:eastAsia="方正仿宋_GBK" w:cs="Times New Roman"/>
          <w:sz w:val="32"/>
          <w:szCs w:val="32"/>
          <w:highlight w:val="none"/>
        </w:rPr>
        <w:t>建设第一责任人职责规定》</w:t>
      </w:r>
      <w:r>
        <w:rPr>
          <w:rFonts w:hint="eastAsia" w:ascii="Times New Roman" w:hAnsi="Times New Roman" w:eastAsia="方正仿宋_GBK" w:cs="Times New Roman"/>
          <w:sz w:val="32"/>
          <w:szCs w:val="32"/>
          <w:highlight w:val="none"/>
          <w:lang w:val="en-US" w:eastAsia="zh-CN"/>
        </w:rPr>
        <w:t>，严格落实工作责任，及时研究工作中遇到的问题</w:t>
      </w:r>
      <w:r>
        <w:rPr>
          <w:rFonts w:hint="eastAsia" w:ascii="Times New Roman" w:hAnsi="Times New Roman" w:eastAsia="方正仿宋_GBK" w:cs="Times New Roman"/>
          <w:sz w:val="32"/>
          <w:szCs w:val="32"/>
          <w:highlight w:val="none"/>
        </w:rPr>
        <w:t>。将法治建设纳入年度工作计划，与重点工作同部署、同推进、同督促，紧紧围绕法治建设的各项目标任务</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rPr>
        <w:t>持续加强法治建设</w:t>
      </w:r>
      <w:r>
        <w:rPr>
          <w:rFonts w:hint="eastAsia" w:ascii="Times New Roman" w:hAnsi="Times New Roman" w:eastAsia="方正仿宋_GBK" w:cs="Times New Roman"/>
          <w:sz w:val="32"/>
          <w:szCs w:val="32"/>
          <w:highlight w:val="none"/>
          <w:lang w:eastAsia="zh-CN"/>
        </w:rPr>
        <w:t>。</w:t>
      </w:r>
    </w:p>
    <w:p>
      <w:pPr>
        <w:keepNext w:val="0"/>
        <w:keepLines w:val="0"/>
        <w:pageBreakBefore w:val="0"/>
        <w:kinsoku/>
        <w:overflowPunct/>
        <w:topLinePunct w:val="0"/>
        <w:autoSpaceDE/>
        <w:autoSpaceDN/>
        <w:bidi w:val="0"/>
        <w:adjustRightInd/>
        <w:snapToGrid/>
        <w:spacing w:line="594" w:lineRule="exact"/>
        <w:ind w:right="0" w:firstLine="640" w:firstLineChars="200"/>
        <w:textAlignment w:val="auto"/>
        <w:rPr>
          <w:rFonts w:hint="eastAsia" w:ascii="Times New Roman" w:hAnsi="Times New Roman" w:eastAsia="方正仿宋_GBK"/>
          <w:sz w:val="32"/>
          <w:szCs w:val="32"/>
          <w:highlight w:val="none"/>
        </w:rPr>
      </w:pPr>
      <w:r>
        <w:rPr>
          <w:rFonts w:hint="eastAsia" w:ascii="Times New Roman" w:hAnsi="Times New Roman" w:eastAsia="方正仿宋_GBK" w:cs="Times New Roman"/>
          <w:sz w:val="32"/>
          <w:szCs w:val="32"/>
          <w:highlight w:val="none"/>
          <w:lang w:val="en-US" w:eastAsia="zh-CN"/>
        </w:rPr>
        <w:t>二是突出领导作用，紧抓学法教育。领导带头，</w:t>
      </w:r>
      <w:r>
        <w:rPr>
          <w:rFonts w:hint="eastAsia" w:ascii="Times New Roman" w:hAnsi="Times New Roman" w:eastAsia="方正仿宋_GBK" w:cs="Times New Roman"/>
          <w:sz w:val="32"/>
          <w:szCs w:val="32"/>
          <w:highlight w:val="none"/>
        </w:rPr>
        <w:t>组织开展各类学习活动</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组织</w:t>
      </w:r>
      <w:r>
        <w:rPr>
          <w:rFonts w:hint="eastAsia" w:ascii="Times New Roman" w:hAnsi="Times New Roman" w:eastAsia="方正仿宋_GBK" w:cs="Times New Roman"/>
          <w:sz w:val="32"/>
          <w:szCs w:val="32"/>
          <w:highlight w:val="none"/>
        </w:rPr>
        <w:t>干部职工</w:t>
      </w:r>
      <w:r>
        <w:rPr>
          <w:rFonts w:hint="eastAsia" w:ascii="Times New Roman" w:hAnsi="Times New Roman" w:eastAsia="方正仿宋_GBK" w:cs="Times New Roman"/>
          <w:sz w:val="32"/>
          <w:szCs w:val="32"/>
          <w:highlight w:val="none"/>
          <w:lang w:eastAsia="zh-CN"/>
        </w:rPr>
        <w:t>学习习近平法治思想、宪法、民法典、国家安全等重点内容，</w:t>
      </w:r>
      <w:r>
        <w:rPr>
          <w:rFonts w:hint="eastAsia" w:ascii="Times New Roman" w:hAnsi="Times New Roman" w:eastAsia="方正仿宋_GBK" w:cs="Times New Roman"/>
          <w:sz w:val="32"/>
          <w:szCs w:val="32"/>
          <w:highlight w:val="none"/>
        </w:rPr>
        <w:t>进行</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防范和处置非法集资条例</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sz w:val="32"/>
          <w:szCs w:val="32"/>
          <w:highlight w:val="none"/>
        </w:rPr>
        <w:t>党内法规</w:t>
      </w:r>
      <w:r>
        <w:rPr>
          <w:rFonts w:hint="eastAsia" w:ascii="Times New Roman" w:hAnsi="Times New Roman" w:eastAsia="方正仿宋_GBK" w:cs="Times New Roman"/>
          <w:sz w:val="32"/>
          <w:szCs w:val="32"/>
          <w:highlight w:val="none"/>
          <w:lang w:val="en-US" w:eastAsia="zh-CN"/>
        </w:rPr>
        <w:t>等</w:t>
      </w:r>
      <w:r>
        <w:rPr>
          <w:rFonts w:hint="eastAsia" w:ascii="Times New Roman" w:hAnsi="Times New Roman" w:eastAsia="方正仿宋_GBK" w:cs="Times New Roman"/>
          <w:sz w:val="32"/>
          <w:szCs w:val="32"/>
          <w:highlight w:val="none"/>
        </w:rPr>
        <w:t>专题学习</w:t>
      </w:r>
      <w:r>
        <w:rPr>
          <w:rFonts w:hint="eastAsia" w:ascii="Times New Roman" w:hAnsi="Times New Roman" w:eastAsia="方正仿宋_GBK" w:cs="Times New Roman"/>
          <w:sz w:val="32"/>
          <w:szCs w:val="32"/>
          <w:highlight w:val="none"/>
          <w:lang w:eastAsia="zh-CN"/>
        </w:rPr>
        <w:t>，要求全体干部职工关注国家安全部微信公众号并对推文内容进行学习</w:t>
      </w:r>
      <w:r>
        <w:rPr>
          <w:rFonts w:hint="eastAsia" w:ascii="Times New Roman" w:hAnsi="Times New Roman" w:eastAsia="方正仿宋_GBK" w:cs="Times New Roman"/>
          <w:sz w:val="32"/>
          <w:szCs w:val="32"/>
          <w:highlight w:val="none"/>
        </w:rPr>
        <w:t>，提升干部职工的</w:t>
      </w:r>
      <w:r>
        <w:rPr>
          <w:rFonts w:hint="eastAsia" w:ascii="Times New Roman" w:hAnsi="Times New Roman" w:eastAsia="方正仿宋_GBK" w:cs="Times New Roman"/>
          <w:sz w:val="32"/>
          <w:szCs w:val="32"/>
          <w:highlight w:val="none"/>
          <w:lang w:eastAsia="zh-CN"/>
        </w:rPr>
        <w:t>总体国家安全观</w:t>
      </w:r>
      <w:r>
        <w:rPr>
          <w:rFonts w:hint="eastAsia" w:ascii="Times New Roman" w:hAnsi="Times New Roman" w:eastAsia="方正仿宋_GBK" w:cs="Times New Roman"/>
          <w:sz w:val="32"/>
          <w:szCs w:val="32"/>
          <w:highlight w:val="none"/>
        </w:rPr>
        <w:t>意识，组织全体干部职工</w:t>
      </w:r>
      <w:r>
        <w:rPr>
          <w:rFonts w:hint="eastAsia" w:ascii="Times New Roman" w:hAnsi="Times New Roman" w:eastAsia="方正仿宋_GBK" w:cs="Times New Roman"/>
          <w:sz w:val="32"/>
          <w:szCs w:val="32"/>
          <w:highlight w:val="none"/>
          <w:lang w:val="en-US" w:eastAsia="zh-CN"/>
        </w:rPr>
        <w:t>参加全区法治理论知识学习考试、参加行政执法培训和考试，加强</w:t>
      </w:r>
      <w:r>
        <w:rPr>
          <w:rFonts w:hint="eastAsia" w:ascii="Times New Roman" w:hAnsi="Times New Roman" w:eastAsia="方正仿宋_GBK" w:cs="Times New Roman"/>
          <w:sz w:val="32"/>
          <w:szCs w:val="32"/>
          <w:highlight w:val="none"/>
        </w:rPr>
        <w:t>各级领导干部法治思维，并在履职过程中依法开展工作</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定期组织召开党组会议，及时学习传达法治政府建设相关文件精神，研究金融领域贯彻落实举措，带动全中心上下形成学法、用法、守法浓厚氛围。</w:t>
      </w: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ascii="Times New Roman" w:hAnsi="Times New Roman" w:eastAsia="方正仿宋_GBK"/>
          <w:sz w:val="32"/>
          <w:szCs w:val="32"/>
        </w:rPr>
      </w:pPr>
      <w:r>
        <w:rPr>
          <w:rFonts w:hint="eastAsia" w:ascii="方正楷体_GBK" w:hAnsi="Times New Roman" w:eastAsia="方正楷体_GBK"/>
          <w:sz w:val="32"/>
          <w:szCs w:val="32"/>
        </w:rPr>
        <w:t>（</w:t>
      </w:r>
      <w:r>
        <w:rPr>
          <w:rFonts w:hint="eastAsia" w:ascii="方正楷体_GBK" w:hAnsi="Times New Roman" w:eastAsia="方正楷体_GBK"/>
          <w:sz w:val="32"/>
          <w:szCs w:val="32"/>
          <w:lang w:eastAsia="zh-CN"/>
        </w:rPr>
        <w:t>二</w:t>
      </w:r>
      <w:r>
        <w:rPr>
          <w:rFonts w:hint="eastAsia" w:ascii="方正楷体_GBK" w:hAnsi="Times New Roman" w:eastAsia="方正楷体_GBK"/>
          <w:sz w:val="32"/>
          <w:szCs w:val="32"/>
        </w:rPr>
        <w:t>）</w:t>
      </w:r>
      <w:r>
        <w:rPr>
          <w:rFonts w:hint="eastAsia" w:ascii="方正楷体_GBK" w:hAnsi="Times New Roman" w:eastAsia="方正楷体_GBK"/>
          <w:sz w:val="32"/>
          <w:szCs w:val="32"/>
          <w:lang w:eastAsia="zh-CN"/>
        </w:rPr>
        <w:t>严惩非法集资，防范化解金融风险</w:t>
      </w:r>
      <w:r>
        <w:rPr>
          <w:rFonts w:ascii="Times New Roman" w:hAnsi="Times New Roman" w:eastAsia="方正仿宋_GBK"/>
          <w:sz w:val="32"/>
          <w:szCs w:val="32"/>
        </w:rPr>
        <w:t>。</w:t>
      </w:r>
    </w:p>
    <w:p>
      <w:pPr>
        <w:keepNext w:val="0"/>
        <w:keepLines w:val="0"/>
        <w:pageBreakBefore w:val="0"/>
        <w:kinsoku/>
        <w:overflowPunct/>
        <w:topLinePunct w:val="0"/>
        <w:autoSpaceDE/>
        <w:autoSpaceDN/>
        <w:bidi w:val="0"/>
        <w:adjustRightInd/>
        <w:snapToGrid/>
        <w:spacing w:line="594" w:lineRule="exact"/>
        <w:ind w:right="0"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一是加强地方金融组织监督管理。每月督促地方金融企业按时报送市金融监管局监管统计信息，每季度末收集经营信息做好分析统计，掌握企业基本经营情况，对辖区地方金融组织开展“年检”式现场检查工作，规范企业经营行为，守住经营“红线”，防止发生违法违规风险；开展私募股权投资基金企业“除险清患”，开展合法合规性检查和分类处置工作，已变更或注销企业4家。 </w:t>
      </w:r>
    </w:p>
    <w:p>
      <w:pPr>
        <w:keepNext w:val="0"/>
        <w:keepLines w:val="0"/>
        <w:pageBreakBefore w:val="0"/>
        <w:kinsoku/>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二是持续保持打击非法金融活动高压态势。在区打击非法金融活动领导小组统筹指挥下，建立“属地管理、属事监管、明确分工、强化协作”的工作机制，落实成员单位风险防范主体责任，对辖区房地产、养老服务、私募基金等高风险领域开展拉网式排查；依托用好全市打击非法集资综合管理平台，及时接收风险提示线索，转发全市风险互通信息；组织各行业主（监）管部门和镇街常态化开展涉非法金融活动风险排查活动，发现有效风险线索2条，及时妥善处置；推进存量案件处置，全区非法集资案件累计立案12起，已化解11起，全区非法集资案件化解率91.6%。截至目前，全区金融风险总体可控，无新发非法集资案件，未发生重大涉非信访问题和群体性事件，守住了不发生区域性风险、不引发系统性风险的底线。</w:t>
      </w:r>
      <w:r>
        <w:rPr>
          <w:rFonts w:hint="eastAsia" w:ascii="Times New Roman" w:hAnsi="Times New Roman" w:eastAsia="方正仿宋_GBK"/>
          <w:sz w:val="32"/>
          <w:szCs w:val="32"/>
          <w:lang w:eastAsia="zh-CN"/>
        </w:rPr>
        <w:t>组织开展防范非法集资集中宣传月活动，充分发挥基层网格员、社区志愿者等力量，积极推动防范非法集资宣传进社区、进农村、进校园、进单位、进网点等活动，开展区级宣传活动</w:t>
      </w:r>
      <w:r>
        <w:rPr>
          <w:rFonts w:hint="eastAsia" w:ascii="Times New Roman" w:hAnsi="Times New Roman" w:eastAsia="方正仿宋_GBK"/>
          <w:sz w:val="32"/>
          <w:szCs w:val="32"/>
          <w:lang w:val="en-US" w:eastAsia="zh-CN"/>
        </w:rPr>
        <w:t>4次，发放宣传资料30000余份，指导各行业主（监）管部门、镇街开展宣传活动44场次，有效提升群众防非识别能力和防范意识；组织开展防范和处置非法集资专题培训活动1次，督促指导各镇街、行业部门开展自主轮训26次，提升处非一线干部业务能力。</w:t>
      </w: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ascii="Times New Roman" w:hAnsi="Times New Roman" w:eastAsia="方正仿宋_GBK"/>
          <w:sz w:val="32"/>
          <w:szCs w:val="32"/>
        </w:rPr>
      </w:pPr>
      <w:r>
        <w:rPr>
          <w:rFonts w:hint="eastAsia" w:ascii="方正楷体_GBK" w:hAnsi="Times New Roman" w:eastAsia="方正楷体_GBK"/>
          <w:sz w:val="32"/>
          <w:szCs w:val="32"/>
        </w:rPr>
        <w:t>（</w:t>
      </w:r>
      <w:r>
        <w:rPr>
          <w:rFonts w:hint="eastAsia" w:ascii="方正楷体_GBK" w:hAnsi="Times New Roman" w:eastAsia="方正楷体_GBK"/>
          <w:sz w:val="32"/>
          <w:szCs w:val="32"/>
          <w:lang w:eastAsia="zh-CN"/>
        </w:rPr>
        <w:t>三</w:t>
      </w:r>
      <w:r>
        <w:rPr>
          <w:rFonts w:hint="eastAsia" w:ascii="方正楷体_GBK" w:hAnsi="Times New Roman" w:eastAsia="方正楷体_GBK"/>
          <w:sz w:val="32"/>
          <w:szCs w:val="32"/>
        </w:rPr>
        <w:t>）</w:t>
      </w:r>
      <w:r>
        <w:rPr>
          <w:rFonts w:hint="eastAsia" w:ascii="方正楷体_GBK" w:hAnsi="Times New Roman" w:eastAsia="方正楷体_GBK"/>
          <w:sz w:val="32"/>
          <w:szCs w:val="32"/>
          <w:lang w:eastAsia="zh-CN"/>
        </w:rPr>
        <w:t>优化营商环境，推动“放管服”改革落地</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eastAsia" w:ascii="Times New Roman" w:hAnsi="Times New Roman" w:eastAsia="方正仿宋_GBK" w:cs="宋体"/>
          <w:kern w:val="0"/>
          <w:sz w:val="32"/>
          <w:szCs w:val="32"/>
          <w:lang w:val="en-US" w:eastAsia="zh-CN" w:bidi="ar-SA"/>
        </w:rPr>
      </w:pPr>
      <w:r>
        <w:rPr>
          <w:rFonts w:hint="eastAsia" w:ascii="Times New Roman" w:hAnsi="Times New Roman" w:eastAsia="方正仿宋_GBK"/>
          <w:sz w:val="32"/>
          <w:szCs w:val="32"/>
        </w:rPr>
        <w:t xml:space="preserve"> </w:t>
      </w:r>
      <w:r>
        <w:rPr>
          <w:rFonts w:hint="eastAsia" w:ascii="Times New Roman" w:hAnsi="Times New Roman" w:eastAsia="方正仿宋_GBK" w:cs="宋体"/>
          <w:kern w:val="0"/>
          <w:sz w:val="32"/>
          <w:szCs w:val="32"/>
          <w:lang w:val="en-US" w:eastAsia="zh-CN" w:bidi="ar-SA"/>
        </w:rPr>
        <w:t>一是配合推进全区信用体系建设。推进金融服务与信用体系建设工作融合，落地“诚信贷”业务，以企业区内信用信息为基础条件，政府设立风险补偿资金池作为增信手段，为区内资质良好但无抵押资产企业提供信用贷款，截至目前，已累计投放“诚信贷”金额2470万元；持续完善支持政策促进“诚信贷”扩面增量，对原“诚信贷”管理办法开展修订，拓宽合作银行范围，简化企业申贷流程，扩大企业支持覆盖面，目前修订后的管理办法已印发实施，并召集辖区金融机构召开“诚信贷”政策宣讲会，将金融机构对“诚信贷”推广情况纳入金融机构评价体系，引导辖区金融机构加强面向企业的政策宣传，促进惠企政策落地。</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eastAsia"/>
        </w:rPr>
      </w:pPr>
      <w:r>
        <w:rPr>
          <w:rFonts w:hint="eastAsia" w:ascii="Times New Roman" w:hAnsi="Times New Roman" w:eastAsia="方正仿宋_GBK" w:cs="宋体"/>
          <w:kern w:val="0"/>
          <w:sz w:val="32"/>
          <w:szCs w:val="32"/>
          <w:lang w:val="en-US" w:eastAsia="zh-CN" w:bidi="ar-SA"/>
        </w:rPr>
        <w:t>二是努力化解企业“融资难”问题。落实市级系列金融支持政策，配合支持辖区银行通过应收账款质押、技术升级改造项目支持、定向授信贷款等方式加大信贷投放；综合运用线上线下手段促进银企对接，线上组织辖区金融机构登录“信易贷”、“易企飞”等服务平台，发布信贷政策、金融产品信息并开通银行与企业直接对接通道，线下建立常态化企业融资需求收集机制和银企对接机制，并印发《大渡口区小微企业与个人融资服务指南》（第三版），帮助银企双方实现快速精准对接。截至</w:t>
      </w:r>
      <w:bookmarkStart w:id="0" w:name="_GoBack"/>
      <w:bookmarkEnd w:id="0"/>
      <w:r>
        <w:rPr>
          <w:rFonts w:hint="eastAsia" w:ascii="Times New Roman" w:hAnsi="Times New Roman" w:eastAsia="方正仿宋_GBK" w:cs="宋体"/>
          <w:kern w:val="0"/>
          <w:sz w:val="32"/>
          <w:szCs w:val="32"/>
          <w:lang w:val="en-US" w:eastAsia="zh-CN" w:bidi="ar-SA"/>
        </w:rPr>
        <w:t>目前，辖区银行业对中小微企业贷款余额302.25亿元，同比增长12.5%，对“三农”贷款余额109.41亿元，同比增长31.65%。</w:t>
      </w:r>
    </w:p>
    <w:p>
      <w:pPr>
        <w:keepNext w:val="0"/>
        <w:keepLines w:val="0"/>
        <w:pageBreakBefore w:val="0"/>
        <w:kinsoku/>
        <w:overflowPunct/>
        <w:topLinePunct w:val="0"/>
        <w:autoSpaceDE/>
        <w:autoSpaceDN/>
        <w:bidi w:val="0"/>
        <w:adjustRightInd/>
        <w:snapToGrid/>
        <w:spacing w:line="594" w:lineRule="exact"/>
        <w:ind w:right="0" w:firstLine="640" w:firstLineChars="200"/>
        <w:textAlignment w:val="auto"/>
        <w:rPr>
          <w:rFonts w:hint="eastAsia" w:ascii="Times New Roman" w:hAnsi="Times New Roman" w:eastAsia="方正黑体_GBK"/>
          <w:sz w:val="32"/>
          <w:szCs w:val="32"/>
          <w:lang w:eastAsia="zh-CN"/>
        </w:rPr>
      </w:pPr>
      <w:r>
        <w:rPr>
          <w:rFonts w:hint="eastAsia" w:ascii="方正黑体_GBK" w:hAnsi="Times New Roman" w:eastAsia="方正黑体_GBK" w:cs="Times New Roman"/>
          <w:color w:val="000000" w:themeColor="text1"/>
          <w:sz w:val="32"/>
          <w:szCs w:val="20"/>
          <w14:textFill>
            <w14:solidFill>
              <w14:schemeClr w14:val="tx1"/>
            </w14:solidFill>
          </w14:textFill>
        </w:rPr>
        <w:t>二、202</w:t>
      </w:r>
      <w:r>
        <w:rPr>
          <w:rFonts w:hint="eastAsia" w:ascii="方正黑体_GBK" w:hAnsi="Times New Roman" w:eastAsia="方正黑体_GBK" w:cs="Times New Roman"/>
          <w:color w:val="000000" w:themeColor="text1"/>
          <w:sz w:val="32"/>
          <w:szCs w:val="20"/>
          <w:lang w:val="en-US" w:eastAsia="zh-CN"/>
          <w14:textFill>
            <w14:solidFill>
              <w14:schemeClr w14:val="tx1"/>
            </w14:solidFill>
          </w14:textFill>
        </w:rPr>
        <w:t>3</w:t>
      </w:r>
      <w:r>
        <w:rPr>
          <w:rFonts w:hint="eastAsia" w:ascii="方正黑体_GBK" w:hAnsi="Times New Roman" w:eastAsia="方正黑体_GBK" w:cs="Times New Roman"/>
          <w:color w:val="000000" w:themeColor="text1"/>
          <w:sz w:val="32"/>
          <w:szCs w:val="20"/>
          <w14:textFill>
            <w14:solidFill>
              <w14:schemeClr w14:val="tx1"/>
            </w14:solidFill>
          </w14:textFill>
        </w:rPr>
        <w:t>年推进法治政府建设存在的不足和原因</w:t>
      </w: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回顾过去，我们在推动法治政府建设工作中还存在一些难题和不足之处，主要表现在：</w:t>
      </w: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一是依法行政意识有待提升。部分干部优先运用法治思维和法治方式开展工作的能力有待提升，在法治政府建设工作方面</w:t>
      </w:r>
      <w:r>
        <w:rPr>
          <w:rFonts w:hint="eastAsia" w:ascii="Times New Roman" w:hAnsi="Times New Roman" w:eastAsia="方正仿宋_GBK"/>
          <w:sz w:val="32"/>
          <w:szCs w:val="32"/>
          <w:lang w:val="en-US" w:eastAsia="zh-CN"/>
        </w:rPr>
        <w:t>还</w:t>
      </w:r>
      <w:r>
        <w:rPr>
          <w:rFonts w:hint="eastAsia" w:ascii="Times New Roman" w:hAnsi="Times New Roman" w:eastAsia="方正仿宋_GBK"/>
          <w:sz w:val="32"/>
          <w:szCs w:val="32"/>
        </w:rPr>
        <w:t>缺少主动性，对法治政府建设内容理解不透彻、不全面</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落实上还有差距。</w:t>
      </w: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Times New Roman" w:hAnsi="Times New Roman" w:eastAsia="方正仿宋_GBK"/>
          <w:sz w:val="32"/>
          <w:szCs w:val="32"/>
          <w:highlight w:val="none"/>
        </w:rPr>
      </w:pPr>
      <w:r>
        <w:rPr>
          <w:rFonts w:hint="eastAsia" w:ascii="Times New Roman" w:hAnsi="Times New Roman" w:eastAsia="方正仿宋_GBK"/>
          <w:sz w:val="32"/>
          <w:szCs w:val="32"/>
        </w:rPr>
        <w:t>二是干部法律素质有待提高。</w:t>
      </w:r>
      <w:r>
        <w:rPr>
          <w:rFonts w:hint="eastAsia" w:ascii="Times New Roman" w:hAnsi="Times New Roman" w:eastAsia="方正仿宋_GBK"/>
          <w:sz w:val="32"/>
          <w:szCs w:val="32"/>
          <w:highlight w:val="none"/>
          <w:lang w:val="en-US" w:eastAsia="zh-CN"/>
        </w:rPr>
        <w:t>干部仍</w:t>
      </w:r>
      <w:r>
        <w:rPr>
          <w:rFonts w:hint="eastAsia" w:ascii="Times New Roman" w:hAnsi="Times New Roman" w:eastAsia="方正仿宋_GBK"/>
          <w:sz w:val="32"/>
          <w:szCs w:val="32"/>
          <w:highlight w:val="none"/>
        </w:rPr>
        <w:t>缺少系统的</w:t>
      </w:r>
      <w:r>
        <w:rPr>
          <w:rFonts w:hint="eastAsia" w:ascii="Times New Roman" w:hAnsi="Times New Roman" w:eastAsia="方正仿宋_GBK"/>
          <w:sz w:val="32"/>
          <w:szCs w:val="32"/>
          <w:highlight w:val="none"/>
          <w:lang w:val="en-US" w:eastAsia="zh-CN"/>
        </w:rPr>
        <w:t>法治建设</w:t>
      </w:r>
      <w:r>
        <w:rPr>
          <w:rFonts w:hint="eastAsia" w:ascii="Times New Roman" w:hAnsi="Times New Roman" w:eastAsia="方正仿宋_GBK"/>
          <w:sz w:val="32"/>
          <w:szCs w:val="32"/>
          <w:highlight w:val="none"/>
        </w:rPr>
        <w:t>培训，</w:t>
      </w:r>
      <w:r>
        <w:rPr>
          <w:rFonts w:hint="eastAsia" w:ascii="Times New Roman" w:hAnsi="Times New Roman" w:eastAsia="方正仿宋_GBK"/>
          <w:sz w:val="32"/>
          <w:szCs w:val="32"/>
          <w:highlight w:val="none"/>
          <w:lang w:val="en-US" w:eastAsia="zh-CN"/>
        </w:rPr>
        <w:t>法治思维</w:t>
      </w:r>
      <w:r>
        <w:rPr>
          <w:rFonts w:hint="eastAsia" w:ascii="Times New Roman" w:hAnsi="Times New Roman" w:eastAsia="方正仿宋_GBK"/>
          <w:sz w:val="32"/>
          <w:szCs w:val="32"/>
          <w:highlight w:val="none"/>
        </w:rPr>
        <w:t>水平不高，对政策的把握能力不强。</w:t>
      </w: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三是法治宣传教育不够入脑入心。防范和打击非法集资宣传工作仍存在薄弱环节，</w:t>
      </w:r>
      <w:r>
        <w:rPr>
          <w:rFonts w:hint="eastAsia" w:ascii="Times New Roman" w:hAnsi="Times New Roman" w:eastAsia="方正仿宋_GBK"/>
          <w:sz w:val="32"/>
          <w:szCs w:val="32"/>
          <w:lang w:eastAsia="zh-CN"/>
        </w:rPr>
        <w:t>利用新媒体开展普法运用不够</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宣传方式以发放宣传册、宣传橱窗等传统普法形式居多</w:t>
      </w:r>
      <w:r>
        <w:rPr>
          <w:rFonts w:hint="eastAsia" w:ascii="Times New Roman" w:hAnsi="Times New Roman" w:eastAsia="方正仿宋_GBK"/>
          <w:sz w:val="32"/>
          <w:szCs w:val="32"/>
        </w:rPr>
        <w:t>，需要开展更多立体化、互动式的法治宣传。</w:t>
      </w:r>
    </w:p>
    <w:p>
      <w:pPr>
        <w:keepNext w:val="0"/>
        <w:keepLines w:val="0"/>
        <w:pageBreakBefore w:val="0"/>
        <w:kinsoku/>
        <w:overflowPunct/>
        <w:topLinePunct w:val="0"/>
        <w:autoSpaceDE/>
        <w:autoSpaceDN/>
        <w:bidi w:val="0"/>
        <w:adjustRightInd/>
        <w:snapToGrid/>
        <w:spacing w:line="594" w:lineRule="exact"/>
        <w:ind w:right="0" w:firstLine="640" w:firstLineChars="200"/>
        <w:textAlignment w:val="auto"/>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三、</w:t>
      </w:r>
      <w:r>
        <w:rPr>
          <w:rFonts w:hint="eastAsia" w:ascii="Times New Roman" w:hAnsi="Times New Roman" w:eastAsia="方正黑体_GBK" w:cs="Times New Roman"/>
          <w:color w:val="000000" w:themeColor="text1"/>
          <w:sz w:val="32"/>
          <w:szCs w:val="20"/>
          <w14:textFill>
            <w14:solidFill>
              <w14:schemeClr w14:val="tx1"/>
            </w14:solidFill>
          </w14:textFill>
        </w:rPr>
        <w:t>202</w:t>
      </w:r>
      <w:r>
        <w:rPr>
          <w:rFonts w:hint="eastAsia" w:ascii="Times New Roman" w:hAnsi="Times New Roman" w:eastAsia="方正黑体_GBK" w:cs="Times New Roman"/>
          <w:color w:val="000000" w:themeColor="text1"/>
          <w:sz w:val="32"/>
          <w:szCs w:val="20"/>
          <w:lang w:val="en-US" w:eastAsia="zh-CN"/>
          <w14:textFill>
            <w14:solidFill>
              <w14:schemeClr w14:val="tx1"/>
            </w14:solidFill>
          </w14:textFill>
        </w:rPr>
        <w:t>4</w:t>
      </w:r>
      <w:r>
        <w:rPr>
          <w:rFonts w:hint="eastAsia" w:ascii="Times New Roman" w:hAnsi="Times New Roman" w:eastAsia="方正黑体_GBK" w:cs="Times New Roman"/>
          <w:color w:val="000000" w:themeColor="text1"/>
          <w:sz w:val="32"/>
          <w:szCs w:val="20"/>
          <w14:textFill>
            <w14:solidFill>
              <w14:schemeClr w14:val="tx1"/>
            </w14:solidFill>
          </w14:textFill>
        </w:rPr>
        <w:t>年推进法治政府建设的工作思路目标举措</w:t>
      </w: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一是</w:t>
      </w:r>
      <w:r>
        <w:rPr>
          <w:rFonts w:hint="eastAsia" w:ascii="Times New Roman" w:hAnsi="Times New Roman" w:eastAsia="方正仿宋_GBK"/>
          <w:sz w:val="32"/>
          <w:szCs w:val="32"/>
        </w:rPr>
        <w:t>增强理论武装意识，统筹推进法治建设工作。全面学习贯彻党的二十大精神，自觉把习近平新时代中国特色社会主义思想、习近平法治思想作为理论武装的必修课。加强干部职工法律知识学习，进一步提高队伍整体的法律素质和能力。</w:t>
      </w: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二是</w:t>
      </w:r>
      <w:r>
        <w:rPr>
          <w:rFonts w:hint="eastAsia" w:ascii="Times New Roman" w:hAnsi="Times New Roman" w:eastAsia="方正仿宋_GBK"/>
          <w:sz w:val="32"/>
          <w:szCs w:val="32"/>
        </w:rPr>
        <w:t>坚持以上率下，落实好“第一责任人”职责。将法治建设摆在工作重要位置，纳入年度工作要点</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不断提高工作水平，切实履行工作职责。</w:t>
      </w: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三是</w:t>
      </w:r>
      <w:r>
        <w:rPr>
          <w:rFonts w:hint="eastAsia" w:ascii="Times New Roman" w:hAnsi="Times New Roman" w:eastAsia="方正仿宋_GBK"/>
          <w:sz w:val="32"/>
          <w:szCs w:val="32"/>
        </w:rPr>
        <w:t>进一步加强法治宣传，增强依法行政观念。继续加大对普法工作的贯彻执行力度，要广泛深入，开展多种形式的法律宣传，努力增强人民群众的法治观念。</w:t>
      </w: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94" w:lineRule="exact"/>
        <w:ind w:right="0"/>
        <w:jc w:val="both"/>
        <w:textAlignment w:val="auto"/>
        <w:rPr>
          <w:rFonts w:hint="eastAsia" w:ascii="Times New Roman" w:hAnsi="Times New Roman" w:eastAsia="方正仿宋_GBK"/>
          <w:sz w:val="32"/>
          <w:szCs w:val="32"/>
          <w:lang w:val="en-US" w:eastAsia="zh-CN"/>
        </w:rPr>
      </w:pP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94" w:lineRule="exact"/>
        <w:ind w:right="0"/>
        <w:jc w:val="both"/>
        <w:textAlignment w:val="auto"/>
        <w:rPr>
          <w:rFonts w:hint="eastAsia" w:ascii="Times New Roman" w:hAnsi="Times New Roman" w:eastAsia="方正仿宋_GBK"/>
          <w:sz w:val="32"/>
          <w:szCs w:val="32"/>
          <w:lang w:val="en-US" w:eastAsia="zh-CN"/>
        </w:rPr>
      </w:pPr>
    </w:p>
    <w:p>
      <w:pPr>
        <w:pStyle w:val="7"/>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94" w:lineRule="exact"/>
        <w:ind w:right="0" w:firstLine="640" w:firstLineChars="200"/>
        <w:jc w:val="righ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重庆市大渡口</w:t>
      </w:r>
      <w:r>
        <w:rPr>
          <w:rFonts w:hint="eastAsia" w:ascii="Times New Roman" w:hAnsi="Times New Roman" w:eastAsia="方正仿宋_GBK"/>
          <w:sz w:val="32"/>
          <w:szCs w:val="32"/>
        </w:rPr>
        <w:t>区金融发展中心</w:t>
      </w:r>
      <w:r>
        <w:rPr>
          <w:rFonts w:hint="eastAsia" w:ascii="Times New Roman" w:hAnsi="Times New Roman" w:eastAsia="方正仿宋_GBK"/>
          <w:sz w:val="32"/>
          <w:szCs w:val="32"/>
          <w:lang w:val="en-US" w:eastAsia="zh-CN"/>
        </w:rPr>
        <w:t xml:space="preserve">      </w:t>
      </w:r>
    </w:p>
    <w:p>
      <w:pPr>
        <w:pStyle w:val="7"/>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94" w:lineRule="exact"/>
        <w:ind w:right="0" w:firstLine="640" w:firstLineChars="200"/>
        <w:jc w:val="center"/>
        <w:textAlignment w:val="auto"/>
        <w:rPr>
          <w:rFonts w:hint="default" w:eastAsia="方正仿宋_GBK"/>
          <w:lang w:val="en-US" w:eastAsia="zh-CN"/>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20</w:t>
      </w:r>
      <w:r>
        <w:rPr>
          <w:rFonts w:hint="eastAsia" w:ascii="Times New Roman" w:hAnsi="Times New Roman" w:eastAsia="方正仿宋_GBK"/>
          <w:sz w:val="32"/>
          <w:szCs w:val="32"/>
          <w:lang w:val="en-US" w:eastAsia="zh-CN"/>
        </w:rPr>
        <w:t>24</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25</w:t>
      </w:r>
      <w:r>
        <w:rPr>
          <w:rFonts w:hint="eastAsia" w:ascii="Times New Roman" w:hAnsi="Times New Roman" w:eastAsia="方正仿宋_GBK"/>
          <w:sz w:val="32"/>
          <w:szCs w:val="32"/>
        </w:rPr>
        <w:t>日</w:t>
      </w:r>
      <w:r>
        <w:rPr>
          <w:rFonts w:hint="eastAsia" w:ascii="Times New Roman" w:hAnsi="Times New Roman" w:eastAsia="方正仿宋_GBK"/>
          <w:sz w:val="32"/>
          <w:szCs w:val="32"/>
          <w:lang w:val="en-US" w:eastAsia="zh-CN"/>
        </w:rPr>
        <w:t xml:space="preserve">        </w:t>
      </w:r>
    </w:p>
    <w:p>
      <w:pPr>
        <w:keepNext w:val="0"/>
        <w:keepLines w:val="0"/>
        <w:pageBreakBefore w:val="0"/>
        <w:kinsoku/>
        <w:overflowPunct/>
        <w:topLinePunct w:val="0"/>
        <w:autoSpaceDE/>
        <w:autoSpaceDN/>
        <w:bidi w:val="0"/>
        <w:adjustRightInd/>
        <w:snapToGrid/>
        <w:spacing w:line="594" w:lineRule="exact"/>
        <w:ind w:right="0" w:firstLine="420" w:firstLineChars="200"/>
        <w:textAlignment w:val="auto"/>
        <w:rPr>
          <w:rFonts w:hint="eastAsia"/>
          <w:lang w:val="en-US" w:eastAsia="zh-CN"/>
        </w:rPr>
      </w:pPr>
    </w:p>
    <w:sectPr>
      <w:footerReference r:id="rId3" w:type="default"/>
      <w:footerReference r:id="rId4" w:type="even"/>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4 -</w:t>
        </w:r>
        <w:r>
          <w:rPr>
            <w:rFonts w:hint="eastAsia" w:ascii="宋体" w:hAnsi="宋体" w:eastAsia="宋体" w:cs="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NDFmM2MzOTI5MGY3Yzg1Y2I3YjdiNDYzNTVhZjkifQ=="/>
    <w:docVar w:name="KSO_WPS_MARK_KEY" w:val="55299c2e-2c89-455d-9b3f-e280f28a2c96"/>
  </w:docVars>
  <w:rsids>
    <w:rsidRoot w:val="0D562895"/>
    <w:rsid w:val="016F02F7"/>
    <w:rsid w:val="01972607"/>
    <w:rsid w:val="02754184"/>
    <w:rsid w:val="06A34F9B"/>
    <w:rsid w:val="07BF472F"/>
    <w:rsid w:val="0D562895"/>
    <w:rsid w:val="0DC04B07"/>
    <w:rsid w:val="16D553CC"/>
    <w:rsid w:val="19D43954"/>
    <w:rsid w:val="1A684364"/>
    <w:rsid w:val="1AD5775F"/>
    <w:rsid w:val="1B2317E9"/>
    <w:rsid w:val="1B9F6340"/>
    <w:rsid w:val="20BE7F76"/>
    <w:rsid w:val="2B490B90"/>
    <w:rsid w:val="2FF9301A"/>
    <w:rsid w:val="31D558AB"/>
    <w:rsid w:val="36A07549"/>
    <w:rsid w:val="3894610C"/>
    <w:rsid w:val="3F1E6CCB"/>
    <w:rsid w:val="466E45D1"/>
    <w:rsid w:val="477F1D6D"/>
    <w:rsid w:val="56A66D93"/>
    <w:rsid w:val="690F47F5"/>
    <w:rsid w:val="6D223E1E"/>
    <w:rsid w:val="6D573EC0"/>
    <w:rsid w:val="71A04DE1"/>
    <w:rsid w:val="76C723F4"/>
    <w:rsid w:val="7759336F"/>
    <w:rsid w:val="7A423AEC"/>
    <w:rsid w:val="7C4711EC"/>
    <w:rsid w:val="7EA62E94"/>
    <w:rsid w:val="9D7F88B8"/>
    <w:rsid w:val="EEEF9868"/>
    <w:rsid w:val="F7BD1D60"/>
    <w:rsid w:val="F7FDA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tabs>
        <w:tab w:val="left" w:pos="480"/>
        <w:tab w:val="left" w:pos="720"/>
      </w:tabs>
      <w:spacing w:beforeLines="50" w:afterLines="50" w:line="300" w:lineRule="auto"/>
      <w:ind w:left="720" w:hanging="720"/>
      <w:outlineLvl w:val="0"/>
    </w:pPr>
    <w:rPr>
      <w:rFonts w:ascii="Arial" w:hAnsi="Arial" w:eastAsia="黑体"/>
      <w:bCs/>
      <w:kern w:val="44"/>
      <w:sz w:val="32"/>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index 6"/>
    <w:next w:val="1"/>
    <w:qFormat/>
    <w:uiPriority w:val="0"/>
    <w:pPr>
      <w:widowControl w:val="0"/>
      <w:ind w:left="2100"/>
      <w:jc w:val="both"/>
    </w:pPr>
    <w:rPr>
      <w:rFonts w:asciiTheme="minorHAnsi" w:hAnsiTheme="minorHAnsi" w:eastAsiaTheme="minorEastAsia" w:cstheme="minorBidi"/>
      <w:kern w:val="2"/>
      <w:sz w:val="21"/>
      <w:szCs w:val="22"/>
      <w:lang w:val="en-US" w:eastAsia="zh-CN" w:bidi="ar-SA"/>
    </w:rPr>
  </w:style>
  <w:style w:type="paragraph" w:styleId="4">
    <w:name w:val="Body Text"/>
    <w:next w:val="3"/>
    <w:qFormat/>
    <w:uiPriority w:val="0"/>
    <w:pPr>
      <w:widowControl w:val="0"/>
      <w:jc w:val="both"/>
    </w:pPr>
    <w:rPr>
      <w:rFonts w:ascii="Times New Roman" w:hAnsiTheme="minorHAnsi" w:eastAsiaTheme="minorEastAsia" w:cstheme="minorBidi"/>
      <w:kern w:val="2"/>
      <w:sz w:val="21"/>
      <w:szCs w:val="22"/>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2级标题 字符"/>
    <w:basedOn w:val="9"/>
    <w:link w:val="11"/>
    <w:qFormat/>
    <w:uiPriority w:val="0"/>
    <w:rPr>
      <w:rFonts w:eastAsia="楷体"/>
    </w:rPr>
  </w:style>
  <w:style w:type="paragraph" w:customStyle="1" w:styleId="11">
    <w:name w:val="2级标题"/>
    <w:basedOn w:val="1"/>
    <w:link w:val="10"/>
    <w:qFormat/>
    <w:uiPriority w:val="0"/>
    <w:pPr>
      <w:widowControl/>
      <w:jc w:val="left"/>
    </w:pPr>
    <w:rPr>
      <w:rFonts w:eastAsia="楷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2023-11-14T11:45:00Z</dcterms:created>
  <dc:creator>丸三</dc:creator>
  <cp:lastModifiedBy>uos</cp:lastModifiedBy>
  <cp:lastPrinted>2023-11-18T01:12:00Z</cp:lastPrinted>
  <dcterms:modified xsi:type="dcterms:W3CDTF">2024-03-21T09:46:21Z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AE80098682B0EF6E26E6F765C4D0A530</vt:lpwstr>
  </property>
</Properties>
</file>