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tbl>
      <w:tblPr>
        <w:tblStyle w:val="11"/>
        <w:tblW w:w="4344" w:type="dxa"/>
        <w:tblInd w:w="5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316"/>
        <w:gridCol w:w="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</w:rPr>
              <w:t>统一社会信用代码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2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  <w:t>12500104MB1M53323K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Style w:val="21"/>
          <w:rFonts w:hint="eastAsia" w:ascii="黑体" w:hAnsi="宋体" w:eastAsia="黑体" w:cs="黑体"/>
          <w:b/>
          <w:bCs/>
          <w:spacing w:val="40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tbl>
      <w:tblPr>
        <w:tblStyle w:val="11"/>
        <w:tblW w:w="38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</w:rPr>
              <w:t>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2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</w:rPr>
              <w:t>）年度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tbl>
      <w:tblPr>
        <w:tblStyle w:val="11"/>
        <w:tblW w:w="76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重庆市大渡口区养老服务指导中心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1"/>
        <w:tblW w:w="76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3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法</w:t>
            </w:r>
            <w:r>
              <w:rPr>
                <w:rStyle w:val="23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</w:rPr>
              <w:t>定代表</w:t>
            </w:r>
            <w:r>
              <w:rPr>
                <w:rStyle w:val="23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eastAsia="zh-CN"/>
              </w:rPr>
              <w:t>黄玺</w:t>
            </w: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1"/>
        <w:tblW w:w="76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1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1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1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1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1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1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14"/>
          <w:rFonts w:hint="default" w:ascii="楷体_GB2312" w:hAnsi="Times New Roman" w:eastAsia="楷体_GB2312" w:cs="楷体_GB2312"/>
          <w:b/>
          <w:bCs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1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tbl>
      <w:tblPr>
        <w:tblStyle w:val="11"/>
        <w:tblW w:w="97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287"/>
        <w:gridCol w:w="1480"/>
        <w:gridCol w:w="1930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2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36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重庆市大渡口区养老服务指导中心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宗</w:t>
            </w:r>
            <w:r>
              <w:rPr>
                <w:rStyle w:val="1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旨</w:t>
            </w:r>
            <w:r>
              <w:rPr>
                <w:rStyle w:val="1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业务范围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为养老事业发展提供服务保障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住</w:t>
            </w:r>
            <w:r>
              <w:rPr>
                <w:rStyle w:val="1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14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  <w:t xml:space="preserve">   </w:t>
            </w: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所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重庆市大渡口区文体路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</w:rPr>
              <w:t>122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黄玺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开办资金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1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经费来源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财政补助</w:t>
            </w:r>
            <w:r>
              <w:rPr>
                <w:rStyle w:val="24"/>
                <w:rFonts w:hint="default" w:ascii="Times New Roman" w:hAnsi="Times New Roman" w:eastAsia="楷体_GB2312" w:cs="楷体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举办单位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重庆市大渡口区民政局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资产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损益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净资产合计（所有者权益合计）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年初数（万元）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年末数（万元）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网上名称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重庆市大渡口区养老服务指导中心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从业人数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</w:t>
            </w:r>
            <w:r>
              <w:rPr>
                <w:rStyle w:val="1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我单位今年以来登记事项未发生变化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0" w:hRule="atLeast"/>
          <w:jc w:val="center"/>
        </w:trPr>
        <w:tc>
          <w:tcPr>
            <w:tcW w:w="21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城乡社区养老服务设施全覆盖情况。积极推广“城企联动普惠养老专项行动”，创新“政府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+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国资”联建联营模式，引入环球医疗、四联优侍等国资背景企业投资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820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万元建设运营城乡养老服务设施，推动实现城乡社区养老服务设施建设及社会化运营全覆盖，目前，累计建成镇街养老服务中心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8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个、社区养老服务站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54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个、农村养老服务站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5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个、农村互助养老点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9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个，设施覆盖率、社会化运营率实现双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100%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。完成区敬老院升级改造项目收尾工作和绿化园林修缮工程，按照三星级敬老院标准委托第三方机构运营管理，落实专业管护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9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人，有意愿集中供养失能特困老人实现“应护尽护”。落实“家庭养老床位”补贴、老年人“助餐、助浴、助医”三助服务及独居空巢、农村留守老年人“敲门”行动等惠老政策，其中，改造“家庭养老床位”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24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户，“助餐、助浴、助医”老年人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17000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余人次。连续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5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年为全区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70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岁以上老年人购买意外伤害保险，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2022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年赔付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283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起、赔付金额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39.5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万元。按时足额发放老年人高龄津贴，全年累计向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9000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余名老人发放高龄津贴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414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万余元。四是养老机构监管及老年人权益保障情况。建成全区智慧养老监管平台，为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33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家养老机构无偿加装摄像头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205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个，实现养老机构安全生产、服务质量、疫情防控视频化监管。联合区消费支队、区市场监管局开展联合执法检查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68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家次，下达书面责令整改通知书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56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份，发现整改安全隐患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188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处。会同区金融发展中心、区市场监管局、区公安分局持续深入开展打击整治养老诈骗专项行动，摸排整治养老“黑机构”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4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家，其中，已劝导</w:t>
            </w: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</w:rPr>
              <w:t>1</w:t>
            </w:r>
            <w:r>
              <w:rPr>
                <w:rStyle w:val="14"/>
                <w:rFonts w:hint="default" w:ascii="楷体_GB2312" w:hAnsi="Times New Roman" w:eastAsia="楷体_GB2312" w:cs="楷体_GB2312"/>
                <w:sz w:val="32"/>
                <w:szCs w:val="32"/>
              </w:rPr>
              <w:t>家机构分流处置入住老年人。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相关资质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认可或执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业许可证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明文件及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有效期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</w:rPr>
              <w:t>2022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年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</w:rPr>
              <w:t>3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月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</w:rPr>
              <w:t>24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日至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</w:rPr>
              <w:t>2027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年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</w:rPr>
              <w:t>3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月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</w:rPr>
              <w:t>24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绩</w:t>
            </w:r>
            <w:r>
              <w:rPr>
                <w:rStyle w:val="1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效</w:t>
            </w:r>
            <w:r>
              <w:rPr>
                <w:rStyle w:val="1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受奖惩及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诉讼投诉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</w:t>
            </w:r>
            <w:r>
              <w:rPr>
                <w:rStyle w:val="1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接受捐赠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资助及其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使用情况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</w:tbl>
    <w:p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18"/>
          <w:szCs w:val="18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18"/>
          <w:szCs w:val="18"/>
        </w:rPr>
        <w:t xml:space="preserve"> </w:t>
      </w:r>
    </w:p>
    <w:sectPr>
      <w:pgSz w:w="11906" w:h="16838"/>
      <w:pgMar w:top="1440" w:right="1135" w:bottom="1440" w:left="11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YTNmOTI4NGI4ZDg4NzdjNzU3NmYwMzVjYjUxNDgifQ=="/>
  </w:docVars>
  <w:rsids>
    <w:rsidRoot w:val="00000000"/>
    <w:rsid w:val="096D03F5"/>
    <w:rsid w:val="0CA57042"/>
    <w:rsid w:val="32BA1FD2"/>
    <w:rsid w:val="34190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unhideWhenUsed/>
    <w:qFormat/>
    <w:uiPriority w:val="99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2">
    <w:name w:val="17"/>
    <w:basedOn w:val="10"/>
    <w:qFormat/>
    <w:uiPriority w:val="0"/>
    <w:rPr>
      <w:rFonts w:hint="default" w:ascii="Times New Roman" w:hAnsi="Times New Roman" w:eastAsia="仿宋_GB2312" w:cs="Times New Roman"/>
      <w:sz w:val="30"/>
      <w:szCs w:val="30"/>
    </w:rPr>
  </w:style>
  <w:style w:type="paragraph" w:customStyle="1" w:styleId="13">
    <w:name w:val="font5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黑体" w:hAnsi="宋体" w:eastAsia="黑体" w:cs="黑体"/>
      <w:kern w:val="0"/>
      <w:sz w:val="36"/>
      <w:szCs w:val="36"/>
      <w:lang w:val="en-US" w:eastAsia="zh-CN" w:bidi="ar"/>
    </w:rPr>
  </w:style>
  <w:style w:type="character" w:customStyle="1" w:styleId="14">
    <w:name w:val="20"/>
    <w:basedOn w:val="10"/>
    <w:qFormat/>
    <w:uiPriority w:val="0"/>
    <w:rPr>
      <w:rFonts w:hint="default" w:ascii="Times New Roman" w:eastAsia="楷体_GB2312" w:cs="楷体_GB2312"/>
      <w:sz w:val="32"/>
      <w:szCs w:val="32"/>
    </w:rPr>
  </w:style>
  <w:style w:type="paragraph" w:customStyle="1" w:styleId="15">
    <w:name w:val="font4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楷体_GB2312" w:cs="宋体"/>
      <w:spacing w:val="30"/>
      <w:kern w:val="0"/>
      <w:sz w:val="36"/>
      <w:szCs w:val="36"/>
      <w:lang w:val="en-US" w:eastAsia="zh-CN" w:bidi="ar"/>
    </w:rPr>
  </w:style>
  <w:style w:type="paragraph" w:customStyle="1" w:styleId="16">
    <w:name w:val="font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仿宋_GB2312" w:cs="宋体"/>
      <w:kern w:val="0"/>
      <w:sz w:val="30"/>
      <w:szCs w:val="30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">
    <w:name w:val="font3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Times New Roman" w:hAnsi="宋体" w:eastAsia="黑体" w:cs="黑体"/>
      <w:spacing w:val="40"/>
      <w:kern w:val="0"/>
      <w:sz w:val="52"/>
      <w:szCs w:val="52"/>
      <w:lang w:val="en-US" w:eastAsia="zh-CN" w:bidi="ar"/>
    </w:rPr>
  </w:style>
  <w:style w:type="character" w:customStyle="1" w:styleId="19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10"/>
    <w:qFormat/>
    <w:uiPriority w:val="0"/>
    <w:rPr>
      <w:rFonts w:hint="default" w:ascii="Times New Roman" w:hAnsi="Times New Roman" w:eastAsia="楷体_GB2312" w:cs="Times New Roman"/>
      <w:spacing w:val="30"/>
      <w:sz w:val="36"/>
      <w:szCs w:val="36"/>
    </w:rPr>
  </w:style>
  <w:style w:type="character" w:customStyle="1" w:styleId="21">
    <w:name w:val="16"/>
    <w:basedOn w:val="10"/>
    <w:qFormat/>
    <w:uiPriority w:val="0"/>
    <w:rPr>
      <w:rFonts w:hint="eastAsia" w:ascii="Times New Roman" w:hAnsi="宋体" w:eastAsia="黑体" w:cs="黑体"/>
      <w:spacing w:val="40"/>
      <w:sz w:val="52"/>
      <w:szCs w:val="52"/>
    </w:rPr>
  </w:style>
  <w:style w:type="character" w:customStyle="1" w:styleId="22">
    <w:name w:val="18"/>
    <w:basedOn w:val="10"/>
    <w:qFormat/>
    <w:uiPriority w:val="0"/>
    <w:rPr>
      <w:rFonts w:hint="default" w:ascii="Times New Roman" w:eastAsia="楷体_GB2312" w:cs="楷体_GB2312"/>
      <w:sz w:val="30"/>
      <w:szCs w:val="30"/>
    </w:rPr>
  </w:style>
  <w:style w:type="character" w:customStyle="1" w:styleId="23">
    <w:name w:val="19"/>
    <w:basedOn w:val="10"/>
    <w:qFormat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24">
    <w:name w:val="21"/>
    <w:basedOn w:val="10"/>
    <w:qFormat/>
    <w:uiPriority w:val="0"/>
    <w:rPr>
      <w:rFonts w:hint="default" w:ascii="Times New Roman" w:eastAsia="楷体_GB2312" w:cs="楷体_GB2312"/>
      <w:sz w:val="28"/>
      <w:szCs w:val="28"/>
    </w:rPr>
  </w:style>
  <w:style w:type="paragraph" w:customStyle="1" w:styleId="25">
    <w:name w:val="font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30"/>
      <w:szCs w:val="30"/>
      <w:lang w:val="en-US" w:eastAsia="zh-CN" w:bidi="ar"/>
    </w:rPr>
  </w:style>
  <w:style w:type="paragraph" w:customStyle="1" w:styleId="26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">
    <w:name w:val="font7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28"/>
      <w:szCs w:val="28"/>
      <w:lang w:val="en-US" w:eastAsia="zh-CN" w:bidi="ar"/>
    </w:rPr>
  </w:style>
  <w:style w:type="paragraph" w:customStyle="1" w:styleId="28">
    <w:name w:val="font8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24"/>
      <w:szCs w:val="24"/>
      <w:lang w:val="en-US" w:eastAsia="zh-CN" w:bidi="ar"/>
    </w:rPr>
  </w:style>
  <w:style w:type="paragraph" w:customStyle="1" w:styleId="29">
    <w:name w:val="font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948</Words>
  <Characters>1012</Characters>
  <Lines>1</Lines>
  <Paragraphs>1</Paragraphs>
  <TotalTime>1</TotalTime>
  <ScaleCrop>false</ScaleCrop>
  <LinksUpToDate>false</LinksUpToDate>
  <CharactersWithSpaces>1047</CharactersWithSpaces>
  <Application>WPS Office_10.8.0.6470_F1E327BC-269C-435d-A152-05C5408002CA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2023-05-06T07:16:00Z</dcterms:created>
  <dc:creator>Administrator</dc:creator>
  <cp:lastModifiedBy>NTKO</cp:lastModifiedBy>
  <cp:lastPrinted>2023-05-06T07:17:00Z</cp:lastPrinted>
  <dcterms:modified xsi:type="dcterms:W3CDTF">2023-05-06T07:56:07Z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FF2DE6842E264FFDA5ED043AFA606A06_13</vt:lpwstr>
  </property>
</Properties>
</file>