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12"/>
        <w:tblW w:w="0" w:type="auto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984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6"/>
                <w:rFonts w:hint="default" w:ascii="Times New Roman" w:hAnsi="Times New Roman" w:eastAsia="楷体_GB2312" w:cs="楷体_GB2312"/>
                <w:b/>
                <w:sz w:val="30"/>
                <w:szCs w:val="30"/>
              </w:rPr>
              <w:t>1250</w:t>
            </w:r>
            <w:r>
              <w:rPr>
                <w:rStyle w:val="36"/>
                <w:rFonts w:hint="eastAsia" w:eastAsia="楷体_GB2312" w:cs="楷体_GB2312"/>
                <w:b/>
                <w:sz w:val="30"/>
                <w:szCs w:val="30"/>
                <w:lang w:val="en-US" w:eastAsia="zh-CN"/>
              </w:rPr>
              <w:t>**********</w:t>
            </w:r>
            <w:r>
              <w:rPr>
                <w:rStyle w:val="36"/>
                <w:rFonts w:hint="default" w:ascii="Times New Roman" w:hAnsi="Times New Roman" w:eastAsia="楷体_GB2312" w:cs="楷体_GB2312"/>
                <w:b/>
                <w:sz w:val="30"/>
                <w:szCs w:val="30"/>
              </w:rPr>
              <w:t>442C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24"/>
          <w:rFonts w:hint="eastAsia" w:ascii="黑体" w:hAnsi="宋体" w:eastAsia="黑体" w:cs="黑体"/>
          <w:b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spacing w:val="30"/>
          <w:kern w:val="2"/>
          <w:sz w:val="21"/>
          <w:szCs w:val="21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</w:p>
        </w:tc>
        <w:tc>
          <w:tcPr>
            <w:tcW w:w="181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6"/>
                <w:rFonts w:hint="default" w:ascii="Times New Roman" w:hAnsi="Times New Roman" w:eastAsia="楷体_GB2312" w:cs="楷体_GB2312"/>
                <w:b/>
                <w:sz w:val="30"/>
                <w:szCs w:val="30"/>
              </w:rPr>
              <w:t>2020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sz w:val="30"/>
                <w:szCs w:val="3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9"/>
                <w:rFonts w:hint="eastAsia" w:ascii="黑体" w:hAnsi="宋体" w:eastAsia="黑体" w:cs="黑体"/>
                <w:b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重庆市大渡口区文化市场综合行政执法支队</w:t>
            </w:r>
          </w:p>
        </w:tc>
      </w:tr>
    </w:tbl>
    <w:p>
      <w:pPr>
        <w:rPr>
          <w:rFonts w:hint="eastAsia" w:ascii="黑体" w:hAnsi="宋体" w:eastAsia="黑体" w:cs="黑体"/>
          <w:b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9"/>
                <w:rFonts w:hint="eastAsia" w:ascii="黑体" w:hAnsi="宋体" w:eastAsia="黑体" w:cs="黑体"/>
                <w:b/>
                <w:sz w:val="36"/>
                <w:szCs w:val="36"/>
              </w:rPr>
              <w:t>法</w:t>
            </w:r>
            <w:r>
              <w:rPr>
                <w:rStyle w:val="29"/>
                <w:rFonts w:hint="eastAsia" w:ascii="黑体" w:hAnsi="宋体" w:eastAsia="黑体" w:cs="黑体"/>
                <w:b/>
                <w:spacing w:val="30"/>
                <w:sz w:val="36"/>
                <w:szCs w:val="36"/>
              </w:rPr>
              <w:t>定代表</w:t>
            </w:r>
            <w:r>
              <w:rPr>
                <w:rStyle w:val="29"/>
                <w:rFonts w:hint="eastAsia" w:ascii="黑体" w:hAnsi="宋体" w:eastAsia="黑体" w:cs="黑体"/>
                <w:b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  <w:t xml:space="preserve">          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 xml:space="preserve"> 陈      </w:t>
            </w:r>
            <w:r>
              <w:rPr>
                <w:rStyle w:val="32"/>
                <w:rFonts w:hint="eastAsia" w:ascii="宋体" w:hAnsi="宋体" w:cs="宋体"/>
                <w:sz w:val="32"/>
                <w:szCs w:val="32"/>
                <w:lang w:val="en-US" w:eastAsia="zh-CN"/>
              </w:rPr>
              <w:t>*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294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32"/>
          <w:rFonts w:hint="eastAsia" w:ascii="宋体" w:hAnsi="宋体" w:eastAsia="宋体" w:cs="宋体"/>
          <w:b/>
          <w:sz w:val="32"/>
          <w:szCs w:val="32"/>
        </w:rPr>
        <w:t>国家事业单位登记管理局制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82"/>
        <w:gridCol w:w="1515"/>
        <w:gridCol w:w="1941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事项</w:t>
            </w:r>
          </w:p>
        </w:tc>
        <w:tc>
          <w:tcPr>
            <w:tcW w:w="22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单位名称</w:t>
            </w:r>
          </w:p>
        </w:tc>
        <w:tc>
          <w:tcPr>
            <w:tcW w:w="53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重庆市大渡口区文化市场综合行政执法支队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宗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旨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业务范围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为维护全区文化旅游市场秩序，促进全区文化旅游市场和文化旅游事业发展提供服务。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住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 xml:space="preserve">    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所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重庆市大渡口区新山村街道文体路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126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号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3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栋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7-1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法定代表人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陈</w:t>
            </w:r>
            <w:r>
              <w:rPr>
                <w:rStyle w:val="34"/>
                <w:rFonts w:hint="eastAsia" w:ascii="宋体" w:hAnsi="宋体" w:cs="宋体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开办资金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default" w:ascii="Times New Roman" w:hAnsi="Times New Roman" w:eastAsia="楷体_GB2312" w:cs="楷体_GB2312"/>
                <w:sz w:val="32"/>
                <w:szCs w:val="32"/>
              </w:rPr>
              <w:t>10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经费来源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财政补助</w:t>
            </w:r>
            <w:r>
              <w:rPr>
                <w:rStyle w:val="34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举办单位</w:t>
            </w:r>
          </w:p>
        </w:tc>
        <w:tc>
          <w:tcPr>
            <w:tcW w:w="5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重庆市大渡口区文化委员会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情况</w:t>
            </w:r>
          </w:p>
        </w:tc>
        <w:tc>
          <w:tcPr>
            <w:tcW w:w="7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年初数（万元）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网上名称</w:t>
            </w:r>
          </w:p>
        </w:tc>
        <w:tc>
          <w:tcPr>
            <w:tcW w:w="3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重庆市大渡口区文化市场综合行政执法支队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从业人数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default" w:ascii="Times New Roman" w:hAnsi="Times New Roman" w:eastAsia="楷体_GB2312" w:cs="楷体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情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况</w:t>
            </w:r>
          </w:p>
        </w:tc>
        <w:tc>
          <w:tcPr>
            <w:tcW w:w="765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20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况</w:t>
            </w:r>
          </w:p>
        </w:tc>
        <w:tc>
          <w:tcPr>
            <w:tcW w:w="7657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严格审批高效服务。全年共受理审批件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57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件，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先照后证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跟踪服务企业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32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家，积极参与筹备和指导的第二届重庆长江草莓音乐节圆满举办。</w:t>
            </w:r>
            <w:r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  <w:t> </w:t>
            </w: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left"/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狠抓市场整治。全年共开展各类整治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20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余项，累计检查文化旅游市场经营单位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968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家次，收缴各类非法出版物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1277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张册，处理文化旅游市场投诉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53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起，联合公安、环保、消防等部门开展执法检查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17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次，查处违规经营行为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39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起。</w:t>
            </w: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left"/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全面推进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扫黄打非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工作。新山村街道沪汉社区被评为市级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扫黄打非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进基层示范点，在全区范围内组织开展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护苗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、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清源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、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秋风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等专项行动。</w:t>
            </w:r>
            <w:r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  <w:t> </w:t>
            </w: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left"/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行业安全监管扎实有力。共检查文化旅游单位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586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家次，排查出一般安全隐患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96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处，挂牌整改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3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家次，行政处罚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5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家次。组织安全生产教育培训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3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场，举办全行业应急疏散演练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1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次。</w:t>
            </w:r>
            <w:r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  <w:t> </w:t>
            </w: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left"/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切实抓好行业疫情防控工作。疫情期间，全区文化旅游场所按要求关停；疫情得以控制后，根据全区统一部署，分行业制定了《复工复产工作指南》，指导企业快速复工复产。</w:t>
            </w:r>
            <w:r>
              <w:rPr>
                <w:rStyle w:val="32"/>
                <w:rFonts w:hint="eastAsia" w:ascii="楷体_GB2312" w:hAnsi="Times New Roman" w:eastAsia="楷体_GB2312" w:cs="楷体_GB2312"/>
                <w:sz w:val="32"/>
                <w:szCs w:val="32"/>
              </w:rPr>
              <w:t> </w:t>
            </w:r>
          </w:p>
          <w:p>
            <w:pPr>
              <w:numPr>
                <w:numId w:val="0"/>
              </w:numPr>
              <w:ind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（六）统筹协调，切实做好各专项工作。一是组织开展扫黑除恶工作。二是做好信访维稳工作。三是切实做好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“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无小耳朵</w:t>
            </w:r>
            <w:r>
              <w:rPr>
                <w:rStyle w:val="32"/>
                <w:rFonts w:hint="default" w:ascii="Times New Roman" w:hAnsi="Times New Roman" w:eastAsia="楷体_GB2312" w:cs="Times New Roman"/>
                <w:sz w:val="32"/>
                <w:szCs w:val="32"/>
              </w:rPr>
              <w:t>”</w:t>
            </w:r>
            <w:r>
              <w:rPr>
                <w:rStyle w:val="32"/>
                <w:rFonts w:hint="eastAsia" w:ascii="宋体" w:hAnsi="宋体" w:eastAsia="宋体" w:cs="宋体"/>
                <w:sz w:val="32"/>
                <w:szCs w:val="32"/>
              </w:rPr>
              <w:t>小区创建、生态文明建设、和推进文化市场综合执法改革等专项工作。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有效期</w:t>
            </w:r>
          </w:p>
        </w:tc>
        <w:tc>
          <w:tcPr>
            <w:tcW w:w="7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《事业单位法人证书》正副本（统一社会信用代码</w:t>
            </w:r>
            <w:r>
              <w:rPr>
                <w:rStyle w:val="34"/>
                <w:rFonts w:hint="default" w:ascii="Times New Roman" w:hAnsi="Times New Roman" w:eastAsia="楷体_GB2312" w:cs="楷体_GB2312"/>
                <w:sz w:val="28"/>
                <w:szCs w:val="28"/>
              </w:rPr>
              <w:t> 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1250</w:t>
            </w:r>
            <w:r>
              <w:rPr>
                <w:rStyle w:val="34"/>
                <w:rFonts w:hint="eastAsia" w:eastAsia="楷体_GB2312" w:cs="Times New Roman"/>
                <w:sz w:val="28"/>
                <w:szCs w:val="28"/>
                <w:lang w:val="en-US" w:eastAsia="zh-CN"/>
              </w:rPr>
              <w:t>**********</w:t>
            </w:r>
            <w:bookmarkStart w:id="0" w:name="_GoBack"/>
            <w:bookmarkEnd w:id="0"/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442C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），有效期自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2017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08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31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日至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2022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08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Style w:val="34"/>
                <w:rFonts w:hint="default" w:ascii="Times New Roman" w:hAnsi="Times New Roman" w:eastAsia="楷体_GB2312" w:cs="Times New Roman"/>
                <w:sz w:val="28"/>
                <w:szCs w:val="28"/>
              </w:rPr>
              <w:t>31</w:t>
            </w: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绩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效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情</w:t>
            </w:r>
            <w:r>
              <w:rPr>
                <w:rStyle w:val="32"/>
                <w:rFonts w:hint="default" w:ascii="Times New Roman" w:hAnsi="Times New Roman" w:eastAsia="楷体_GB2312" w:cs="楷体_GB2312"/>
                <w:b/>
                <w:sz w:val="32"/>
                <w:szCs w:val="32"/>
              </w:rPr>
              <w:t> </w:t>
            </w: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况</w:t>
            </w:r>
          </w:p>
        </w:tc>
        <w:tc>
          <w:tcPr>
            <w:tcW w:w="7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2"/>
                <w:rFonts w:hint="eastAsia" w:ascii="宋体" w:hAnsi="宋体" w:eastAsia="宋体" w:cs="宋体"/>
                <w:b/>
                <w:sz w:val="32"/>
                <w:szCs w:val="32"/>
              </w:rPr>
              <w:t>使用情况</w:t>
            </w:r>
          </w:p>
        </w:tc>
        <w:tc>
          <w:tcPr>
            <w:tcW w:w="7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34"/>
                <w:rFonts w:hint="eastAsia" w:ascii="宋体" w:hAnsi="宋体" w:eastAsia="宋体" w:cs="宋体"/>
                <w:sz w:val="28"/>
                <w:szCs w:val="28"/>
              </w:rPr>
              <w:t>无。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kern w:val="2"/>
          <w:sz w:val="18"/>
          <w:szCs w:val="18"/>
        </w:rPr>
      </w:pPr>
      <w:r>
        <w:rPr>
          <w:rFonts w:hint="eastAsia" w:ascii="楷体_GB2312" w:hAnsi="Times New Roman" w:eastAsia="楷体_GB2312" w:cs="楷体_GB2312"/>
          <w:b/>
          <w:kern w:val="2"/>
          <w:sz w:val="18"/>
          <w:szCs w:val="18"/>
        </w:rPr>
        <w:t xml:space="preserve"> 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68F95"/>
    <w:multiLevelType w:val="singleLevel"/>
    <w:tmpl w:val="89868F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12A7"/>
    <w:rsid w:val="75523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20"/>
    <w:basedOn w:val="13"/>
    <w:uiPriority w:val="0"/>
    <w:rPr>
      <w:rFonts w:hint="default" w:ascii="Cambria" w:hAnsi="Cambria" w:eastAsia="宋体" w:cs="Times New Roman"/>
      <w:b/>
      <w:kern w:val="2"/>
      <w:sz w:val="28"/>
      <w:szCs w:val="28"/>
    </w:rPr>
  </w:style>
  <w:style w:type="character" w:customStyle="1" w:styleId="15">
    <w:name w:val="21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16">
    <w:name w:val="19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17">
    <w:name w:val="font7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8"/>
      <w:szCs w:val="28"/>
      <w:lang w:val="en-US" w:eastAsia="zh-CN" w:bidi="ar"/>
    </w:rPr>
  </w:style>
  <w:style w:type="character" w:customStyle="1" w:styleId="18">
    <w:name w:val="30"/>
    <w:basedOn w:val="13"/>
    <w:uiPriority w:val="0"/>
    <w:rPr>
      <w:rFonts w:hint="default" w:ascii="Cambria" w:hAnsi="Cambria" w:eastAsia="宋体" w:cs="Times New Roman"/>
      <w:b/>
      <w:kern w:val="2"/>
      <w:sz w:val="24"/>
      <w:szCs w:val="24"/>
    </w:rPr>
  </w:style>
  <w:style w:type="paragraph" w:customStyle="1" w:styleId="19">
    <w:name w:val="font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0"/>
      <w:szCs w:val="30"/>
      <w:lang w:val="en-US" w:eastAsia="zh-CN" w:bidi="ar"/>
    </w:rPr>
  </w:style>
  <w:style w:type="character" w:customStyle="1" w:styleId="20">
    <w:name w:val="25"/>
    <w:basedOn w:val="13"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paragraph" w:customStyle="1" w:styleId="21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2">
    <w:name w:val="22"/>
    <w:basedOn w:val="13"/>
    <w:uiPriority w:val="0"/>
    <w:rPr>
      <w:rFonts w:hint="default" w:ascii="Times New Roman" w:hAnsi="Times New Roman" w:eastAsia="仿宋_GB2312" w:cs="Times New Roman"/>
      <w:sz w:val="30"/>
      <w:szCs w:val="30"/>
    </w:rPr>
  </w:style>
  <w:style w:type="character" w:customStyle="1" w:styleId="23">
    <w:name w:val="15"/>
    <w:basedOn w:val="13"/>
    <w:uiPriority w:val="0"/>
    <w:rPr>
      <w:rFonts w:hint="default" w:ascii="Times New Roman" w:hAnsi="Times New Roman" w:cs="Times New Roman"/>
    </w:rPr>
  </w:style>
  <w:style w:type="character" w:customStyle="1" w:styleId="24">
    <w:name w:val="26"/>
    <w:basedOn w:val="13"/>
    <w:uiPriority w:val="0"/>
    <w:rPr>
      <w:rFonts w:hint="default" w:ascii="Times New Roman" w:hAnsi="宋体" w:eastAsia="黑体" w:cs="Times New Roman"/>
      <w:spacing w:val="40"/>
      <w:sz w:val="52"/>
      <w:szCs w:val="52"/>
    </w:rPr>
  </w:style>
  <w:style w:type="character" w:customStyle="1" w:styleId="25">
    <w:name w:val="18"/>
    <w:basedOn w:val="13"/>
    <w:uiPriority w:val="0"/>
    <w:rPr>
      <w:rFonts w:hint="default" w:ascii="Courier New" w:hAnsi="Courier New" w:eastAsia="宋体" w:cs="Courier New"/>
      <w:kern w:val="2"/>
    </w:rPr>
  </w:style>
  <w:style w:type="character" w:customStyle="1" w:styleId="26">
    <w:name w:val="10"/>
    <w:basedOn w:val="13"/>
    <w:uiPriority w:val="0"/>
    <w:rPr>
      <w:rFonts w:hint="default" w:ascii="Times New Roman" w:hAnsi="Times New Roman" w:cs="Times New Roman"/>
    </w:rPr>
  </w:style>
  <w:style w:type="paragraph" w:customStyle="1" w:styleId="27">
    <w:name w:val="font4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pacing w:val="30"/>
      <w:kern w:val="0"/>
      <w:sz w:val="36"/>
      <w:szCs w:val="36"/>
      <w:lang w:val="en-US" w:eastAsia="zh-CN" w:bidi="ar"/>
    </w:rPr>
  </w:style>
  <w:style w:type="character" w:customStyle="1" w:styleId="28">
    <w:name w:val="23"/>
    <w:basedOn w:val="13"/>
    <w:uiPriority w:val="0"/>
    <w:rPr>
      <w:rFonts w:hint="eastAsia" w:ascii="宋体" w:hAnsi="宋体" w:eastAsia="宋体" w:cs="宋体"/>
      <w:b/>
      <w:kern w:val="2"/>
      <w:sz w:val="32"/>
      <w:szCs w:val="32"/>
    </w:rPr>
  </w:style>
  <w:style w:type="character" w:customStyle="1" w:styleId="29">
    <w:name w:val="16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30">
    <w:name w:val="17"/>
    <w:basedOn w:val="13"/>
    <w:uiPriority w:val="0"/>
    <w:rPr>
      <w:rFonts w:hint="default" w:ascii="Times New Roman" w:hAnsi="Times New Roman" w:eastAsia="楷体_GB2312" w:cs="Times New Roman"/>
      <w:spacing w:val="30"/>
      <w:sz w:val="36"/>
      <w:szCs w:val="36"/>
    </w:rPr>
  </w:style>
  <w:style w:type="character" w:customStyle="1" w:styleId="31">
    <w:name w:val="24"/>
    <w:basedOn w:val="13"/>
    <w:uiPriority w:val="0"/>
    <w:rPr>
      <w:rFonts w:hint="default" w:ascii="Cambria" w:hAnsi="Cambria" w:eastAsia="宋体" w:cs="Times New Roman"/>
      <w:b/>
      <w:kern w:val="2"/>
      <w:sz w:val="32"/>
      <w:szCs w:val="32"/>
    </w:rPr>
  </w:style>
  <w:style w:type="character" w:customStyle="1" w:styleId="32">
    <w:name w:val="28"/>
    <w:basedOn w:val="13"/>
    <w:uiPriority w:val="0"/>
    <w:rPr>
      <w:rFonts w:hint="default" w:ascii="Times New Roman" w:hAnsi="Times New Roman" w:eastAsia="楷体_GB2312" w:cs="楷体_GB2312"/>
      <w:sz w:val="32"/>
      <w:szCs w:val="32"/>
    </w:rPr>
  </w:style>
  <w:style w:type="character" w:customStyle="1" w:styleId="33">
    <w:name w:val="27"/>
    <w:basedOn w:val="13"/>
    <w:uiPriority w:val="0"/>
    <w:rPr>
      <w:rFonts w:hint="default" w:ascii="Times New Roman" w:hAnsi="Times New Roman" w:cs="Times New Roman"/>
    </w:rPr>
  </w:style>
  <w:style w:type="character" w:customStyle="1" w:styleId="34">
    <w:name w:val="29"/>
    <w:basedOn w:val="13"/>
    <w:uiPriority w:val="0"/>
    <w:rPr>
      <w:rFonts w:hint="default" w:ascii="Times New Roman" w:hAnsi="Times New Roman" w:eastAsia="楷体_GB2312" w:cs="楷体_GB2312"/>
      <w:sz w:val="28"/>
      <w:szCs w:val="28"/>
    </w:rPr>
  </w:style>
  <w:style w:type="character" w:customStyle="1" w:styleId="35">
    <w:name w:val="31"/>
    <w:basedOn w:val="13"/>
    <w:uiPriority w:val="0"/>
    <w:rPr>
      <w:rFonts w:hint="eastAsia" w:ascii="宋体" w:hAnsi="宋体" w:eastAsia="宋体" w:cs="宋体"/>
      <w:b/>
      <w:kern w:val="2"/>
      <w:sz w:val="28"/>
      <w:szCs w:val="28"/>
    </w:rPr>
  </w:style>
  <w:style w:type="character" w:customStyle="1" w:styleId="36">
    <w:name w:val="32"/>
    <w:basedOn w:val="13"/>
    <w:uiPriority w:val="0"/>
    <w:rPr>
      <w:rFonts w:hint="default" w:ascii="Times New Roman" w:hAnsi="Times New Roman" w:eastAsia="楷体_GB2312" w:cs="楷体_GB2312"/>
      <w:sz w:val="30"/>
      <w:szCs w:val="30"/>
    </w:rPr>
  </w:style>
  <w:style w:type="paragraph" w:customStyle="1" w:styleId="37">
    <w:name w:val="HTML 预设格式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">
    <w:name w:val="font6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2"/>
      <w:szCs w:val="32"/>
      <w:lang w:val="en-US" w:eastAsia="zh-CN" w:bidi="ar"/>
    </w:rPr>
  </w:style>
  <w:style w:type="paragraph" w:customStyle="1" w:styleId="39">
    <w:name w:val="font5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黑体" w:hAnsi="宋体" w:eastAsia="黑体" w:cs="宋体"/>
      <w:kern w:val="0"/>
      <w:sz w:val="36"/>
      <w:szCs w:val="36"/>
      <w:lang w:val="en-US" w:eastAsia="zh-CN" w:bidi="ar"/>
    </w:rPr>
  </w:style>
  <w:style w:type="paragraph" w:customStyle="1" w:styleId="40">
    <w:name w:val="font2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0"/>
      <w:szCs w:val="30"/>
      <w:lang w:val="en-US" w:eastAsia="zh-CN" w:bidi="ar"/>
    </w:rPr>
  </w:style>
  <w:style w:type="paragraph" w:customStyle="1" w:styleId="41">
    <w:name w:val="pre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2">
    <w:name w:val="font3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黑体" w:cs="宋体"/>
      <w:spacing w:val="40"/>
      <w:kern w:val="0"/>
      <w:sz w:val="52"/>
      <w:szCs w:val="52"/>
      <w:lang w:val="en-US" w:eastAsia="zh-CN" w:bidi="ar"/>
    </w:rPr>
  </w:style>
  <w:style w:type="paragraph" w:customStyle="1" w:styleId="43">
    <w:name w:val="font8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2023-05-11T07:30:00Z</dcterms:created>
  <dc:creator>Administrator</dc:creator>
  <cp:lastModifiedBy>Administrator</cp:lastModifiedBy>
  <dcterms:modified xsi:type="dcterms:W3CDTF">2023-05-11T07:40:41Z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