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lang w:eastAsia="zh-CN"/>
        </w:rPr>
      </w:pPr>
    </w:p>
    <w:tbl>
      <w:tblPr>
        <w:tblStyle w:val="10"/>
        <w:tblW w:w="0" w:type="auto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050"/>
        <w:gridCol w:w="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1"/>
                <w:b/>
                <w:bCs/>
              </w:rPr>
              <w:t>统一社会信用代码</w:t>
            </w:r>
          </w:p>
        </w:tc>
        <w:tc>
          <w:tcPr>
            <w:tcW w:w="566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1"/>
                <w:b/>
                <w:bCs/>
              </w:rPr>
              <w:t>12500104450426869M</w:t>
            </w:r>
          </w:p>
        </w:tc>
        <w:tc>
          <w:tcPr>
            <w:tcW w:w="566" w:type="dxa"/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right"/>
        <w:rPr>
          <w:lang w:eastAsia="zh-CN"/>
        </w:rPr>
      </w:pPr>
    </w:p>
    <w:p>
      <w:pPr>
        <w:jc w:val="center"/>
      </w:pPr>
      <w:r>
        <w:rPr>
          <w:rStyle w:val="22"/>
          <w:b/>
          <w:bCs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1"/>
                <w:b/>
                <w:bCs/>
              </w:rPr>
              <w:t>（</w:t>
            </w:r>
          </w:p>
        </w:tc>
        <w:tc>
          <w:tcPr>
            <w:tcW w:w="1814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1"/>
                <w:b/>
                <w:bCs/>
              </w:rPr>
              <w:t>2023</w:t>
            </w:r>
          </w:p>
        </w:tc>
        <w:tc>
          <w:tcPr>
            <w:tcW w:w="1440" w:type="dxa"/>
            <w:shd w:val="clear" w:color="auto" w:fill="auto"/>
            <w:vAlign w:val="top"/>
          </w:tcPr>
          <w:p>
            <w:pPr>
              <w:jc w:val="center"/>
            </w:pPr>
            <w:r>
              <w:rPr>
                <w:rStyle w:val="21"/>
                <w:b/>
                <w:bCs/>
              </w:rPr>
              <w:t>）年度</w:t>
            </w:r>
          </w:p>
        </w:tc>
      </w:tr>
    </w:tbl>
    <w:p>
      <w:pPr>
        <w:jc w:val="center"/>
        <w:rPr>
          <w:b/>
          <w:bCs/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p>
      <w:pPr>
        <w:jc w:val="center"/>
        <w:rPr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>
            <w:pPr>
              <w:jc w:val="distribute"/>
            </w:pPr>
            <w:r>
              <w:rPr>
                <w:rStyle w:val="24"/>
                <w:b/>
                <w:bCs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</w:pPr>
            <w:r>
              <w:rPr>
                <w:rStyle w:val="25"/>
              </w:rPr>
              <w:t>重庆市大渡口区疾病预防控制中心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 w:color="auto" w:fill="auto"/>
            <w:vAlign w:val="bottom"/>
          </w:tcPr>
          <w:p>
            <w:pPr>
              <w:jc w:val="distribute"/>
            </w:pPr>
            <w:r>
              <w:rPr>
                <w:rStyle w:val="24"/>
                <w:b/>
                <w:bCs/>
              </w:rPr>
              <w:t>法</w:t>
            </w:r>
            <w:r>
              <w:rPr>
                <w:rStyle w:val="24"/>
                <w:b/>
                <w:bCs/>
                <w:spacing w:val="30"/>
              </w:rPr>
              <w:t>定代表</w:t>
            </w:r>
            <w:r>
              <w:rPr>
                <w:rStyle w:val="24"/>
                <w:b/>
                <w:bCs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>
            <w:pPr>
              <w:ind w:firstLine="280" w:firstLineChars="10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Style w:val="26"/>
              </w:rPr>
              <w:t>李学锋</w:t>
            </w: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 w:color="auto" w:fill="auto"/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 xml:space="preserve"> </w:t>
            </w:r>
          </w:p>
        </w:tc>
      </w:tr>
    </w:tbl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  <w:r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  <w:t> </w:t>
      </w:r>
    </w:p>
    <w:p>
      <w:pPr>
        <w:jc w:val="center"/>
        <w:rPr>
          <w:u w:val="single"/>
          <w:lang w:eastAsia="zh-CN"/>
        </w:rPr>
      </w:pPr>
      <w:r>
        <w:rPr>
          <w:u w:val="single"/>
          <w:lang w:eastAsia="zh-CN"/>
        </w:rPr>
        <w:t> </w:t>
      </w:r>
    </w:p>
    <w:p>
      <w:pPr>
        <w:jc w:val="center"/>
      </w:pPr>
      <w:r>
        <w:rPr>
          <w:rStyle w:val="25"/>
          <w:b/>
          <w:bCs/>
          <w:lang w:eastAsia="zh-CN"/>
        </w:rPr>
        <w:t>国家事业单位登记管理局制</w:t>
      </w:r>
    </w:p>
    <w:p>
      <w:pPr>
        <w:rPr>
          <w:u w:val="single"/>
          <w:lang w:eastAsia="zh-CN"/>
        </w:rPr>
      </w:pPr>
      <w:r>
        <w:rPr>
          <w:u w:val="single"/>
          <w:lang w:eastAsia="zh-CN"/>
        </w:rPr>
        <w:t> </w:t>
      </w:r>
    </w:p>
    <w:p>
      <w:pPr>
        <w:rPr>
          <w:u w:val="single"/>
          <w:lang w:eastAsia="zh-CN"/>
        </w:r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323"/>
        <w:gridCol w:w="1471"/>
        <w:gridCol w:w="1942"/>
        <w:gridCol w:w="1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《事业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单位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法人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证书》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登载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事项</w:t>
            </w:r>
          </w:p>
        </w:tc>
        <w:tc>
          <w:tcPr>
            <w:tcW w:w="21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单位名称</w:t>
            </w:r>
          </w:p>
        </w:tc>
        <w:tc>
          <w:tcPr>
            <w:tcW w:w="59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6"/>
              </w:rPr>
              <w:t>重庆市大渡口区疾病预防控制中心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宗 旨 和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业务范围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6"/>
              </w:rPr>
              <w:t>为人民身体健康提供防疫保障 疾病监测 疾病防治研究 疾病预防与控制 卫生监督与监测 突发卫生事件处理 卫生防疫培训与技术指导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住    所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6"/>
              </w:rPr>
              <w:t>重庆市大渡口区鑫康路14号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法定代表人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6"/>
              </w:rPr>
              <w:t>李学锋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开办资金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Style w:val="25"/>
              </w:rPr>
              <w:t>165万元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经费来源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6"/>
              </w:rPr>
              <w:t xml:space="preserve">财政补助 （全额拨款）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举办单位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</w:pPr>
            <w:r>
              <w:rPr>
                <w:rStyle w:val="26"/>
              </w:rPr>
              <w:t>重庆市大渡口区卫生健康委员会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资产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损益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情况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净资产合计（所有者权益合计）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年初数（万元）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年末数（万元）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</w:rPr>
              <w:t>2211.71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</w:rPr>
              <w:t>2318.39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网上名称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Style w:val="25"/>
              </w:rPr>
              <w:t>无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从业人数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</w:rPr>
              <w:t>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对《条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例》和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实施细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则有关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变更登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记规定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的执行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情 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Style w:val="26"/>
              </w:rPr>
              <w:t>我单位今年以来登记事项未发生变化。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0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开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展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业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务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活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动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情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况</w:t>
            </w:r>
          </w:p>
        </w:tc>
        <w:tc>
          <w:tcPr>
            <w:tcW w:w="79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  <w:r>
              <w:rPr>
                <w:rStyle w:val="27"/>
                <w:rFonts w:hint="eastAsia" w:ascii="方正楷体_GBK" w:hAnsi="方正楷体_GBK" w:eastAsia="方正楷体_GBK" w:cs="方正楷体_GBK"/>
                <w:sz w:val="28"/>
                <w:szCs w:val="28"/>
              </w:rPr>
              <w:t>一是持续加强传染病报告管理。提高传染病信息报告质量，提高监测工作质量，进一步提升应急队伍对传染病防控的应急处置能力。2023年我区无甲类传染病报告；报告乙类传染病9种，4046例，发病率928.19/10万，较去年同期上升247.98%；死亡29例（艾滋病28例、肺结核1例），死亡率6.65/10万；报告本土新冠肺炎3093例，其中确诊2966例，无症状感染者126例、疑似病例1例；重症及危重症5例。 二是稳定发力艾滋病防治工作。创新工作机制，夯实艾滋病防治工作基础，2023年全区新发现艾滋病病毒感染者和艾滋病病人155例（HIV124人，AIDS 31例），死亡78例；现存活HIV感染者及病人1261例（其中AIDS 4353例），死亡390例。为1261名符合免费抗病毒治疗的艾滋病病人申请了免费抗病毒治疗，现在治人数1178人，治疗覆盖率93.42%。CD4检测率90.22%，病毒载量检测率92.40%，病载抑制率97.81%。多种方式全面加强艾滋病防治工作，健全完善稳定的工作机制。 三是继续开展结核病防治工作。全年共登记活动性肺结核患者74例，其中新涂阳病人数59例，初治涂阴病人数15例。系统管理62例病人，患者管理率100%。治疗管理利福平耐药肺结核患者5例。2023年全区结核病发病率为42/10万，年递减率为7.1%，远高于重庆市对结核病发病率在2018年基础上每年递减3%的要求，结核病发病情况得到较好控制。 四是突发公共卫生事件监测及处置及时得当。截止12月31日，全区报告18起未分级突发公共卫生事件，其中16起流感聚集性疫情、1起手足口聚集疫情、1起首例猴痘病例事件，共涉及2490人。未达到报告标准的聚集性疫情70起（流感48起、手足口病115起、水痘4起、新冠1起、其他感染性腹泻1起），涉及2699人。 五是落实扩大国家免疫规划任务。全年扩大免疫规划免费接种68912针次，开展免疫规划接种率调查，四苗基础全程合格接种率99.21%，八苗基础全程合格接种率99.21%。 六是构建慢性病防治工作体系。2023年全区死因监测网络报告死亡2036人，新发肿瘤病例共报告2246例，发现心脑血管事件4634例，报告慢阻肺病例4039例，辖区内医疗机构共报告门急诊伤害事件12755例。全区35岁以上高血压患者健康管理25371人，规范管理率68.33%，最近1次随访血压控制达标率76.24%；35岁以上糖尿病患者健康管理12688人，规范管理率75.33%，最近1次随访血糖控制达标率78%；65岁以上老年人健康管理41906人，规范健康管理率67.39%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相关资质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认可或执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业许可证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明文件及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有效期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Style w:val="26"/>
              </w:rPr>
              <w:t>重庆市大渡口区疾病预防控制中心检验检测资质认定证书（有效期至2029年7月17日） 重庆市大渡口区疾病预防控制中心医疗机构执业许可证（有效期至2028年06月27日）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绩 效 和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受奖惩及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诉讼投诉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情 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Style w:val="26"/>
              </w:rPr>
              <w:t>1.涉及诉讼情况：今年我单位没有涉及诉讼事</w:t>
            </w:r>
            <w:bookmarkStart w:id="0" w:name="_GoBack"/>
            <w:bookmarkEnd w:id="0"/>
            <w:r>
              <w:rPr>
                <w:rStyle w:val="26"/>
              </w:rPr>
              <w:t>项。社会投诉情况：接群众投诉艾滋病人接诊时间问题，已回复处置。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Style w:val="25"/>
                <w:b/>
                <w:bCs/>
              </w:rPr>
              <w:t>接受捐赠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资助及其</w:t>
            </w:r>
          </w:p>
          <w:p>
            <w:pPr>
              <w:jc w:val="center"/>
            </w:pPr>
            <w:r>
              <w:rPr>
                <w:rStyle w:val="25"/>
                <w:b/>
                <w:bCs/>
              </w:rPr>
              <w:t>使用情况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jc w:val="left"/>
            </w:pPr>
            <w:r>
              <w:rPr>
                <w:rStyle w:val="26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18"/>
          <w:szCs w:val="24"/>
          <w:lang w:eastAsia="zh-CN"/>
        </w:rPr>
      </w:pPr>
    </w:p>
    <w:sectPr>
      <w:pgSz w:w="11906" w:h="16838"/>
      <w:pgMar w:top="1440" w:right="1135" w:bottom="1440" w:left="113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Dc3N2RlNmZjNTA5MjdkMmQ4MzI0YzAzYjU1NDIifQ=="/>
  </w:docVars>
  <w:rsids>
    <w:rsidRoot w:val="00000000"/>
    <w:rsid w:val="0EA87755"/>
    <w:rsid w:val="20AB0E73"/>
    <w:rsid w:val="6C000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autoRedefine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customStyle="1" w:styleId="12">
    <w:name w:val="font8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4"/>
      <w:szCs w:val="24"/>
      <w:lang w:val="en-US" w:eastAsia="zh-CN" w:bidi="ar"/>
    </w:rPr>
  </w:style>
  <w:style w:type="paragraph" w:customStyle="1" w:styleId="13">
    <w:name w:val="font2"/>
    <w:basedOn w:val="1"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0"/>
      <w:szCs w:val="24"/>
      <w:lang w:val="en-US" w:eastAsia="zh-CN" w:bidi="ar"/>
    </w:rPr>
  </w:style>
  <w:style w:type="paragraph" w:customStyle="1" w:styleId="14">
    <w:name w:val="font3"/>
    <w:basedOn w:val="1"/>
    <w:qFormat/>
    <w:uiPriority w:val="0"/>
    <w:pPr>
      <w:widowControl/>
      <w:jc w:val="left"/>
    </w:pPr>
    <w:rPr>
      <w:rFonts w:hint="eastAsia" w:ascii="Times New Roman" w:hAnsi="宋体" w:eastAsia="黑体" w:cs="黑体"/>
      <w:spacing w:val="40"/>
      <w:kern w:val="0"/>
      <w:sz w:val="52"/>
      <w:szCs w:val="24"/>
      <w:lang w:val="en-US" w:eastAsia="zh-CN" w:bidi="ar"/>
    </w:rPr>
  </w:style>
  <w:style w:type="paragraph" w:customStyle="1" w:styleId="15">
    <w:name w:val="font1"/>
    <w:basedOn w:val="1"/>
    <w:autoRedefine/>
    <w:qFormat/>
    <w:uiPriority w:val="0"/>
    <w:pPr>
      <w:widowControl/>
      <w:jc w:val="left"/>
    </w:pPr>
    <w:rPr>
      <w:rFonts w:ascii="宋体" w:hAnsi="宋体" w:eastAsia="仿宋_GB2312" w:cs="宋体"/>
      <w:kern w:val="0"/>
      <w:sz w:val="30"/>
      <w:szCs w:val="24"/>
      <w:lang w:val="en-US" w:eastAsia="zh-CN" w:bidi="ar"/>
    </w:rPr>
  </w:style>
  <w:style w:type="paragraph" w:customStyle="1" w:styleId="16">
    <w:name w:val="font4"/>
    <w:basedOn w:val="1"/>
    <w:uiPriority w:val="0"/>
    <w:pPr>
      <w:widowControl/>
      <w:jc w:val="left"/>
    </w:pPr>
    <w:rPr>
      <w:rFonts w:ascii="宋体" w:hAnsi="宋体" w:eastAsia="楷体_GB2312" w:cs="宋体"/>
      <w:spacing w:val="30"/>
      <w:kern w:val="0"/>
      <w:sz w:val="36"/>
      <w:szCs w:val="24"/>
      <w:lang w:val="en-US" w:eastAsia="zh-CN" w:bidi="ar"/>
    </w:rPr>
  </w:style>
  <w:style w:type="paragraph" w:customStyle="1" w:styleId="17">
    <w:name w:val="font5"/>
    <w:basedOn w:val="1"/>
    <w:uiPriority w:val="0"/>
    <w:pPr>
      <w:widowControl/>
      <w:jc w:val="left"/>
    </w:pPr>
    <w:rPr>
      <w:rFonts w:hint="eastAsia" w:ascii="黑体" w:hAnsi="宋体" w:eastAsia="黑体" w:cs="黑体"/>
      <w:kern w:val="0"/>
      <w:sz w:val="36"/>
      <w:szCs w:val="24"/>
      <w:lang w:val="en-US" w:eastAsia="zh-CN" w:bidi="ar"/>
    </w:rPr>
  </w:style>
  <w:style w:type="paragraph" w:customStyle="1" w:styleId="18">
    <w:name w:val="font6"/>
    <w:basedOn w:val="1"/>
    <w:autoRedefine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2"/>
      <w:szCs w:val="24"/>
      <w:lang w:val="en-US" w:eastAsia="zh-CN" w:bidi="ar"/>
    </w:rPr>
  </w:style>
  <w:style w:type="paragraph" w:customStyle="1" w:styleId="19">
    <w:name w:val="font7"/>
    <w:basedOn w:val="1"/>
    <w:qFormat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8"/>
      <w:szCs w:val="24"/>
      <w:lang w:val="en-US" w:eastAsia="zh-CN" w:bidi="ar"/>
    </w:rPr>
  </w:style>
  <w:style w:type="character" w:customStyle="1" w:styleId="20">
    <w:name w:val="font11"/>
    <w:basedOn w:val="11"/>
    <w:uiPriority w:val="0"/>
    <w:rPr>
      <w:rFonts w:eastAsia="仿宋_GB2312"/>
      <w:sz w:val="30"/>
      <w:szCs w:val="24"/>
    </w:rPr>
  </w:style>
  <w:style w:type="character" w:customStyle="1" w:styleId="21">
    <w:name w:val="font21"/>
    <w:basedOn w:val="11"/>
    <w:qFormat/>
    <w:uiPriority w:val="0"/>
    <w:rPr>
      <w:rFonts w:hint="eastAsia" w:ascii="Times New Roman" w:eastAsia="楷体_GB2312" w:cs="楷体_GB2312"/>
      <w:sz w:val="30"/>
      <w:szCs w:val="24"/>
    </w:rPr>
  </w:style>
  <w:style w:type="character" w:customStyle="1" w:styleId="22">
    <w:name w:val="font31"/>
    <w:basedOn w:val="11"/>
    <w:autoRedefine/>
    <w:uiPriority w:val="0"/>
    <w:rPr>
      <w:rFonts w:hint="eastAsia" w:ascii="Times New Roman" w:hAnsi="宋体" w:eastAsia="黑体" w:cs="黑体"/>
      <w:spacing w:val="40"/>
      <w:sz w:val="52"/>
      <w:szCs w:val="24"/>
    </w:rPr>
  </w:style>
  <w:style w:type="character" w:customStyle="1" w:styleId="23">
    <w:name w:val="font41"/>
    <w:basedOn w:val="11"/>
    <w:uiPriority w:val="0"/>
    <w:rPr>
      <w:rFonts w:eastAsia="楷体_GB2312"/>
      <w:spacing w:val="30"/>
      <w:sz w:val="36"/>
      <w:szCs w:val="24"/>
    </w:rPr>
  </w:style>
  <w:style w:type="character" w:customStyle="1" w:styleId="24">
    <w:name w:val="font51"/>
    <w:basedOn w:val="11"/>
    <w:autoRedefine/>
    <w:qFormat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25">
    <w:name w:val="font61"/>
    <w:basedOn w:val="11"/>
    <w:uiPriority w:val="0"/>
    <w:rPr>
      <w:rFonts w:hint="eastAsia" w:ascii="Times New Roman" w:eastAsia="楷体_GB2312" w:cs="楷体_GB2312"/>
      <w:sz w:val="32"/>
      <w:szCs w:val="24"/>
    </w:rPr>
  </w:style>
  <w:style w:type="character" w:customStyle="1" w:styleId="26">
    <w:name w:val="font71"/>
    <w:basedOn w:val="11"/>
    <w:uiPriority w:val="0"/>
    <w:rPr>
      <w:rFonts w:hint="eastAsia" w:ascii="Times New Roman" w:eastAsia="楷体_GB2312" w:cs="楷体_GB2312"/>
      <w:sz w:val="28"/>
      <w:szCs w:val="24"/>
    </w:rPr>
  </w:style>
  <w:style w:type="character" w:customStyle="1" w:styleId="27">
    <w:name w:val="19"/>
    <w:basedOn w:val="11"/>
    <w:autoRedefine/>
    <w:qFormat/>
    <w:uiPriority w:val="0"/>
    <w:rPr>
      <w:rFonts w:hint="default" w:asci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2024-02-28T02:30:00Z</dcterms:created>
  <dc:creator>Administrator</dc:creator>
  <cp:lastModifiedBy>Sunny</cp:lastModifiedBy>
  <dcterms:modified xsi:type="dcterms:W3CDTF">2024-02-29T01:09:44Z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7BD42B367A594721BE2BA5F284E49BBC_13</vt:lpwstr>
  </property>
</Properties>
</file>