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8655A00">
      <w:pPr>
        <w:jc w:val="right"/>
        <w:rPr>
          <w:lang w:eastAsia="zh-CN"/>
        </w:rPr>
      </w:pPr>
    </w:p>
    <w:tbl>
      <w:tblPr>
        <w:tblStyle w:val="10"/>
        <w:tblW w:w="0" w:type="auto"/>
        <w:tblInd w:w="55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0"/>
        <w:gridCol w:w="3050"/>
        <w:gridCol w:w="434"/>
      </w:tblGrid>
      <w:tr w14:paraId="17F05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1260" w:type="dxa"/>
            <w:shd w:val="clear" w:color="auto" w:fill="auto"/>
            <w:vAlign w:val="top"/>
          </w:tcPr>
          <w:p w14:paraId="108D6D1A">
            <w:pPr>
              <w:rPr>
                <w:rFonts w:hint="eastAsia" w:ascii="宋体"/>
                <w:sz w:val="24"/>
                <w:szCs w:val="24"/>
              </w:rPr>
            </w:pPr>
          </w:p>
        </w:tc>
        <w:tc>
          <w:tcPr>
            <w:tcW w:w="2920" w:type="dxa"/>
            <w:shd w:val="clear" w:color="auto" w:fill="auto"/>
            <w:vAlign w:val="top"/>
          </w:tcPr>
          <w:p w14:paraId="434A788D">
            <w:pPr>
              <w:jc w:val="center"/>
            </w:pPr>
            <w:r>
              <w:rPr>
                <w:rStyle w:val="21"/>
                <w:b/>
                <w:bCs/>
              </w:rPr>
              <w:t>统一社会信用代码</w:t>
            </w:r>
          </w:p>
        </w:tc>
        <w:tc>
          <w:tcPr>
            <w:tcW w:w="566" w:type="dxa"/>
            <w:shd w:val="clear" w:color="auto" w:fill="auto"/>
            <w:vAlign w:val="top"/>
          </w:tcPr>
          <w:p w14:paraId="1A95A2C2">
            <w:pPr>
              <w:rPr>
                <w:rFonts w:hint="eastAsia" w:ascii="宋体"/>
                <w:sz w:val="24"/>
                <w:szCs w:val="24"/>
              </w:rPr>
            </w:pPr>
          </w:p>
        </w:tc>
      </w:tr>
      <w:tr w14:paraId="1B4C0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0" w:type="dxa"/>
            <w:shd w:val="clear" w:color="auto" w:fill="auto"/>
            <w:vAlign w:val="top"/>
          </w:tcPr>
          <w:p w14:paraId="769E3049">
            <w:pPr>
              <w:rPr>
                <w:rFonts w:hint="eastAsia" w:ascii="宋体"/>
                <w:sz w:val="24"/>
                <w:szCs w:val="24"/>
              </w:rPr>
            </w:pPr>
          </w:p>
        </w:tc>
        <w:tc>
          <w:tcPr>
            <w:tcW w:w="2520" w:type="dxa"/>
            <w:shd w:val="clear" w:color="auto" w:fill="auto"/>
            <w:vAlign w:val="top"/>
          </w:tcPr>
          <w:p w14:paraId="0DFA256D">
            <w:pPr>
              <w:jc w:val="center"/>
            </w:pPr>
            <w:r>
              <w:rPr>
                <w:rStyle w:val="21"/>
                <w:b/>
                <w:bCs/>
              </w:rPr>
              <w:t>12500104450426869M</w:t>
            </w:r>
          </w:p>
        </w:tc>
        <w:tc>
          <w:tcPr>
            <w:tcW w:w="566" w:type="dxa"/>
            <w:shd w:val="clear" w:color="auto" w:fill="auto"/>
            <w:vAlign w:val="top"/>
          </w:tcPr>
          <w:p w14:paraId="66F75769">
            <w:pPr>
              <w:rPr>
                <w:rFonts w:hint="eastAsia" w:ascii="宋体"/>
                <w:sz w:val="24"/>
                <w:szCs w:val="24"/>
              </w:rPr>
            </w:pPr>
          </w:p>
        </w:tc>
      </w:tr>
    </w:tbl>
    <w:p w14:paraId="2CD00181">
      <w:pPr>
        <w:jc w:val="right"/>
        <w:rPr>
          <w:lang w:eastAsia="zh-CN"/>
        </w:rPr>
      </w:pPr>
    </w:p>
    <w:p w14:paraId="0181A17A">
      <w:pPr>
        <w:jc w:val="right"/>
        <w:rPr>
          <w:lang w:eastAsia="zh-CN"/>
        </w:rPr>
      </w:pPr>
    </w:p>
    <w:p w14:paraId="7425CE3B">
      <w:pPr>
        <w:jc w:val="right"/>
        <w:rPr>
          <w:lang w:eastAsia="zh-CN"/>
        </w:rPr>
      </w:pPr>
    </w:p>
    <w:p w14:paraId="68953422">
      <w:pPr>
        <w:jc w:val="right"/>
        <w:rPr>
          <w:lang w:eastAsia="zh-CN"/>
        </w:rPr>
      </w:pPr>
    </w:p>
    <w:p w14:paraId="4F95F26A">
      <w:pPr>
        <w:jc w:val="center"/>
      </w:pPr>
      <w:r>
        <w:rPr>
          <w:rStyle w:val="22"/>
          <w:b/>
          <w:bCs/>
          <w:lang w:eastAsia="zh-CN"/>
        </w:rPr>
        <w:t>事业单位法人年度报告书</w:t>
      </w:r>
    </w:p>
    <w:p w14:paraId="1D106312">
      <w:pPr>
        <w:jc w:val="center"/>
        <w:rPr>
          <w:rFonts w:eastAsia="黑体"/>
          <w:b/>
          <w:bCs/>
          <w:spacing w:val="30"/>
          <w:lang w:eastAsia="zh-CN"/>
        </w:rPr>
      </w:pPr>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4"/>
        <w:gridCol w:w="1814"/>
        <w:gridCol w:w="1440"/>
      </w:tblGrid>
      <w:tr w14:paraId="2D1B1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594" w:type="dxa"/>
            <w:shd w:val="clear" w:color="auto" w:fill="auto"/>
            <w:vAlign w:val="top"/>
          </w:tcPr>
          <w:p w14:paraId="07AB50F4">
            <w:pPr>
              <w:jc w:val="center"/>
            </w:pPr>
            <w:r>
              <w:rPr>
                <w:rStyle w:val="21"/>
                <w:b/>
                <w:bCs/>
              </w:rPr>
              <w:t>（</w:t>
            </w:r>
          </w:p>
        </w:tc>
        <w:tc>
          <w:tcPr>
            <w:tcW w:w="1814" w:type="dxa"/>
            <w:shd w:val="clear" w:color="auto" w:fill="auto"/>
            <w:vAlign w:val="top"/>
          </w:tcPr>
          <w:p w14:paraId="3C9D34A5">
            <w:pPr>
              <w:jc w:val="center"/>
            </w:pPr>
            <w:r>
              <w:rPr>
                <w:rStyle w:val="21"/>
                <w:b/>
                <w:bCs/>
              </w:rPr>
              <w:t>2024</w:t>
            </w:r>
          </w:p>
        </w:tc>
        <w:tc>
          <w:tcPr>
            <w:tcW w:w="1440" w:type="dxa"/>
            <w:shd w:val="clear" w:color="auto" w:fill="auto"/>
            <w:vAlign w:val="top"/>
          </w:tcPr>
          <w:p w14:paraId="49068691">
            <w:pPr>
              <w:jc w:val="center"/>
            </w:pPr>
            <w:r>
              <w:rPr>
                <w:rStyle w:val="21"/>
                <w:b/>
                <w:bCs/>
              </w:rPr>
              <w:t>）年度</w:t>
            </w:r>
          </w:p>
        </w:tc>
      </w:tr>
    </w:tbl>
    <w:p w14:paraId="5DAA7342">
      <w:pPr>
        <w:jc w:val="center"/>
        <w:rPr>
          <w:b/>
          <w:bCs/>
          <w:lang w:eastAsia="zh-CN"/>
        </w:rPr>
      </w:pPr>
    </w:p>
    <w:p w14:paraId="78A05408">
      <w:pPr>
        <w:jc w:val="center"/>
        <w:rPr>
          <w:lang w:eastAsia="zh-CN"/>
        </w:rPr>
      </w:pPr>
    </w:p>
    <w:p w14:paraId="645CA6E1">
      <w:pPr>
        <w:jc w:val="center"/>
        <w:rPr>
          <w:lang w:eastAsia="zh-CN"/>
        </w:rPr>
      </w:pPr>
    </w:p>
    <w:p w14:paraId="025A6EA8">
      <w:pPr>
        <w:jc w:val="center"/>
        <w:rPr>
          <w:lang w:eastAsia="zh-CN"/>
        </w:rPr>
      </w:pPr>
    </w:p>
    <w:p w14:paraId="0FF4023F">
      <w:pPr>
        <w:jc w:val="center"/>
        <w:rPr>
          <w:lang w:eastAsia="zh-CN"/>
        </w:rPr>
      </w:pPr>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05"/>
        <w:gridCol w:w="5294"/>
      </w:tblGrid>
      <w:tr w14:paraId="3F4B9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2405" w:type="dxa"/>
            <w:shd w:val="clear" w:color="auto" w:fill="auto"/>
            <w:vAlign w:val="bottom"/>
          </w:tcPr>
          <w:p w14:paraId="48E40CDB">
            <w:pPr>
              <w:jc w:val="distribute"/>
            </w:pPr>
            <w:r>
              <w:rPr>
                <w:rStyle w:val="24"/>
                <w:b/>
                <w:bCs/>
              </w:rPr>
              <w:t>单 位 名 称</w:t>
            </w:r>
          </w:p>
        </w:tc>
        <w:tc>
          <w:tcPr>
            <w:tcW w:w="5294" w:type="dxa"/>
            <w:tcBorders>
              <w:top w:val="nil"/>
              <w:left w:val="nil"/>
              <w:bottom w:val="single" w:color="auto" w:sz="12" w:space="0"/>
              <w:right w:val="nil"/>
            </w:tcBorders>
            <w:shd w:val="clear" w:color="auto" w:fill="auto"/>
            <w:vAlign w:val="bottom"/>
          </w:tcPr>
          <w:p w14:paraId="28B8EC0E">
            <w:pPr>
              <w:jc w:val="center"/>
            </w:pPr>
            <w:r>
              <w:rPr>
                <w:rStyle w:val="25"/>
              </w:rPr>
              <w:t>重庆市大渡口区疾病预防控制中心</w:t>
            </w:r>
          </w:p>
        </w:tc>
      </w:tr>
    </w:tbl>
    <w:p w14:paraId="25C971A3">
      <w:pPr>
        <w:rPr>
          <w:rFonts w:hint="eastAsia" w:ascii="黑体" w:hAnsi="宋体" w:eastAsia="黑体" w:cs="黑体"/>
          <w:b/>
          <w:bCs/>
          <w:sz w:val="24"/>
          <w:szCs w:val="24"/>
          <w:u w:val="single"/>
          <w:lang w:eastAsia="zh-CN"/>
        </w:rPr>
      </w:pPr>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65"/>
        <w:gridCol w:w="5254"/>
      </w:tblGrid>
      <w:tr w14:paraId="540E7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2365" w:type="dxa"/>
            <w:shd w:val="clear" w:color="auto" w:fill="auto"/>
            <w:vAlign w:val="bottom"/>
          </w:tcPr>
          <w:p w14:paraId="04914566">
            <w:pPr>
              <w:jc w:val="distribute"/>
            </w:pPr>
            <w:r>
              <w:rPr>
                <w:rStyle w:val="24"/>
                <w:b/>
                <w:bCs/>
              </w:rPr>
              <w:t>法</w:t>
            </w:r>
            <w:r>
              <w:rPr>
                <w:rStyle w:val="24"/>
                <w:b/>
                <w:bCs/>
                <w:spacing w:val="30"/>
              </w:rPr>
              <w:t>定代表</w:t>
            </w:r>
            <w:r>
              <w:rPr>
                <w:rStyle w:val="24"/>
                <w:b/>
                <w:bCs/>
              </w:rPr>
              <w:t>人</w:t>
            </w:r>
          </w:p>
        </w:tc>
        <w:tc>
          <w:tcPr>
            <w:tcW w:w="5254" w:type="dxa"/>
            <w:tcBorders>
              <w:top w:val="nil"/>
              <w:left w:val="nil"/>
              <w:bottom w:val="single" w:color="auto" w:sz="12" w:space="0"/>
              <w:right w:val="nil"/>
            </w:tcBorders>
            <w:shd w:val="clear" w:color="auto" w:fill="auto"/>
            <w:vAlign w:val="bottom"/>
          </w:tcPr>
          <w:p w14:paraId="1C620337">
            <w:pPr>
              <w:jc w:val="center"/>
              <w:rPr>
                <w:rFonts w:hint="eastAsia" w:ascii="宋体" w:eastAsia="宋体"/>
                <w:sz w:val="24"/>
                <w:szCs w:val="24"/>
                <w:lang w:val="en-US" w:eastAsia="zh-CN"/>
              </w:rPr>
            </w:pPr>
            <w:r>
              <w:rPr>
                <w:rStyle w:val="25"/>
                <w:rFonts w:hint="eastAsia" w:hAnsi="Times New Roman"/>
                <w:kern w:val="2"/>
                <w:lang w:val="en-US" w:eastAsia="zh-CN" w:bidi="ar"/>
              </w:rPr>
              <w:t>李学锋</w:t>
            </w:r>
          </w:p>
        </w:tc>
      </w:tr>
    </w:tbl>
    <w:p w14:paraId="11299D37">
      <w:pPr>
        <w:ind w:left="0" w:firstLine="723" w:firstLineChars="300"/>
        <w:rPr>
          <w:rFonts w:hint="eastAsia" w:ascii="黑体" w:hAnsi="宋体" w:eastAsia="黑体" w:cs="黑体"/>
          <w:b/>
          <w:bCs/>
          <w:sz w:val="24"/>
          <w:szCs w:val="24"/>
          <w:u w:val="single"/>
          <w:lang w:eastAsia="zh-CN"/>
        </w:rPr>
      </w:pPr>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05"/>
        <w:gridCol w:w="5294"/>
      </w:tblGrid>
      <w:tr w14:paraId="4D84F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2405" w:type="dxa"/>
            <w:shd w:val="clear" w:color="auto" w:fill="auto"/>
            <w:vAlign w:val="bottom"/>
          </w:tcPr>
          <w:p w14:paraId="724BBD36">
            <w:pPr>
              <w:rPr>
                <w:rFonts w:hint="eastAsia" w:ascii="宋体"/>
                <w:sz w:val="24"/>
                <w:szCs w:val="24"/>
              </w:rPr>
            </w:pPr>
          </w:p>
        </w:tc>
        <w:tc>
          <w:tcPr>
            <w:tcW w:w="5294" w:type="dxa"/>
            <w:tcBorders>
              <w:top w:val="nil"/>
              <w:left w:val="nil"/>
              <w:bottom w:val="nil"/>
              <w:right w:val="nil"/>
            </w:tcBorders>
            <w:shd w:val="clear" w:color="auto" w:fill="auto"/>
            <w:vAlign w:val="bottom"/>
          </w:tcPr>
          <w:p w14:paraId="1C6422BC">
            <w:pPr>
              <w:jc w:val="center"/>
            </w:pPr>
            <w:r>
              <w:rPr>
                <w:rStyle w:val="25"/>
                <w:b/>
                <w:bCs/>
              </w:rPr>
              <w:t xml:space="preserve"> </w:t>
            </w:r>
          </w:p>
        </w:tc>
      </w:tr>
    </w:tbl>
    <w:p w14:paraId="1F3D35E8">
      <w:pPr>
        <w:jc w:val="center"/>
        <w:rPr>
          <w:u w:val="single"/>
          <w:lang w:eastAsia="zh-CN"/>
        </w:rPr>
      </w:pPr>
    </w:p>
    <w:p w14:paraId="47B77888">
      <w:pPr>
        <w:jc w:val="center"/>
        <w:rPr>
          <w:u w:val="single"/>
          <w:lang w:eastAsia="zh-CN"/>
        </w:rPr>
      </w:pPr>
    </w:p>
    <w:p w14:paraId="27B64246">
      <w:pPr>
        <w:jc w:val="center"/>
        <w:rPr>
          <w:u w:val="single"/>
          <w:lang w:eastAsia="zh-CN"/>
        </w:rPr>
      </w:pPr>
    </w:p>
    <w:p w14:paraId="35B66A29">
      <w:pPr>
        <w:jc w:val="center"/>
        <w:rPr>
          <w:u w:val="single"/>
          <w:lang w:eastAsia="zh-CN"/>
        </w:rPr>
      </w:pPr>
    </w:p>
    <w:p w14:paraId="07F0B7F3">
      <w:pPr>
        <w:jc w:val="center"/>
        <w:rPr>
          <w:u w:val="single"/>
          <w:lang w:eastAsia="zh-CN"/>
        </w:rPr>
      </w:pPr>
    </w:p>
    <w:p w14:paraId="69567A7C">
      <w:pPr>
        <w:jc w:val="center"/>
        <w:rPr>
          <w:u w:val="single"/>
          <w:lang w:eastAsia="zh-CN"/>
        </w:rPr>
      </w:pPr>
    </w:p>
    <w:p w14:paraId="44F92FAF">
      <w:pPr>
        <w:jc w:val="center"/>
        <w:rPr>
          <w:u w:val="single"/>
          <w:lang w:eastAsia="zh-CN"/>
        </w:rPr>
      </w:pPr>
    </w:p>
    <w:p w14:paraId="6E11D761">
      <w:pPr>
        <w:jc w:val="center"/>
        <w:rPr>
          <w:u w:val="single"/>
          <w:lang w:eastAsia="zh-CN"/>
        </w:rPr>
      </w:pPr>
    </w:p>
    <w:p w14:paraId="2702E55F">
      <w:pPr>
        <w:jc w:val="center"/>
        <w:rPr>
          <w:u w:val="single"/>
          <w:lang w:eastAsia="zh-CN"/>
        </w:rPr>
      </w:pPr>
    </w:p>
    <w:p w14:paraId="1C74BF0E">
      <w:pPr>
        <w:jc w:val="center"/>
        <w:rPr>
          <w:u w:val="single"/>
          <w:lang w:eastAsia="zh-CN"/>
        </w:rPr>
      </w:pPr>
    </w:p>
    <w:p w14:paraId="35A91AC6">
      <w:pPr>
        <w:jc w:val="center"/>
        <w:rPr>
          <w:u w:val="single"/>
          <w:lang w:eastAsia="zh-CN"/>
        </w:rPr>
      </w:pPr>
      <w:r>
        <w:rPr>
          <w:u w:val="single"/>
          <w:lang w:eastAsia="zh-CN"/>
        </w:rPr>
        <w:t> </w:t>
      </w:r>
    </w:p>
    <w:p w14:paraId="7ABF064E">
      <w:pPr>
        <w:jc w:val="center"/>
      </w:pPr>
      <w:r>
        <w:rPr>
          <w:rStyle w:val="25"/>
          <w:b/>
          <w:bCs/>
          <w:lang w:eastAsia="zh-CN"/>
        </w:rPr>
        <w:t>国家事业单位登记管理局制</w:t>
      </w:r>
    </w:p>
    <w:p w14:paraId="5F30ED08">
      <w:pPr>
        <w:rPr>
          <w:u w:val="single"/>
          <w:lang w:eastAsia="zh-CN"/>
        </w:rPr>
      </w:pPr>
      <w:r>
        <w:rPr>
          <w:u w:val="single"/>
          <w:lang w:eastAsia="zh-CN"/>
        </w:rPr>
        <w:t> </w:t>
      </w:r>
    </w:p>
    <w:tbl>
      <w:tblPr>
        <w:tblStyle w:val="10"/>
        <w:tblW w:w="0" w:type="auto"/>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2108"/>
        <w:gridCol w:w="2324"/>
        <w:gridCol w:w="1471"/>
        <w:gridCol w:w="1942"/>
        <w:gridCol w:w="1914"/>
      </w:tblGrid>
      <w:tr w14:paraId="6D915AE9">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15" w:hRule="atLeast"/>
          <w:jc w:val="center"/>
        </w:trPr>
        <w:tc>
          <w:tcPr>
            <w:tcW w:w="2300" w:type="dxa"/>
            <w:vMerge w:val="restart"/>
            <w:tcBorders>
              <w:top w:val="single" w:color="auto" w:sz="12" w:space="0"/>
              <w:left w:val="single" w:color="auto" w:sz="12" w:space="0"/>
              <w:bottom w:val="single" w:color="auto" w:sz="4" w:space="0"/>
              <w:right w:val="single" w:color="auto" w:sz="4" w:space="0"/>
            </w:tcBorders>
            <w:shd w:val="clear" w:color="auto" w:fill="auto"/>
            <w:tcMar>
              <w:left w:w="0" w:type="dxa"/>
            </w:tcMar>
            <w:vAlign w:val="center"/>
          </w:tcPr>
          <w:p w14:paraId="26A56A73">
            <w:pPr>
              <w:jc w:val="center"/>
            </w:pPr>
            <w:r>
              <w:rPr>
                <w:rStyle w:val="25"/>
                <w:b/>
                <w:bCs/>
              </w:rPr>
              <w:t>《事业</w:t>
            </w:r>
          </w:p>
          <w:p w14:paraId="513E579B">
            <w:pPr>
              <w:jc w:val="center"/>
            </w:pPr>
            <w:r>
              <w:rPr>
                <w:rStyle w:val="25"/>
                <w:b/>
                <w:bCs/>
              </w:rPr>
              <w:t>单位</w:t>
            </w:r>
          </w:p>
          <w:p w14:paraId="7BC860C8">
            <w:pPr>
              <w:jc w:val="center"/>
            </w:pPr>
            <w:r>
              <w:rPr>
                <w:rStyle w:val="25"/>
                <w:b/>
                <w:bCs/>
              </w:rPr>
              <w:t>法人</w:t>
            </w:r>
          </w:p>
          <w:p w14:paraId="5A8C6F14">
            <w:pPr>
              <w:jc w:val="center"/>
            </w:pPr>
            <w:r>
              <w:rPr>
                <w:rStyle w:val="25"/>
                <w:b/>
                <w:bCs/>
              </w:rPr>
              <w:t>证书》</w:t>
            </w:r>
          </w:p>
          <w:p w14:paraId="5C669773">
            <w:pPr>
              <w:jc w:val="center"/>
            </w:pPr>
            <w:r>
              <w:rPr>
                <w:rStyle w:val="25"/>
                <w:b/>
                <w:bCs/>
              </w:rPr>
              <w:t>登载</w:t>
            </w:r>
          </w:p>
          <w:p w14:paraId="5917AD1D">
            <w:pPr>
              <w:jc w:val="center"/>
            </w:pPr>
            <w:r>
              <w:rPr>
                <w:rStyle w:val="25"/>
                <w:b/>
                <w:bCs/>
              </w:rPr>
              <w:t>事项</w:t>
            </w:r>
          </w:p>
        </w:tc>
        <w:tc>
          <w:tcPr>
            <w:tcW w:w="2115" w:type="dxa"/>
            <w:tcBorders>
              <w:top w:val="single" w:color="auto" w:sz="12" w:space="0"/>
              <w:left w:val="single" w:color="auto" w:sz="4" w:space="0"/>
              <w:bottom w:val="single" w:color="auto" w:sz="4" w:space="0"/>
              <w:right w:val="single" w:color="auto" w:sz="4" w:space="0"/>
            </w:tcBorders>
            <w:shd w:val="clear" w:color="auto" w:fill="auto"/>
            <w:vAlign w:val="center"/>
          </w:tcPr>
          <w:p w14:paraId="48C82793">
            <w:pPr>
              <w:jc w:val="center"/>
            </w:pPr>
            <w:r>
              <w:rPr>
                <w:rStyle w:val="25"/>
                <w:b/>
                <w:bCs/>
              </w:rPr>
              <w:t>单位名称</w:t>
            </w:r>
          </w:p>
        </w:tc>
        <w:tc>
          <w:tcPr>
            <w:tcW w:w="5925" w:type="dxa"/>
            <w:gridSpan w:val="3"/>
            <w:tcBorders>
              <w:top w:val="single" w:color="auto" w:sz="12" w:space="0"/>
              <w:left w:val="single" w:color="auto" w:sz="4" w:space="0"/>
              <w:bottom w:val="single" w:color="auto" w:sz="4" w:space="0"/>
              <w:right w:val="single" w:color="auto" w:sz="12" w:space="0"/>
            </w:tcBorders>
            <w:shd w:val="clear" w:color="auto" w:fill="auto"/>
            <w:vAlign w:val="center"/>
          </w:tcPr>
          <w:p w14:paraId="3AC2C696">
            <w:pPr>
              <w:spacing w:line="320" w:lineRule="exact"/>
              <w:jc w:val="left"/>
            </w:pPr>
            <w:r>
              <w:rPr>
                <w:rStyle w:val="26"/>
              </w:rPr>
              <w:t>重庆市大渡口区疾病预防控制中心</w:t>
            </w:r>
          </w:p>
        </w:tc>
      </w:tr>
      <w:tr w14:paraId="1CAF56FB">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1716" w:hRule="atLeast"/>
          <w:jc w:val="center"/>
        </w:trPr>
        <w:tc>
          <w:tcPr>
            <w:tcW w:w="2300" w:type="dxa"/>
            <w:vMerge w:val="continue"/>
            <w:tcBorders>
              <w:top w:val="single" w:color="auto" w:sz="12" w:space="0"/>
              <w:left w:val="single" w:color="auto" w:sz="12" w:space="0"/>
              <w:bottom w:val="single" w:color="auto" w:sz="4" w:space="0"/>
              <w:right w:val="single" w:color="auto" w:sz="4" w:space="0"/>
            </w:tcBorders>
            <w:shd w:val="clear" w:color="auto" w:fill="auto"/>
            <w:tcMar>
              <w:left w:w="0" w:type="dxa"/>
            </w:tcMar>
            <w:vAlign w:val="center"/>
          </w:tcPr>
          <w:p w14:paraId="535DC199">
            <w:pPr>
              <w:jc w:val="center"/>
              <w:rPr>
                <w:rFonts w:hint="eastAsia" w:ascii="宋体"/>
                <w:sz w:val="24"/>
                <w:szCs w:val="24"/>
              </w:rPr>
            </w:pPr>
          </w:p>
        </w:tc>
        <w:tc>
          <w:tcPr>
            <w:tcW w:w="2115" w:type="dxa"/>
            <w:tcBorders>
              <w:top w:val="single" w:color="auto" w:sz="4" w:space="0"/>
              <w:left w:val="single" w:color="auto" w:sz="4" w:space="0"/>
              <w:bottom w:val="single" w:color="auto" w:sz="4" w:space="0"/>
              <w:right w:val="single" w:color="auto" w:sz="4" w:space="0"/>
            </w:tcBorders>
            <w:shd w:val="clear" w:color="auto" w:fill="auto"/>
            <w:vAlign w:val="center"/>
          </w:tcPr>
          <w:p w14:paraId="1E91B3A1">
            <w:pPr>
              <w:jc w:val="center"/>
            </w:pPr>
            <w:r>
              <w:rPr>
                <w:rStyle w:val="25"/>
                <w:b/>
                <w:bCs/>
              </w:rPr>
              <w:t>宗 旨 和</w:t>
            </w:r>
          </w:p>
          <w:p w14:paraId="58E4085C">
            <w:pPr>
              <w:jc w:val="center"/>
            </w:pPr>
            <w:r>
              <w:rPr>
                <w:rStyle w:val="25"/>
                <w:b/>
                <w:bCs/>
              </w:rPr>
              <w:t>业务范围</w:t>
            </w:r>
          </w:p>
        </w:tc>
        <w:tc>
          <w:tcPr>
            <w:tcW w:w="5925"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14:paraId="2142DE12">
            <w:pPr>
              <w:spacing w:line="320" w:lineRule="exact"/>
              <w:jc w:val="left"/>
            </w:pPr>
            <w:r>
              <w:rPr>
                <w:rStyle w:val="26"/>
              </w:rPr>
              <w:t>为人民身体健康提供防疫保障 疾病监测 疾病防治研究 疾病预防与控制 卫生监督与监测 突发卫生事件处理 卫生防疫培训与技术指导</w:t>
            </w:r>
          </w:p>
        </w:tc>
      </w:tr>
      <w:tr w14:paraId="50D6E301">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34" w:hRule="atLeast"/>
          <w:jc w:val="center"/>
        </w:trPr>
        <w:tc>
          <w:tcPr>
            <w:tcW w:w="2300" w:type="dxa"/>
            <w:vMerge w:val="continue"/>
            <w:tcBorders>
              <w:top w:val="single" w:color="auto" w:sz="12" w:space="0"/>
              <w:left w:val="single" w:color="auto" w:sz="12" w:space="0"/>
              <w:bottom w:val="single" w:color="auto" w:sz="4" w:space="0"/>
              <w:right w:val="single" w:color="auto" w:sz="4" w:space="0"/>
            </w:tcBorders>
            <w:shd w:val="clear" w:color="auto" w:fill="auto"/>
            <w:tcMar>
              <w:left w:w="0" w:type="dxa"/>
            </w:tcMar>
            <w:vAlign w:val="center"/>
          </w:tcPr>
          <w:p w14:paraId="3B164B1F">
            <w:pPr>
              <w:jc w:val="center"/>
              <w:rPr>
                <w:rFonts w:hint="eastAsia" w:ascii="宋体"/>
                <w:sz w:val="24"/>
                <w:szCs w:val="24"/>
              </w:rPr>
            </w:pPr>
          </w:p>
        </w:tc>
        <w:tc>
          <w:tcPr>
            <w:tcW w:w="2115" w:type="dxa"/>
            <w:tcBorders>
              <w:top w:val="single" w:color="auto" w:sz="4" w:space="0"/>
              <w:left w:val="single" w:color="auto" w:sz="4" w:space="0"/>
              <w:bottom w:val="single" w:color="auto" w:sz="4" w:space="0"/>
              <w:right w:val="single" w:color="auto" w:sz="4" w:space="0"/>
            </w:tcBorders>
            <w:shd w:val="clear" w:color="auto" w:fill="auto"/>
            <w:vAlign w:val="center"/>
          </w:tcPr>
          <w:p w14:paraId="6B7CF1D9">
            <w:pPr>
              <w:jc w:val="center"/>
            </w:pPr>
            <w:r>
              <w:rPr>
                <w:rStyle w:val="25"/>
                <w:b/>
                <w:bCs/>
              </w:rPr>
              <w:t>住    所</w:t>
            </w:r>
          </w:p>
        </w:tc>
        <w:tc>
          <w:tcPr>
            <w:tcW w:w="5925"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14:paraId="4814A7E0">
            <w:pPr>
              <w:spacing w:line="320" w:lineRule="exact"/>
              <w:jc w:val="left"/>
            </w:pPr>
            <w:r>
              <w:rPr>
                <w:rStyle w:val="26"/>
              </w:rPr>
              <w:t>重庆市大渡口区鑫康路14号</w:t>
            </w:r>
          </w:p>
        </w:tc>
      </w:tr>
      <w:tr w14:paraId="4CD78E1F">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34" w:hRule="atLeast"/>
          <w:jc w:val="center"/>
        </w:trPr>
        <w:tc>
          <w:tcPr>
            <w:tcW w:w="2300" w:type="dxa"/>
            <w:vMerge w:val="continue"/>
            <w:tcBorders>
              <w:top w:val="single" w:color="auto" w:sz="12" w:space="0"/>
              <w:left w:val="single" w:color="auto" w:sz="12" w:space="0"/>
              <w:bottom w:val="single" w:color="auto" w:sz="4" w:space="0"/>
              <w:right w:val="single" w:color="auto" w:sz="4" w:space="0"/>
            </w:tcBorders>
            <w:shd w:val="clear" w:color="auto" w:fill="auto"/>
            <w:tcMar>
              <w:left w:w="0" w:type="dxa"/>
            </w:tcMar>
            <w:vAlign w:val="center"/>
          </w:tcPr>
          <w:p w14:paraId="65C3799D">
            <w:pPr>
              <w:jc w:val="center"/>
              <w:rPr>
                <w:rFonts w:hint="eastAsia" w:ascii="宋体"/>
                <w:sz w:val="24"/>
                <w:szCs w:val="24"/>
              </w:rPr>
            </w:pPr>
          </w:p>
        </w:tc>
        <w:tc>
          <w:tcPr>
            <w:tcW w:w="2515" w:type="dxa"/>
            <w:tcBorders>
              <w:top w:val="single" w:color="auto" w:sz="4" w:space="0"/>
              <w:left w:val="single" w:color="auto" w:sz="4" w:space="0"/>
              <w:bottom w:val="single" w:color="auto" w:sz="4" w:space="0"/>
              <w:right w:val="single" w:color="auto" w:sz="4" w:space="0"/>
            </w:tcBorders>
            <w:shd w:val="clear" w:color="auto" w:fill="auto"/>
            <w:vAlign w:val="center"/>
          </w:tcPr>
          <w:p w14:paraId="4938AFE3">
            <w:pPr>
              <w:jc w:val="center"/>
            </w:pPr>
            <w:r>
              <w:rPr>
                <w:rStyle w:val="25"/>
                <w:b/>
                <w:bCs/>
              </w:rPr>
              <w:t>法定代表人</w:t>
            </w:r>
          </w:p>
        </w:tc>
        <w:tc>
          <w:tcPr>
            <w:tcW w:w="5925"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14:paraId="132A10C1">
            <w:pPr>
              <w:spacing w:line="320" w:lineRule="exact"/>
              <w:jc w:val="left"/>
            </w:pPr>
            <w:r>
              <w:rPr>
                <w:rStyle w:val="26"/>
              </w:rPr>
              <w:t>李学锋</w:t>
            </w:r>
          </w:p>
        </w:tc>
      </w:tr>
      <w:tr w14:paraId="4563F944">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34" w:hRule="atLeast"/>
          <w:jc w:val="center"/>
        </w:trPr>
        <w:tc>
          <w:tcPr>
            <w:tcW w:w="2300" w:type="dxa"/>
            <w:vMerge w:val="continue"/>
            <w:tcBorders>
              <w:top w:val="single" w:color="auto" w:sz="12" w:space="0"/>
              <w:left w:val="single" w:color="auto" w:sz="12" w:space="0"/>
              <w:bottom w:val="single" w:color="auto" w:sz="4" w:space="0"/>
              <w:right w:val="single" w:color="auto" w:sz="4" w:space="0"/>
            </w:tcBorders>
            <w:shd w:val="clear" w:color="auto" w:fill="auto"/>
            <w:tcMar>
              <w:left w:w="0" w:type="dxa"/>
            </w:tcMar>
            <w:vAlign w:val="center"/>
          </w:tcPr>
          <w:p w14:paraId="568B6CC7">
            <w:pPr>
              <w:jc w:val="center"/>
              <w:rPr>
                <w:rFonts w:hint="eastAsia" w:ascii="宋体"/>
                <w:sz w:val="24"/>
                <w:szCs w:val="24"/>
              </w:rPr>
            </w:pPr>
          </w:p>
        </w:tc>
        <w:tc>
          <w:tcPr>
            <w:tcW w:w="2115" w:type="dxa"/>
            <w:tcBorders>
              <w:top w:val="single" w:color="auto" w:sz="4" w:space="0"/>
              <w:left w:val="single" w:color="auto" w:sz="4" w:space="0"/>
              <w:bottom w:val="single" w:color="auto" w:sz="4" w:space="0"/>
              <w:right w:val="single" w:color="auto" w:sz="4" w:space="0"/>
            </w:tcBorders>
            <w:shd w:val="clear" w:color="auto" w:fill="auto"/>
            <w:vAlign w:val="center"/>
          </w:tcPr>
          <w:p w14:paraId="4989ADF6">
            <w:pPr>
              <w:jc w:val="center"/>
            </w:pPr>
            <w:r>
              <w:rPr>
                <w:rStyle w:val="25"/>
                <w:b/>
                <w:bCs/>
              </w:rPr>
              <w:t>开办资金</w:t>
            </w:r>
          </w:p>
        </w:tc>
        <w:tc>
          <w:tcPr>
            <w:tcW w:w="5925"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14:paraId="59657D0E">
            <w:pPr>
              <w:jc w:val="left"/>
            </w:pPr>
            <w:r>
              <w:rPr>
                <w:rStyle w:val="25"/>
              </w:rPr>
              <w:t>165万元</w:t>
            </w:r>
          </w:p>
        </w:tc>
      </w:tr>
      <w:tr w14:paraId="1678D3FA">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34" w:hRule="atLeast"/>
          <w:jc w:val="center"/>
        </w:trPr>
        <w:tc>
          <w:tcPr>
            <w:tcW w:w="2300" w:type="dxa"/>
            <w:vMerge w:val="continue"/>
            <w:tcBorders>
              <w:top w:val="single" w:color="auto" w:sz="12" w:space="0"/>
              <w:left w:val="single" w:color="auto" w:sz="12" w:space="0"/>
              <w:bottom w:val="single" w:color="auto" w:sz="4" w:space="0"/>
              <w:right w:val="single" w:color="auto" w:sz="4" w:space="0"/>
            </w:tcBorders>
            <w:shd w:val="clear" w:color="auto" w:fill="auto"/>
            <w:tcMar>
              <w:left w:w="0" w:type="dxa"/>
            </w:tcMar>
            <w:vAlign w:val="center"/>
          </w:tcPr>
          <w:p w14:paraId="06315B7C">
            <w:pPr>
              <w:jc w:val="center"/>
              <w:rPr>
                <w:rFonts w:hint="eastAsia" w:ascii="宋体"/>
                <w:sz w:val="24"/>
                <w:szCs w:val="24"/>
              </w:rPr>
            </w:pPr>
          </w:p>
        </w:tc>
        <w:tc>
          <w:tcPr>
            <w:tcW w:w="2115" w:type="dxa"/>
            <w:tcBorders>
              <w:top w:val="single" w:color="auto" w:sz="4" w:space="0"/>
              <w:left w:val="single" w:color="auto" w:sz="4" w:space="0"/>
              <w:bottom w:val="single" w:color="auto" w:sz="4" w:space="0"/>
              <w:right w:val="single" w:color="auto" w:sz="4" w:space="0"/>
            </w:tcBorders>
            <w:shd w:val="clear" w:color="auto" w:fill="auto"/>
            <w:vAlign w:val="center"/>
          </w:tcPr>
          <w:p w14:paraId="1501CDFF">
            <w:pPr>
              <w:jc w:val="center"/>
            </w:pPr>
            <w:r>
              <w:rPr>
                <w:rStyle w:val="25"/>
                <w:b/>
                <w:bCs/>
              </w:rPr>
              <w:t>经费来源</w:t>
            </w:r>
          </w:p>
        </w:tc>
        <w:tc>
          <w:tcPr>
            <w:tcW w:w="5925"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14:paraId="70F9C50D">
            <w:pPr>
              <w:spacing w:line="320" w:lineRule="exact"/>
              <w:jc w:val="left"/>
            </w:pPr>
            <w:r>
              <w:rPr>
                <w:rStyle w:val="26"/>
              </w:rPr>
              <w:t xml:space="preserve">财政补助 （全额拨款） </w:t>
            </w:r>
          </w:p>
        </w:tc>
      </w:tr>
      <w:tr w14:paraId="32A40F9F">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34" w:hRule="atLeast"/>
          <w:jc w:val="center"/>
        </w:trPr>
        <w:tc>
          <w:tcPr>
            <w:tcW w:w="2300" w:type="dxa"/>
            <w:vMerge w:val="continue"/>
            <w:tcBorders>
              <w:top w:val="single" w:color="auto" w:sz="12" w:space="0"/>
              <w:left w:val="single" w:color="auto" w:sz="12" w:space="0"/>
              <w:bottom w:val="single" w:color="auto" w:sz="4" w:space="0"/>
              <w:right w:val="single" w:color="auto" w:sz="4" w:space="0"/>
            </w:tcBorders>
            <w:shd w:val="clear" w:color="auto" w:fill="auto"/>
            <w:tcMar>
              <w:left w:w="0" w:type="dxa"/>
            </w:tcMar>
            <w:vAlign w:val="center"/>
          </w:tcPr>
          <w:p w14:paraId="5B5AE460">
            <w:pPr>
              <w:jc w:val="center"/>
              <w:rPr>
                <w:rFonts w:hint="eastAsia" w:ascii="宋体"/>
                <w:sz w:val="24"/>
                <w:szCs w:val="24"/>
              </w:rPr>
            </w:pPr>
          </w:p>
        </w:tc>
        <w:tc>
          <w:tcPr>
            <w:tcW w:w="2115" w:type="dxa"/>
            <w:tcBorders>
              <w:top w:val="single" w:color="auto" w:sz="4" w:space="0"/>
              <w:left w:val="single" w:color="auto" w:sz="4" w:space="0"/>
              <w:bottom w:val="single" w:color="auto" w:sz="4" w:space="0"/>
              <w:right w:val="single" w:color="auto" w:sz="4" w:space="0"/>
            </w:tcBorders>
            <w:shd w:val="clear" w:color="auto" w:fill="auto"/>
            <w:vAlign w:val="center"/>
          </w:tcPr>
          <w:p w14:paraId="6E554759">
            <w:pPr>
              <w:jc w:val="center"/>
            </w:pPr>
            <w:r>
              <w:rPr>
                <w:rStyle w:val="25"/>
                <w:b/>
                <w:bCs/>
              </w:rPr>
              <w:t>举办单位</w:t>
            </w:r>
          </w:p>
        </w:tc>
        <w:tc>
          <w:tcPr>
            <w:tcW w:w="5925"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14:paraId="1F69F9A3">
            <w:pPr>
              <w:spacing w:line="320" w:lineRule="exact"/>
              <w:jc w:val="left"/>
            </w:pPr>
            <w:r>
              <w:rPr>
                <w:rStyle w:val="26"/>
              </w:rPr>
              <w:t>重庆市大渡口区卫生健康委员会</w:t>
            </w:r>
          </w:p>
        </w:tc>
      </w:tr>
      <w:tr w14:paraId="5D348F93">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674" w:hRule="atLeast"/>
          <w:jc w:val="center"/>
        </w:trPr>
        <w:tc>
          <w:tcPr>
            <w:tcW w:w="1900"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14:paraId="5213D6CE">
            <w:pPr>
              <w:jc w:val="center"/>
            </w:pPr>
            <w:r>
              <w:rPr>
                <w:rStyle w:val="25"/>
                <w:b/>
                <w:bCs/>
              </w:rPr>
              <w:t>资产</w:t>
            </w:r>
          </w:p>
          <w:p w14:paraId="1C1BFEE6">
            <w:pPr>
              <w:jc w:val="center"/>
            </w:pPr>
            <w:r>
              <w:rPr>
                <w:rStyle w:val="25"/>
                <w:b/>
                <w:bCs/>
              </w:rPr>
              <w:t>损益</w:t>
            </w:r>
          </w:p>
          <w:p w14:paraId="4501F2BA">
            <w:pPr>
              <w:jc w:val="center"/>
            </w:pPr>
            <w:r>
              <w:rPr>
                <w:rStyle w:val="25"/>
                <w:b/>
                <w:bCs/>
              </w:rPr>
              <w:t>情况</w:t>
            </w:r>
          </w:p>
        </w:tc>
        <w:tc>
          <w:tcPr>
            <w:tcW w:w="1995" w:type="dxa"/>
            <w:gridSpan w:val="4"/>
            <w:tcBorders>
              <w:top w:val="single" w:color="auto" w:sz="4" w:space="0"/>
              <w:left w:val="single" w:color="auto" w:sz="4" w:space="0"/>
              <w:bottom w:val="single" w:color="auto" w:sz="4" w:space="0"/>
              <w:right w:val="single" w:color="auto" w:sz="12" w:space="0"/>
            </w:tcBorders>
            <w:shd w:val="clear" w:color="auto" w:fill="auto"/>
            <w:vAlign w:val="center"/>
          </w:tcPr>
          <w:p w14:paraId="61D6800B">
            <w:pPr>
              <w:jc w:val="center"/>
            </w:pPr>
            <w:r>
              <w:rPr>
                <w:rStyle w:val="25"/>
                <w:b/>
                <w:bCs/>
              </w:rPr>
              <w:t>净资产合计（所有者权益合计）</w:t>
            </w:r>
          </w:p>
        </w:tc>
      </w:tr>
      <w:tr w14:paraId="1465E052">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674" w:hRule="atLeast"/>
          <w:jc w:val="center"/>
        </w:trPr>
        <w:tc>
          <w:tcPr>
            <w:tcW w:w="1900"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596F933E">
            <w:pPr>
              <w:rPr>
                <w:rFonts w:hint="eastAsia" w:ascii="宋体"/>
                <w:sz w:val="24"/>
                <w:szCs w:val="24"/>
              </w:rPr>
            </w:pPr>
          </w:p>
        </w:tc>
        <w:tc>
          <w:tcPr>
            <w:tcW w:w="41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F085A4">
            <w:pPr>
              <w:jc w:val="center"/>
            </w:pPr>
            <w:r>
              <w:rPr>
                <w:rStyle w:val="25"/>
                <w:b/>
                <w:bCs/>
              </w:rPr>
              <w:t>年初数（万元）</w:t>
            </w:r>
          </w:p>
        </w:tc>
        <w:tc>
          <w:tcPr>
            <w:tcW w:w="4140"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14:paraId="3551F9E8">
            <w:pPr>
              <w:jc w:val="center"/>
            </w:pPr>
            <w:r>
              <w:rPr>
                <w:rStyle w:val="25"/>
                <w:b/>
                <w:bCs/>
              </w:rPr>
              <w:t>年末数（万元）</w:t>
            </w:r>
          </w:p>
        </w:tc>
      </w:tr>
      <w:tr w14:paraId="709760B1">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674" w:hRule="atLeast"/>
          <w:jc w:val="center"/>
        </w:trPr>
        <w:tc>
          <w:tcPr>
            <w:tcW w:w="1900"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31125581">
            <w:pPr>
              <w:rPr>
                <w:rFonts w:hint="eastAsia" w:ascii="宋体"/>
                <w:sz w:val="24"/>
                <w:szCs w:val="24"/>
              </w:rPr>
            </w:pPr>
          </w:p>
        </w:tc>
        <w:tc>
          <w:tcPr>
            <w:tcW w:w="41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C1F779">
            <w:pPr>
              <w:jc w:val="center"/>
            </w:pPr>
            <w:r>
              <w:rPr>
                <w:rStyle w:val="25"/>
              </w:rPr>
              <w:t>2318.39</w:t>
            </w:r>
          </w:p>
        </w:tc>
        <w:tc>
          <w:tcPr>
            <w:tcW w:w="1995"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14:paraId="593159DD">
            <w:pPr>
              <w:jc w:val="center"/>
            </w:pPr>
            <w:r>
              <w:rPr>
                <w:rStyle w:val="25"/>
              </w:rPr>
              <w:t>3771.28</w:t>
            </w:r>
          </w:p>
        </w:tc>
      </w:tr>
      <w:tr w14:paraId="39CDAC19">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674" w:hRule="atLeast"/>
          <w:jc w:val="center"/>
        </w:trPr>
        <w:tc>
          <w:tcPr>
            <w:tcW w:w="1700" w:type="dxa"/>
            <w:tcBorders>
              <w:top w:val="single" w:color="auto" w:sz="4" w:space="0"/>
              <w:left w:val="single" w:color="auto" w:sz="12" w:space="0"/>
              <w:bottom w:val="single" w:color="auto" w:sz="4" w:space="0"/>
              <w:right w:val="single" w:color="auto" w:sz="4" w:space="0"/>
            </w:tcBorders>
            <w:shd w:val="clear" w:color="auto" w:fill="auto"/>
            <w:vAlign w:val="center"/>
          </w:tcPr>
          <w:p w14:paraId="32F54E53">
            <w:pPr>
              <w:jc w:val="center"/>
            </w:pPr>
            <w:r>
              <w:rPr>
                <w:rStyle w:val="25"/>
                <w:b/>
                <w:bCs/>
              </w:rPr>
              <w:t>网上名称</w:t>
            </w:r>
          </w:p>
        </w:tc>
        <w:tc>
          <w:tcPr>
            <w:tcW w:w="3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E6489E">
            <w:r>
              <w:rPr>
                <w:rStyle w:val="25"/>
              </w:rPr>
              <w:t>无</w:t>
            </w: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14:paraId="0866A974">
            <w:pPr>
              <w:jc w:val="center"/>
            </w:pPr>
            <w:r>
              <w:rPr>
                <w:rStyle w:val="25"/>
                <w:b/>
                <w:bCs/>
              </w:rPr>
              <w:t>从业人数</w:t>
            </w:r>
          </w:p>
        </w:tc>
        <w:tc>
          <w:tcPr>
            <w:tcW w:w="1995" w:type="dxa"/>
            <w:tcBorders>
              <w:top w:val="single" w:color="auto" w:sz="4" w:space="0"/>
              <w:left w:val="single" w:color="auto" w:sz="4" w:space="0"/>
              <w:bottom w:val="single" w:color="auto" w:sz="4" w:space="0"/>
              <w:right w:val="single" w:color="auto" w:sz="12" w:space="0"/>
            </w:tcBorders>
            <w:shd w:val="clear" w:color="auto" w:fill="auto"/>
            <w:vAlign w:val="center"/>
          </w:tcPr>
          <w:p w14:paraId="347F90D1">
            <w:pPr>
              <w:jc w:val="center"/>
            </w:pPr>
            <w:r>
              <w:rPr>
                <w:rStyle w:val="25"/>
              </w:rPr>
              <w:t>69</w:t>
            </w:r>
          </w:p>
        </w:tc>
      </w:tr>
      <w:tr w14:paraId="5323B815">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95" w:hRule="atLeast"/>
          <w:jc w:val="center"/>
        </w:trPr>
        <w:tc>
          <w:tcPr>
            <w:tcW w:w="1700" w:type="dxa"/>
            <w:tcBorders>
              <w:top w:val="single" w:color="auto" w:sz="4" w:space="0"/>
              <w:left w:val="single" w:color="auto" w:sz="12" w:space="0"/>
              <w:bottom w:val="single" w:color="auto" w:sz="12" w:space="0"/>
              <w:right w:val="single" w:color="auto" w:sz="4" w:space="0"/>
            </w:tcBorders>
            <w:shd w:val="clear" w:color="auto" w:fill="auto"/>
            <w:vAlign w:val="center"/>
          </w:tcPr>
          <w:p w14:paraId="258AB6B3">
            <w:pPr>
              <w:jc w:val="center"/>
            </w:pPr>
            <w:r>
              <w:rPr>
                <w:rStyle w:val="25"/>
                <w:b/>
                <w:bCs/>
              </w:rPr>
              <w:t>对《条</w:t>
            </w:r>
          </w:p>
          <w:p w14:paraId="3077FB51">
            <w:pPr>
              <w:jc w:val="center"/>
            </w:pPr>
            <w:r>
              <w:rPr>
                <w:rStyle w:val="25"/>
                <w:b/>
                <w:bCs/>
              </w:rPr>
              <w:t>例》和</w:t>
            </w:r>
          </w:p>
          <w:p w14:paraId="1BF57943">
            <w:pPr>
              <w:jc w:val="center"/>
            </w:pPr>
            <w:r>
              <w:rPr>
                <w:rStyle w:val="25"/>
                <w:b/>
                <w:bCs/>
              </w:rPr>
              <w:t>实施细</w:t>
            </w:r>
          </w:p>
          <w:p w14:paraId="2339B458">
            <w:pPr>
              <w:jc w:val="center"/>
            </w:pPr>
            <w:r>
              <w:rPr>
                <w:rStyle w:val="25"/>
                <w:b/>
                <w:bCs/>
              </w:rPr>
              <w:t>则有关</w:t>
            </w:r>
          </w:p>
          <w:p w14:paraId="04A8CFDE">
            <w:pPr>
              <w:jc w:val="center"/>
            </w:pPr>
            <w:r>
              <w:rPr>
                <w:rStyle w:val="25"/>
                <w:b/>
                <w:bCs/>
              </w:rPr>
              <w:t>变更登</w:t>
            </w:r>
          </w:p>
          <w:p w14:paraId="2A0D617C">
            <w:pPr>
              <w:jc w:val="center"/>
            </w:pPr>
            <w:r>
              <w:rPr>
                <w:rStyle w:val="25"/>
                <w:b/>
                <w:bCs/>
              </w:rPr>
              <w:t>记规定</w:t>
            </w:r>
          </w:p>
          <w:p w14:paraId="0C6356D2">
            <w:pPr>
              <w:jc w:val="center"/>
            </w:pPr>
            <w:r>
              <w:rPr>
                <w:rStyle w:val="25"/>
                <w:b/>
                <w:bCs/>
              </w:rPr>
              <w:t>的执行</w:t>
            </w:r>
          </w:p>
          <w:p w14:paraId="0591E9FF">
            <w:pPr>
              <w:jc w:val="center"/>
            </w:pPr>
            <w:r>
              <w:rPr>
                <w:rStyle w:val="25"/>
                <w:b/>
                <w:bCs/>
              </w:rPr>
              <w:t>情 况</w:t>
            </w:r>
          </w:p>
        </w:tc>
        <w:tc>
          <w:tcPr>
            <w:tcW w:w="7920" w:type="dxa"/>
            <w:gridSpan w:val="4"/>
            <w:tcBorders>
              <w:top w:val="single" w:color="auto" w:sz="4" w:space="0"/>
              <w:left w:val="single" w:color="auto" w:sz="4" w:space="0"/>
              <w:bottom w:val="single" w:color="auto" w:sz="12" w:space="0"/>
              <w:right w:val="single" w:color="auto" w:sz="12" w:space="0"/>
            </w:tcBorders>
            <w:shd w:val="clear" w:color="auto" w:fill="auto"/>
            <w:vAlign w:val="top"/>
          </w:tcPr>
          <w:p w14:paraId="419C56DF">
            <w:pPr>
              <w:jc w:val="left"/>
            </w:pPr>
            <w:r>
              <w:rPr>
                <w:rStyle w:val="26"/>
              </w:rPr>
              <w:t>我单位今年以来登记事项未发生变化。</w:t>
            </w:r>
          </w:p>
        </w:tc>
      </w:tr>
      <w:tr w14:paraId="6070C02C">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13900" w:hRule="atLeast"/>
          <w:jc w:val="center"/>
        </w:trPr>
        <w:tc>
          <w:tcPr>
            <w:tcW w:w="1700" w:type="dxa"/>
            <w:tcBorders>
              <w:top w:val="single" w:color="auto" w:sz="12" w:space="0"/>
              <w:left w:val="single" w:color="auto" w:sz="12" w:space="0"/>
              <w:bottom w:val="single" w:color="auto" w:sz="12" w:space="0"/>
              <w:right w:val="single" w:color="auto" w:sz="4" w:space="0"/>
            </w:tcBorders>
            <w:shd w:val="clear" w:color="auto" w:fill="auto"/>
            <w:vAlign w:val="center"/>
          </w:tcPr>
          <w:p w14:paraId="213FDAD3">
            <w:pPr>
              <w:jc w:val="center"/>
            </w:pPr>
            <w:r>
              <w:rPr>
                <w:rStyle w:val="25"/>
                <w:b/>
                <w:bCs/>
              </w:rPr>
              <w:t>开</w:t>
            </w:r>
          </w:p>
          <w:p w14:paraId="132EF105">
            <w:pPr>
              <w:jc w:val="center"/>
            </w:pPr>
            <w:r>
              <w:rPr>
                <w:rStyle w:val="25"/>
                <w:b/>
                <w:bCs/>
              </w:rPr>
              <w:t>展</w:t>
            </w:r>
          </w:p>
          <w:p w14:paraId="56729833">
            <w:pPr>
              <w:jc w:val="center"/>
            </w:pPr>
            <w:r>
              <w:rPr>
                <w:rStyle w:val="25"/>
                <w:b/>
                <w:bCs/>
              </w:rPr>
              <w:t>业</w:t>
            </w:r>
          </w:p>
          <w:p w14:paraId="5FD257A8">
            <w:pPr>
              <w:jc w:val="center"/>
            </w:pPr>
            <w:r>
              <w:rPr>
                <w:rStyle w:val="25"/>
                <w:b/>
                <w:bCs/>
              </w:rPr>
              <w:t>务</w:t>
            </w:r>
          </w:p>
          <w:p w14:paraId="48802E66">
            <w:pPr>
              <w:jc w:val="center"/>
            </w:pPr>
            <w:r>
              <w:rPr>
                <w:rStyle w:val="25"/>
                <w:b/>
                <w:bCs/>
              </w:rPr>
              <w:t>活</w:t>
            </w:r>
          </w:p>
          <w:p w14:paraId="7D30F786">
            <w:pPr>
              <w:jc w:val="center"/>
            </w:pPr>
            <w:r>
              <w:rPr>
                <w:rStyle w:val="25"/>
                <w:b/>
                <w:bCs/>
              </w:rPr>
              <w:t>动</w:t>
            </w:r>
          </w:p>
          <w:p w14:paraId="0A85F48B">
            <w:pPr>
              <w:jc w:val="center"/>
            </w:pPr>
            <w:r>
              <w:rPr>
                <w:rStyle w:val="25"/>
                <w:b/>
                <w:bCs/>
              </w:rPr>
              <w:t>情</w:t>
            </w:r>
          </w:p>
          <w:p w14:paraId="546A075E">
            <w:pPr>
              <w:jc w:val="center"/>
            </w:pPr>
            <w:r>
              <w:rPr>
                <w:rStyle w:val="25"/>
                <w:b/>
                <w:bCs/>
              </w:rPr>
              <w:t>况</w:t>
            </w:r>
          </w:p>
        </w:tc>
        <w:tc>
          <w:tcPr>
            <w:tcW w:w="7920" w:type="dxa"/>
            <w:gridSpan w:val="4"/>
            <w:tcBorders>
              <w:top w:val="single" w:color="auto" w:sz="12" w:space="0"/>
              <w:left w:val="single" w:color="auto" w:sz="4" w:space="0"/>
              <w:bottom w:val="single" w:color="auto" w:sz="12" w:space="0"/>
              <w:right w:val="single" w:color="auto" w:sz="12" w:space="0"/>
            </w:tcBorders>
            <w:shd w:val="clear" w:color="auto" w:fill="auto"/>
            <w:vAlign w:val="top"/>
          </w:tcPr>
          <w:p w14:paraId="7D9DF60C">
            <w:pPr>
              <w:keepNext w:val="0"/>
              <w:keepLines w:val="0"/>
              <w:pageBreakBefore w:val="0"/>
              <w:widowControl w:val="0"/>
              <w:kinsoku/>
              <w:wordWrap/>
              <w:overflowPunct/>
              <w:topLinePunct w:val="0"/>
              <w:autoSpaceDE/>
              <w:autoSpaceDN/>
              <w:bidi w:val="0"/>
              <w:adjustRightInd/>
              <w:snapToGrid/>
              <w:spacing w:line="400" w:lineRule="exact"/>
              <w:jc w:val="left"/>
              <w:textAlignment w:val="auto"/>
            </w:pPr>
            <w:r>
              <w:rPr>
                <w:rStyle w:val="25"/>
              </w:rPr>
              <w:t>2024年，区疾控中心持续深化疾控机构改革，全力推进重大传染病防治能力建设和公共卫生保障能力提升等重点任务，有力推动了全区疾控事业高质量发展：一是核心业务亮点突出。在慢病防控领域取得了令人瞩目的成绩，成功通过了慢病示范区市级复审，4篇案例入选重庆市2024年慢性病综合防控工作的优秀案例集，并在《重庆日报》上发表庆祝新中国成立75周年的精彩案例。HIV确诊实验室正式</w:t>
            </w:r>
            <w:bookmarkStart w:id="0" w:name="_GoBack"/>
            <w:bookmarkEnd w:id="0"/>
            <w:r>
              <w:rPr>
                <w:rStyle w:val="25"/>
              </w:rPr>
              <w:t>投用，标志着我区在艾滋病防控领域取得重要进展。首次成功取得放射卫生技术服务资质，填补了职业卫生与放射卫生技术服务资质的“双空白”。公共卫生监测工作全面达标，国家人体生物监测项目在我区顺利开展，为保障公众健康提供了有力的数据支持。同时，健康教育创新发展，居民健康素养水平显著提升，达到35.21%，科普网络日益健全，宣传载体多元化，为健康知识的普及营造了优质的生态环境。二是工作有序指标攀升。在传染病防控方面，监测预警灵敏高效，乙类传染病同比降 38.46%，成功妥善解决了74起聚集性疫情，有效应对了诺如疫情挑战。学校流感防控方面，构建了完善的监测预警、疫苗接种、家校联动等多策并举的防控体系，精准处置了383例确诊病例，宣传覆盖了6万余人次，有效筑牢了校园健康屏障，确保了教学秩序的井然有序。地方病与寄生虫病防治工作也不遗余力，疟疾、碘缺乏病监测等任务均圆满完成。结核疫情平稳下行，艾滋病示范区创建工作高效推进，严重精神障碍管理指标持续向好，同伴支持项目扩面增效，助力患者康复就业。多病共管、健康骨骼等项目也扎实推进，学生近视率降低了0.84%。实验室建设取得进步，二甲扩项工作稳步推进。在疫苗接种方面，接种服务质量显著提升，持续推进全区初二年级在校女学生HPV疫苗接种工作，AEFI报告率达到了50/10万。积极对接企业需求，精准帮扶了20家企业提升健康水平，为企业员工的健康福祉提供有力保障。</w:t>
            </w:r>
          </w:p>
        </w:tc>
      </w:tr>
      <w:tr w14:paraId="1DC29B7A">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763" w:hRule="atLeast"/>
          <w:jc w:val="center"/>
        </w:trPr>
        <w:tc>
          <w:tcPr>
            <w:tcW w:w="1700" w:type="dxa"/>
            <w:tcBorders>
              <w:top w:val="single" w:color="auto" w:sz="4" w:space="0"/>
              <w:left w:val="single" w:color="auto" w:sz="12" w:space="0"/>
              <w:bottom w:val="single" w:color="auto" w:sz="4" w:space="0"/>
              <w:right w:val="single" w:color="auto" w:sz="4" w:space="0"/>
            </w:tcBorders>
            <w:shd w:val="clear" w:color="auto" w:fill="auto"/>
            <w:vAlign w:val="center"/>
          </w:tcPr>
          <w:p w14:paraId="3E485D7A">
            <w:pPr>
              <w:jc w:val="center"/>
            </w:pPr>
            <w:r>
              <w:rPr>
                <w:rStyle w:val="25"/>
                <w:b/>
                <w:bCs/>
              </w:rPr>
              <w:t>相关资质</w:t>
            </w:r>
          </w:p>
          <w:p w14:paraId="49B16B91">
            <w:pPr>
              <w:jc w:val="center"/>
            </w:pPr>
            <w:r>
              <w:rPr>
                <w:rStyle w:val="25"/>
                <w:b/>
                <w:bCs/>
              </w:rPr>
              <w:t>认可或执</w:t>
            </w:r>
          </w:p>
          <w:p w14:paraId="4467B908">
            <w:pPr>
              <w:jc w:val="center"/>
            </w:pPr>
            <w:r>
              <w:rPr>
                <w:rStyle w:val="25"/>
                <w:b/>
                <w:bCs/>
              </w:rPr>
              <w:t>业许可证</w:t>
            </w:r>
          </w:p>
          <w:p w14:paraId="1F32B8E6">
            <w:pPr>
              <w:jc w:val="center"/>
            </w:pPr>
            <w:r>
              <w:rPr>
                <w:rStyle w:val="25"/>
                <w:b/>
                <w:bCs/>
              </w:rPr>
              <w:t>明文件及</w:t>
            </w:r>
          </w:p>
          <w:p w14:paraId="01508679">
            <w:pPr>
              <w:jc w:val="center"/>
            </w:pPr>
            <w:r>
              <w:rPr>
                <w:rStyle w:val="25"/>
                <w:b/>
                <w:bCs/>
              </w:rPr>
              <w:t>有效期</w:t>
            </w:r>
          </w:p>
        </w:tc>
        <w:tc>
          <w:tcPr>
            <w:tcW w:w="7920" w:type="dxa"/>
            <w:gridSpan w:val="4"/>
            <w:tcBorders>
              <w:top w:val="single" w:color="auto" w:sz="4" w:space="0"/>
              <w:left w:val="single" w:color="auto" w:sz="4" w:space="0"/>
              <w:bottom w:val="single" w:color="auto" w:sz="4" w:space="0"/>
              <w:right w:val="single" w:color="auto" w:sz="12" w:space="0"/>
            </w:tcBorders>
            <w:shd w:val="clear" w:color="auto" w:fill="auto"/>
            <w:vAlign w:val="top"/>
          </w:tcPr>
          <w:p w14:paraId="31B094CF">
            <w:pPr>
              <w:jc w:val="left"/>
            </w:pPr>
            <w:r>
              <w:rPr>
                <w:rStyle w:val="26"/>
              </w:rPr>
              <w:t>重庆市大渡口区疾病预防控制中心检验检测资质认定证书（有效期至2029年7月17日） 重庆市大渡口区疾病预防控制中心医疗机构执业许可证（有效期至2028年06月27日）</w:t>
            </w:r>
          </w:p>
        </w:tc>
      </w:tr>
      <w:tr w14:paraId="3D1574B5">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2479" w:hRule="atLeast"/>
          <w:jc w:val="center"/>
        </w:trPr>
        <w:tc>
          <w:tcPr>
            <w:tcW w:w="1700" w:type="dxa"/>
            <w:tcBorders>
              <w:top w:val="single" w:color="auto" w:sz="4" w:space="0"/>
              <w:left w:val="single" w:color="auto" w:sz="12" w:space="0"/>
              <w:bottom w:val="single" w:color="auto" w:sz="4" w:space="0"/>
              <w:right w:val="single" w:color="auto" w:sz="4" w:space="0"/>
            </w:tcBorders>
            <w:shd w:val="clear" w:color="auto" w:fill="auto"/>
            <w:vAlign w:val="center"/>
          </w:tcPr>
          <w:p w14:paraId="3799C184">
            <w:pPr>
              <w:jc w:val="center"/>
            </w:pPr>
            <w:r>
              <w:rPr>
                <w:rStyle w:val="25"/>
                <w:b/>
                <w:bCs/>
              </w:rPr>
              <w:t>绩 效 和</w:t>
            </w:r>
          </w:p>
          <w:p w14:paraId="5B11F884">
            <w:pPr>
              <w:jc w:val="center"/>
            </w:pPr>
            <w:r>
              <w:rPr>
                <w:rStyle w:val="25"/>
                <w:b/>
                <w:bCs/>
              </w:rPr>
              <w:t>受奖惩及</w:t>
            </w:r>
          </w:p>
          <w:p w14:paraId="3FB42BF2">
            <w:pPr>
              <w:jc w:val="center"/>
            </w:pPr>
            <w:r>
              <w:rPr>
                <w:rStyle w:val="25"/>
                <w:b/>
                <w:bCs/>
              </w:rPr>
              <w:t>诉讼投诉</w:t>
            </w:r>
          </w:p>
          <w:p w14:paraId="17ED93E7">
            <w:pPr>
              <w:jc w:val="center"/>
            </w:pPr>
            <w:r>
              <w:rPr>
                <w:rStyle w:val="25"/>
                <w:b/>
                <w:bCs/>
              </w:rPr>
              <w:t>情 况</w:t>
            </w:r>
          </w:p>
        </w:tc>
        <w:tc>
          <w:tcPr>
            <w:tcW w:w="7920" w:type="dxa"/>
            <w:gridSpan w:val="4"/>
            <w:tcBorders>
              <w:top w:val="single" w:color="auto" w:sz="4" w:space="0"/>
              <w:left w:val="single" w:color="auto" w:sz="4" w:space="0"/>
              <w:bottom w:val="single" w:color="auto" w:sz="4" w:space="0"/>
              <w:right w:val="single" w:color="auto" w:sz="12" w:space="0"/>
            </w:tcBorders>
            <w:shd w:val="clear" w:color="auto" w:fill="auto"/>
            <w:vAlign w:val="top"/>
          </w:tcPr>
          <w:p w14:paraId="13975534">
            <w:pPr>
              <w:jc w:val="left"/>
            </w:pPr>
            <w:r>
              <w:rPr>
                <w:rStyle w:val="26"/>
              </w:rPr>
              <w:t>涉及诉讼情况：今年我单位没有涉及诉讼事项。</w:t>
            </w:r>
          </w:p>
        </w:tc>
      </w:tr>
      <w:tr w14:paraId="5F53DD0C">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2363" w:hRule="atLeast"/>
          <w:jc w:val="center"/>
        </w:trPr>
        <w:tc>
          <w:tcPr>
            <w:tcW w:w="1700" w:type="dxa"/>
            <w:tcBorders>
              <w:top w:val="single" w:color="auto" w:sz="4" w:space="0"/>
              <w:left w:val="single" w:color="auto" w:sz="12" w:space="0"/>
              <w:bottom w:val="single" w:color="auto" w:sz="4" w:space="0"/>
              <w:right w:val="single" w:color="auto" w:sz="4" w:space="0"/>
            </w:tcBorders>
            <w:shd w:val="clear" w:color="auto" w:fill="auto"/>
            <w:vAlign w:val="center"/>
          </w:tcPr>
          <w:p w14:paraId="047DC994">
            <w:pPr>
              <w:jc w:val="center"/>
            </w:pPr>
            <w:r>
              <w:rPr>
                <w:rStyle w:val="25"/>
                <w:b/>
                <w:bCs/>
              </w:rPr>
              <w:t>接受捐赠</w:t>
            </w:r>
          </w:p>
          <w:p w14:paraId="6A94199D">
            <w:pPr>
              <w:jc w:val="center"/>
            </w:pPr>
            <w:r>
              <w:rPr>
                <w:rStyle w:val="25"/>
                <w:b/>
                <w:bCs/>
              </w:rPr>
              <w:t>资助及其</w:t>
            </w:r>
          </w:p>
          <w:p w14:paraId="22C97C71">
            <w:pPr>
              <w:jc w:val="center"/>
            </w:pPr>
            <w:r>
              <w:rPr>
                <w:rStyle w:val="25"/>
                <w:b/>
                <w:bCs/>
              </w:rPr>
              <w:t>使用情况</w:t>
            </w:r>
          </w:p>
        </w:tc>
        <w:tc>
          <w:tcPr>
            <w:tcW w:w="7920" w:type="dxa"/>
            <w:gridSpan w:val="4"/>
            <w:tcBorders>
              <w:top w:val="single" w:color="auto" w:sz="4" w:space="0"/>
              <w:left w:val="single" w:color="auto" w:sz="4" w:space="0"/>
              <w:bottom w:val="single" w:color="auto" w:sz="4" w:space="0"/>
              <w:right w:val="single" w:color="auto" w:sz="12" w:space="0"/>
            </w:tcBorders>
            <w:shd w:val="clear" w:color="auto" w:fill="auto"/>
            <w:vAlign w:val="top"/>
          </w:tcPr>
          <w:p w14:paraId="3BE5BF86">
            <w:pPr>
              <w:jc w:val="left"/>
            </w:pPr>
            <w:r>
              <w:rPr>
                <w:rStyle w:val="26"/>
              </w:rPr>
              <w:t>无</w:t>
            </w:r>
          </w:p>
        </w:tc>
      </w:tr>
    </w:tbl>
    <w:p w14:paraId="51BE90C4">
      <w:pPr>
        <w:jc w:val="left"/>
        <w:rPr>
          <w:rFonts w:hint="eastAsia" w:ascii="楷体_GB2312" w:eastAsia="楷体_GB2312" w:cs="楷体_GB2312"/>
          <w:b/>
          <w:bCs/>
          <w:sz w:val="18"/>
          <w:szCs w:val="24"/>
          <w:lang w:eastAsia="zh-CN"/>
        </w:rPr>
      </w:pPr>
    </w:p>
    <w:sectPr>
      <w:pgSz w:w="11906" w:h="16838"/>
      <w:pgMar w:top="1440" w:right="1135" w:bottom="1440" w:left="1135"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142573"/>
    <w:rsid w:val="5CCC0AA8"/>
    <w:rsid w:val="638D02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0"/>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widowControl/>
      <w:spacing w:before="0" w:beforeAutospacing="1" w:after="0" w:afterAutospacing="1"/>
      <w:ind w:left="0" w:right="0"/>
      <w:jc w:val="left"/>
    </w:pPr>
    <w:rPr>
      <w:rFonts w:ascii="宋体" w:hAnsi="宋体" w:eastAsia="宋体" w:cs="宋体"/>
      <w:kern w:val="0"/>
      <w:sz w:val="24"/>
      <w:lang w:val="en-US" w:eastAsia="zh-CN" w:bidi="ar"/>
    </w:rPr>
  </w:style>
  <w:style w:type="paragraph" w:customStyle="1" w:styleId="12">
    <w:name w:val="font2"/>
    <w:basedOn w:val="1"/>
    <w:uiPriority w:val="0"/>
    <w:pPr>
      <w:widowControl/>
      <w:jc w:val="left"/>
    </w:pPr>
    <w:rPr>
      <w:rFonts w:hint="eastAsia" w:ascii="Times New Roman" w:hAnsi="宋体" w:eastAsia="楷体_GB2312" w:cs="楷体_GB2312"/>
      <w:kern w:val="0"/>
      <w:sz w:val="30"/>
      <w:szCs w:val="24"/>
      <w:lang w:val="en-US" w:eastAsia="zh-CN" w:bidi="ar"/>
    </w:rPr>
  </w:style>
  <w:style w:type="paragraph" w:customStyle="1" w:styleId="13">
    <w:name w:val="font5"/>
    <w:basedOn w:val="1"/>
    <w:uiPriority w:val="0"/>
    <w:pPr>
      <w:widowControl/>
      <w:jc w:val="left"/>
    </w:pPr>
    <w:rPr>
      <w:rFonts w:hint="eastAsia" w:ascii="黑体" w:hAnsi="宋体" w:eastAsia="黑体" w:cs="黑体"/>
      <w:kern w:val="0"/>
      <w:sz w:val="36"/>
      <w:szCs w:val="24"/>
      <w:lang w:val="en-US" w:eastAsia="zh-CN" w:bidi="ar"/>
    </w:rPr>
  </w:style>
  <w:style w:type="paragraph" w:customStyle="1" w:styleId="14">
    <w:name w:val="font4"/>
    <w:basedOn w:val="1"/>
    <w:uiPriority w:val="0"/>
    <w:pPr>
      <w:widowControl/>
      <w:jc w:val="left"/>
    </w:pPr>
    <w:rPr>
      <w:rFonts w:ascii="宋体" w:hAnsi="宋体" w:eastAsia="楷体_GB2312" w:cs="宋体"/>
      <w:spacing w:val="30"/>
      <w:kern w:val="0"/>
      <w:sz w:val="36"/>
      <w:szCs w:val="24"/>
      <w:lang w:val="en-US" w:eastAsia="zh-CN" w:bidi="ar"/>
    </w:rPr>
  </w:style>
  <w:style w:type="paragraph" w:customStyle="1" w:styleId="15">
    <w:name w:val="font1"/>
    <w:basedOn w:val="1"/>
    <w:uiPriority w:val="0"/>
    <w:pPr>
      <w:widowControl/>
      <w:jc w:val="left"/>
    </w:pPr>
    <w:rPr>
      <w:rFonts w:ascii="宋体" w:hAnsi="宋体" w:eastAsia="仿宋_GB2312" w:cs="宋体"/>
      <w:kern w:val="0"/>
      <w:sz w:val="30"/>
      <w:szCs w:val="24"/>
      <w:lang w:val="en-US" w:eastAsia="zh-CN" w:bidi="ar"/>
    </w:rPr>
  </w:style>
  <w:style w:type="paragraph" w:customStyle="1" w:styleId="16">
    <w:name w:val="font3"/>
    <w:basedOn w:val="1"/>
    <w:uiPriority w:val="0"/>
    <w:pPr>
      <w:widowControl/>
      <w:jc w:val="left"/>
    </w:pPr>
    <w:rPr>
      <w:rFonts w:hint="eastAsia" w:ascii="Times New Roman" w:hAnsi="宋体" w:eastAsia="黑体" w:cs="黑体"/>
      <w:spacing w:val="40"/>
      <w:kern w:val="0"/>
      <w:sz w:val="52"/>
      <w:szCs w:val="24"/>
      <w:lang w:val="en-US" w:eastAsia="zh-CN" w:bidi="ar"/>
    </w:rPr>
  </w:style>
  <w:style w:type="paragraph" w:customStyle="1" w:styleId="17">
    <w:name w:val="font6"/>
    <w:basedOn w:val="1"/>
    <w:uiPriority w:val="0"/>
    <w:pPr>
      <w:widowControl/>
      <w:jc w:val="left"/>
    </w:pPr>
    <w:rPr>
      <w:rFonts w:hint="eastAsia" w:ascii="Times New Roman" w:hAnsi="宋体" w:eastAsia="楷体_GB2312" w:cs="楷体_GB2312"/>
      <w:kern w:val="0"/>
      <w:sz w:val="32"/>
      <w:szCs w:val="24"/>
      <w:lang w:val="en-US" w:eastAsia="zh-CN" w:bidi="ar"/>
    </w:rPr>
  </w:style>
  <w:style w:type="paragraph" w:customStyle="1" w:styleId="18">
    <w:name w:val="font7"/>
    <w:basedOn w:val="1"/>
    <w:uiPriority w:val="0"/>
    <w:pPr>
      <w:widowControl/>
      <w:jc w:val="left"/>
    </w:pPr>
    <w:rPr>
      <w:rFonts w:hint="eastAsia" w:ascii="Times New Roman" w:hAnsi="宋体" w:eastAsia="楷体_GB2312" w:cs="楷体_GB2312"/>
      <w:kern w:val="0"/>
      <w:sz w:val="28"/>
      <w:szCs w:val="24"/>
      <w:lang w:val="en-US" w:eastAsia="zh-CN" w:bidi="ar"/>
    </w:rPr>
  </w:style>
  <w:style w:type="paragraph" w:customStyle="1" w:styleId="19">
    <w:name w:val="font8"/>
    <w:basedOn w:val="1"/>
    <w:uiPriority w:val="0"/>
    <w:pPr>
      <w:widowControl/>
      <w:jc w:val="left"/>
    </w:pPr>
    <w:rPr>
      <w:rFonts w:hint="eastAsia" w:ascii="Times New Roman" w:hAnsi="宋体" w:eastAsia="楷体_GB2312" w:cs="楷体_GB2312"/>
      <w:kern w:val="0"/>
      <w:sz w:val="24"/>
      <w:szCs w:val="24"/>
      <w:lang w:val="en-US" w:eastAsia="zh-CN" w:bidi="ar"/>
    </w:rPr>
  </w:style>
  <w:style w:type="character" w:customStyle="1" w:styleId="20">
    <w:name w:val="font11"/>
    <w:basedOn w:val="11"/>
    <w:uiPriority w:val="0"/>
    <w:rPr>
      <w:rFonts w:eastAsia="仿宋_GB2312"/>
      <w:sz w:val="30"/>
      <w:szCs w:val="24"/>
    </w:rPr>
  </w:style>
  <w:style w:type="character" w:customStyle="1" w:styleId="21">
    <w:name w:val="font21"/>
    <w:basedOn w:val="11"/>
    <w:uiPriority w:val="0"/>
    <w:rPr>
      <w:rFonts w:hint="eastAsia" w:ascii="Times New Roman" w:eastAsia="楷体_GB2312" w:cs="楷体_GB2312"/>
      <w:sz w:val="30"/>
      <w:szCs w:val="24"/>
    </w:rPr>
  </w:style>
  <w:style w:type="character" w:customStyle="1" w:styleId="22">
    <w:name w:val="font31"/>
    <w:basedOn w:val="11"/>
    <w:uiPriority w:val="0"/>
    <w:rPr>
      <w:rFonts w:hint="eastAsia" w:ascii="Times New Roman" w:hAnsi="宋体" w:eastAsia="黑体" w:cs="黑体"/>
      <w:spacing w:val="40"/>
      <w:sz w:val="52"/>
      <w:szCs w:val="24"/>
    </w:rPr>
  </w:style>
  <w:style w:type="character" w:customStyle="1" w:styleId="23">
    <w:name w:val="font41"/>
    <w:basedOn w:val="11"/>
    <w:uiPriority w:val="0"/>
    <w:rPr>
      <w:rFonts w:eastAsia="楷体_GB2312"/>
      <w:spacing w:val="30"/>
      <w:sz w:val="36"/>
      <w:szCs w:val="24"/>
    </w:rPr>
  </w:style>
  <w:style w:type="character" w:customStyle="1" w:styleId="24">
    <w:name w:val="font51"/>
    <w:basedOn w:val="11"/>
    <w:uiPriority w:val="0"/>
    <w:rPr>
      <w:rFonts w:hint="eastAsia" w:ascii="黑体" w:hAnsi="宋体" w:eastAsia="黑体" w:cs="黑体"/>
      <w:sz w:val="36"/>
      <w:szCs w:val="24"/>
    </w:rPr>
  </w:style>
  <w:style w:type="character" w:customStyle="1" w:styleId="25">
    <w:name w:val="font61"/>
    <w:basedOn w:val="11"/>
    <w:uiPriority w:val="0"/>
    <w:rPr>
      <w:rFonts w:hint="eastAsia" w:ascii="Times New Roman" w:eastAsia="楷体_GB2312" w:cs="楷体_GB2312"/>
      <w:sz w:val="32"/>
      <w:szCs w:val="24"/>
    </w:rPr>
  </w:style>
  <w:style w:type="character" w:customStyle="1" w:styleId="26">
    <w:name w:val="font71"/>
    <w:basedOn w:val="11"/>
    <w:uiPriority w:val="0"/>
    <w:rPr>
      <w:rFonts w:hint="eastAsia" w:ascii="Times New Roman" w:eastAsia="楷体_GB2312" w:cs="楷体_GB2312"/>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1199</Words>
  <Characters>1280</Characters>
  <TotalTime>2</TotalTime>
  <ScaleCrop>false</ScaleCrop>
  <LinksUpToDate>false</LinksUpToDate>
  <CharactersWithSpaces>1307</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2025-04-02T03:31:00Z</dcterms:created>
  <dc:creator>CQ</dc:creator>
  <cp:lastModifiedBy>三叶草</cp:lastModifiedBy>
  <dcterms:modified xsi:type="dcterms:W3CDTF">2025-04-02T06:32:31Z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eyJoZGlkIjoiYmViOTE3NDllOWNiM2U0YjBhNWMzN2M2NWNkMWY5MTAiLCJ1c2VySWQiOiIxMTUwMzcwODg3In0=</vt:lpwstr>
  </property>
  <property fmtid="{D5CDD505-2E9C-101B-9397-08002B2CF9AE}" pid="3" name="KSOProductBuildVer">
    <vt:lpwstr>2052-12.1.0.20305</vt:lpwstr>
  </property>
  <property fmtid="{D5CDD505-2E9C-101B-9397-08002B2CF9AE}" pid="4" name="ICV">
    <vt:lpwstr>35075F953AC144A1A76EFCE59B6703C4_13</vt:lpwstr>
  </property>
</Properties>
</file>