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62276">
      <w:pPr>
        <w:spacing w:line="580" w:lineRule="exact"/>
        <w:jc w:val="center"/>
        <w:rPr>
          <w:rFonts w:eastAsia="方正小标宋_GBK"/>
          <w:bCs/>
          <w:sz w:val="44"/>
          <w:szCs w:val="44"/>
        </w:rPr>
      </w:pPr>
      <w:r>
        <w:rPr>
          <w:rFonts w:hint="eastAsia" w:eastAsia="方正小标宋_GBK"/>
          <w:bCs/>
          <w:sz w:val="44"/>
          <w:szCs w:val="44"/>
        </w:rPr>
        <w:t>重庆市大渡口区</w:t>
      </w:r>
      <w:r>
        <w:rPr>
          <w:rFonts w:eastAsia="方正小标宋_GBK"/>
          <w:bCs/>
          <w:sz w:val="44"/>
          <w:szCs w:val="44"/>
        </w:rPr>
        <w:t>卫生健康发展“十四五”规划</w:t>
      </w:r>
    </w:p>
    <w:p w14:paraId="268F9260">
      <w:pPr>
        <w:spacing w:line="580" w:lineRule="exact"/>
        <w:jc w:val="center"/>
        <w:rPr>
          <w:rFonts w:ascii="方正楷体_GBK" w:hAnsi="方正楷体_GBK" w:eastAsia="方正楷体_GBK" w:cs="方正楷体_GBK"/>
          <w:bCs/>
        </w:rPr>
      </w:pPr>
      <w:r>
        <w:rPr>
          <w:rFonts w:hint="eastAsia" w:ascii="方正楷体_GBK" w:hAnsi="方正楷体_GBK" w:eastAsia="方正楷体_GBK" w:cs="方正楷体_GBK"/>
          <w:bCs/>
          <w:sz w:val="28"/>
          <w:szCs w:val="28"/>
        </w:rPr>
        <w:t>（征求意见稿）</w:t>
      </w:r>
      <w:bookmarkStart w:id="143" w:name="_GoBack"/>
      <w:bookmarkEnd w:id="143"/>
    </w:p>
    <w:p w14:paraId="0177F4FC">
      <w:pPr>
        <w:spacing w:line="580" w:lineRule="exact"/>
        <w:ind w:firstLine="640" w:firstLineChars="200"/>
        <w:rPr>
          <w:bCs/>
        </w:rPr>
      </w:pPr>
    </w:p>
    <w:p w14:paraId="3543CB24">
      <w:pPr>
        <w:spacing w:line="580" w:lineRule="exact"/>
        <w:ind w:firstLine="640" w:firstLineChars="200"/>
        <w:rPr>
          <w:bCs/>
        </w:rPr>
      </w:pPr>
      <w:r>
        <w:rPr>
          <w:bCs/>
        </w:rPr>
        <w:t>为加快全</w:t>
      </w:r>
      <w:r>
        <w:rPr>
          <w:rFonts w:hint="eastAsia"/>
          <w:bCs/>
        </w:rPr>
        <w:t>区</w:t>
      </w:r>
      <w:r>
        <w:rPr>
          <w:bCs/>
        </w:rPr>
        <w:t>卫生健康事业高质量发展，更好保障人民群众健康，根据《成渝地区双城经济圈建设规划纲要》《健康中国重庆行动（2019</w:t>
      </w:r>
      <w:r>
        <w:rPr>
          <w:rFonts w:hint="eastAsia" w:ascii="方正仿宋_GBK"/>
        </w:rPr>
        <w:t>—</w:t>
      </w:r>
      <w:r>
        <w:rPr>
          <w:bCs/>
        </w:rPr>
        <w:t>2030年）》</w:t>
      </w:r>
      <w:r>
        <w:t>《重庆市卫生健康发展“十四五”规划</w:t>
      </w:r>
      <w:r>
        <w:rPr>
          <w:rFonts w:hint="eastAsia"/>
        </w:rPr>
        <w:t>（送审稿）</w:t>
      </w:r>
      <w:r>
        <w:t>》</w:t>
      </w:r>
      <w:r>
        <w:rPr>
          <w:rFonts w:hint="eastAsia"/>
          <w:bCs/>
        </w:rPr>
        <w:t>和</w:t>
      </w:r>
      <w:r>
        <w:t>《</w:t>
      </w:r>
      <w:r>
        <w:rPr>
          <w:rFonts w:hint="eastAsia"/>
        </w:rPr>
        <w:t>重庆市</w:t>
      </w:r>
      <w:r>
        <w:t>大渡口区国民经济</w:t>
      </w:r>
      <w:r>
        <w:rPr>
          <w:rFonts w:hint="eastAsia"/>
        </w:rPr>
        <w:t>和社会发展</w:t>
      </w:r>
      <w:r>
        <w:t>十四</w:t>
      </w:r>
      <w:r>
        <w:rPr>
          <w:rFonts w:hint="eastAsia"/>
        </w:rPr>
        <w:t>个</w:t>
      </w:r>
      <w:r>
        <w:t>五</w:t>
      </w:r>
      <w:r>
        <w:rPr>
          <w:rFonts w:hint="eastAsia"/>
        </w:rPr>
        <w:t>年规划和二〇三五远景目标纲要</w:t>
      </w:r>
      <w:r>
        <w:t>》</w:t>
      </w:r>
      <w:r>
        <w:rPr>
          <w:bCs/>
        </w:rPr>
        <w:t>，编制本规划。</w:t>
      </w:r>
    </w:p>
    <w:p w14:paraId="485FF4FB">
      <w:pPr>
        <w:pStyle w:val="5"/>
        <w:spacing w:before="0" w:after="0" w:line="580" w:lineRule="exact"/>
        <w:ind w:firstLine="640" w:firstLineChars="200"/>
        <w:rPr>
          <w:rFonts w:ascii="Times New Roman" w:hAnsi="Times New Roman" w:eastAsia="方正黑体_GBK"/>
          <w:kern w:val="44"/>
        </w:rPr>
      </w:pPr>
      <w:bookmarkStart w:id="0" w:name="_Toc26302"/>
      <w:bookmarkStart w:id="1" w:name="_Toc12950"/>
      <w:bookmarkStart w:id="2" w:name="_Toc78987097"/>
      <w:bookmarkStart w:id="3" w:name="_Toc83307939"/>
      <w:r>
        <w:rPr>
          <w:rFonts w:ascii="Times New Roman" w:hAnsi="Times New Roman" w:eastAsia="方正黑体_GBK"/>
          <w:kern w:val="44"/>
        </w:rPr>
        <w:t>一、</w:t>
      </w:r>
      <w:bookmarkEnd w:id="0"/>
      <w:bookmarkEnd w:id="1"/>
      <w:bookmarkEnd w:id="2"/>
      <w:r>
        <w:rPr>
          <w:rFonts w:ascii="Times New Roman" w:hAnsi="Times New Roman" w:eastAsia="方正黑体_GBK"/>
          <w:kern w:val="44"/>
        </w:rPr>
        <w:t>规划背景</w:t>
      </w:r>
      <w:bookmarkEnd w:id="3"/>
    </w:p>
    <w:p w14:paraId="6BC9ACBE">
      <w:pPr>
        <w:pStyle w:val="5"/>
        <w:spacing w:before="0" w:after="0" w:line="580" w:lineRule="exact"/>
        <w:ind w:firstLine="640" w:firstLineChars="200"/>
        <w:rPr>
          <w:rFonts w:ascii="Times New Roman" w:hAnsi="Times New Roman" w:eastAsia="宋体"/>
        </w:rPr>
      </w:pPr>
      <w:bookmarkStart w:id="4" w:name="_Toc78987098"/>
      <w:bookmarkStart w:id="5" w:name="_Toc6723"/>
      <w:bookmarkStart w:id="6" w:name="_Toc432"/>
      <w:bookmarkStart w:id="7" w:name="_Toc83307940"/>
      <w:r>
        <w:rPr>
          <w:rFonts w:ascii="Times New Roman" w:hAnsi="Times New Roman"/>
        </w:rPr>
        <w:t>（一）发展</w:t>
      </w:r>
      <w:bookmarkEnd w:id="4"/>
      <w:bookmarkEnd w:id="5"/>
      <w:bookmarkEnd w:id="6"/>
      <w:r>
        <w:rPr>
          <w:rFonts w:ascii="Times New Roman" w:hAnsi="Times New Roman"/>
        </w:rPr>
        <w:t>基础</w:t>
      </w:r>
      <w:bookmarkEnd w:id="7"/>
    </w:p>
    <w:p w14:paraId="19CBD16E">
      <w:pPr>
        <w:spacing w:line="580" w:lineRule="exact"/>
        <w:ind w:firstLine="640" w:firstLineChars="200"/>
        <w:rPr>
          <w:bCs/>
        </w:rPr>
      </w:pPr>
      <w:r>
        <w:rPr>
          <w:bCs/>
        </w:rPr>
        <w:t>“十三五”时期，</w:t>
      </w:r>
      <w:r>
        <w:rPr>
          <w:rFonts w:hint="eastAsia"/>
          <w:color w:val="000000"/>
        </w:rPr>
        <w:t>全区卫生健康事业深入贯彻落实“健康中国”战略，全面深化医药卫生体制改革，不断增进全区人民健康福祉。2017年</w:t>
      </w:r>
      <w:r>
        <w:rPr>
          <w:color w:val="000000"/>
        </w:rPr>
        <w:t>、</w:t>
      </w:r>
      <w:r>
        <w:rPr>
          <w:rFonts w:hint="eastAsia"/>
          <w:color w:val="000000"/>
        </w:rPr>
        <w:t>2021年</w:t>
      </w:r>
      <w:r>
        <w:rPr>
          <w:color w:val="000000"/>
        </w:rPr>
        <w:t>均</w:t>
      </w:r>
      <w:r>
        <w:rPr>
          <w:rFonts w:hint="eastAsia"/>
          <w:color w:val="000000"/>
        </w:rPr>
        <w:t>以高分</w:t>
      </w:r>
      <w:r>
        <w:rPr>
          <w:color w:val="000000"/>
        </w:rPr>
        <w:t>通过</w:t>
      </w:r>
      <w:r>
        <w:rPr>
          <w:rFonts w:hint="eastAsia"/>
          <w:color w:val="000000"/>
        </w:rPr>
        <w:t>国家卫生区复审</w:t>
      </w:r>
      <w:r>
        <w:rPr>
          <w:color w:val="000000"/>
        </w:rPr>
        <w:t>，</w:t>
      </w:r>
      <w:r>
        <w:rPr>
          <w:rFonts w:hint="eastAsia"/>
          <w:color w:val="000000"/>
        </w:rPr>
        <w:t>继续保持国家慢性病综合防控示范区、国家基层中医药先进单位称号，成功创建国家计划生育优质服务单位；春晖路街道社区卫生服务中心成功创建“国家优质服务示范社区卫生服务中心”“全国敬老文明号”，跳磴镇卫生院被国家卫生计生委评为“群众满意乡镇卫生院”；区人民医院“不忘初心、牢记使命”主题教育典型经验被中组部推广宣传，2021年成功创建二级甲等综合医院。</w:t>
      </w:r>
      <w:r>
        <w:rPr>
          <w:rFonts w:hint="eastAsia"/>
          <w:bCs/>
          <w:color w:val="000000"/>
        </w:rPr>
        <w:t>荣获重庆市抗击新冠肺炎疫情先进集体，抗击疫情先进个人8名、优秀共产党员2名，</w:t>
      </w:r>
      <w:r>
        <w:rPr>
          <w:rFonts w:hint="eastAsia"/>
          <w:color w:val="000000"/>
        </w:rPr>
        <w:t>重庆市“三八”红旗手、</w:t>
      </w:r>
      <w:r>
        <w:rPr>
          <w:rFonts w:hint="eastAsia"/>
          <w:color w:val="000000"/>
          <w:lang w:eastAsia="zh-CN"/>
        </w:rPr>
        <w:t>五一劳动奖章</w:t>
      </w:r>
      <w:r>
        <w:rPr>
          <w:rFonts w:hint="eastAsia"/>
          <w:color w:val="000000"/>
        </w:rPr>
        <w:t>、好医生等9名。</w:t>
      </w:r>
    </w:p>
    <w:p w14:paraId="41E07C27">
      <w:pPr>
        <w:spacing w:line="580" w:lineRule="exact"/>
        <w:ind w:firstLine="640" w:firstLineChars="200"/>
        <w:rPr>
          <w:bCs/>
        </w:rPr>
      </w:pPr>
      <w:r>
        <w:rPr>
          <w:rFonts w:hint="eastAsia"/>
          <w:bCs/>
        </w:rPr>
        <w:t>1</w:t>
      </w:r>
      <w:r>
        <w:rPr>
          <w:bCs/>
        </w:rPr>
        <w:t xml:space="preserve">. </w:t>
      </w:r>
      <w:r>
        <w:rPr>
          <w:rFonts w:hint="eastAsia"/>
          <w:bCs/>
        </w:rPr>
        <w:t>深化医药卫生体制改革取得新突破。</w:t>
      </w:r>
      <w:r>
        <w:rPr>
          <w:bCs/>
        </w:rPr>
        <w:t>公立医院全部取消药品</w:t>
      </w:r>
      <w:r>
        <w:rPr>
          <w:rFonts w:hint="eastAsia"/>
          <w:bCs/>
        </w:rPr>
        <w:t>和耗材</w:t>
      </w:r>
      <w:r>
        <w:rPr>
          <w:bCs/>
        </w:rPr>
        <w:t>加成，</w:t>
      </w:r>
      <w:r>
        <w:rPr>
          <w:rFonts w:hint="eastAsia"/>
          <w:bCs/>
        </w:rPr>
        <w:t>加强党对公立医院的领导，落实党委领导下的院长负责制，区人民医院薪酬制度改革稳步实施</w:t>
      </w:r>
      <w:r>
        <w:rPr>
          <w:bCs/>
        </w:rPr>
        <w:t>。分级诊疗制度建设有序推进，全区共建立医联体2个、专科联盟9个，远程医疗协作网2个。国家基本药物制度持续巩固完善，</w:t>
      </w:r>
      <w:r>
        <w:rPr>
          <w:rFonts w:hint="eastAsia"/>
          <w:bCs/>
        </w:rPr>
        <w:t>严格</w:t>
      </w:r>
      <w:r>
        <w:rPr>
          <w:bCs/>
        </w:rPr>
        <w:t>落实国家组织药品集中带量采购使用工作。扎实推进医疗卫生行业多元化</w:t>
      </w:r>
      <w:r>
        <w:rPr>
          <w:rFonts w:hint="eastAsia"/>
          <w:bCs/>
        </w:rPr>
        <w:t>综合</w:t>
      </w:r>
      <w:r>
        <w:rPr>
          <w:bCs/>
        </w:rPr>
        <w:t>监管、“信用+综合监管”试点工作。基本医疗保障制度更加完善，全区参保率稳定在95%以上。</w:t>
      </w:r>
    </w:p>
    <w:p w14:paraId="22B76DF2">
      <w:pPr>
        <w:spacing w:line="580" w:lineRule="exact"/>
        <w:ind w:firstLine="640" w:firstLineChars="200"/>
        <w:rPr>
          <w:bCs/>
        </w:rPr>
      </w:pPr>
      <w:r>
        <w:rPr>
          <w:rFonts w:hint="eastAsia"/>
          <w:bCs/>
        </w:rPr>
        <w:t xml:space="preserve">2. </w:t>
      </w:r>
      <w:r>
        <w:rPr>
          <w:bCs/>
        </w:rPr>
        <w:t>医疗服务体系</w:t>
      </w:r>
      <w:r>
        <w:rPr>
          <w:rFonts w:hint="eastAsia"/>
          <w:bCs/>
        </w:rPr>
        <w:t>逐步完善</w:t>
      </w:r>
      <w:r>
        <w:rPr>
          <w:bCs/>
        </w:rPr>
        <w:t>。</w:t>
      </w:r>
      <w:r>
        <w:rPr>
          <w:rFonts w:hint="eastAsia"/>
          <w:bCs/>
        </w:rPr>
        <w:t>一是大卫生大健康管理体系初步建立。整合原区卫生计生委、原区老龄委组建区卫生健康委，区卫生监督局升格为区管</w:t>
      </w:r>
      <w:r>
        <w:rPr>
          <w:bCs/>
        </w:rPr>
        <w:t>卫生健康综合行政执法</w:t>
      </w:r>
      <w:r>
        <w:rPr>
          <w:rFonts w:hint="eastAsia"/>
          <w:bCs/>
        </w:rPr>
        <w:t>支队</w:t>
      </w:r>
      <w:r>
        <w:rPr>
          <w:bCs/>
        </w:rPr>
        <w:t>，区妇幼保健所</w:t>
      </w:r>
      <w:r>
        <w:rPr>
          <w:rFonts w:hint="eastAsia"/>
          <w:bCs/>
        </w:rPr>
        <w:t>整合计划生育、药具管理中心职能，</w:t>
      </w:r>
      <w:r>
        <w:rPr>
          <w:bCs/>
        </w:rPr>
        <w:t>升级为</w:t>
      </w:r>
      <w:r>
        <w:rPr>
          <w:rFonts w:hint="eastAsia"/>
          <w:bCs/>
        </w:rPr>
        <w:t>区</w:t>
      </w:r>
      <w:r>
        <w:rPr>
          <w:bCs/>
        </w:rPr>
        <w:t>妇幼保健院</w:t>
      </w:r>
      <w:r>
        <w:rPr>
          <w:rFonts w:hint="eastAsia"/>
          <w:bCs/>
        </w:rPr>
        <w:t>。二是</w:t>
      </w:r>
      <w:r>
        <w:rPr>
          <w:bCs/>
        </w:rPr>
        <w:t>医疗资源设置更加优化，区人民医院</w:t>
      </w:r>
      <w:r>
        <w:rPr>
          <w:rFonts w:hint="eastAsia"/>
          <w:bCs/>
        </w:rPr>
        <w:t>完成改扩建</w:t>
      </w:r>
      <w:r>
        <w:rPr>
          <w:bCs/>
        </w:rPr>
        <w:t>，重钢总医院</w:t>
      </w:r>
      <w:r>
        <w:rPr>
          <w:rFonts w:hint="eastAsia"/>
          <w:bCs/>
        </w:rPr>
        <w:t>开展</w:t>
      </w:r>
      <w:r>
        <w:rPr>
          <w:bCs/>
        </w:rPr>
        <w:t>三甲</w:t>
      </w:r>
      <w:r>
        <w:rPr>
          <w:rFonts w:hint="eastAsia"/>
          <w:bCs/>
        </w:rPr>
        <w:t>医院</w:t>
      </w:r>
      <w:r>
        <w:rPr>
          <w:bCs/>
        </w:rPr>
        <w:t>创建。</w:t>
      </w:r>
      <w:r>
        <w:rPr>
          <w:rFonts w:hint="eastAsia"/>
          <w:bCs/>
        </w:rPr>
        <w:t>按照二级甲等</w:t>
      </w:r>
      <w:r>
        <w:rPr>
          <w:bCs/>
        </w:rPr>
        <w:t>中医院</w:t>
      </w:r>
      <w:r>
        <w:rPr>
          <w:rFonts w:hint="eastAsia"/>
          <w:bCs/>
        </w:rPr>
        <w:t>建设标准</w:t>
      </w:r>
      <w:r>
        <w:rPr>
          <w:bCs/>
        </w:rPr>
        <w:t>新建</w:t>
      </w:r>
      <w:r>
        <w:rPr>
          <w:rFonts w:hint="eastAsia"/>
          <w:bCs/>
        </w:rPr>
        <w:t>区中医院</w:t>
      </w:r>
      <w:r>
        <w:rPr>
          <w:bCs/>
        </w:rPr>
        <w:t>。</w:t>
      </w:r>
      <w:r>
        <w:rPr>
          <w:rFonts w:hint="eastAsia"/>
          <w:bCs/>
        </w:rPr>
        <w:t>2020年底，大渡口区编制床位数2703张、执业（助理）医师1274人、注册护士1624人，每千人口拥有开放床位数、执业（助理）医师、注册护士数分别达到6.76张、3.81人、3.85人，均高于全市平均水平。三是信息化平台建设为提升医疗服务水平奠定了基础。启动并实施区域全民健康信息平台建设，推广电子健康卡使用等，为提升医疗服务水平和管理能力奠定了基础。</w:t>
      </w:r>
    </w:p>
    <w:p w14:paraId="656393B1">
      <w:pPr>
        <w:spacing w:line="580" w:lineRule="exact"/>
        <w:ind w:firstLine="640" w:firstLineChars="200"/>
        <w:rPr>
          <w:bCs/>
        </w:rPr>
      </w:pPr>
      <w:r>
        <w:rPr>
          <w:bCs/>
        </w:rPr>
        <w:t xml:space="preserve">3. </w:t>
      </w:r>
      <w:r>
        <w:rPr>
          <w:rFonts w:hint="eastAsia"/>
          <w:bCs/>
        </w:rPr>
        <w:t>公共卫生服务能力明显提升。</w:t>
      </w:r>
      <w:r>
        <w:rPr>
          <w:bCs/>
        </w:rPr>
        <w:t>增加基本公共卫生服务项目至31项，</w:t>
      </w:r>
      <w:r>
        <w:rPr>
          <w:rFonts w:hint="eastAsia"/>
          <w:bCs/>
        </w:rPr>
        <w:t>人均期望寿命提高到78.97岁</w:t>
      </w:r>
      <w:r>
        <w:rPr>
          <w:bCs/>
        </w:rPr>
        <w:t>。</w:t>
      </w:r>
      <w:r>
        <w:rPr>
          <w:rFonts w:hint="eastAsia"/>
          <w:bCs/>
        </w:rPr>
        <w:t>全面落实困难群众“先诊疗后付费”“一站式结算”“家庭医生签约”等服务。开展妇女两癌筛查服务，实施妇女儿童</w:t>
      </w:r>
      <w:r>
        <w:rPr>
          <w:bCs/>
        </w:rPr>
        <w:t>婴儿死亡率1.51‰，孕产妇死亡率0，</w:t>
      </w:r>
      <w:r>
        <w:rPr>
          <w:rFonts w:hint="eastAsia"/>
          <w:bCs/>
        </w:rPr>
        <w:t>均保持全市领先水平。深入推进</w:t>
      </w:r>
      <w:r>
        <w:rPr>
          <w:bCs/>
        </w:rPr>
        <w:t>爱国卫生运动，</w:t>
      </w:r>
      <w:r>
        <w:rPr>
          <w:rFonts w:hint="eastAsia"/>
          <w:bCs/>
        </w:rPr>
        <w:t>高质量完成改厕任务，新建健康步道、公园等健康单元124个，居民健康素养水平提高到24.38%。</w:t>
      </w:r>
    </w:p>
    <w:p w14:paraId="2CD03EAA">
      <w:pPr>
        <w:spacing w:line="580" w:lineRule="exact"/>
        <w:ind w:firstLine="640" w:firstLineChars="200"/>
        <w:rPr>
          <w:bCs/>
        </w:rPr>
      </w:pPr>
      <w:r>
        <w:rPr>
          <w:rFonts w:hint="eastAsia"/>
          <w:bCs/>
        </w:rPr>
        <w:t>4</w:t>
      </w:r>
      <w:r>
        <w:rPr>
          <w:bCs/>
        </w:rPr>
        <w:t xml:space="preserve">. </w:t>
      </w:r>
      <w:r>
        <w:rPr>
          <w:rFonts w:hint="eastAsia"/>
          <w:bCs/>
        </w:rPr>
        <w:t>中医药发展工程稳步实施。</w:t>
      </w:r>
      <w:r>
        <w:rPr>
          <w:bCs/>
        </w:rPr>
        <w:t>新建中医馆6个，建成精品中医馆1个，社区卫生服务中心和乡镇卫生院设立中医综合服务区实现全覆盖，93.4%以上的村卫生室能提供中医药服务。完成中医馆健康信息平台集成改造。开展中医师带徒工作，确定指导老师10人和继承人20人。推广中医药适宜技术，基层中医药培训</w:t>
      </w:r>
      <w:r>
        <w:rPr>
          <w:rFonts w:hint="eastAsia"/>
          <w:bCs/>
        </w:rPr>
        <w:t>覆盖率100%</w:t>
      </w:r>
      <w:r>
        <w:rPr>
          <w:bCs/>
        </w:rPr>
        <w:t>。</w:t>
      </w:r>
    </w:p>
    <w:p w14:paraId="0FF3EDD1">
      <w:pPr>
        <w:spacing w:line="580" w:lineRule="exact"/>
        <w:ind w:firstLine="640" w:firstLineChars="200"/>
        <w:rPr>
          <w:bCs/>
        </w:rPr>
      </w:pPr>
      <w:r>
        <w:rPr>
          <w:rFonts w:hint="eastAsia"/>
          <w:bCs/>
        </w:rPr>
        <w:t>5</w:t>
      </w:r>
      <w:r>
        <w:rPr>
          <w:bCs/>
        </w:rPr>
        <w:t xml:space="preserve">. </w:t>
      </w:r>
      <w:r>
        <w:rPr>
          <w:rFonts w:hint="eastAsia"/>
          <w:bCs/>
        </w:rPr>
        <w:t>人口长期均衡发展平稳促进。</w:t>
      </w:r>
      <w:r>
        <w:rPr>
          <w:bCs/>
        </w:rPr>
        <w:t>全</w:t>
      </w:r>
      <w:r>
        <w:rPr>
          <w:rFonts w:hint="eastAsia"/>
          <w:bCs/>
        </w:rPr>
        <w:t>区</w:t>
      </w:r>
      <w:r>
        <w:rPr>
          <w:bCs/>
        </w:rPr>
        <w:t>累计出生</w:t>
      </w:r>
      <w:r>
        <w:rPr>
          <w:rFonts w:hint="eastAsia"/>
          <w:bCs/>
        </w:rPr>
        <w:t>1.99</w:t>
      </w:r>
      <w:r>
        <w:rPr>
          <w:bCs/>
        </w:rPr>
        <w:t>万人，二孩占比</w:t>
      </w:r>
      <w:r>
        <w:rPr>
          <w:rFonts w:hint="eastAsia"/>
          <w:bCs/>
        </w:rPr>
        <w:t>33.24</w:t>
      </w:r>
      <w:r>
        <w:rPr>
          <w:bCs/>
        </w:rPr>
        <w:t>%，出生人口性别比</w:t>
      </w:r>
      <w:r>
        <w:rPr>
          <w:rFonts w:hint="eastAsia"/>
          <w:bCs/>
        </w:rPr>
        <w:t>104.7</w:t>
      </w:r>
      <w:r>
        <w:rPr>
          <w:bCs/>
        </w:rPr>
        <w:t>。建成公共场所标准化母婴室及用人单位母婴设施</w:t>
      </w:r>
      <w:r>
        <w:rPr>
          <w:rFonts w:hint="eastAsia"/>
          <w:bCs/>
        </w:rPr>
        <w:t>11个，5904</w:t>
      </w:r>
      <w:r>
        <w:rPr>
          <w:bCs/>
        </w:rPr>
        <w:t>名计划生育奖扶对象、</w:t>
      </w:r>
      <w:r>
        <w:rPr>
          <w:rFonts w:hint="eastAsia"/>
          <w:bCs/>
        </w:rPr>
        <w:t>5291</w:t>
      </w:r>
      <w:r>
        <w:rPr>
          <w:bCs/>
        </w:rPr>
        <w:t>万名特扶对象纳入扶助范围。全</w:t>
      </w:r>
      <w:r>
        <w:rPr>
          <w:rFonts w:hint="eastAsia"/>
          <w:bCs/>
        </w:rPr>
        <w:t>区</w:t>
      </w:r>
      <w:r>
        <w:rPr>
          <w:bCs/>
        </w:rPr>
        <w:t>卫生计生服务资源整合到位率达100%。建立出生人口监测点4个，</w:t>
      </w:r>
      <w:r>
        <w:rPr>
          <w:rFonts w:hint="eastAsia"/>
          <w:bCs/>
        </w:rPr>
        <w:t>完善</w:t>
      </w:r>
      <w:r>
        <w:rPr>
          <w:bCs/>
        </w:rPr>
        <w:t>人口与家庭发展动态监测体系和工作制度。养老机构与医疗机构</w:t>
      </w:r>
      <w:r>
        <w:rPr>
          <w:rFonts w:hint="eastAsia"/>
          <w:bCs/>
        </w:rPr>
        <w:t>医养结合达90%</w:t>
      </w:r>
      <w:r>
        <w:rPr>
          <w:bCs/>
        </w:rPr>
        <w:t>，二级以上综合医院开设老年医学科比例达50%。</w:t>
      </w:r>
    </w:p>
    <w:p w14:paraId="4C5A0168">
      <w:pPr>
        <w:spacing w:line="580" w:lineRule="exact"/>
        <w:ind w:firstLine="640" w:firstLineChars="200"/>
        <w:rPr>
          <w:bCs/>
        </w:rPr>
      </w:pPr>
      <w:r>
        <w:rPr>
          <w:rFonts w:hint="eastAsia"/>
          <w:bCs/>
        </w:rPr>
        <w:t>6</w:t>
      </w:r>
      <w:r>
        <w:rPr>
          <w:bCs/>
        </w:rPr>
        <w:t xml:space="preserve">. </w:t>
      </w:r>
      <w:r>
        <w:rPr>
          <w:rFonts w:hint="eastAsia"/>
          <w:bCs/>
        </w:rPr>
        <w:t>全力以赴防控阻击新冠肺炎疫情。</w:t>
      </w:r>
      <w:r>
        <w:rPr>
          <w:bCs/>
        </w:rPr>
        <w:t>第一时间成立“指挥部”，启动突发公共卫生事件Ι级响应，构建“</w:t>
      </w:r>
      <w:r>
        <w:rPr>
          <w:rFonts w:hint="eastAsia"/>
          <w:bCs/>
        </w:rPr>
        <w:t>1</w:t>
      </w:r>
      <w:r>
        <w:rPr>
          <w:bCs/>
        </w:rPr>
        <w:t>+</w:t>
      </w:r>
      <w:r>
        <w:rPr>
          <w:rFonts w:hint="eastAsia"/>
          <w:bCs/>
        </w:rPr>
        <w:t>2</w:t>
      </w:r>
      <w:r>
        <w:rPr>
          <w:bCs/>
        </w:rPr>
        <w:t>+</w:t>
      </w:r>
      <w:r>
        <w:rPr>
          <w:rFonts w:hint="eastAsia"/>
          <w:bCs/>
        </w:rPr>
        <w:t>4</w:t>
      </w:r>
      <w:r>
        <w:rPr>
          <w:bCs/>
        </w:rPr>
        <w:t>”医疗救治体系。</w:t>
      </w:r>
      <w:r>
        <w:rPr>
          <w:rFonts w:hint="eastAsia"/>
          <w:bCs/>
        </w:rPr>
        <w:t>11天实现本地新增确诊病例“零增长”，取得疫情防控阶段性胜利。组织30名医务人员逆行武汉、孝感支援抗疫，有力助推经济社会发展。抓好常态化防控。落实“外防输入、内防反弹”要求，动态调整防控措施，突出“人物同防”。圆满</w:t>
      </w:r>
      <w:r>
        <w:rPr>
          <w:bCs/>
        </w:rPr>
        <w:t>完成</w:t>
      </w:r>
      <w:r>
        <w:rPr>
          <w:rFonts w:hint="eastAsia"/>
          <w:bCs/>
        </w:rPr>
        <w:t>国际航班</w:t>
      </w:r>
      <w:r>
        <w:rPr>
          <w:bCs/>
        </w:rPr>
        <w:t>集中隔离</w:t>
      </w:r>
      <w:r>
        <w:rPr>
          <w:rFonts w:hint="eastAsia"/>
          <w:bCs/>
        </w:rPr>
        <w:t>医学观察</w:t>
      </w:r>
      <w:r>
        <w:rPr>
          <w:bCs/>
        </w:rPr>
        <w:t>任务。</w:t>
      </w:r>
      <w:r>
        <w:rPr>
          <w:rFonts w:hint="eastAsia"/>
          <w:bCs/>
        </w:rPr>
        <w:t>保持应急指挥激活状态，同步流调、集中隔离、核酸检测等精准措施，快速、妥善处置万吨冷冻品市场食品外包装阳性、尼泊尔入境人员筛查出的无症状感染者和外区确诊病例在区活动等突发事件。</w:t>
      </w:r>
    </w:p>
    <w:p w14:paraId="5945A4E9">
      <w:pPr>
        <w:pStyle w:val="5"/>
        <w:spacing w:before="0" w:after="0" w:line="580" w:lineRule="exact"/>
        <w:ind w:firstLine="640" w:firstLineChars="200"/>
        <w:rPr>
          <w:rFonts w:ascii="Times New Roman" w:hAnsi="Times New Roman"/>
        </w:rPr>
      </w:pPr>
      <w:bookmarkStart w:id="8" w:name="_Toc2781"/>
      <w:bookmarkStart w:id="9" w:name="_Toc78987099"/>
      <w:bookmarkStart w:id="10" w:name="_Toc23613"/>
      <w:bookmarkStart w:id="11" w:name="_Toc83307941"/>
      <w:r>
        <w:rPr>
          <w:rFonts w:ascii="Times New Roman" w:hAnsi="Times New Roman"/>
        </w:rPr>
        <w:t>（二）面临形势</w:t>
      </w:r>
      <w:bookmarkEnd w:id="8"/>
      <w:bookmarkEnd w:id="9"/>
      <w:bookmarkEnd w:id="10"/>
      <w:bookmarkEnd w:id="11"/>
    </w:p>
    <w:p w14:paraId="3A93C583">
      <w:pPr>
        <w:spacing w:line="580" w:lineRule="exact"/>
        <w:ind w:firstLine="640" w:firstLineChars="200"/>
        <w:rPr>
          <w:bCs/>
        </w:rPr>
      </w:pPr>
      <w:r>
        <w:rPr>
          <w:bCs/>
        </w:rPr>
        <w:t xml:space="preserve"> “十四五”时期是推进成渝地区双城经济圈建设的关键时期，</w:t>
      </w:r>
      <w:r>
        <w:rPr>
          <w:rFonts w:hint="eastAsia"/>
          <w:bCs/>
        </w:rPr>
        <w:t>大渡口区进入转型发展新时代新阶段，</w:t>
      </w:r>
      <w:r>
        <w:rPr>
          <w:bCs/>
        </w:rPr>
        <w:t>卫生健康事业</w:t>
      </w:r>
      <w:r>
        <w:rPr>
          <w:rFonts w:hint="eastAsia"/>
          <w:bCs/>
        </w:rPr>
        <w:t>迎来</w:t>
      </w:r>
      <w:r>
        <w:rPr>
          <w:bCs/>
        </w:rPr>
        <w:t>高质量发展</w:t>
      </w:r>
      <w:r>
        <w:rPr>
          <w:rFonts w:hint="eastAsia"/>
          <w:bCs/>
        </w:rPr>
        <w:t>，实现“弯道超车”</w:t>
      </w:r>
      <w:r>
        <w:rPr>
          <w:bCs/>
        </w:rPr>
        <w:t>的重要战略机遇期，面临一系列的机遇和挑战。</w:t>
      </w:r>
    </w:p>
    <w:p w14:paraId="68701D79">
      <w:pPr>
        <w:spacing w:line="580" w:lineRule="exact"/>
        <w:ind w:firstLine="640" w:firstLineChars="200"/>
        <w:rPr>
          <w:bCs/>
        </w:rPr>
      </w:pPr>
      <w:r>
        <w:rPr>
          <w:rFonts w:hint="eastAsia"/>
          <w:bCs/>
        </w:rPr>
        <w:t>1</w:t>
      </w:r>
      <w:r>
        <w:rPr>
          <w:bCs/>
        </w:rPr>
        <w:t xml:space="preserve">. </w:t>
      </w:r>
      <w:r>
        <w:rPr>
          <w:rFonts w:hint="eastAsia"/>
          <w:bCs/>
        </w:rPr>
        <w:t>新时代重大战略叠加带来新机遇。今后一个时期，“两个百年”历史交汇，“两个大局”相互交织，“双循环”走向纵深，“双城记”更新篇章，大渡口在重庆市“一区两群”空间布局中，成为南部人文之城核心区域，站在了更高的历史起点、迎来了历史上最好的发展良机，有历史机遇期、战略黄金期、转型关键期“三期叠加”，战略重点区、功能核心区、高新拓展区“三区融合”，</w:t>
      </w:r>
      <w:r>
        <w:rPr>
          <w:bCs/>
        </w:rPr>
        <w:t>必须加快</w:t>
      </w:r>
      <w:r>
        <w:rPr>
          <w:rFonts w:hint="eastAsia"/>
          <w:bCs/>
        </w:rPr>
        <w:t>补齐卫生健康基础设施短板</w:t>
      </w:r>
      <w:r>
        <w:rPr>
          <w:bCs/>
        </w:rPr>
        <w:t>，</w:t>
      </w:r>
      <w:r>
        <w:rPr>
          <w:rFonts w:hint="eastAsia"/>
          <w:bCs/>
        </w:rPr>
        <w:t>形成</w:t>
      </w:r>
      <w:r>
        <w:rPr>
          <w:bCs/>
        </w:rPr>
        <w:t>优质高效、均衡发展、协作互补的</w:t>
      </w:r>
      <w:r>
        <w:rPr>
          <w:rFonts w:hint="eastAsia"/>
          <w:bCs/>
        </w:rPr>
        <w:t>“南部人文之城核心区”</w:t>
      </w:r>
      <w:r>
        <w:rPr>
          <w:bCs/>
        </w:rPr>
        <w:t>卫生健康事业发展新格局，提升卫生健康服务供给质量，促进全</w:t>
      </w:r>
      <w:r>
        <w:rPr>
          <w:rFonts w:hint="eastAsia"/>
          <w:bCs/>
        </w:rPr>
        <w:t>区</w:t>
      </w:r>
      <w:r>
        <w:rPr>
          <w:bCs/>
        </w:rPr>
        <w:t>卫生健康事业协调可持续发展。</w:t>
      </w:r>
    </w:p>
    <w:p w14:paraId="6833BDB3">
      <w:pPr>
        <w:spacing w:line="580" w:lineRule="exact"/>
        <w:ind w:firstLine="640" w:firstLineChars="200"/>
        <w:rPr>
          <w:bCs/>
        </w:rPr>
      </w:pPr>
      <w:r>
        <w:rPr>
          <w:rFonts w:hint="eastAsia"/>
          <w:bCs/>
        </w:rPr>
        <w:t>2</w:t>
      </w:r>
      <w:r>
        <w:rPr>
          <w:bCs/>
        </w:rPr>
        <w:t xml:space="preserve">. </w:t>
      </w:r>
      <w:r>
        <w:rPr>
          <w:rFonts w:hint="eastAsia"/>
          <w:bCs/>
        </w:rPr>
        <w:t>重大公共卫生事件防控对卫生健康服务提出新要求。新冠肺炎疫情延宕已逾一年，病毒频繁变异，疫情起伏反复。</w:t>
      </w:r>
      <w:r>
        <w:rPr>
          <w:bCs/>
        </w:rPr>
        <w:t>公共卫生领域面临着多重疾病威胁并存、多种健康影响因素交织的复杂局面，</w:t>
      </w:r>
      <w:r>
        <w:rPr>
          <w:rFonts w:hint="eastAsia"/>
          <w:bCs/>
        </w:rPr>
        <w:t>突发急性传染病传播速度快、波及范围广、影响和危害大，</w:t>
      </w:r>
      <w:r>
        <w:rPr>
          <w:bCs/>
        </w:rPr>
        <w:t>对提高公共卫生早期监测预警，病原学检测、形势研判分析，卫生应急队伍快速响应，物资储备和培训演练，临床人员疫情防治、处置培训等能力提出了新要求。</w:t>
      </w:r>
    </w:p>
    <w:p w14:paraId="7D851313">
      <w:pPr>
        <w:spacing w:line="580" w:lineRule="exact"/>
        <w:ind w:firstLine="640" w:firstLineChars="200"/>
        <w:rPr>
          <w:bCs/>
        </w:rPr>
      </w:pPr>
      <w:r>
        <w:rPr>
          <w:rFonts w:hint="eastAsia"/>
          <w:bCs/>
        </w:rPr>
        <w:t>3</w:t>
      </w:r>
      <w:r>
        <w:rPr>
          <w:bCs/>
        </w:rPr>
        <w:t xml:space="preserve">. </w:t>
      </w:r>
      <w:r>
        <w:rPr>
          <w:rFonts w:hint="eastAsia"/>
          <w:bCs/>
        </w:rPr>
        <w:t>人口老龄化和健康需求变化给卫生健康服务带来新挑战。</w:t>
      </w:r>
      <w:r>
        <w:rPr>
          <w:rFonts w:hint="eastAsia"/>
        </w:rPr>
        <w:t>区内暂无三级医院，重钢总医院创建三级医院进展缓慢，区中医院2021年9月才</w:t>
      </w:r>
      <w:r>
        <w:t>开工</w:t>
      </w:r>
      <w:r>
        <w:rPr>
          <w:rFonts w:hint="eastAsia"/>
        </w:rPr>
        <w:t>建设，区妇幼保健院未定等级，</w:t>
      </w:r>
      <w:r>
        <w:t>区级精神卫生中心缺失，基层医疗机构未实现全覆盖</w:t>
      </w:r>
      <w:r>
        <w:rPr>
          <w:rFonts w:hint="eastAsia"/>
        </w:rPr>
        <w:t>。</w:t>
      </w:r>
      <w:r>
        <w:rPr>
          <w:bCs/>
        </w:rPr>
        <w:t>全</w:t>
      </w:r>
      <w:r>
        <w:rPr>
          <w:rFonts w:hint="eastAsia"/>
          <w:bCs/>
        </w:rPr>
        <w:t>区</w:t>
      </w:r>
      <w:r>
        <w:rPr>
          <w:bCs/>
        </w:rPr>
        <w:t>65岁以上老年人口比例达</w:t>
      </w:r>
      <w:r>
        <w:rPr>
          <w:rFonts w:hint="eastAsia"/>
          <w:bCs/>
        </w:rPr>
        <w:t>13.62</w:t>
      </w:r>
      <w:r>
        <w:rPr>
          <w:bCs/>
        </w:rPr>
        <w:t>%，心脑血管疾病、肿瘤等慢性病发病率的不断升高，</w:t>
      </w:r>
      <w:r>
        <w:rPr>
          <w:rFonts w:hint="eastAsia"/>
          <w:bCs/>
        </w:rPr>
        <w:t>大渡口区</w:t>
      </w:r>
      <w:r>
        <w:rPr>
          <w:rFonts w:hint="eastAsia" w:ascii="方正仿宋_GBK" w:hAnsi="方正仿宋_GBK" w:cs="方正仿宋_GBK"/>
          <w:bCs/>
          <w:sz w:val="30"/>
          <w:szCs w:val="30"/>
        </w:rPr>
        <w:t>医疗卫生资源配置不均衡、优质医疗资源较为缺乏，与</w:t>
      </w:r>
      <w:r>
        <w:rPr>
          <w:rFonts w:hint="eastAsia"/>
          <w:bCs/>
        </w:rPr>
        <w:t>人民群众健康需求和品质要求持续快速增长矛盾日益突出，</w:t>
      </w:r>
      <w:r>
        <w:rPr>
          <w:bCs/>
        </w:rPr>
        <w:t>对卫生健康服务提出了新挑战。</w:t>
      </w:r>
    </w:p>
    <w:p w14:paraId="09033B87">
      <w:pPr>
        <w:spacing w:line="580" w:lineRule="exact"/>
        <w:ind w:firstLine="640" w:firstLineChars="200"/>
      </w:pPr>
      <w:r>
        <w:rPr>
          <w:rFonts w:hint="eastAsia"/>
          <w:bCs/>
        </w:rPr>
        <w:t>4</w:t>
      </w:r>
      <w:r>
        <w:rPr>
          <w:bCs/>
        </w:rPr>
        <w:t xml:space="preserve">. </w:t>
      </w:r>
      <w:r>
        <w:rPr>
          <w:rFonts w:hint="eastAsia"/>
          <w:bCs/>
        </w:rPr>
        <w:t>新科技、新业态的飞速发展带来新动力。</w:t>
      </w:r>
      <w:r>
        <w:rPr>
          <w:rFonts w:hint="eastAsia" w:ascii="方正仿宋_GBK" w:hAnsi="方正仿宋_GBK" w:cs="方正仿宋_GBK"/>
          <w:sz w:val="30"/>
          <w:szCs w:val="30"/>
        </w:rPr>
        <w:t>互联网医疗、大数据、人工智能等手段为卫生健康事业发展带来了新的机遇。</w:t>
      </w:r>
      <w:r>
        <w:rPr>
          <w:bCs/>
        </w:rPr>
        <w:t>5G、物联网、大数据及人工智能等信息技术推动医疗行业发展，临床诊疗更精准，开展科研更高效，政府对行业的监管更便捷。“互联网+医疗”服务新方式新业态不断涌现，为方便群众看病就医、增强经济发展发挥重要作用。</w:t>
      </w:r>
    </w:p>
    <w:p w14:paraId="26655CA8">
      <w:pPr>
        <w:pStyle w:val="5"/>
        <w:spacing w:before="0" w:after="0" w:line="580" w:lineRule="exact"/>
        <w:ind w:firstLine="640" w:firstLineChars="200"/>
        <w:rPr>
          <w:rFonts w:ascii="Times New Roman" w:hAnsi="Times New Roman" w:eastAsia="方正黑体_GBK"/>
          <w:kern w:val="44"/>
        </w:rPr>
      </w:pPr>
      <w:bookmarkStart w:id="12" w:name="_Toc19774"/>
      <w:bookmarkStart w:id="13" w:name="_Toc78987100"/>
      <w:bookmarkStart w:id="14" w:name="_Toc83307942"/>
      <w:bookmarkStart w:id="15" w:name="_Toc250"/>
      <w:r>
        <w:rPr>
          <w:rFonts w:ascii="Times New Roman" w:hAnsi="Times New Roman" w:eastAsia="方正黑体_GBK"/>
          <w:kern w:val="44"/>
        </w:rPr>
        <w:t>二、指导思想、基本原则和发展目标</w:t>
      </w:r>
      <w:bookmarkEnd w:id="12"/>
      <w:bookmarkEnd w:id="13"/>
      <w:bookmarkEnd w:id="14"/>
      <w:bookmarkEnd w:id="15"/>
    </w:p>
    <w:p w14:paraId="4C4F195E">
      <w:pPr>
        <w:pStyle w:val="5"/>
        <w:spacing w:before="0" w:after="0" w:line="580" w:lineRule="exact"/>
        <w:ind w:firstLine="640" w:firstLineChars="200"/>
        <w:rPr>
          <w:rFonts w:ascii="Times New Roman" w:hAnsi="Times New Roman"/>
        </w:rPr>
      </w:pPr>
      <w:bookmarkStart w:id="16" w:name="_Toc78987101"/>
      <w:bookmarkStart w:id="17" w:name="_Toc12185"/>
      <w:bookmarkStart w:id="18" w:name="_Toc19112"/>
      <w:bookmarkStart w:id="19" w:name="_Toc83307943"/>
      <w:r>
        <w:rPr>
          <w:rFonts w:ascii="Times New Roman" w:hAnsi="Times New Roman"/>
        </w:rPr>
        <w:t>（一）</w:t>
      </w:r>
      <w:bookmarkEnd w:id="16"/>
      <w:bookmarkEnd w:id="17"/>
      <w:bookmarkEnd w:id="18"/>
      <w:r>
        <w:rPr>
          <w:rFonts w:ascii="Times New Roman" w:hAnsi="Times New Roman"/>
        </w:rPr>
        <w:t>指导思想</w:t>
      </w:r>
      <w:bookmarkEnd w:id="19"/>
    </w:p>
    <w:p w14:paraId="2FCD55D4">
      <w:pPr>
        <w:spacing w:line="580" w:lineRule="exact"/>
        <w:ind w:firstLine="640" w:firstLineChars="200"/>
        <w:rPr>
          <w:rFonts w:ascii="方正仿宋_GBK"/>
          <w:bCs/>
        </w:rPr>
      </w:pPr>
      <w:r>
        <w:rPr>
          <w:rFonts w:hint="eastAsia" w:ascii="方正仿宋_GBK"/>
          <w:bCs/>
        </w:rPr>
        <w:t>以习近平新时代中国特色社会主义思想为指导，深入贯彻党的十九大和十九届二中、三中、四中、五中、六中全会精神，以及习近平总书记对重庆提出的系列重要指示要求，全面</w:t>
      </w:r>
      <w:r>
        <w:rPr>
          <w:rFonts w:hint="eastAsia" w:ascii="方正仿宋_GBK"/>
          <w:bCs/>
          <w:lang w:eastAsia="zh-CN"/>
        </w:rPr>
        <w:t>贯彻党中央、国务院</w:t>
      </w:r>
      <w:r>
        <w:rPr>
          <w:rFonts w:hint="eastAsia" w:ascii="方正仿宋_GBK"/>
          <w:bCs/>
        </w:rPr>
        <w:t>决策部署和市委、市政府工作要求，立足新发展阶段，完整、准确、全面贯彻新发展理念，积极融入和服务构建新发展格局，把人民健康放在优先发展战略地位，坚持新时期卫生与健康工作方针，围绕全市卫生健康</w:t>
      </w:r>
      <w:r>
        <w:rPr>
          <w:bCs/>
        </w:rPr>
        <w:t>“1355”</w:t>
      </w:r>
      <w:r>
        <w:rPr>
          <w:rFonts w:hint="eastAsia" w:ascii="方正仿宋_GBK"/>
          <w:bCs/>
        </w:rPr>
        <w:t>工作路径，以健康中国大渡口行动为主题，以卫生健康高质量发展为主线，以深化医药卫生体制改革为根本动力，以满足人民美好生活需要为根本目的，完善与主城都市区中心城区经济社会地位发展水平相适应的优质医疗服务体系，构建更加优质、均衡的全生命周期健康体系，为建设南部人文之城核心区奠定良好的健康基础。</w:t>
      </w:r>
    </w:p>
    <w:p w14:paraId="33823640">
      <w:pPr>
        <w:pStyle w:val="5"/>
        <w:spacing w:before="0" w:after="0" w:line="580" w:lineRule="exact"/>
        <w:ind w:firstLine="640" w:firstLineChars="200"/>
        <w:rPr>
          <w:rFonts w:ascii="Times New Roman" w:hAnsi="Times New Roman"/>
        </w:rPr>
      </w:pPr>
      <w:bookmarkStart w:id="20" w:name="_Toc83307944"/>
      <w:bookmarkStart w:id="21" w:name="_Toc1726"/>
      <w:bookmarkStart w:id="22" w:name="_Toc78987102"/>
      <w:bookmarkStart w:id="23" w:name="_Toc6625"/>
      <w:r>
        <w:rPr>
          <w:rFonts w:ascii="Times New Roman" w:hAnsi="Times New Roman"/>
        </w:rPr>
        <w:t>（二）基本原则</w:t>
      </w:r>
      <w:bookmarkEnd w:id="20"/>
      <w:bookmarkEnd w:id="21"/>
      <w:bookmarkEnd w:id="22"/>
      <w:bookmarkEnd w:id="23"/>
    </w:p>
    <w:p w14:paraId="16B98481">
      <w:pPr>
        <w:spacing w:line="580" w:lineRule="exact"/>
        <w:ind w:firstLine="640" w:firstLineChars="200"/>
        <w:rPr>
          <w:bCs/>
        </w:rPr>
      </w:pPr>
      <w:r>
        <w:t xml:space="preserve">1. </w:t>
      </w:r>
      <w:r>
        <w:rPr>
          <w:rFonts w:hint="eastAsia" w:ascii="方正仿宋_GBK"/>
          <w:bCs/>
        </w:rPr>
        <w:t>坚持党的领导，统筹发展。</w:t>
      </w:r>
      <w:r>
        <w:rPr>
          <w:bCs/>
        </w:rPr>
        <w:t>坚持和完善党</w:t>
      </w:r>
      <w:r>
        <w:rPr>
          <w:rFonts w:hint="eastAsia"/>
          <w:bCs/>
        </w:rPr>
        <w:t>对</w:t>
      </w:r>
      <w:r>
        <w:rPr>
          <w:bCs/>
        </w:rPr>
        <w:t>卫生健康</w:t>
      </w:r>
      <w:r>
        <w:rPr>
          <w:rFonts w:hint="eastAsia"/>
          <w:bCs/>
        </w:rPr>
        <w:t>事业的领导</w:t>
      </w:r>
      <w:r>
        <w:rPr>
          <w:bCs/>
        </w:rPr>
        <w:t>，更好发挥党总揽全局、协调各方的作用，把党的领导落实到卫生健康改革发展各领域各方面各环节，强化提高人民健康水平的制度保障，有效提升治理效能，为全面</w:t>
      </w:r>
      <w:r>
        <w:rPr>
          <w:rFonts w:hint="eastAsia"/>
          <w:bCs/>
        </w:rPr>
        <w:t>推动卫生健康高质量发展</w:t>
      </w:r>
      <w:r>
        <w:rPr>
          <w:bCs/>
        </w:rPr>
        <w:t>提供根本保证。</w:t>
      </w:r>
    </w:p>
    <w:p w14:paraId="7C11238A">
      <w:pPr>
        <w:spacing w:line="580" w:lineRule="exact"/>
        <w:ind w:firstLine="640" w:firstLineChars="200"/>
        <w:rPr>
          <w:bCs/>
        </w:rPr>
      </w:pPr>
      <w:r>
        <w:t xml:space="preserve">2. </w:t>
      </w:r>
      <w:r>
        <w:rPr>
          <w:rFonts w:hint="eastAsia" w:ascii="方正仿宋_GBK"/>
          <w:bCs/>
        </w:rPr>
        <w:t>坚持健康优先，共享发展。</w:t>
      </w:r>
      <w:r>
        <w:rPr>
          <w:rFonts w:hint="eastAsia"/>
          <w:bCs/>
        </w:rPr>
        <w:t>推动形成有利于健康的生活方式、生产方式、经济社会发展模式和治理模式，实现健康与南部人文之城核心区经济社会协调发展。坚持人民主体地位，创新社会动员机制，建立政府、社会、个人共同行动的体制机制，形成</w:t>
      </w:r>
      <w:r>
        <w:rPr>
          <w:bCs/>
        </w:rPr>
        <w:t>健康</w:t>
      </w:r>
      <w:r>
        <w:rPr>
          <w:rFonts w:hint="eastAsia"/>
          <w:bCs/>
        </w:rPr>
        <w:t>共建共治共享格局。</w:t>
      </w:r>
    </w:p>
    <w:p w14:paraId="278F0DC8">
      <w:pPr>
        <w:spacing w:line="580" w:lineRule="exact"/>
        <w:ind w:firstLine="640" w:firstLineChars="200"/>
        <w:rPr>
          <w:bCs/>
        </w:rPr>
      </w:pPr>
      <w:r>
        <w:t xml:space="preserve">3. </w:t>
      </w:r>
      <w:r>
        <w:rPr>
          <w:rFonts w:hint="eastAsia"/>
          <w:bCs/>
        </w:rPr>
        <w:t>坚持优质均衡，内涵发展</w:t>
      </w:r>
      <w:r>
        <w:rPr>
          <w:bCs/>
        </w:rPr>
        <w:t>。</w:t>
      </w:r>
      <w:r>
        <w:rPr>
          <w:rFonts w:hint="eastAsia" w:ascii="方正仿宋_GBK"/>
          <w:bCs/>
        </w:rPr>
        <w:t>坚持高质量发展，推动优质</w:t>
      </w:r>
      <w:r>
        <w:rPr>
          <w:bCs/>
        </w:rPr>
        <w:t>高效医疗卫生服务体系建设，提高医疗卫生服务质量与水平。提升基本医疗卫生服务均等化和同质化水平，缩小城乡、人群之间配置、服务水平和健康结果差异，促进健康公平。</w:t>
      </w:r>
    </w:p>
    <w:p w14:paraId="407B67E1">
      <w:pPr>
        <w:spacing w:line="580" w:lineRule="exact"/>
        <w:ind w:firstLine="640" w:firstLineChars="200"/>
        <w:rPr>
          <w:bCs/>
        </w:rPr>
      </w:pPr>
      <w:r>
        <w:rPr>
          <w:bCs/>
        </w:rPr>
        <w:t xml:space="preserve">4. </w:t>
      </w:r>
      <w:r>
        <w:rPr>
          <w:rFonts w:hint="eastAsia"/>
          <w:bCs/>
        </w:rPr>
        <w:t>坚持改革创新，协调发展</w:t>
      </w:r>
      <w:r>
        <w:rPr>
          <w:bCs/>
        </w:rPr>
        <w:t>。加快</w:t>
      </w:r>
      <w:r>
        <w:rPr>
          <w:rFonts w:hint="eastAsia"/>
          <w:bCs/>
        </w:rPr>
        <w:t>“三医”联动</w:t>
      </w:r>
      <w:r>
        <w:rPr>
          <w:bCs/>
        </w:rPr>
        <w:t>改革，破除重点领域关键环节体制机制障碍，维护基本医疗卫生事业公益性。关注生命全周期、健康全过程，统筹预防、治疗、康复、健康促进。促进中西医相互补充、</w:t>
      </w:r>
      <w:r>
        <w:rPr>
          <w:rFonts w:hint="eastAsia"/>
          <w:bCs/>
        </w:rPr>
        <w:t>融合</w:t>
      </w:r>
      <w:r>
        <w:rPr>
          <w:bCs/>
        </w:rPr>
        <w:t>发展。</w:t>
      </w:r>
    </w:p>
    <w:p w14:paraId="512A7A16">
      <w:pPr>
        <w:pStyle w:val="5"/>
        <w:spacing w:before="0" w:after="0" w:line="580" w:lineRule="exact"/>
        <w:ind w:firstLine="640" w:firstLineChars="200"/>
        <w:rPr>
          <w:rFonts w:ascii="Times New Roman" w:hAnsi="Times New Roman"/>
        </w:rPr>
      </w:pPr>
      <w:bookmarkStart w:id="24" w:name="_Toc21170"/>
      <w:bookmarkStart w:id="25" w:name="_Toc28557"/>
      <w:bookmarkStart w:id="26" w:name="_Toc83307945"/>
      <w:bookmarkStart w:id="27" w:name="_Toc78987103"/>
      <w:r>
        <w:rPr>
          <w:rFonts w:ascii="Times New Roman" w:hAnsi="Times New Roman"/>
        </w:rPr>
        <w:t>（三）发展目标</w:t>
      </w:r>
      <w:bookmarkEnd w:id="24"/>
      <w:bookmarkEnd w:id="25"/>
      <w:bookmarkEnd w:id="26"/>
      <w:bookmarkEnd w:id="27"/>
    </w:p>
    <w:p w14:paraId="4217A99A">
      <w:pPr>
        <w:spacing w:line="580" w:lineRule="exact"/>
        <w:ind w:firstLine="640" w:firstLineChars="200"/>
        <w:rPr>
          <w:rFonts w:ascii="方正仿宋_GBK"/>
          <w:bCs/>
        </w:rPr>
      </w:pPr>
      <w:r>
        <w:rPr>
          <w:bCs/>
        </w:rPr>
        <w:t xml:space="preserve">1. </w:t>
      </w:r>
      <w:r>
        <w:rPr>
          <w:rFonts w:hint="eastAsia" w:ascii="方正仿宋_GBK"/>
          <w:bCs/>
        </w:rPr>
        <w:t>总体目标</w:t>
      </w:r>
    </w:p>
    <w:p w14:paraId="01ED2500">
      <w:pPr>
        <w:spacing w:line="580" w:lineRule="exact"/>
        <w:ind w:firstLine="640" w:firstLineChars="200"/>
        <w:rPr>
          <w:rFonts w:ascii="方正仿宋_GBK"/>
          <w:bCs/>
        </w:rPr>
      </w:pPr>
      <w:r>
        <w:rPr>
          <w:rFonts w:hint="eastAsia" w:ascii="方正仿宋_GBK"/>
          <w:bCs/>
        </w:rPr>
        <w:t>到</w:t>
      </w:r>
      <w:r>
        <w:rPr>
          <w:bCs/>
        </w:rPr>
        <w:t>2025</w:t>
      </w:r>
      <w:r>
        <w:rPr>
          <w:rFonts w:hint="eastAsia" w:ascii="方正仿宋_GBK"/>
          <w:bCs/>
        </w:rPr>
        <w:t>年，建设与重庆主城都市区中心城区经济社会发展水平相适应、南部人文之城核心区功能定位相匹配的优质高效医疗卫生服务体系。</w:t>
      </w:r>
      <w:r>
        <w:rPr>
          <w:rFonts w:ascii="方正仿宋_GBK"/>
          <w:bCs/>
        </w:rPr>
        <w:t>卫生健康资源进一步优化，三级医疗服务网络和两级公共卫生服务网络</w:t>
      </w:r>
      <w:r>
        <w:rPr>
          <w:rFonts w:hint="eastAsia" w:ascii="方正仿宋_GBK"/>
          <w:bCs/>
        </w:rPr>
        <w:t>基本健全</w:t>
      </w:r>
      <w:r>
        <w:rPr>
          <w:rFonts w:ascii="方正仿宋_GBK"/>
          <w:bCs/>
        </w:rPr>
        <w:t>，15分钟健康服务圈</w:t>
      </w:r>
      <w:r>
        <w:rPr>
          <w:rFonts w:hint="eastAsia" w:ascii="方正仿宋_GBK"/>
          <w:bCs/>
        </w:rPr>
        <w:t>进一步完善</w:t>
      </w:r>
      <w:r>
        <w:rPr>
          <w:rFonts w:ascii="方正仿宋_GBK"/>
          <w:bCs/>
        </w:rPr>
        <w:t>，优质高效的整合型医疗卫生服务体系和完善的全民</w:t>
      </w:r>
      <w:r>
        <w:rPr>
          <w:rFonts w:hint="eastAsia" w:ascii="方正仿宋_GBK"/>
          <w:bCs/>
        </w:rPr>
        <w:t>健康</w:t>
      </w:r>
      <w:r>
        <w:rPr>
          <w:rFonts w:ascii="方正仿宋_GBK"/>
          <w:bCs/>
        </w:rPr>
        <w:t>公共服务体系</w:t>
      </w:r>
      <w:r>
        <w:rPr>
          <w:rFonts w:hint="eastAsia" w:ascii="方正仿宋_GBK"/>
          <w:bCs/>
        </w:rPr>
        <w:t>全面建立，</w:t>
      </w:r>
      <w:r>
        <w:rPr>
          <w:rFonts w:ascii="方正仿宋_GBK"/>
          <w:bCs/>
        </w:rPr>
        <w:t>健康科技创新</w:t>
      </w:r>
      <w:r>
        <w:rPr>
          <w:rFonts w:hint="eastAsia" w:ascii="方正仿宋_GBK"/>
          <w:bCs/>
        </w:rPr>
        <w:t>和学科人才建设能力</w:t>
      </w:r>
      <w:r>
        <w:rPr>
          <w:rFonts w:ascii="方正仿宋_GBK"/>
          <w:bCs/>
        </w:rPr>
        <w:t>进一步增强，健康服务质量和水平明显提高。</w:t>
      </w:r>
      <w:r>
        <w:rPr>
          <w:rFonts w:hint="eastAsia" w:ascii="方正仿宋_GBK"/>
          <w:bCs/>
        </w:rPr>
        <w:t>健康生活方式得到普及，居民健康水平保持全市领先水平。</w:t>
      </w:r>
    </w:p>
    <w:p w14:paraId="26F52C92">
      <w:pPr>
        <w:spacing w:line="580" w:lineRule="exact"/>
        <w:ind w:firstLine="640" w:firstLineChars="200"/>
        <w:rPr>
          <w:b/>
        </w:rPr>
      </w:pPr>
      <w:r>
        <w:rPr>
          <w:rFonts w:hint="eastAsia"/>
          <w:bCs/>
        </w:rPr>
        <w:t>2</w:t>
      </w:r>
      <w:r>
        <w:rPr>
          <w:bCs/>
        </w:rPr>
        <w:t>. 具体目标</w:t>
      </w:r>
    </w:p>
    <w:p w14:paraId="3B06D696">
      <w:pPr>
        <w:spacing w:line="580" w:lineRule="exact"/>
        <w:ind w:firstLine="640" w:firstLineChars="200"/>
        <w:rPr>
          <w:bCs/>
        </w:rPr>
      </w:pPr>
      <w:r>
        <w:rPr>
          <w:rFonts w:hint="eastAsia" w:ascii="方正仿宋_GBK"/>
          <w:bCs/>
        </w:rPr>
        <w:t>居民健康水平持续提升。</w:t>
      </w:r>
      <w:r>
        <w:rPr>
          <w:bCs/>
        </w:rPr>
        <w:t>居民主要健康指标进一步提升，人均预期寿命达到79.3岁，婴儿死亡率小于</w:t>
      </w:r>
      <w:r>
        <w:rPr>
          <w:rFonts w:hint="eastAsia"/>
          <w:bCs/>
        </w:rPr>
        <w:t>1.5</w:t>
      </w:r>
      <w:r>
        <w:rPr>
          <w:bCs/>
        </w:rPr>
        <w:t>‰，孕产妇死亡率小于10/10万，健康行为全面普及，居民健康素养水平达到30%。</w:t>
      </w:r>
    </w:p>
    <w:p w14:paraId="69BE50BF">
      <w:pPr>
        <w:pStyle w:val="3"/>
        <w:spacing w:line="580" w:lineRule="exact"/>
        <w:ind w:firstLine="640" w:firstLineChars="200"/>
        <w:jc w:val="both"/>
        <w:rPr>
          <w:rFonts w:ascii="Times New Roman" w:eastAsia="方正仿宋_GBK"/>
          <w:color w:val="auto"/>
        </w:rPr>
      </w:pPr>
      <w:r>
        <w:rPr>
          <w:rFonts w:hint="eastAsia" w:ascii="方正仿宋_GBK" w:eastAsia="方正仿宋_GBK"/>
          <w:bCs/>
          <w:color w:val="auto"/>
          <w:sz w:val="32"/>
          <w:szCs w:val="32"/>
        </w:rPr>
        <w:t>公共卫生保障能力明显增强。</w:t>
      </w:r>
      <w:r>
        <w:rPr>
          <w:rFonts w:ascii="Times New Roman" w:eastAsia="方正仿宋_GBK"/>
          <w:bCs/>
          <w:color w:val="auto"/>
          <w:kern w:val="2"/>
          <w:sz w:val="32"/>
          <w:szCs w:val="32"/>
        </w:rPr>
        <w:t>强大公共卫生体系基本构建，重大疫情和突发公共卫生事件防控救治能力得到增强，主要健康危害因素得到有效控制，重大慢性病过早死亡率下降到</w:t>
      </w:r>
      <w:r>
        <w:rPr>
          <w:rFonts w:hint="eastAsia" w:ascii="Times New Roman" w:eastAsia="方正仿宋_GBK"/>
          <w:bCs/>
          <w:color w:val="auto"/>
          <w:kern w:val="2"/>
          <w:sz w:val="32"/>
          <w:szCs w:val="32"/>
        </w:rPr>
        <w:t>11.93</w:t>
      </w:r>
      <w:r>
        <w:rPr>
          <w:rFonts w:ascii="Times New Roman" w:eastAsia="方正仿宋_GBK"/>
          <w:bCs/>
          <w:color w:val="auto"/>
          <w:kern w:val="2"/>
          <w:sz w:val="32"/>
          <w:szCs w:val="32"/>
        </w:rPr>
        <w:t>%，医防协同更加高效。</w:t>
      </w:r>
    </w:p>
    <w:p w14:paraId="23C2E8B8">
      <w:pPr>
        <w:spacing w:line="580" w:lineRule="exact"/>
        <w:ind w:firstLine="640" w:firstLineChars="200"/>
        <w:rPr>
          <w:bCs/>
        </w:rPr>
      </w:pPr>
      <w:r>
        <w:rPr>
          <w:rFonts w:hint="eastAsia" w:ascii="方正仿宋_GBK"/>
          <w:bCs/>
        </w:rPr>
        <w:t>健康服务能力大幅提升。</w:t>
      </w:r>
      <w:r>
        <w:rPr>
          <w:bCs/>
        </w:rPr>
        <w:t>医疗服务实现高质量发展，</w:t>
      </w:r>
      <w:r>
        <w:rPr>
          <w:rFonts w:hint="eastAsia"/>
          <w:bCs/>
        </w:rPr>
        <w:t>创建三级医院4个，甲级基层医疗机构4个</w:t>
      </w:r>
      <w:r>
        <w:rPr>
          <w:bCs/>
        </w:rPr>
        <w:t>，医疗卫生服务均等化水平进一步提高，分级诊疗体系进一步完善，卫生健康领域数字化水平显著提升。</w:t>
      </w:r>
    </w:p>
    <w:p w14:paraId="3C632300">
      <w:pPr>
        <w:spacing w:line="580" w:lineRule="exact"/>
        <w:ind w:firstLine="640" w:firstLineChars="200"/>
        <w:rPr>
          <w:bCs/>
        </w:rPr>
      </w:pPr>
      <w:r>
        <w:rPr>
          <w:rFonts w:hint="eastAsia" w:ascii="方正仿宋_GBK"/>
          <w:bCs/>
        </w:rPr>
        <w:t>健康科</w:t>
      </w:r>
      <w:r>
        <w:rPr>
          <w:rFonts w:hint="eastAsia"/>
          <w:bCs/>
        </w:rPr>
        <w:t>技创新能力明显增强。适</w:t>
      </w:r>
      <w:r>
        <w:rPr>
          <w:bCs/>
        </w:rPr>
        <w:t>应行业特点的医学教育和人才培养体系更加完善。推进医学重点学科建设，加强卫生健康科技创新能力建设</w:t>
      </w:r>
      <w:r>
        <w:rPr>
          <w:rFonts w:hint="eastAsia"/>
          <w:bCs/>
        </w:rPr>
        <w:t>。</w:t>
      </w:r>
    </w:p>
    <w:p w14:paraId="3FE527E9">
      <w:pPr>
        <w:spacing w:line="580" w:lineRule="exact"/>
        <w:ind w:firstLine="640" w:firstLineChars="200"/>
        <w:rPr>
          <w:bCs/>
        </w:rPr>
      </w:pPr>
      <w:r>
        <w:rPr>
          <w:rFonts w:hint="eastAsia"/>
          <w:bCs/>
        </w:rPr>
        <w:t>健康产业稳步发展。</w:t>
      </w:r>
      <w:r>
        <w:rPr>
          <w:bCs/>
        </w:rPr>
        <w:t>多元社会办医格局基本形成，健康服务新业态更加丰富，</w:t>
      </w:r>
      <w:r>
        <w:rPr>
          <w:rFonts w:hint="eastAsia"/>
          <w:bCs/>
        </w:rPr>
        <w:t>在体外诊断行业的生化诊断、免疫诊断、分子诊断、即时诊断（</w:t>
      </w:r>
      <w:r>
        <w:rPr>
          <w:bCs/>
        </w:rPr>
        <w:t>POCT</w:t>
      </w:r>
      <w:r>
        <w:rPr>
          <w:rFonts w:hint="eastAsia"/>
          <w:bCs/>
        </w:rPr>
        <w:t>）等技术细分领域深耕发展，</w:t>
      </w:r>
      <w:r>
        <w:rPr>
          <w:bCs/>
        </w:rPr>
        <w:t>推动</w:t>
      </w:r>
      <w:r>
        <w:rPr>
          <w:rFonts w:hint="eastAsia"/>
          <w:bCs/>
        </w:rPr>
        <w:t>大健康生物医药产业成为健康</w:t>
      </w:r>
      <w:r>
        <w:rPr>
          <w:bCs/>
        </w:rPr>
        <w:t>发展的重要力量。</w:t>
      </w:r>
    </w:p>
    <w:p w14:paraId="4DC451FF">
      <w:pPr>
        <w:spacing w:line="580" w:lineRule="exact"/>
        <w:jc w:val="center"/>
        <w:rPr>
          <w:rFonts w:eastAsia="方正黑体_GBK"/>
          <w:bCs/>
          <w:sz w:val="30"/>
          <w:szCs w:val="30"/>
        </w:rPr>
      </w:pPr>
      <w:bookmarkStart w:id="28" w:name="_Hlk83737504"/>
      <w:r>
        <w:rPr>
          <w:rFonts w:eastAsia="方正黑体_GBK"/>
          <w:bCs/>
          <w:sz w:val="30"/>
          <w:szCs w:val="30"/>
        </w:rPr>
        <w:t xml:space="preserve">专栏1 </w:t>
      </w:r>
      <w:r>
        <w:rPr>
          <w:rFonts w:hint="eastAsia" w:eastAsia="方正黑体_GBK"/>
          <w:bCs/>
          <w:sz w:val="30"/>
          <w:szCs w:val="30"/>
        </w:rPr>
        <w:t>重庆市大渡口区</w:t>
      </w:r>
      <w:r>
        <w:rPr>
          <w:rFonts w:eastAsia="方正黑体_GBK"/>
          <w:bCs/>
          <w:sz w:val="30"/>
          <w:szCs w:val="30"/>
        </w:rPr>
        <w:t>卫生健康发展“十四五”指标</w:t>
      </w:r>
    </w:p>
    <w:tbl>
      <w:tblPr>
        <w:tblStyle w:val="10"/>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101"/>
        <w:gridCol w:w="488"/>
        <w:gridCol w:w="656"/>
        <w:gridCol w:w="2039"/>
        <w:gridCol w:w="76"/>
        <w:gridCol w:w="700"/>
        <w:gridCol w:w="946"/>
        <w:gridCol w:w="946"/>
        <w:gridCol w:w="1142"/>
        <w:gridCol w:w="1142"/>
        <w:gridCol w:w="918"/>
        <w:tblGridChange w:id="0">
          <w:tblGrid>
            <w:gridCol w:w="849"/>
            <w:gridCol w:w="101"/>
            <w:gridCol w:w="488"/>
            <w:gridCol w:w="656"/>
            <w:gridCol w:w="2039"/>
            <w:gridCol w:w="76"/>
            <w:gridCol w:w="700"/>
            <w:gridCol w:w="946"/>
            <w:gridCol w:w="946"/>
            <w:gridCol w:w="1142"/>
            <w:gridCol w:w="1142"/>
            <w:gridCol w:w="918"/>
          </w:tblGrid>
        </w:tblGridChange>
      </w:tblGrid>
      <w:tr w14:paraId="1720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49" w:type="dxa"/>
            <w:vAlign w:val="center"/>
          </w:tcPr>
          <w:p w14:paraId="50AE9BDB">
            <w:pPr>
              <w:spacing w:line="580" w:lineRule="exact"/>
              <w:jc w:val="center"/>
              <w:rPr>
                <w:rFonts w:eastAsia="方正黑体_GBK"/>
                <w:bCs/>
                <w:sz w:val="21"/>
                <w:szCs w:val="21"/>
              </w:rPr>
            </w:pPr>
            <w:r>
              <w:rPr>
                <w:rFonts w:eastAsia="方正黑体_GBK"/>
                <w:bCs/>
                <w:sz w:val="21"/>
                <w:szCs w:val="21"/>
              </w:rPr>
              <w:t>类别</w:t>
            </w:r>
          </w:p>
        </w:tc>
        <w:tc>
          <w:tcPr>
            <w:tcW w:w="589" w:type="dxa"/>
            <w:gridSpan w:val="2"/>
            <w:vAlign w:val="center"/>
          </w:tcPr>
          <w:p w14:paraId="70468131">
            <w:pPr>
              <w:spacing w:line="580" w:lineRule="exact"/>
              <w:jc w:val="center"/>
              <w:rPr>
                <w:rFonts w:eastAsia="方正黑体_GBK"/>
                <w:bCs/>
                <w:sz w:val="21"/>
                <w:szCs w:val="21"/>
              </w:rPr>
            </w:pPr>
            <w:r>
              <w:rPr>
                <w:rFonts w:eastAsia="方正黑体_GBK"/>
                <w:bCs/>
                <w:sz w:val="21"/>
                <w:szCs w:val="21"/>
              </w:rPr>
              <w:t>序号</w:t>
            </w:r>
          </w:p>
        </w:tc>
        <w:tc>
          <w:tcPr>
            <w:tcW w:w="3471" w:type="dxa"/>
            <w:gridSpan w:val="4"/>
            <w:vAlign w:val="center"/>
          </w:tcPr>
          <w:p w14:paraId="0E309A5C">
            <w:pPr>
              <w:spacing w:line="580" w:lineRule="exact"/>
              <w:jc w:val="center"/>
              <w:rPr>
                <w:rFonts w:eastAsia="方正黑体_GBK"/>
                <w:bCs/>
                <w:sz w:val="21"/>
                <w:szCs w:val="21"/>
              </w:rPr>
            </w:pPr>
            <w:r>
              <w:rPr>
                <w:rFonts w:eastAsia="方正黑体_GBK"/>
                <w:bCs/>
                <w:sz w:val="21"/>
                <w:szCs w:val="21"/>
              </w:rPr>
              <w:t>主要指标</w:t>
            </w:r>
          </w:p>
        </w:tc>
        <w:tc>
          <w:tcPr>
            <w:tcW w:w="946" w:type="dxa"/>
            <w:vAlign w:val="center"/>
          </w:tcPr>
          <w:p w14:paraId="1AEBC817">
            <w:pPr>
              <w:spacing w:line="580" w:lineRule="exact"/>
              <w:jc w:val="center"/>
              <w:rPr>
                <w:rFonts w:eastAsia="方正黑体_GBK"/>
                <w:bCs/>
                <w:sz w:val="21"/>
                <w:szCs w:val="21"/>
              </w:rPr>
            </w:pPr>
            <w:r>
              <w:rPr>
                <w:rFonts w:hint="eastAsia" w:eastAsia="方正黑体_GBK"/>
                <w:bCs/>
                <w:sz w:val="21"/>
                <w:szCs w:val="21"/>
              </w:rPr>
              <w:t>2020年区级实际值</w:t>
            </w:r>
          </w:p>
        </w:tc>
        <w:tc>
          <w:tcPr>
            <w:tcW w:w="946" w:type="dxa"/>
            <w:vAlign w:val="center"/>
          </w:tcPr>
          <w:p w14:paraId="034A3DEF">
            <w:pPr>
              <w:spacing w:line="580" w:lineRule="exact"/>
              <w:jc w:val="center"/>
              <w:rPr>
                <w:rFonts w:eastAsia="方正黑体_GBK"/>
                <w:bCs/>
                <w:sz w:val="21"/>
                <w:szCs w:val="21"/>
              </w:rPr>
            </w:pPr>
            <w:r>
              <w:rPr>
                <w:rFonts w:eastAsia="方正黑体_GBK"/>
                <w:bCs/>
                <w:sz w:val="21"/>
                <w:szCs w:val="21"/>
              </w:rPr>
              <w:t>2020年</w:t>
            </w:r>
            <w:r>
              <w:rPr>
                <w:rFonts w:hint="eastAsia" w:eastAsia="方正黑体_GBK"/>
                <w:bCs/>
                <w:sz w:val="21"/>
                <w:szCs w:val="21"/>
              </w:rPr>
              <w:t>市级</w:t>
            </w:r>
            <w:r>
              <w:rPr>
                <w:rFonts w:eastAsia="方正黑体_GBK"/>
                <w:bCs/>
                <w:sz w:val="21"/>
                <w:szCs w:val="21"/>
              </w:rPr>
              <w:t>实际值</w:t>
            </w:r>
          </w:p>
        </w:tc>
        <w:tc>
          <w:tcPr>
            <w:tcW w:w="1142" w:type="dxa"/>
            <w:vAlign w:val="center"/>
          </w:tcPr>
          <w:p w14:paraId="20DE4A85">
            <w:pPr>
              <w:spacing w:line="580" w:lineRule="exact"/>
              <w:jc w:val="center"/>
              <w:rPr>
                <w:rFonts w:eastAsia="方正黑体_GBK"/>
                <w:bCs/>
                <w:sz w:val="21"/>
                <w:szCs w:val="21"/>
              </w:rPr>
            </w:pPr>
            <w:r>
              <w:rPr>
                <w:rFonts w:hint="eastAsia" w:eastAsia="方正黑体_GBK"/>
                <w:bCs/>
                <w:sz w:val="21"/>
                <w:szCs w:val="21"/>
              </w:rPr>
              <w:t>2025年区级目标值</w:t>
            </w:r>
          </w:p>
        </w:tc>
        <w:tc>
          <w:tcPr>
            <w:tcW w:w="1142" w:type="dxa"/>
            <w:vAlign w:val="center"/>
          </w:tcPr>
          <w:p w14:paraId="3DB1900E">
            <w:pPr>
              <w:spacing w:line="580" w:lineRule="exact"/>
              <w:jc w:val="center"/>
              <w:rPr>
                <w:rFonts w:eastAsia="方正黑体_GBK"/>
                <w:bCs/>
                <w:sz w:val="21"/>
                <w:szCs w:val="21"/>
              </w:rPr>
            </w:pPr>
            <w:r>
              <w:rPr>
                <w:rFonts w:eastAsia="方正黑体_GBK"/>
                <w:bCs/>
                <w:sz w:val="21"/>
                <w:szCs w:val="21"/>
              </w:rPr>
              <w:t>2025年</w:t>
            </w:r>
            <w:r>
              <w:rPr>
                <w:rFonts w:hint="eastAsia" w:eastAsia="方正黑体_GBK"/>
                <w:bCs/>
                <w:sz w:val="21"/>
                <w:szCs w:val="21"/>
              </w:rPr>
              <w:t>市级</w:t>
            </w:r>
          </w:p>
          <w:p w14:paraId="68923CF4">
            <w:pPr>
              <w:spacing w:line="580" w:lineRule="exact"/>
              <w:jc w:val="center"/>
              <w:rPr>
                <w:rFonts w:eastAsia="方正黑体_GBK"/>
                <w:bCs/>
                <w:sz w:val="21"/>
                <w:szCs w:val="21"/>
              </w:rPr>
            </w:pPr>
            <w:r>
              <w:rPr>
                <w:rFonts w:eastAsia="方正黑体_GBK"/>
                <w:bCs/>
                <w:sz w:val="21"/>
                <w:szCs w:val="21"/>
              </w:rPr>
              <w:t>目标值</w:t>
            </w:r>
          </w:p>
        </w:tc>
        <w:tc>
          <w:tcPr>
            <w:tcW w:w="918" w:type="dxa"/>
            <w:vAlign w:val="center"/>
          </w:tcPr>
          <w:p w14:paraId="5490803D">
            <w:pPr>
              <w:spacing w:line="580" w:lineRule="exact"/>
              <w:jc w:val="center"/>
              <w:rPr>
                <w:rFonts w:eastAsia="方正黑体_GBK"/>
                <w:bCs/>
                <w:sz w:val="21"/>
                <w:szCs w:val="21"/>
              </w:rPr>
            </w:pPr>
            <w:r>
              <w:rPr>
                <w:rFonts w:eastAsia="方正黑体_GBK"/>
                <w:bCs/>
                <w:sz w:val="21"/>
                <w:szCs w:val="21"/>
              </w:rPr>
              <w:t>指标性质</w:t>
            </w:r>
          </w:p>
        </w:tc>
      </w:tr>
      <w:tr w14:paraId="60A3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restart"/>
            <w:vAlign w:val="center"/>
          </w:tcPr>
          <w:p w14:paraId="4EB7EBD8">
            <w:pPr>
              <w:spacing w:line="580" w:lineRule="exact"/>
              <w:jc w:val="center"/>
              <w:rPr>
                <w:bCs/>
                <w:sz w:val="21"/>
                <w:szCs w:val="21"/>
              </w:rPr>
            </w:pPr>
            <w:r>
              <w:rPr>
                <w:bCs/>
                <w:sz w:val="21"/>
                <w:szCs w:val="21"/>
              </w:rPr>
              <w:t>健康水平</w:t>
            </w:r>
          </w:p>
        </w:tc>
        <w:tc>
          <w:tcPr>
            <w:tcW w:w="589" w:type="dxa"/>
            <w:gridSpan w:val="2"/>
            <w:vAlign w:val="center"/>
          </w:tcPr>
          <w:p w14:paraId="2DC301A0">
            <w:pPr>
              <w:spacing w:line="580" w:lineRule="exact"/>
              <w:jc w:val="center"/>
              <w:rPr>
                <w:bCs/>
                <w:sz w:val="21"/>
                <w:szCs w:val="21"/>
              </w:rPr>
            </w:pPr>
            <w:r>
              <w:rPr>
                <w:bCs/>
                <w:sz w:val="21"/>
                <w:szCs w:val="21"/>
              </w:rPr>
              <w:t>1</w:t>
            </w:r>
          </w:p>
        </w:tc>
        <w:tc>
          <w:tcPr>
            <w:tcW w:w="3471" w:type="dxa"/>
            <w:gridSpan w:val="4"/>
            <w:vAlign w:val="center"/>
          </w:tcPr>
          <w:p w14:paraId="29A94F43">
            <w:pPr>
              <w:spacing w:line="580" w:lineRule="exact"/>
              <w:rPr>
                <w:bCs/>
                <w:sz w:val="21"/>
                <w:szCs w:val="21"/>
              </w:rPr>
            </w:pPr>
            <w:r>
              <w:rPr>
                <w:bCs/>
                <w:sz w:val="21"/>
                <w:szCs w:val="21"/>
              </w:rPr>
              <w:t>人均预期寿命（岁）</w:t>
            </w:r>
          </w:p>
        </w:tc>
        <w:tc>
          <w:tcPr>
            <w:tcW w:w="946" w:type="dxa"/>
            <w:vAlign w:val="center"/>
          </w:tcPr>
          <w:p w14:paraId="4A1BB1A9">
            <w:pPr>
              <w:spacing w:line="580" w:lineRule="exact"/>
              <w:jc w:val="center"/>
              <w:rPr>
                <w:bCs/>
                <w:sz w:val="21"/>
                <w:szCs w:val="21"/>
              </w:rPr>
            </w:pPr>
            <w:r>
              <w:rPr>
                <w:rFonts w:hint="eastAsia"/>
                <w:bCs/>
                <w:sz w:val="21"/>
                <w:szCs w:val="21"/>
              </w:rPr>
              <w:t>78.97</w:t>
            </w:r>
          </w:p>
        </w:tc>
        <w:tc>
          <w:tcPr>
            <w:tcW w:w="946" w:type="dxa"/>
            <w:vAlign w:val="center"/>
          </w:tcPr>
          <w:p w14:paraId="64869A08">
            <w:pPr>
              <w:spacing w:line="580" w:lineRule="exact"/>
              <w:jc w:val="center"/>
              <w:rPr>
                <w:bCs/>
                <w:sz w:val="21"/>
                <w:szCs w:val="21"/>
              </w:rPr>
            </w:pPr>
            <w:r>
              <w:rPr>
                <w:bCs/>
                <w:sz w:val="21"/>
                <w:szCs w:val="21"/>
              </w:rPr>
              <w:t>78.15</w:t>
            </w:r>
          </w:p>
        </w:tc>
        <w:tc>
          <w:tcPr>
            <w:tcW w:w="1142" w:type="dxa"/>
            <w:vAlign w:val="center"/>
          </w:tcPr>
          <w:p w14:paraId="32699D1F">
            <w:pPr>
              <w:spacing w:line="580" w:lineRule="exact"/>
              <w:jc w:val="center"/>
              <w:rPr>
                <w:bCs/>
                <w:sz w:val="21"/>
                <w:szCs w:val="21"/>
              </w:rPr>
            </w:pPr>
            <w:r>
              <w:rPr>
                <w:bCs/>
                <w:sz w:val="21"/>
                <w:szCs w:val="21"/>
              </w:rPr>
              <w:t>79.3</w:t>
            </w:r>
          </w:p>
        </w:tc>
        <w:tc>
          <w:tcPr>
            <w:tcW w:w="1142" w:type="dxa"/>
            <w:vAlign w:val="center"/>
          </w:tcPr>
          <w:p w14:paraId="4228FB1E">
            <w:pPr>
              <w:spacing w:line="580" w:lineRule="exact"/>
              <w:jc w:val="center"/>
              <w:rPr>
                <w:bCs/>
                <w:sz w:val="21"/>
                <w:szCs w:val="21"/>
              </w:rPr>
            </w:pPr>
            <w:r>
              <w:rPr>
                <w:bCs/>
                <w:sz w:val="21"/>
                <w:szCs w:val="21"/>
              </w:rPr>
              <w:t>79.3</w:t>
            </w:r>
          </w:p>
        </w:tc>
        <w:tc>
          <w:tcPr>
            <w:tcW w:w="918" w:type="dxa"/>
            <w:vAlign w:val="center"/>
          </w:tcPr>
          <w:p w14:paraId="1DB192A1">
            <w:pPr>
              <w:spacing w:line="580" w:lineRule="exact"/>
              <w:jc w:val="center"/>
              <w:rPr>
                <w:bCs/>
                <w:sz w:val="21"/>
                <w:szCs w:val="21"/>
              </w:rPr>
            </w:pPr>
            <w:r>
              <w:rPr>
                <w:bCs/>
                <w:sz w:val="21"/>
                <w:szCs w:val="21"/>
              </w:rPr>
              <w:t>预期性</w:t>
            </w:r>
          </w:p>
        </w:tc>
      </w:tr>
      <w:tr w14:paraId="0CB0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70EE56A8">
            <w:pPr>
              <w:spacing w:line="580" w:lineRule="exact"/>
              <w:jc w:val="center"/>
              <w:rPr>
                <w:bCs/>
                <w:sz w:val="21"/>
                <w:szCs w:val="21"/>
              </w:rPr>
            </w:pPr>
          </w:p>
        </w:tc>
        <w:tc>
          <w:tcPr>
            <w:tcW w:w="589" w:type="dxa"/>
            <w:gridSpan w:val="2"/>
            <w:vAlign w:val="center"/>
          </w:tcPr>
          <w:p w14:paraId="5982DE1E">
            <w:pPr>
              <w:spacing w:line="580" w:lineRule="exact"/>
              <w:jc w:val="center"/>
              <w:rPr>
                <w:bCs/>
                <w:sz w:val="21"/>
                <w:szCs w:val="21"/>
              </w:rPr>
            </w:pPr>
            <w:r>
              <w:rPr>
                <w:bCs/>
                <w:sz w:val="21"/>
                <w:szCs w:val="21"/>
              </w:rPr>
              <w:t>2</w:t>
            </w:r>
          </w:p>
        </w:tc>
        <w:tc>
          <w:tcPr>
            <w:tcW w:w="3471" w:type="dxa"/>
            <w:gridSpan w:val="4"/>
            <w:vAlign w:val="center"/>
          </w:tcPr>
          <w:p w14:paraId="4301C87D">
            <w:pPr>
              <w:spacing w:line="580" w:lineRule="exact"/>
              <w:rPr>
                <w:bCs/>
                <w:sz w:val="21"/>
                <w:szCs w:val="21"/>
              </w:rPr>
            </w:pPr>
            <w:r>
              <w:rPr>
                <w:bCs/>
                <w:sz w:val="21"/>
                <w:szCs w:val="21"/>
              </w:rPr>
              <w:t>健康预期寿命（岁）</w:t>
            </w:r>
          </w:p>
        </w:tc>
        <w:tc>
          <w:tcPr>
            <w:tcW w:w="946" w:type="dxa"/>
            <w:vAlign w:val="center"/>
          </w:tcPr>
          <w:p w14:paraId="31171BA0">
            <w:pPr>
              <w:spacing w:line="580" w:lineRule="exact"/>
              <w:jc w:val="center"/>
              <w:rPr>
                <w:bCs/>
                <w:sz w:val="21"/>
                <w:szCs w:val="21"/>
              </w:rPr>
            </w:pPr>
            <w:r>
              <w:rPr>
                <w:rFonts w:hint="eastAsia"/>
                <w:bCs/>
                <w:sz w:val="21"/>
                <w:szCs w:val="21"/>
              </w:rPr>
              <w:t>——</w:t>
            </w:r>
          </w:p>
        </w:tc>
        <w:tc>
          <w:tcPr>
            <w:tcW w:w="946" w:type="dxa"/>
            <w:vAlign w:val="center"/>
          </w:tcPr>
          <w:p w14:paraId="351B56FC">
            <w:pPr>
              <w:spacing w:line="580" w:lineRule="exact"/>
              <w:jc w:val="center"/>
              <w:rPr>
                <w:bCs/>
                <w:sz w:val="21"/>
                <w:szCs w:val="21"/>
              </w:rPr>
            </w:pPr>
            <w:r>
              <w:rPr>
                <w:rFonts w:hint="eastAsia"/>
                <w:bCs/>
                <w:sz w:val="21"/>
                <w:szCs w:val="21"/>
              </w:rPr>
              <w:t>——</w:t>
            </w:r>
          </w:p>
        </w:tc>
        <w:tc>
          <w:tcPr>
            <w:tcW w:w="1142" w:type="dxa"/>
            <w:vAlign w:val="center"/>
          </w:tcPr>
          <w:p w14:paraId="2C05EE69">
            <w:pPr>
              <w:spacing w:line="580" w:lineRule="exact"/>
              <w:jc w:val="center"/>
              <w:rPr>
                <w:bCs/>
                <w:sz w:val="21"/>
                <w:szCs w:val="21"/>
              </w:rPr>
            </w:pPr>
            <w:r>
              <w:rPr>
                <w:bCs/>
                <w:sz w:val="21"/>
                <w:szCs w:val="21"/>
              </w:rPr>
              <w:t>同比例提高</w:t>
            </w:r>
          </w:p>
        </w:tc>
        <w:tc>
          <w:tcPr>
            <w:tcW w:w="1142" w:type="dxa"/>
            <w:vAlign w:val="center"/>
          </w:tcPr>
          <w:p w14:paraId="26D3BCE6">
            <w:pPr>
              <w:spacing w:line="580" w:lineRule="exact"/>
              <w:jc w:val="center"/>
              <w:rPr>
                <w:bCs/>
                <w:sz w:val="21"/>
                <w:szCs w:val="21"/>
              </w:rPr>
            </w:pPr>
            <w:r>
              <w:rPr>
                <w:bCs/>
                <w:sz w:val="21"/>
                <w:szCs w:val="21"/>
              </w:rPr>
              <w:t>同比例提高</w:t>
            </w:r>
          </w:p>
        </w:tc>
        <w:tc>
          <w:tcPr>
            <w:tcW w:w="918" w:type="dxa"/>
            <w:vAlign w:val="center"/>
          </w:tcPr>
          <w:p w14:paraId="428DDFFC">
            <w:pPr>
              <w:spacing w:line="580" w:lineRule="exact"/>
              <w:jc w:val="center"/>
              <w:rPr>
                <w:bCs/>
                <w:sz w:val="21"/>
                <w:szCs w:val="21"/>
              </w:rPr>
            </w:pPr>
            <w:r>
              <w:rPr>
                <w:bCs/>
                <w:sz w:val="21"/>
                <w:szCs w:val="21"/>
              </w:rPr>
              <w:t>预期性</w:t>
            </w:r>
          </w:p>
        </w:tc>
      </w:tr>
      <w:tr w14:paraId="4829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2BA5C233">
            <w:pPr>
              <w:spacing w:line="580" w:lineRule="exact"/>
              <w:jc w:val="center"/>
              <w:rPr>
                <w:bCs/>
                <w:sz w:val="21"/>
                <w:szCs w:val="21"/>
              </w:rPr>
            </w:pPr>
          </w:p>
        </w:tc>
        <w:tc>
          <w:tcPr>
            <w:tcW w:w="589" w:type="dxa"/>
            <w:gridSpan w:val="2"/>
            <w:vAlign w:val="center"/>
          </w:tcPr>
          <w:p w14:paraId="08B8FCFF">
            <w:pPr>
              <w:spacing w:line="580" w:lineRule="exact"/>
              <w:jc w:val="center"/>
              <w:rPr>
                <w:bCs/>
                <w:sz w:val="21"/>
                <w:szCs w:val="21"/>
              </w:rPr>
            </w:pPr>
            <w:r>
              <w:rPr>
                <w:bCs/>
                <w:sz w:val="21"/>
                <w:szCs w:val="21"/>
              </w:rPr>
              <w:t>3</w:t>
            </w:r>
          </w:p>
        </w:tc>
        <w:tc>
          <w:tcPr>
            <w:tcW w:w="3471" w:type="dxa"/>
            <w:gridSpan w:val="4"/>
            <w:vAlign w:val="center"/>
          </w:tcPr>
          <w:p w14:paraId="3C676913">
            <w:pPr>
              <w:spacing w:line="580" w:lineRule="exact"/>
              <w:rPr>
                <w:bCs/>
                <w:sz w:val="21"/>
                <w:szCs w:val="21"/>
              </w:rPr>
            </w:pPr>
            <w:r>
              <w:rPr>
                <w:bCs/>
                <w:sz w:val="21"/>
                <w:szCs w:val="21"/>
              </w:rPr>
              <w:t>孕产妇死亡率（/10万）</w:t>
            </w:r>
          </w:p>
        </w:tc>
        <w:tc>
          <w:tcPr>
            <w:tcW w:w="946" w:type="dxa"/>
            <w:vAlign w:val="center"/>
          </w:tcPr>
          <w:p w14:paraId="17CD2FAA">
            <w:pPr>
              <w:spacing w:line="580" w:lineRule="exact"/>
              <w:jc w:val="center"/>
              <w:rPr>
                <w:bCs/>
                <w:sz w:val="21"/>
                <w:szCs w:val="21"/>
              </w:rPr>
            </w:pPr>
            <w:r>
              <w:rPr>
                <w:rFonts w:hint="eastAsia"/>
                <w:bCs/>
                <w:sz w:val="21"/>
                <w:szCs w:val="21"/>
              </w:rPr>
              <w:t>0</w:t>
            </w:r>
          </w:p>
        </w:tc>
        <w:tc>
          <w:tcPr>
            <w:tcW w:w="946" w:type="dxa"/>
            <w:vAlign w:val="center"/>
          </w:tcPr>
          <w:p w14:paraId="7F8815BE">
            <w:pPr>
              <w:spacing w:line="580" w:lineRule="exact"/>
              <w:jc w:val="center"/>
              <w:rPr>
                <w:bCs/>
                <w:sz w:val="21"/>
                <w:szCs w:val="21"/>
              </w:rPr>
            </w:pPr>
            <w:r>
              <w:rPr>
                <w:bCs/>
                <w:sz w:val="21"/>
                <w:szCs w:val="21"/>
              </w:rPr>
              <w:t>9.52</w:t>
            </w:r>
          </w:p>
        </w:tc>
        <w:tc>
          <w:tcPr>
            <w:tcW w:w="1142" w:type="dxa"/>
            <w:vAlign w:val="center"/>
          </w:tcPr>
          <w:p w14:paraId="24E6FCB8">
            <w:pPr>
              <w:spacing w:line="580" w:lineRule="exact"/>
              <w:jc w:val="center"/>
              <w:rPr>
                <w:bCs/>
                <w:sz w:val="21"/>
                <w:szCs w:val="21"/>
              </w:rPr>
            </w:pPr>
            <w:r>
              <w:rPr>
                <w:bCs/>
                <w:sz w:val="21"/>
                <w:szCs w:val="21"/>
              </w:rPr>
              <w:t>≤10</w:t>
            </w:r>
          </w:p>
        </w:tc>
        <w:tc>
          <w:tcPr>
            <w:tcW w:w="1142" w:type="dxa"/>
            <w:vAlign w:val="center"/>
          </w:tcPr>
          <w:p w14:paraId="16306689">
            <w:pPr>
              <w:spacing w:line="580" w:lineRule="exact"/>
              <w:jc w:val="center"/>
              <w:rPr>
                <w:bCs/>
                <w:sz w:val="21"/>
                <w:szCs w:val="21"/>
              </w:rPr>
            </w:pPr>
            <w:r>
              <w:rPr>
                <w:bCs/>
                <w:sz w:val="21"/>
                <w:szCs w:val="21"/>
              </w:rPr>
              <w:t>≤10</w:t>
            </w:r>
          </w:p>
        </w:tc>
        <w:tc>
          <w:tcPr>
            <w:tcW w:w="918" w:type="dxa"/>
            <w:vAlign w:val="center"/>
          </w:tcPr>
          <w:p w14:paraId="3F97E488">
            <w:pPr>
              <w:spacing w:line="580" w:lineRule="exact"/>
              <w:jc w:val="center"/>
              <w:rPr>
                <w:bCs/>
                <w:sz w:val="21"/>
                <w:szCs w:val="21"/>
              </w:rPr>
            </w:pPr>
            <w:r>
              <w:rPr>
                <w:bCs/>
                <w:sz w:val="21"/>
                <w:szCs w:val="21"/>
              </w:rPr>
              <w:t>预期性</w:t>
            </w:r>
          </w:p>
        </w:tc>
      </w:tr>
      <w:tr w14:paraId="4CA9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565AF644">
            <w:pPr>
              <w:spacing w:line="580" w:lineRule="exact"/>
              <w:jc w:val="center"/>
              <w:rPr>
                <w:bCs/>
                <w:sz w:val="21"/>
                <w:szCs w:val="21"/>
              </w:rPr>
            </w:pPr>
          </w:p>
        </w:tc>
        <w:tc>
          <w:tcPr>
            <w:tcW w:w="589" w:type="dxa"/>
            <w:gridSpan w:val="2"/>
            <w:vAlign w:val="center"/>
          </w:tcPr>
          <w:p w14:paraId="7AEAC485">
            <w:pPr>
              <w:spacing w:line="580" w:lineRule="exact"/>
              <w:jc w:val="center"/>
              <w:rPr>
                <w:bCs/>
                <w:sz w:val="21"/>
                <w:szCs w:val="21"/>
              </w:rPr>
            </w:pPr>
            <w:r>
              <w:rPr>
                <w:bCs/>
                <w:sz w:val="21"/>
                <w:szCs w:val="21"/>
              </w:rPr>
              <w:t>4</w:t>
            </w:r>
          </w:p>
        </w:tc>
        <w:tc>
          <w:tcPr>
            <w:tcW w:w="3471" w:type="dxa"/>
            <w:gridSpan w:val="4"/>
            <w:vAlign w:val="center"/>
          </w:tcPr>
          <w:p w14:paraId="3BFA12D3">
            <w:pPr>
              <w:spacing w:line="580" w:lineRule="exact"/>
              <w:rPr>
                <w:bCs/>
                <w:sz w:val="21"/>
                <w:szCs w:val="21"/>
              </w:rPr>
            </w:pPr>
            <w:r>
              <w:rPr>
                <w:bCs/>
                <w:sz w:val="21"/>
                <w:szCs w:val="21"/>
              </w:rPr>
              <w:t>婴儿死亡率（‰）</w:t>
            </w:r>
          </w:p>
        </w:tc>
        <w:tc>
          <w:tcPr>
            <w:tcW w:w="946" w:type="dxa"/>
            <w:vAlign w:val="center"/>
          </w:tcPr>
          <w:p w14:paraId="1F2677D3">
            <w:pPr>
              <w:spacing w:line="580" w:lineRule="exact"/>
              <w:jc w:val="center"/>
              <w:rPr>
                <w:bCs/>
                <w:sz w:val="21"/>
                <w:szCs w:val="21"/>
              </w:rPr>
            </w:pPr>
            <w:r>
              <w:rPr>
                <w:rFonts w:hint="eastAsia"/>
                <w:bCs/>
                <w:sz w:val="21"/>
                <w:szCs w:val="21"/>
              </w:rPr>
              <w:t>1.51</w:t>
            </w:r>
          </w:p>
        </w:tc>
        <w:tc>
          <w:tcPr>
            <w:tcW w:w="946" w:type="dxa"/>
            <w:vAlign w:val="center"/>
          </w:tcPr>
          <w:p w14:paraId="73BE6084">
            <w:pPr>
              <w:spacing w:line="580" w:lineRule="exact"/>
              <w:jc w:val="center"/>
              <w:rPr>
                <w:bCs/>
                <w:sz w:val="21"/>
                <w:szCs w:val="21"/>
              </w:rPr>
            </w:pPr>
            <w:r>
              <w:rPr>
                <w:bCs/>
                <w:sz w:val="21"/>
                <w:szCs w:val="21"/>
              </w:rPr>
              <w:t>2.92</w:t>
            </w:r>
          </w:p>
        </w:tc>
        <w:tc>
          <w:tcPr>
            <w:tcW w:w="1142" w:type="dxa"/>
            <w:vAlign w:val="center"/>
          </w:tcPr>
          <w:p w14:paraId="48AA0221">
            <w:pPr>
              <w:spacing w:line="580" w:lineRule="exact"/>
              <w:jc w:val="center"/>
              <w:rPr>
                <w:bCs/>
                <w:sz w:val="21"/>
                <w:szCs w:val="21"/>
              </w:rPr>
            </w:pPr>
            <w:r>
              <w:rPr>
                <w:bCs/>
                <w:sz w:val="21"/>
                <w:szCs w:val="21"/>
              </w:rPr>
              <w:t>≤3.5</w:t>
            </w:r>
          </w:p>
        </w:tc>
        <w:tc>
          <w:tcPr>
            <w:tcW w:w="1142" w:type="dxa"/>
            <w:vAlign w:val="center"/>
          </w:tcPr>
          <w:p w14:paraId="2503E81F">
            <w:pPr>
              <w:spacing w:line="580" w:lineRule="exact"/>
              <w:jc w:val="center"/>
              <w:rPr>
                <w:bCs/>
                <w:sz w:val="21"/>
                <w:szCs w:val="21"/>
              </w:rPr>
            </w:pPr>
            <w:r>
              <w:rPr>
                <w:bCs/>
                <w:sz w:val="21"/>
                <w:szCs w:val="21"/>
              </w:rPr>
              <w:t>≤3.5</w:t>
            </w:r>
          </w:p>
        </w:tc>
        <w:tc>
          <w:tcPr>
            <w:tcW w:w="918" w:type="dxa"/>
            <w:vAlign w:val="center"/>
          </w:tcPr>
          <w:p w14:paraId="67844513">
            <w:pPr>
              <w:spacing w:line="580" w:lineRule="exact"/>
              <w:jc w:val="center"/>
              <w:rPr>
                <w:bCs/>
                <w:sz w:val="21"/>
                <w:szCs w:val="21"/>
              </w:rPr>
            </w:pPr>
            <w:r>
              <w:rPr>
                <w:bCs/>
                <w:sz w:val="21"/>
                <w:szCs w:val="21"/>
              </w:rPr>
              <w:t>预期性</w:t>
            </w:r>
          </w:p>
        </w:tc>
      </w:tr>
      <w:tr w14:paraId="1424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73CB193D">
            <w:pPr>
              <w:spacing w:line="580" w:lineRule="exact"/>
              <w:jc w:val="center"/>
              <w:rPr>
                <w:bCs/>
                <w:sz w:val="21"/>
                <w:szCs w:val="21"/>
              </w:rPr>
            </w:pPr>
          </w:p>
        </w:tc>
        <w:tc>
          <w:tcPr>
            <w:tcW w:w="589" w:type="dxa"/>
            <w:gridSpan w:val="2"/>
            <w:vAlign w:val="center"/>
          </w:tcPr>
          <w:p w14:paraId="175912C5">
            <w:pPr>
              <w:spacing w:line="580" w:lineRule="exact"/>
              <w:jc w:val="center"/>
              <w:rPr>
                <w:bCs/>
                <w:sz w:val="21"/>
                <w:szCs w:val="21"/>
              </w:rPr>
            </w:pPr>
            <w:r>
              <w:rPr>
                <w:bCs/>
                <w:sz w:val="21"/>
                <w:szCs w:val="21"/>
              </w:rPr>
              <w:t>5</w:t>
            </w:r>
          </w:p>
        </w:tc>
        <w:tc>
          <w:tcPr>
            <w:tcW w:w="3471" w:type="dxa"/>
            <w:gridSpan w:val="4"/>
            <w:vAlign w:val="center"/>
          </w:tcPr>
          <w:p w14:paraId="5B5E3305">
            <w:pPr>
              <w:spacing w:line="580" w:lineRule="exact"/>
              <w:rPr>
                <w:bCs/>
                <w:sz w:val="21"/>
                <w:szCs w:val="21"/>
              </w:rPr>
            </w:pPr>
            <w:r>
              <w:rPr>
                <w:bCs/>
                <w:sz w:val="21"/>
                <w:szCs w:val="21"/>
              </w:rPr>
              <w:t>5岁以下儿童死亡率（‰）</w:t>
            </w:r>
          </w:p>
        </w:tc>
        <w:tc>
          <w:tcPr>
            <w:tcW w:w="946" w:type="dxa"/>
            <w:vAlign w:val="center"/>
          </w:tcPr>
          <w:p w14:paraId="160B93C3">
            <w:pPr>
              <w:spacing w:line="580" w:lineRule="exact"/>
              <w:jc w:val="center"/>
              <w:rPr>
                <w:bCs/>
                <w:sz w:val="21"/>
                <w:szCs w:val="21"/>
              </w:rPr>
            </w:pPr>
            <w:r>
              <w:rPr>
                <w:bCs/>
                <w:sz w:val="21"/>
                <w:szCs w:val="21"/>
              </w:rPr>
              <w:t>2.12</w:t>
            </w:r>
          </w:p>
        </w:tc>
        <w:tc>
          <w:tcPr>
            <w:tcW w:w="946" w:type="dxa"/>
            <w:vAlign w:val="center"/>
          </w:tcPr>
          <w:p w14:paraId="3DE65FB4">
            <w:pPr>
              <w:spacing w:line="580" w:lineRule="exact"/>
              <w:jc w:val="center"/>
              <w:rPr>
                <w:bCs/>
                <w:sz w:val="21"/>
                <w:szCs w:val="21"/>
              </w:rPr>
            </w:pPr>
            <w:r>
              <w:rPr>
                <w:bCs/>
                <w:sz w:val="21"/>
                <w:szCs w:val="21"/>
              </w:rPr>
              <w:t>4.69</w:t>
            </w:r>
          </w:p>
        </w:tc>
        <w:tc>
          <w:tcPr>
            <w:tcW w:w="1142" w:type="dxa"/>
            <w:vAlign w:val="center"/>
          </w:tcPr>
          <w:p w14:paraId="023AA104">
            <w:pPr>
              <w:spacing w:line="580" w:lineRule="exact"/>
              <w:jc w:val="center"/>
              <w:rPr>
                <w:bCs/>
                <w:sz w:val="21"/>
                <w:szCs w:val="21"/>
              </w:rPr>
            </w:pPr>
            <w:r>
              <w:rPr>
                <w:bCs/>
                <w:sz w:val="21"/>
                <w:szCs w:val="21"/>
              </w:rPr>
              <w:t>≤5.0</w:t>
            </w:r>
          </w:p>
        </w:tc>
        <w:tc>
          <w:tcPr>
            <w:tcW w:w="1142" w:type="dxa"/>
            <w:vAlign w:val="center"/>
          </w:tcPr>
          <w:p w14:paraId="3E6CFC23">
            <w:pPr>
              <w:spacing w:line="580" w:lineRule="exact"/>
              <w:jc w:val="center"/>
              <w:rPr>
                <w:bCs/>
                <w:sz w:val="21"/>
                <w:szCs w:val="21"/>
              </w:rPr>
            </w:pPr>
            <w:r>
              <w:rPr>
                <w:bCs/>
                <w:sz w:val="21"/>
                <w:szCs w:val="21"/>
              </w:rPr>
              <w:t>≤5.0</w:t>
            </w:r>
          </w:p>
        </w:tc>
        <w:tc>
          <w:tcPr>
            <w:tcW w:w="918" w:type="dxa"/>
            <w:vAlign w:val="center"/>
          </w:tcPr>
          <w:p w14:paraId="1DC2A30D">
            <w:pPr>
              <w:spacing w:line="580" w:lineRule="exact"/>
              <w:jc w:val="center"/>
              <w:rPr>
                <w:bCs/>
                <w:sz w:val="21"/>
                <w:szCs w:val="21"/>
              </w:rPr>
            </w:pPr>
            <w:r>
              <w:rPr>
                <w:bCs/>
                <w:sz w:val="21"/>
                <w:szCs w:val="21"/>
              </w:rPr>
              <w:t>预期性</w:t>
            </w:r>
          </w:p>
        </w:tc>
      </w:tr>
      <w:tr w14:paraId="73F9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00EEDE0C">
            <w:pPr>
              <w:spacing w:line="580" w:lineRule="exact"/>
              <w:jc w:val="center"/>
              <w:rPr>
                <w:bCs/>
                <w:sz w:val="21"/>
                <w:szCs w:val="21"/>
              </w:rPr>
            </w:pPr>
          </w:p>
        </w:tc>
        <w:tc>
          <w:tcPr>
            <w:tcW w:w="589" w:type="dxa"/>
            <w:gridSpan w:val="2"/>
            <w:vAlign w:val="center"/>
          </w:tcPr>
          <w:p w14:paraId="558DE71A">
            <w:pPr>
              <w:spacing w:line="580" w:lineRule="exact"/>
              <w:jc w:val="center"/>
              <w:rPr>
                <w:bCs/>
                <w:sz w:val="21"/>
                <w:szCs w:val="21"/>
              </w:rPr>
            </w:pPr>
            <w:r>
              <w:rPr>
                <w:bCs/>
                <w:sz w:val="21"/>
                <w:szCs w:val="21"/>
              </w:rPr>
              <w:t>6</w:t>
            </w:r>
          </w:p>
        </w:tc>
        <w:tc>
          <w:tcPr>
            <w:tcW w:w="3471" w:type="dxa"/>
            <w:gridSpan w:val="4"/>
            <w:vAlign w:val="center"/>
          </w:tcPr>
          <w:p w14:paraId="730BE3F7">
            <w:pPr>
              <w:spacing w:line="580" w:lineRule="exact"/>
              <w:rPr>
                <w:bCs/>
                <w:sz w:val="21"/>
                <w:szCs w:val="21"/>
              </w:rPr>
            </w:pPr>
            <w:r>
              <w:rPr>
                <w:bCs/>
                <w:sz w:val="21"/>
                <w:szCs w:val="21"/>
              </w:rPr>
              <w:t>重大慢性病过早死亡率（%）</w:t>
            </w:r>
          </w:p>
        </w:tc>
        <w:tc>
          <w:tcPr>
            <w:tcW w:w="946" w:type="dxa"/>
            <w:vAlign w:val="center"/>
          </w:tcPr>
          <w:p w14:paraId="3D953567">
            <w:pPr>
              <w:spacing w:line="580" w:lineRule="exact"/>
              <w:jc w:val="center"/>
              <w:rPr>
                <w:bCs/>
                <w:sz w:val="21"/>
                <w:szCs w:val="21"/>
              </w:rPr>
            </w:pPr>
            <w:r>
              <w:rPr>
                <w:bCs/>
                <w:sz w:val="21"/>
                <w:szCs w:val="21"/>
              </w:rPr>
              <w:t>11.93</w:t>
            </w:r>
          </w:p>
        </w:tc>
        <w:tc>
          <w:tcPr>
            <w:tcW w:w="946" w:type="dxa"/>
            <w:vAlign w:val="center"/>
          </w:tcPr>
          <w:p w14:paraId="39F4B4CD">
            <w:pPr>
              <w:spacing w:line="580" w:lineRule="exact"/>
              <w:jc w:val="center"/>
              <w:rPr>
                <w:bCs/>
                <w:sz w:val="21"/>
                <w:szCs w:val="21"/>
              </w:rPr>
            </w:pPr>
            <w:r>
              <w:rPr>
                <w:bCs/>
                <w:sz w:val="21"/>
                <w:szCs w:val="21"/>
              </w:rPr>
              <w:t>13.66</w:t>
            </w:r>
          </w:p>
        </w:tc>
        <w:tc>
          <w:tcPr>
            <w:tcW w:w="1142" w:type="dxa"/>
            <w:vAlign w:val="center"/>
          </w:tcPr>
          <w:p w14:paraId="626A2983">
            <w:pPr>
              <w:spacing w:line="580" w:lineRule="exact"/>
              <w:jc w:val="center"/>
              <w:rPr>
                <w:bCs/>
                <w:sz w:val="21"/>
                <w:szCs w:val="21"/>
              </w:rPr>
            </w:pPr>
            <w:r>
              <w:rPr>
                <w:bCs/>
                <w:sz w:val="21"/>
                <w:szCs w:val="21"/>
              </w:rPr>
              <w:t>≤13.5</w:t>
            </w:r>
          </w:p>
        </w:tc>
        <w:tc>
          <w:tcPr>
            <w:tcW w:w="1142" w:type="dxa"/>
            <w:vAlign w:val="center"/>
          </w:tcPr>
          <w:p w14:paraId="0A4C9B62">
            <w:pPr>
              <w:spacing w:line="580" w:lineRule="exact"/>
              <w:jc w:val="center"/>
              <w:rPr>
                <w:bCs/>
                <w:sz w:val="21"/>
                <w:szCs w:val="21"/>
              </w:rPr>
            </w:pPr>
            <w:r>
              <w:rPr>
                <w:bCs/>
                <w:sz w:val="21"/>
                <w:szCs w:val="21"/>
              </w:rPr>
              <w:t>≤13.5</w:t>
            </w:r>
          </w:p>
        </w:tc>
        <w:tc>
          <w:tcPr>
            <w:tcW w:w="918" w:type="dxa"/>
            <w:vAlign w:val="center"/>
          </w:tcPr>
          <w:p w14:paraId="6B6C59CA">
            <w:pPr>
              <w:spacing w:line="580" w:lineRule="exact"/>
              <w:jc w:val="center"/>
              <w:rPr>
                <w:bCs/>
                <w:sz w:val="21"/>
                <w:szCs w:val="21"/>
              </w:rPr>
            </w:pPr>
            <w:r>
              <w:rPr>
                <w:bCs/>
                <w:sz w:val="21"/>
                <w:szCs w:val="21"/>
              </w:rPr>
              <w:t>预期性</w:t>
            </w:r>
          </w:p>
        </w:tc>
      </w:tr>
      <w:tr w14:paraId="504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0C6BADC3">
            <w:pPr>
              <w:spacing w:line="580" w:lineRule="exact"/>
              <w:jc w:val="center"/>
              <w:rPr>
                <w:bCs/>
                <w:sz w:val="21"/>
                <w:szCs w:val="21"/>
              </w:rPr>
            </w:pPr>
          </w:p>
        </w:tc>
        <w:tc>
          <w:tcPr>
            <w:tcW w:w="589" w:type="dxa"/>
            <w:gridSpan w:val="2"/>
            <w:vAlign w:val="center"/>
          </w:tcPr>
          <w:p w14:paraId="72424D68">
            <w:pPr>
              <w:spacing w:line="580" w:lineRule="exact"/>
              <w:jc w:val="center"/>
              <w:rPr>
                <w:bCs/>
                <w:sz w:val="21"/>
                <w:szCs w:val="21"/>
              </w:rPr>
            </w:pPr>
            <w:r>
              <w:rPr>
                <w:bCs/>
                <w:sz w:val="21"/>
                <w:szCs w:val="21"/>
              </w:rPr>
              <w:t>7</w:t>
            </w:r>
          </w:p>
        </w:tc>
        <w:tc>
          <w:tcPr>
            <w:tcW w:w="3471" w:type="dxa"/>
            <w:gridSpan w:val="4"/>
            <w:vAlign w:val="center"/>
          </w:tcPr>
          <w:p w14:paraId="31955E41">
            <w:pPr>
              <w:spacing w:line="580" w:lineRule="exact"/>
              <w:rPr>
                <w:bCs/>
                <w:sz w:val="21"/>
                <w:szCs w:val="21"/>
              </w:rPr>
            </w:pPr>
            <w:r>
              <w:rPr>
                <w:bCs/>
                <w:sz w:val="21"/>
                <w:szCs w:val="21"/>
              </w:rPr>
              <w:t>城乡居民达到《国民体质测定标准》合格以上的人数比例（%）</w:t>
            </w:r>
          </w:p>
        </w:tc>
        <w:tc>
          <w:tcPr>
            <w:tcW w:w="946" w:type="dxa"/>
            <w:vAlign w:val="center"/>
          </w:tcPr>
          <w:p w14:paraId="1345D567">
            <w:pPr>
              <w:spacing w:line="580" w:lineRule="exact"/>
              <w:jc w:val="center"/>
              <w:rPr>
                <w:bCs/>
                <w:sz w:val="21"/>
                <w:szCs w:val="21"/>
              </w:rPr>
            </w:pPr>
            <w:r>
              <w:rPr>
                <w:rFonts w:hint="eastAsia"/>
                <w:bCs/>
                <w:sz w:val="21"/>
                <w:szCs w:val="21"/>
              </w:rPr>
              <w:t>——</w:t>
            </w:r>
          </w:p>
        </w:tc>
        <w:tc>
          <w:tcPr>
            <w:tcW w:w="946" w:type="dxa"/>
            <w:vAlign w:val="center"/>
          </w:tcPr>
          <w:p w14:paraId="23A7B9E9">
            <w:pPr>
              <w:spacing w:line="580" w:lineRule="exact"/>
              <w:jc w:val="center"/>
              <w:rPr>
                <w:bCs/>
                <w:sz w:val="21"/>
                <w:szCs w:val="21"/>
              </w:rPr>
            </w:pPr>
            <w:r>
              <w:rPr>
                <w:bCs/>
                <w:sz w:val="21"/>
                <w:szCs w:val="21"/>
              </w:rPr>
              <w:t>92.7*</w:t>
            </w:r>
          </w:p>
        </w:tc>
        <w:tc>
          <w:tcPr>
            <w:tcW w:w="1142" w:type="dxa"/>
            <w:vAlign w:val="center"/>
          </w:tcPr>
          <w:p w14:paraId="59A2E1FA">
            <w:pPr>
              <w:spacing w:line="580" w:lineRule="exact"/>
              <w:jc w:val="center"/>
              <w:rPr>
                <w:bCs/>
                <w:sz w:val="21"/>
                <w:szCs w:val="21"/>
              </w:rPr>
            </w:pPr>
            <w:r>
              <w:rPr>
                <w:bCs/>
                <w:sz w:val="21"/>
                <w:szCs w:val="21"/>
              </w:rPr>
              <w:t>≥9</w:t>
            </w:r>
            <w:r>
              <w:rPr>
                <w:rFonts w:hint="eastAsia"/>
                <w:bCs/>
                <w:sz w:val="21"/>
                <w:szCs w:val="21"/>
              </w:rPr>
              <w:t>2</w:t>
            </w:r>
          </w:p>
        </w:tc>
        <w:tc>
          <w:tcPr>
            <w:tcW w:w="1142" w:type="dxa"/>
            <w:vAlign w:val="center"/>
          </w:tcPr>
          <w:p w14:paraId="48F29F63">
            <w:pPr>
              <w:spacing w:line="580" w:lineRule="exact"/>
              <w:jc w:val="center"/>
              <w:rPr>
                <w:bCs/>
                <w:sz w:val="21"/>
                <w:szCs w:val="21"/>
              </w:rPr>
            </w:pPr>
            <w:r>
              <w:rPr>
                <w:bCs/>
                <w:sz w:val="21"/>
                <w:szCs w:val="21"/>
              </w:rPr>
              <w:t>≥93.5</w:t>
            </w:r>
          </w:p>
        </w:tc>
        <w:tc>
          <w:tcPr>
            <w:tcW w:w="918" w:type="dxa"/>
            <w:vAlign w:val="center"/>
          </w:tcPr>
          <w:p w14:paraId="49352E5D">
            <w:pPr>
              <w:spacing w:line="580" w:lineRule="exact"/>
              <w:jc w:val="center"/>
              <w:rPr>
                <w:bCs/>
                <w:sz w:val="21"/>
                <w:szCs w:val="21"/>
              </w:rPr>
            </w:pPr>
            <w:r>
              <w:rPr>
                <w:bCs/>
                <w:sz w:val="21"/>
                <w:szCs w:val="21"/>
              </w:rPr>
              <w:t>预期性</w:t>
            </w:r>
          </w:p>
        </w:tc>
      </w:tr>
      <w:tr w14:paraId="0B5E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restart"/>
            <w:vAlign w:val="center"/>
          </w:tcPr>
          <w:p w14:paraId="400E39A8">
            <w:pPr>
              <w:spacing w:line="580" w:lineRule="exact"/>
              <w:jc w:val="center"/>
              <w:rPr>
                <w:bCs/>
                <w:sz w:val="21"/>
                <w:szCs w:val="21"/>
              </w:rPr>
            </w:pPr>
            <w:r>
              <w:rPr>
                <w:bCs/>
                <w:sz w:val="21"/>
                <w:szCs w:val="21"/>
              </w:rPr>
              <w:t>健康生活</w:t>
            </w:r>
          </w:p>
        </w:tc>
        <w:tc>
          <w:tcPr>
            <w:tcW w:w="589" w:type="dxa"/>
            <w:gridSpan w:val="2"/>
            <w:vAlign w:val="center"/>
          </w:tcPr>
          <w:p w14:paraId="13055377">
            <w:pPr>
              <w:spacing w:line="580" w:lineRule="exact"/>
              <w:jc w:val="center"/>
              <w:rPr>
                <w:bCs/>
                <w:sz w:val="21"/>
                <w:szCs w:val="21"/>
              </w:rPr>
            </w:pPr>
            <w:r>
              <w:rPr>
                <w:bCs/>
                <w:sz w:val="21"/>
                <w:szCs w:val="21"/>
              </w:rPr>
              <w:t>8</w:t>
            </w:r>
          </w:p>
        </w:tc>
        <w:tc>
          <w:tcPr>
            <w:tcW w:w="3471" w:type="dxa"/>
            <w:gridSpan w:val="4"/>
            <w:vAlign w:val="center"/>
          </w:tcPr>
          <w:p w14:paraId="6CFABA25">
            <w:pPr>
              <w:spacing w:line="580" w:lineRule="exact"/>
              <w:rPr>
                <w:bCs/>
                <w:sz w:val="21"/>
                <w:szCs w:val="21"/>
              </w:rPr>
            </w:pPr>
            <w:r>
              <w:rPr>
                <w:bCs/>
                <w:sz w:val="21"/>
                <w:szCs w:val="21"/>
              </w:rPr>
              <w:t>居民健康素养水平（%）</w:t>
            </w:r>
          </w:p>
        </w:tc>
        <w:tc>
          <w:tcPr>
            <w:tcW w:w="946" w:type="dxa"/>
            <w:vAlign w:val="center"/>
          </w:tcPr>
          <w:p w14:paraId="3619DACE">
            <w:pPr>
              <w:spacing w:line="580" w:lineRule="exact"/>
              <w:jc w:val="center"/>
              <w:rPr>
                <w:bCs/>
                <w:sz w:val="21"/>
                <w:szCs w:val="21"/>
              </w:rPr>
            </w:pPr>
            <w:r>
              <w:rPr>
                <w:rFonts w:hint="eastAsia"/>
                <w:bCs/>
                <w:sz w:val="21"/>
                <w:szCs w:val="21"/>
              </w:rPr>
              <w:t>24.38</w:t>
            </w:r>
          </w:p>
        </w:tc>
        <w:tc>
          <w:tcPr>
            <w:tcW w:w="946" w:type="dxa"/>
            <w:vAlign w:val="center"/>
          </w:tcPr>
          <w:p w14:paraId="4319D33A">
            <w:pPr>
              <w:spacing w:line="580" w:lineRule="exact"/>
              <w:jc w:val="center"/>
              <w:rPr>
                <w:bCs/>
                <w:sz w:val="21"/>
                <w:szCs w:val="21"/>
              </w:rPr>
            </w:pPr>
            <w:r>
              <w:rPr>
                <w:bCs/>
                <w:sz w:val="21"/>
                <w:szCs w:val="21"/>
              </w:rPr>
              <w:t>23.01</w:t>
            </w:r>
          </w:p>
        </w:tc>
        <w:tc>
          <w:tcPr>
            <w:tcW w:w="1142" w:type="dxa"/>
            <w:vAlign w:val="center"/>
          </w:tcPr>
          <w:p w14:paraId="009D1B9F">
            <w:pPr>
              <w:spacing w:line="580" w:lineRule="exact"/>
              <w:jc w:val="center"/>
              <w:rPr>
                <w:bCs/>
                <w:sz w:val="21"/>
                <w:szCs w:val="21"/>
              </w:rPr>
            </w:pPr>
            <w:r>
              <w:rPr>
                <w:bCs/>
                <w:sz w:val="21"/>
                <w:szCs w:val="21"/>
              </w:rPr>
              <w:t>≥30</w:t>
            </w:r>
          </w:p>
        </w:tc>
        <w:tc>
          <w:tcPr>
            <w:tcW w:w="1142" w:type="dxa"/>
            <w:vAlign w:val="center"/>
          </w:tcPr>
          <w:p w14:paraId="0F713206">
            <w:pPr>
              <w:spacing w:line="580" w:lineRule="exact"/>
              <w:jc w:val="center"/>
              <w:rPr>
                <w:bCs/>
                <w:sz w:val="21"/>
                <w:szCs w:val="21"/>
              </w:rPr>
            </w:pPr>
            <w:r>
              <w:rPr>
                <w:bCs/>
                <w:sz w:val="21"/>
                <w:szCs w:val="21"/>
              </w:rPr>
              <w:t>≥30</w:t>
            </w:r>
          </w:p>
        </w:tc>
        <w:tc>
          <w:tcPr>
            <w:tcW w:w="918" w:type="dxa"/>
            <w:vAlign w:val="center"/>
          </w:tcPr>
          <w:p w14:paraId="52E3274F">
            <w:pPr>
              <w:spacing w:line="580" w:lineRule="exact"/>
              <w:jc w:val="center"/>
              <w:rPr>
                <w:bCs/>
                <w:sz w:val="21"/>
                <w:szCs w:val="21"/>
              </w:rPr>
            </w:pPr>
            <w:r>
              <w:rPr>
                <w:bCs/>
                <w:sz w:val="21"/>
                <w:szCs w:val="21"/>
              </w:rPr>
              <w:t>预期性</w:t>
            </w:r>
          </w:p>
        </w:tc>
      </w:tr>
      <w:tr w14:paraId="3A19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7D7B8A7D">
            <w:pPr>
              <w:spacing w:line="580" w:lineRule="exact"/>
              <w:jc w:val="center"/>
              <w:rPr>
                <w:bCs/>
                <w:sz w:val="21"/>
                <w:szCs w:val="21"/>
              </w:rPr>
            </w:pPr>
          </w:p>
        </w:tc>
        <w:tc>
          <w:tcPr>
            <w:tcW w:w="589" w:type="dxa"/>
            <w:gridSpan w:val="2"/>
            <w:vAlign w:val="center"/>
          </w:tcPr>
          <w:p w14:paraId="77A0CD5A">
            <w:pPr>
              <w:spacing w:line="580" w:lineRule="exact"/>
              <w:jc w:val="center"/>
              <w:rPr>
                <w:bCs/>
                <w:sz w:val="21"/>
                <w:szCs w:val="21"/>
              </w:rPr>
            </w:pPr>
            <w:r>
              <w:rPr>
                <w:bCs/>
                <w:sz w:val="21"/>
                <w:szCs w:val="21"/>
              </w:rPr>
              <w:t>9</w:t>
            </w:r>
          </w:p>
        </w:tc>
        <w:tc>
          <w:tcPr>
            <w:tcW w:w="3471" w:type="dxa"/>
            <w:gridSpan w:val="4"/>
            <w:vAlign w:val="center"/>
          </w:tcPr>
          <w:p w14:paraId="5349B9B8">
            <w:pPr>
              <w:spacing w:line="580" w:lineRule="exact"/>
              <w:rPr>
                <w:bCs/>
                <w:sz w:val="21"/>
                <w:szCs w:val="21"/>
              </w:rPr>
            </w:pPr>
            <w:r>
              <w:rPr>
                <w:bCs/>
                <w:sz w:val="21"/>
                <w:szCs w:val="21"/>
              </w:rPr>
              <w:t>经常参加体育锻炼人数比例（%）</w:t>
            </w:r>
          </w:p>
        </w:tc>
        <w:tc>
          <w:tcPr>
            <w:tcW w:w="946" w:type="dxa"/>
            <w:vAlign w:val="center"/>
          </w:tcPr>
          <w:p w14:paraId="6F624263">
            <w:pPr>
              <w:spacing w:line="580" w:lineRule="exact"/>
              <w:jc w:val="center"/>
              <w:rPr>
                <w:bCs/>
                <w:sz w:val="21"/>
                <w:szCs w:val="21"/>
              </w:rPr>
            </w:pPr>
            <w:r>
              <w:rPr>
                <w:rFonts w:hint="eastAsia"/>
                <w:bCs/>
                <w:sz w:val="21"/>
                <w:szCs w:val="21"/>
              </w:rPr>
              <w:t>45</w:t>
            </w:r>
          </w:p>
        </w:tc>
        <w:tc>
          <w:tcPr>
            <w:tcW w:w="946" w:type="dxa"/>
            <w:vAlign w:val="center"/>
          </w:tcPr>
          <w:p w14:paraId="30A5F1D9">
            <w:pPr>
              <w:spacing w:line="580" w:lineRule="exact"/>
              <w:jc w:val="center"/>
              <w:rPr>
                <w:bCs/>
                <w:sz w:val="21"/>
                <w:szCs w:val="21"/>
              </w:rPr>
            </w:pPr>
            <w:r>
              <w:rPr>
                <w:bCs/>
                <w:sz w:val="21"/>
                <w:szCs w:val="21"/>
              </w:rPr>
              <w:t>47.65</w:t>
            </w:r>
          </w:p>
        </w:tc>
        <w:tc>
          <w:tcPr>
            <w:tcW w:w="1142" w:type="dxa"/>
            <w:vAlign w:val="center"/>
          </w:tcPr>
          <w:p w14:paraId="5B2799B9">
            <w:pPr>
              <w:spacing w:line="580" w:lineRule="exact"/>
              <w:jc w:val="center"/>
              <w:rPr>
                <w:bCs/>
                <w:sz w:val="21"/>
                <w:szCs w:val="21"/>
              </w:rPr>
            </w:pPr>
            <w:r>
              <w:rPr>
                <w:bCs/>
                <w:sz w:val="21"/>
                <w:szCs w:val="21"/>
              </w:rPr>
              <w:t>≥48</w:t>
            </w:r>
          </w:p>
        </w:tc>
        <w:tc>
          <w:tcPr>
            <w:tcW w:w="1142" w:type="dxa"/>
            <w:vAlign w:val="center"/>
          </w:tcPr>
          <w:p w14:paraId="354E8594">
            <w:pPr>
              <w:spacing w:line="580" w:lineRule="exact"/>
              <w:jc w:val="center"/>
              <w:rPr>
                <w:bCs/>
                <w:sz w:val="21"/>
                <w:szCs w:val="21"/>
              </w:rPr>
            </w:pPr>
            <w:r>
              <w:rPr>
                <w:bCs/>
                <w:sz w:val="21"/>
                <w:szCs w:val="21"/>
              </w:rPr>
              <w:t>≥48</w:t>
            </w:r>
          </w:p>
        </w:tc>
        <w:tc>
          <w:tcPr>
            <w:tcW w:w="918" w:type="dxa"/>
            <w:vAlign w:val="center"/>
          </w:tcPr>
          <w:p w14:paraId="73A16CCE">
            <w:pPr>
              <w:spacing w:line="580" w:lineRule="exact"/>
              <w:jc w:val="center"/>
              <w:rPr>
                <w:bCs/>
                <w:sz w:val="21"/>
                <w:szCs w:val="21"/>
              </w:rPr>
            </w:pPr>
            <w:r>
              <w:rPr>
                <w:bCs/>
                <w:sz w:val="21"/>
                <w:szCs w:val="21"/>
              </w:rPr>
              <w:t>预期性</w:t>
            </w:r>
          </w:p>
        </w:tc>
      </w:tr>
      <w:tr w14:paraId="7376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604D499C">
            <w:pPr>
              <w:spacing w:line="580" w:lineRule="exact"/>
              <w:jc w:val="center"/>
              <w:rPr>
                <w:bCs/>
                <w:sz w:val="21"/>
                <w:szCs w:val="21"/>
              </w:rPr>
            </w:pPr>
          </w:p>
        </w:tc>
        <w:tc>
          <w:tcPr>
            <w:tcW w:w="589" w:type="dxa"/>
            <w:gridSpan w:val="2"/>
            <w:vAlign w:val="center"/>
          </w:tcPr>
          <w:p w14:paraId="7F7445BE">
            <w:pPr>
              <w:spacing w:line="580" w:lineRule="exact"/>
              <w:jc w:val="center"/>
              <w:rPr>
                <w:bCs/>
                <w:sz w:val="21"/>
                <w:szCs w:val="21"/>
              </w:rPr>
            </w:pPr>
            <w:r>
              <w:rPr>
                <w:bCs/>
                <w:sz w:val="21"/>
                <w:szCs w:val="21"/>
              </w:rPr>
              <w:t>10</w:t>
            </w:r>
          </w:p>
        </w:tc>
        <w:tc>
          <w:tcPr>
            <w:tcW w:w="3471" w:type="dxa"/>
            <w:gridSpan w:val="4"/>
            <w:vAlign w:val="center"/>
          </w:tcPr>
          <w:p w14:paraId="687BAC61">
            <w:pPr>
              <w:spacing w:line="580" w:lineRule="exact"/>
              <w:rPr>
                <w:bCs/>
                <w:sz w:val="21"/>
                <w:szCs w:val="21"/>
              </w:rPr>
            </w:pPr>
            <w:r>
              <w:rPr>
                <w:bCs/>
                <w:sz w:val="21"/>
                <w:szCs w:val="21"/>
              </w:rPr>
              <w:t>15岁以上人群吸烟率（%）</w:t>
            </w:r>
          </w:p>
        </w:tc>
        <w:tc>
          <w:tcPr>
            <w:tcW w:w="946" w:type="dxa"/>
            <w:vAlign w:val="center"/>
          </w:tcPr>
          <w:p w14:paraId="1B15C194">
            <w:pPr>
              <w:spacing w:line="580" w:lineRule="exact"/>
              <w:jc w:val="center"/>
              <w:rPr>
                <w:bCs/>
                <w:sz w:val="21"/>
                <w:szCs w:val="21"/>
              </w:rPr>
            </w:pPr>
            <w:r>
              <w:rPr>
                <w:rFonts w:hint="eastAsia"/>
                <w:bCs/>
                <w:sz w:val="21"/>
                <w:szCs w:val="21"/>
              </w:rPr>
              <w:t>24.6（2017年调查值）</w:t>
            </w:r>
          </w:p>
        </w:tc>
        <w:tc>
          <w:tcPr>
            <w:tcW w:w="946" w:type="dxa"/>
            <w:vAlign w:val="center"/>
          </w:tcPr>
          <w:p w14:paraId="638F57C7">
            <w:pPr>
              <w:spacing w:line="580" w:lineRule="exact"/>
              <w:jc w:val="center"/>
              <w:rPr>
                <w:bCs/>
                <w:sz w:val="21"/>
                <w:szCs w:val="21"/>
              </w:rPr>
            </w:pPr>
            <w:r>
              <w:rPr>
                <w:bCs/>
                <w:sz w:val="21"/>
                <w:szCs w:val="21"/>
              </w:rPr>
              <w:t>24.2</w:t>
            </w:r>
          </w:p>
        </w:tc>
        <w:tc>
          <w:tcPr>
            <w:tcW w:w="1142" w:type="dxa"/>
            <w:vAlign w:val="center"/>
          </w:tcPr>
          <w:p w14:paraId="6EFADDD0">
            <w:pPr>
              <w:spacing w:line="580" w:lineRule="exact"/>
              <w:jc w:val="center"/>
              <w:rPr>
                <w:bCs/>
                <w:sz w:val="21"/>
                <w:szCs w:val="21"/>
              </w:rPr>
            </w:pPr>
            <w:r>
              <w:rPr>
                <w:bCs/>
                <w:sz w:val="21"/>
                <w:szCs w:val="21"/>
              </w:rPr>
              <w:t>≤22</w:t>
            </w:r>
          </w:p>
        </w:tc>
        <w:tc>
          <w:tcPr>
            <w:tcW w:w="1142" w:type="dxa"/>
            <w:vAlign w:val="center"/>
          </w:tcPr>
          <w:p w14:paraId="48F02022">
            <w:pPr>
              <w:spacing w:line="580" w:lineRule="exact"/>
              <w:jc w:val="center"/>
              <w:rPr>
                <w:bCs/>
                <w:sz w:val="21"/>
                <w:szCs w:val="21"/>
              </w:rPr>
            </w:pPr>
            <w:r>
              <w:rPr>
                <w:bCs/>
                <w:sz w:val="21"/>
                <w:szCs w:val="21"/>
              </w:rPr>
              <w:t>≤22</w:t>
            </w:r>
          </w:p>
        </w:tc>
        <w:tc>
          <w:tcPr>
            <w:tcW w:w="918" w:type="dxa"/>
            <w:vAlign w:val="center"/>
          </w:tcPr>
          <w:p w14:paraId="612BBD44">
            <w:pPr>
              <w:spacing w:line="580" w:lineRule="exact"/>
              <w:jc w:val="center"/>
              <w:rPr>
                <w:bCs/>
                <w:sz w:val="21"/>
                <w:szCs w:val="21"/>
              </w:rPr>
            </w:pPr>
            <w:r>
              <w:rPr>
                <w:bCs/>
                <w:sz w:val="21"/>
                <w:szCs w:val="21"/>
              </w:rPr>
              <w:t>预期性</w:t>
            </w:r>
          </w:p>
        </w:tc>
      </w:tr>
      <w:tr w14:paraId="19EE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restart"/>
            <w:vAlign w:val="center"/>
          </w:tcPr>
          <w:p w14:paraId="3EDEEBE5">
            <w:pPr>
              <w:spacing w:line="580" w:lineRule="exact"/>
              <w:jc w:val="center"/>
              <w:rPr>
                <w:bCs/>
                <w:sz w:val="21"/>
                <w:szCs w:val="21"/>
              </w:rPr>
            </w:pPr>
            <w:r>
              <w:rPr>
                <w:bCs/>
                <w:sz w:val="21"/>
                <w:szCs w:val="21"/>
              </w:rPr>
              <w:t>健康服务</w:t>
            </w:r>
          </w:p>
        </w:tc>
        <w:tc>
          <w:tcPr>
            <w:tcW w:w="589" w:type="dxa"/>
            <w:gridSpan w:val="2"/>
            <w:vAlign w:val="center"/>
          </w:tcPr>
          <w:p w14:paraId="7957C26B">
            <w:pPr>
              <w:spacing w:line="580" w:lineRule="exact"/>
              <w:jc w:val="center"/>
              <w:rPr>
                <w:bCs/>
                <w:sz w:val="21"/>
                <w:szCs w:val="21"/>
              </w:rPr>
            </w:pPr>
            <w:r>
              <w:rPr>
                <w:bCs/>
                <w:sz w:val="21"/>
                <w:szCs w:val="21"/>
              </w:rPr>
              <w:t>11</w:t>
            </w:r>
          </w:p>
        </w:tc>
        <w:tc>
          <w:tcPr>
            <w:tcW w:w="3471" w:type="dxa"/>
            <w:gridSpan w:val="4"/>
            <w:vAlign w:val="center"/>
          </w:tcPr>
          <w:p w14:paraId="02395B64">
            <w:pPr>
              <w:spacing w:line="580" w:lineRule="exact"/>
              <w:rPr>
                <w:bCs/>
                <w:sz w:val="21"/>
                <w:szCs w:val="21"/>
              </w:rPr>
            </w:pPr>
            <w:r>
              <w:rPr>
                <w:bCs/>
                <w:sz w:val="21"/>
                <w:szCs w:val="21"/>
              </w:rPr>
              <w:t>每千人口执业（助理）医师数（人）</w:t>
            </w:r>
          </w:p>
        </w:tc>
        <w:tc>
          <w:tcPr>
            <w:tcW w:w="946" w:type="dxa"/>
            <w:vAlign w:val="center"/>
          </w:tcPr>
          <w:p w14:paraId="324A0467">
            <w:pPr>
              <w:spacing w:line="580" w:lineRule="exact"/>
              <w:jc w:val="center"/>
              <w:rPr>
                <w:bCs/>
                <w:sz w:val="21"/>
                <w:szCs w:val="21"/>
              </w:rPr>
            </w:pPr>
            <w:r>
              <w:rPr>
                <w:rFonts w:hint="eastAsia"/>
                <w:bCs/>
                <w:sz w:val="21"/>
                <w:szCs w:val="21"/>
              </w:rPr>
              <w:t>3.81</w:t>
            </w:r>
          </w:p>
        </w:tc>
        <w:tc>
          <w:tcPr>
            <w:tcW w:w="946" w:type="dxa"/>
            <w:vAlign w:val="center"/>
          </w:tcPr>
          <w:p w14:paraId="03E51EF8">
            <w:pPr>
              <w:spacing w:line="580" w:lineRule="exact"/>
              <w:jc w:val="center"/>
              <w:rPr>
                <w:bCs/>
                <w:sz w:val="21"/>
                <w:szCs w:val="21"/>
              </w:rPr>
            </w:pPr>
            <w:r>
              <w:rPr>
                <w:bCs/>
                <w:sz w:val="21"/>
                <w:szCs w:val="21"/>
              </w:rPr>
              <w:t>2.77</w:t>
            </w:r>
          </w:p>
        </w:tc>
        <w:tc>
          <w:tcPr>
            <w:tcW w:w="1142" w:type="dxa"/>
            <w:vAlign w:val="center"/>
          </w:tcPr>
          <w:p w14:paraId="1C3158AF">
            <w:pPr>
              <w:spacing w:line="580" w:lineRule="exact"/>
              <w:jc w:val="center"/>
              <w:rPr>
                <w:bCs/>
                <w:sz w:val="21"/>
                <w:szCs w:val="21"/>
              </w:rPr>
            </w:pPr>
            <w:r>
              <w:rPr>
                <w:rFonts w:hint="eastAsia"/>
                <w:bCs/>
                <w:sz w:val="21"/>
                <w:szCs w:val="21"/>
              </w:rPr>
              <w:t>3.65</w:t>
            </w:r>
          </w:p>
        </w:tc>
        <w:tc>
          <w:tcPr>
            <w:tcW w:w="1142" w:type="dxa"/>
            <w:vAlign w:val="center"/>
          </w:tcPr>
          <w:p w14:paraId="535184FB">
            <w:pPr>
              <w:spacing w:line="580" w:lineRule="exact"/>
              <w:jc w:val="center"/>
              <w:rPr>
                <w:bCs/>
                <w:sz w:val="21"/>
                <w:szCs w:val="21"/>
              </w:rPr>
            </w:pPr>
            <w:r>
              <w:rPr>
                <w:bCs/>
                <w:sz w:val="21"/>
                <w:szCs w:val="21"/>
              </w:rPr>
              <w:t>3.6</w:t>
            </w:r>
          </w:p>
        </w:tc>
        <w:tc>
          <w:tcPr>
            <w:tcW w:w="918" w:type="dxa"/>
            <w:vAlign w:val="center"/>
          </w:tcPr>
          <w:p w14:paraId="46AD869F">
            <w:pPr>
              <w:spacing w:line="580" w:lineRule="exact"/>
              <w:jc w:val="center"/>
              <w:rPr>
                <w:bCs/>
                <w:sz w:val="21"/>
                <w:szCs w:val="21"/>
              </w:rPr>
            </w:pPr>
            <w:r>
              <w:rPr>
                <w:bCs/>
                <w:sz w:val="21"/>
                <w:szCs w:val="21"/>
              </w:rPr>
              <w:t>约束性</w:t>
            </w:r>
          </w:p>
        </w:tc>
      </w:tr>
      <w:tr w14:paraId="0F52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187F67DE">
            <w:pPr>
              <w:spacing w:line="580" w:lineRule="exact"/>
              <w:jc w:val="center"/>
              <w:rPr>
                <w:bCs/>
                <w:sz w:val="21"/>
                <w:szCs w:val="21"/>
              </w:rPr>
            </w:pPr>
          </w:p>
        </w:tc>
        <w:tc>
          <w:tcPr>
            <w:tcW w:w="589" w:type="dxa"/>
            <w:gridSpan w:val="2"/>
            <w:vAlign w:val="center"/>
          </w:tcPr>
          <w:p w14:paraId="00000097">
            <w:pPr>
              <w:spacing w:line="580" w:lineRule="exact"/>
              <w:jc w:val="center"/>
              <w:rPr>
                <w:bCs/>
                <w:sz w:val="21"/>
                <w:szCs w:val="21"/>
              </w:rPr>
            </w:pPr>
            <w:r>
              <w:rPr>
                <w:sz w:val="21"/>
                <w:szCs w:val="21"/>
              </w:rPr>
              <w:t>12</w:t>
            </w:r>
          </w:p>
        </w:tc>
        <w:tc>
          <w:tcPr>
            <w:tcW w:w="3471" w:type="dxa"/>
            <w:gridSpan w:val="4"/>
            <w:vAlign w:val="center"/>
          </w:tcPr>
          <w:p w14:paraId="3A0B2A9F">
            <w:pPr>
              <w:spacing w:line="580" w:lineRule="exact"/>
              <w:rPr>
                <w:bCs/>
                <w:sz w:val="21"/>
                <w:szCs w:val="21"/>
              </w:rPr>
            </w:pPr>
            <w:r>
              <w:rPr>
                <w:bCs/>
                <w:sz w:val="21"/>
                <w:szCs w:val="21"/>
              </w:rPr>
              <w:t>每百张床位临床药师数（人）</w:t>
            </w:r>
          </w:p>
        </w:tc>
        <w:tc>
          <w:tcPr>
            <w:tcW w:w="946" w:type="dxa"/>
            <w:vAlign w:val="center"/>
          </w:tcPr>
          <w:p w14:paraId="077C935F">
            <w:pPr>
              <w:spacing w:line="580" w:lineRule="exact"/>
              <w:jc w:val="center"/>
              <w:rPr>
                <w:bCs/>
                <w:sz w:val="21"/>
                <w:szCs w:val="21"/>
              </w:rPr>
            </w:pPr>
            <w:r>
              <w:rPr>
                <w:rFonts w:hint="eastAsia"/>
                <w:bCs/>
                <w:sz w:val="21"/>
                <w:szCs w:val="21"/>
              </w:rPr>
              <w:t>0.32</w:t>
            </w:r>
          </w:p>
        </w:tc>
        <w:tc>
          <w:tcPr>
            <w:tcW w:w="946" w:type="dxa"/>
            <w:vAlign w:val="center"/>
          </w:tcPr>
          <w:p w14:paraId="219F91E1">
            <w:pPr>
              <w:spacing w:line="580" w:lineRule="exact"/>
              <w:jc w:val="center"/>
              <w:rPr>
                <w:bCs/>
                <w:sz w:val="21"/>
                <w:szCs w:val="21"/>
              </w:rPr>
            </w:pPr>
            <w:r>
              <w:rPr>
                <w:bCs/>
                <w:sz w:val="21"/>
                <w:szCs w:val="21"/>
              </w:rPr>
              <w:t>0.35</w:t>
            </w:r>
          </w:p>
        </w:tc>
        <w:tc>
          <w:tcPr>
            <w:tcW w:w="1142" w:type="dxa"/>
            <w:vAlign w:val="center"/>
          </w:tcPr>
          <w:p w14:paraId="4D4D53FE">
            <w:pPr>
              <w:spacing w:line="580" w:lineRule="exact"/>
              <w:jc w:val="center"/>
              <w:rPr>
                <w:bCs/>
                <w:sz w:val="21"/>
                <w:szCs w:val="21"/>
              </w:rPr>
            </w:pPr>
            <w:r>
              <w:rPr>
                <w:bCs/>
                <w:sz w:val="21"/>
                <w:szCs w:val="21"/>
              </w:rPr>
              <w:t>0.7</w:t>
            </w:r>
          </w:p>
        </w:tc>
        <w:tc>
          <w:tcPr>
            <w:tcW w:w="1142" w:type="dxa"/>
            <w:vAlign w:val="center"/>
          </w:tcPr>
          <w:p w14:paraId="5DF19BA2">
            <w:pPr>
              <w:spacing w:line="580" w:lineRule="exact"/>
              <w:jc w:val="center"/>
              <w:rPr>
                <w:bCs/>
                <w:sz w:val="21"/>
                <w:szCs w:val="21"/>
              </w:rPr>
            </w:pPr>
            <w:r>
              <w:rPr>
                <w:bCs/>
                <w:sz w:val="21"/>
                <w:szCs w:val="21"/>
              </w:rPr>
              <w:t>0.7</w:t>
            </w:r>
          </w:p>
        </w:tc>
        <w:tc>
          <w:tcPr>
            <w:tcW w:w="918" w:type="dxa"/>
            <w:vAlign w:val="center"/>
          </w:tcPr>
          <w:p w14:paraId="05B1BE65">
            <w:pPr>
              <w:spacing w:line="580" w:lineRule="exact"/>
              <w:jc w:val="center"/>
              <w:rPr>
                <w:bCs/>
                <w:sz w:val="21"/>
                <w:szCs w:val="21"/>
              </w:rPr>
            </w:pPr>
            <w:r>
              <w:rPr>
                <w:bCs/>
                <w:sz w:val="21"/>
                <w:szCs w:val="21"/>
              </w:rPr>
              <w:t>预期性</w:t>
            </w:r>
          </w:p>
        </w:tc>
      </w:tr>
      <w:tr w14:paraId="110A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7763B40A">
            <w:pPr>
              <w:spacing w:line="580" w:lineRule="exact"/>
              <w:jc w:val="center"/>
              <w:rPr>
                <w:bCs/>
                <w:sz w:val="21"/>
                <w:szCs w:val="21"/>
              </w:rPr>
            </w:pPr>
          </w:p>
        </w:tc>
        <w:tc>
          <w:tcPr>
            <w:tcW w:w="589" w:type="dxa"/>
            <w:gridSpan w:val="2"/>
            <w:vAlign w:val="center"/>
          </w:tcPr>
          <w:p w14:paraId="4E5D24DF">
            <w:pPr>
              <w:spacing w:line="580" w:lineRule="exact"/>
              <w:jc w:val="center"/>
              <w:rPr>
                <w:bCs/>
                <w:sz w:val="21"/>
                <w:szCs w:val="21"/>
              </w:rPr>
            </w:pPr>
            <w:r>
              <w:rPr>
                <w:sz w:val="21"/>
                <w:szCs w:val="21"/>
              </w:rPr>
              <w:t>13</w:t>
            </w:r>
          </w:p>
        </w:tc>
        <w:tc>
          <w:tcPr>
            <w:tcW w:w="3471" w:type="dxa"/>
            <w:gridSpan w:val="4"/>
            <w:vAlign w:val="center"/>
          </w:tcPr>
          <w:p w14:paraId="7BD2EC9A">
            <w:pPr>
              <w:spacing w:line="580" w:lineRule="exact"/>
              <w:rPr>
                <w:bCs/>
                <w:sz w:val="21"/>
                <w:szCs w:val="21"/>
              </w:rPr>
            </w:pPr>
            <w:r>
              <w:rPr>
                <w:bCs/>
                <w:sz w:val="21"/>
                <w:szCs w:val="21"/>
              </w:rPr>
              <w:t>每千人口拥有3岁以下婴幼儿托位数（个）</w:t>
            </w:r>
          </w:p>
        </w:tc>
        <w:tc>
          <w:tcPr>
            <w:tcW w:w="946" w:type="dxa"/>
            <w:vAlign w:val="center"/>
          </w:tcPr>
          <w:p w14:paraId="53F3FAA2">
            <w:pPr>
              <w:spacing w:line="580" w:lineRule="exact"/>
              <w:jc w:val="center"/>
              <w:rPr>
                <w:bCs/>
                <w:sz w:val="21"/>
                <w:szCs w:val="21"/>
              </w:rPr>
            </w:pPr>
            <w:r>
              <w:rPr>
                <w:rFonts w:hint="eastAsia"/>
                <w:bCs/>
                <w:sz w:val="21"/>
                <w:szCs w:val="21"/>
              </w:rPr>
              <w:t>1.4</w:t>
            </w:r>
          </w:p>
        </w:tc>
        <w:tc>
          <w:tcPr>
            <w:tcW w:w="946" w:type="dxa"/>
            <w:vAlign w:val="center"/>
          </w:tcPr>
          <w:p w14:paraId="31DC42F2">
            <w:pPr>
              <w:spacing w:line="580" w:lineRule="exact"/>
              <w:jc w:val="center"/>
              <w:rPr>
                <w:bCs/>
                <w:sz w:val="21"/>
                <w:szCs w:val="21"/>
              </w:rPr>
            </w:pPr>
            <w:r>
              <w:rPr>
                <w:bCs/>
                <w:sz w:val="21"/>
                <w:szCs w:val="21"/>
              </w:rPr>
              <w:t>1.03</w:t>
            </w:r>
          </w:p>
        </w:tc>
        <w:tc>
          <w:tcPr>
            <w:tcW w:w="1142" w:type="dxa"/>
            <w:vAlign w:val="center"/>
          </w:tcPr>
          <w:p w14:paraId="4C364BD0">
            <w:pPr>
              <w:spacing w:line="580" w:lineRule="exact"/>
              <w:jc w:val="center"/>
              <w:rPr>
                <w:bCs/>
                <w:sz w:val="21"/>
                <w:szCs w:val="21"/>
              </w:rPr>
            </w:pPr>
            <w:r>
              <w:rPr>
                <w:bCs/>
                <w:sz w:val="21"/>
                <w:szCs w:val="21"/>
              </w:rPr>
              <w:t>4.5</w:t>
            </w:r>
          </w:p>
        </w:tc>
        <w:tc>
          <w:tcPr>
            <w:tcW w:w="1142" w:type="dxa"/>
            <w:vAlign w:val="center"/>
          </w:tcPr>
          <w:p w14:paraId="4B4D7310">
            <w:pPr>
              <w:spacing w:line="580" w:lineRule="exact"/>
              <w:jc w:val="center"/>
              <w:rPr>
                <w:bCs/>
                <w:sz w:val="21"/>
                <w:szCs w:val="21"/>
              </w:rPr>
            </w:pPr>
            <w:r>
              <w:rPr>
                <w:bCs/>
                <w:sz w:val="21"/>
                <w:szCs w:val="21"/>
              </w:rPr>
              <w:t>4.5</w:t>
            </w:r>
          </w:p>
        </w:tc>
        <w:tc>
          <w:tcPr>
            <w:tcW w:w="918" w:type="dxa"/>
            <w:vAlign w:val="center"/>
          </w:tcPr>
          <w:p w14:paraId="461F5826">
            <w:pPr>
              <w:spacing w:line="580" w:lineRule="exact"/>
              <w:jc w:val="center"/>
              <w:rPr>
                <w:bCs/>
                <w:sz w:val="21"/>
                <w:szCs w:val="21"/>
              </w:rPr>
            </w:pPr>
            <w:r>
              <w:rPr>
                <w:rFonts w:hint="eastAsia"/>
                <w:bCs/>
                <w:sz w:val="21"/>
                <w:szCs w:val="21"/>
              </w:rPr>
              <w:t>预期</w:t>
            </w:r>
            <w:r>
              <w:rPr>
                <w:bCs/>
                <w:sz w:val="21"/>
                <w:szCs w:val="21"/>
              </w:rPr>
              <w:t>性</w:t>
            </w:r>
          </w:p>
        </w:tc>
      </w:tr>
      <w:tr w14:paraId="6602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6B65F238">
            <w:pPr>
              <w:spacing w:line="580" w:lineRule="exact"/>
              <w:jc w:val="center"/>
              <w:rPr>
                <w:bCs/>
                <w:sz w:val="21"/>
                <w:szCs w:val="21"/>
              </w:rPr>
            </w:pPr>
          </w:p>
        </w:tc>
        <w:tc>
          <w:tcPr>
            <w:tcW w:w="589" w:type="dxa"/>
            <w:gridSpan w:val="2"/>
            <w:vAlign w:val="center"/>
          </w:tcPr>
          <w:p w14:paraId="31838F86">
            <w:pPr>
              <w:spacing w:line="580" w:lineRule="exact"/>
              <w:jc w:val="center"/>
              <w:rPr>
                <w:bCs/>
                <w:sz w:val="21"/>
                <w:szCs w:val="21"/>
              </w:rPr>
            </w:pPr>
            <w:r>
              <w:rPr>
                <w:sz w:val="21"/>
                <w:szCs w:val="21"/>
              </w:rPr>
              <w:t>14</w:t>
            </w:r>
          </w:p>
        </w:tc>
        <w:tc>
          <w:tcPr>
            <w:tcW w:w="3471" w:type="dxa"/>
            <w:gridSpan w:val="4"/>
            <w:vAlign w:val="center"/>
          </w:tcPr>
          <w:p w14:paraId="77338FFA">
            <w:pPr>
              <w:spacing w:line="580" w:lineRule="exact"/>
              <w:rPr>
                <w:bCs/>
                <w:sz w:val="21"/>
                <w:szCs w:val="21"/>
              </w:rPr>
            </w:pPr>
            <w:r>
              <w:rPr>
                <w:bCs/>
                <w:sz w:val="21"/>
                <w:szCs w:val="21"/>
              </w:rPr>
              <w:t>全市儿童青少年总体近视率（%）</w:t>
            </w:r>
          </w:p>
        </w:tc>
        <w:tc>
          <w:tcPr>
            <w:tcW w:w="946" w:type="dxa"/>
            <w:vAlign w:val="center"/>
          </w:tcPr>
          <w:p w14:paraId="09157451">
            <w:pPr>
              <w:spacing w:line="580" w:lineRule="exact"/>
              <w:jc w:val="center"/>
              <w:rPr>
                <w:bCs/>
                <w:sz w:val="21"/>
                <w:szCs w:val="21"/>
              </w:rPr>
            </w:pPr>
            <w:r>
              <w:rPr>
                <w:rFonts w:hint="eastAsia"/>
                <w:bCs/>
                <w:sz w:val="21"/>
                <w:szCs w:val="21"/>
              </w:rPr>
              <w:t>53.39</w:t>
            </w:r>
          </w:p>
        </w:tc>
        <w:tc>
          <w:tcPr>
            <w:tcW w:w="946" w:type="dxa"/>
            <w:vAlign w:val="center"/>
          </w:tcPr>
          <w:p w14:paraId="5B037944">
            <w:pPr>
              <w:spacing w:line="580" w:lineRule="exact"/>
              <w:jc w:val="center"/>
              <w:rPr>
                <w:bCs/>
                <w:sz w:val="21"/>
                <w:szCs w:val="21"/>
              </w:rPr>
            </w:pPr>
            <w:r>
              <w:rPr>
                <w:bCs/>
                <w:sz w:val="21"/>
                <w:szCs w:val="21"/>
              </w:rPr>
              <w:t>51.45</w:t>
            </w:r>
          </w:p>
        </w:tc>
        <w:tc>
          <w:tcPr>
            <w:tcW w:w="1142" w:type="dxa"/>
            <w:vAlign w:val="center"/>
          </w:tcPr>
          <w:p w14:paraId="4BB8E84D">
            <w:pPr>
              <w:spacing w:line="580" w:lineRule="exact"/>
              <w:jc w:val="center"/>
              <w:rPr>
                <w:bCs/>
                <w:sz w:val="21"/>
                <w:szCs w:val="21"/>
              </w:rPr>
            </w:pPr>
            <w:r>
              <w:rPr>
                <w:bCs/>
                <w:sz w:val="21"/>
                <w:szCs w:val="21"/>
              </w:rPr>
              <w:t>≤49.0</w:t>
            </w:r>
          </w:p>
        </w:tc>
        <w:tc>
          <w:tcPr>
            <w:tcW w:w="1142" w:type="dxa"/>
            <w:vAlign w:val="center"/>
          </w:tcPr>
          <w:p w14:paraId="45710E62">
            <w:pPr>
              <w:spacing w:line="580" w:lineRule="exact"/>
              <w:jc w:val="center"/>
              <w:rPr>
                <w:bCs/>
                <w:sz w:val="21"/>
                <w:szCs w:val="21"/>
              </w:rPr>
            </w:pPr>
            <w:r>
              <w:rPr>
                <w:bCs/>
                <w:sz w:val="21"/>
                <w:szCs w:val="21"/>
              </w:rPr>
              <w:t>≤49.0</w:t>
            </w:r>
          </w:p>
        </w:tc>
        <w:tc>
          <w:tcPr>
            <w:tcW w:w="918" w:type="dxa"/>
            <w:vAlign w:val="center"/>
          </w:tcPr>
          <w:p w14:paraId="103B57E2">
            <w:pPr>
              <w:spacing w:line="580" w:lineRule="exact"/>
              <w:jc w:val="center"/>
              <w:rPr>
                <w:bCs/>
                <w:sz w:val="21"/>
                <w:szCs w:val="21"/>
              </w:rPr>
            </w:pPr>
            <w:r>
              <w:rPr>
                <w:bCs/>
                <w:sz w:val="21"/>
                <w:szCs w:val="21"/>
              </w:rPr>
              <w:t>约束性</w:t>
            </w:r>
          </w:p>
        </w:tc>
      </w:tr>
      <w:tr w14:paraId="2395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72F936AD">
            <w:pPr>
              <w:spacing w:line="580" w:lineRule="exact"/>
              <w:jc w:val="center"/>
              <w:rPr>
                <w:bCs/>
                <w:sz w:val="21"/>
                <w:szCs w:val="21"/>
              </w:rPr>
            </w:pPr>
          </w:p>
        </w:tc>
        <w:tc>
          <w:tcPr>
            <w:tcW w:w="589" w:type="dxa"/>
            <w:gridSpan w:val="2"/>
            <w:vAlign w:val="center"/>
          </w:tcPr>
          <w:p w14:paraId="330CE471">
            <w:pPr>
              <w:spacing w:line="580" w:lineRule="exact"/>
              <w:jc w:val="center"/>
              <w:rPr>
                <w:bCs/>
                <w:sz w:val="21"/>
                <w:szCs w:val="21"/>
              </w:rPr>
            </w:pPr>
            <w:r>
              <w:rPr>
                <w:sz w:val="21"/>
                <w:szCs w:val="21"/>
              </w:rPr>
              <w:t>15</w:t>
            </w:r>
          </w:p>
        </w:tc>
        <w:tc>
          <w:tcPr>
            <w:tcW w:w="3471" w:type="dxa"/>
            <w:gridSpan w:val="4"/>
            <w:vAlign w:val="center"/>
          </w:tcPr>
          <w:p w14:paraId="17BAB453">
            <w:pPr>
              <w:spacing w:line="580" w:lineRule="exact"/>
              <w:rPr>
                <w:bCs/>
                <w:sz w:val="21"/>
                <w:szCs w:val="21"/>
              </w:rPr>
            </w:pPr>
            <w:r>
              <w:rPr>
                <w:bCs/>
                <w:sz w:val="21"/>
                <w:szCs w:val="21"/>
              </w:rPr>
              <w:t>二级以上综合性医院设置老年医学科的比例（%）</w:t>
            </w:r>
          </w:p>
        </w:tc>
        <w:tc>
          <w:tcPr>
            <w:tcW w:w="946" w:type="dxa"/>
            <w:vAlign w:val="center"/>
          </w:tcPr>
          <w:p w14:paraId="3CDF7179">
            <w:pPr>
              <w:spacing w:line="580" w:lineRule="exact"/>
              <w:jc w:val="center"/>
              <w:rPr>
                <w:bCs/>
                <w:sz w:val="21"/>
                <w:szCs w:val="21"/>
              </w:rPr>
            </w:pPr>
            <w:r>
              <w:rPr>
                <w:rFonts w:hint="eastAsia"/>
                <w:bCs/>
                <w:sz w:val="21"/>
                <w:szCs w:val="21"/>
              </w:rPr>
              <w:t>50</w:t>
            </w:r>
          </w:p>
        </w:tc>
        <w:tc>
          <w:tcPr>
            <w:tcW w:w="946" w:type="dxa"/>
            <w:vAlign w:val="center"/>
          </w:tcPr>
          <w:p w14:paraId="736810C3">
            <w:pPr>
              <w:spacing w:line="580" w:lineRule="exact"/>
              <w:jc w:val="center"/>
              <w:rPr>
                <w:bCs/>
                <w:sz w:val="21"/>
                <w:szCs w:val="21"/>
              </w:rPr>
            </w:pPr>
            <w:r>
              <w:rPr>
                <w:bCs/>
                <w:sz w:val="21"/>
                <w:szCs w:val="21"/>
              </w:rPr>
              <w:t>47.65</w:t>
            </w:r>
          </w:p>
        </w:tc>
        <w:tc>
          <w:tcPr>
            <w:tcW w:w="1142" w:type="dxa"/>
            <w:vAlign w:val="center"/>
          </w:tcPr>
          <w:p w14:paraId="31333A66">
            <w:pPr>
              <w:spacing w:line="580" w:lineRule="exact"/>
              <w:jc w:val="center"/>
              <w:rPr>
                <w:bCs/>
                <w:sz w:val="21"/>
                <w:szCs w:val="21"/>
              </w:rPr>
            </w:pPr>
            <w:r>
              <w:rPr>
                <w:bCs/>
                <w:sz w:val="21"/>
                <w:szCs w:val="21"/>
              </w:rPr>
              <w:t>≥60</w:t>
            </w:r>
          </w:p>
        </w:tc>
        <w:tc>
          <w:tcPr>
            <w:tcW w:w="1142" w:type="dxa"/>
            <w:vAlign w:val="center"/>
          </w:tcPr>
          <w:p w14:paraId="4C5F506A">
            <w:pPr>
              <w:spacing w:line="580" w:lineRule="exact"/>
              <w:jc w:val="center"/>
              <w:rPr>
                <w:bCs/>
                <w:sz w:val="21"/>
                <w:szCs w:val="21"/>
              </w:rPr>
            </w:pPr>
            <w:r>
              <w:rPr>
                <w:bCs/>
                <w:sz w:val="21"/>
                <w:szCs w:val="21"/>
              </w:rPr>
              <w:t>≥60</w:t>
            </w:r>
          </w:p>
        </w:tc>
        <w:tc>
          <w:tcPr>
            <w:tcW w:w="918" w:type="dxa"/>
            <w:vAlign w:val="center"/>
          </w:tcPr>
          <w:p w14:paraId="38929F76">
            <w:pPr>
              <w:spacing w:line="580" w:lineRule="exact"/>
              <w:jc w:val="center"/>
              <w:rPr>
                <w:bCs/>
                <w:sz w:val="21"/>
                <w:szCs w:val="21"/>
              </w:rPr>
            </w:pPr>
            <w:r>
              <w:rPr>
                <w:bCs/>
                <w:sz w:val="21"/>
                <w:szCs w:val="21"/>
              </w:rPr>
              <w:t>预期性</w:t>
            </w:r>
          </w:p>
        </w:tc>
      </w:tr>
      <w:tr w14:paraId="48AD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2F46D701">
            <w:pPr>
              <w:spacing w:line="580" w:lineRule="exact"/>
              <w:jc w:val="center"/>
              <w:rPr>
                <w:bCs/>
                <w:sz w:val="21"/>
                <w:szCs w:val="21"/>
              </w:rPr>
            </w:pPr>
          </w:p>
        </w:tc>
        <w:tc>
          <w:tcPr>
            <w:tcW w:w="589" w:type="dxa"/>
            <w:gridSpan w:val="2"/>
            <w:vAlign w:val="center"/>
          </w:tcPr>
          <w:p w14:paraId="2105EF15">
            <w:pPr>
              <w:spacing w:line="580" w:lineRule="exact"/>
              <w:jc w:val="center"/>
              <w:rPr>
                <w:sz w:val="21"/>
                <w:szCs w:val="21"/>
              </w:rPr>
            </w:pPr>
            <w:r>
              <w:rPr>
                <w:sz w:val="21"/>
                <w:szCs w:val="21"/>
              </w:rPr>
              <w:t>16</w:t>
            </w:r>
          </w:p>
        </w:tc>
        <w:tc>
          <w:tcPr>
            <w:tcW w:w="3471" w:type="dxa"/>
            <w:gridSpan w:val="4"/>
            <w:vAlign w:val="center"/>
          </w:tcPr>
          <w:p w14:paraId="6BD5D39E">
            <w:pPr>
              <w:spacing w:line="580" w:lineRule="exact"/>
              <w:rPr>
                <w:bCs/>
                <w:sz w:val="21"/>
                <w:szCs w:val="21"/>
              </w:rPr>
            </w:pPr>
            <w:r>
              <w:rPr>
                <w:bCs/>
                <w:sz w:val="21"/>
                <w:szCs w:val="21"/>
              </w:rPr>
              <w:t>万元收入能耗支出（元）</w:t>
            </w:r>
          </w:p>
        </w:tc>
        <w:tc>
          <w:tcPr>
            <w:tcW w:w="946" w:type="dxa"/>
            <w:vAlign w:val="center"/>
          </w:tcPr>
          <w:p w14:paraId="7BE8B708">
            <w:pPr>
              <w:spacing w:line="580" w:lineRule="exact"/>
              <w:jc w:val="center"/>
              <w:rPr>
                <w:bCs/>
                <w:sz w:val="21"/>
                <w:szCs w:val="21"/>
              </w:rPr>
            </w:pPr>
            <w:r>
              <w:rPr>
                <w:rFonts w:hint="eastAsia"/>
                <w:bCs/>
                <w:sz w:val="21"/>
                <w:szCs w:val="21"/>
              </w:rPr>
              <w:t>99</w:t>
            </w:r>
          </w:p>
        </w:tc>
        <w:tc>
          <w:tcPr>
            <w:tcW w:w="946" w:type="dxa"/>
            <w:vAlign w:val="center"/>
          </w:tcPr>
          <w:p w14:paraId="3BDD08CB">
            <w:pPr>
              <w:spacing w:line="580" w:lineRule="exact"/>
              <w:jc w:val="center"/>
              <w:rPr>
                <w:bCs/>
                <w:sz w:val="21"/>
                <w:szCs w:val="21"/>
              </w:rPr>
            </w:pPr>
            <w:r>
              <w:rPr>
                <w:bCs/>
                <w:sz w:val="21"/>
                <w:szCs w:val="21"/>
              </w:rPr>
              <w:t>99</w:t>
            </w:r>
          </w:p>
        </w:tc>
        <w:tc>
          <w:tcPr>
            <w:tcW w:w="1142" w:type="dxa"/>
            <w:vAlign w:val="center"/>
          </w:tcPr>
          <w:p w14:paraId="3CB54BE9">
            <w:pPr>
              <w:spacing w:line="580" w:lineRule="exact"/>
              <w:jc w:val="center"/>
              <w:rPr>
                <w:bCs/>
                <w:sz w:val="21"/>
                <w:szCs w:val="21"/>
              </w:rPr>
            </w:pPr>
            <w:r>
              <w:rPr>
                <w:rFonts w:hint="eastAsia"/>
                <w:bCs/>
                <w:sz w:val="21"/>
                <w:szCs w:val="21"/>
              </w:rPr>
              <w:t>95</w:t>
            </w:r>
          </w:p>
        </w:tc>
        <w:tc>
          <w:tcPr>
            <w:tcW w:w="1142" w:type="dxa"/>
            <w:vAlign w:val="center"/>
          </w:tcPr>
          <w:p w14:paraId="62B464FF">
            <w:pPr>
              <w:spacing w:line="580" w:lineRule="exact"/>
              <w:jc w:val="center"/>
              <w:rPr>
                <w:bCs/>
                <w:sz w:val="21"/>
                <w:szCs w:val="21"/>
              </w:rPr>
            </w:pPr>
            <w:r>
              <w:rPr>
                <w:bCs/>
                <w:sz w:val="21"/>
                <w:szCs w:val="21"/>
              </w:rPr>
              <w:t>95</w:t>
            </w:r>
          </w:p>
        </w:tc>
        <w:tc>
          <w:tcPr>
            <w:tcW w:w="918" w:type="dxa"/>
            <w:vAlign w:val="center"/>
          </w:tcPr>
          <w:p w14:paraId="1F453CEB">
            <w:pPr>
              <w:spacing w:line="580" w:lineRule="exact"/>
              <w:jc w:val="center"/>
              <w:rPr>
                <w:bCs/>
                <w:sz w:val="21"/>
                <w:szCs w:val="21"/>
              </w:rPr>
            </w:pPr>
            <w:r>
              <w:rPr>
                <w:bCs/>
                <w:sz w:val="21"/>
                <w:szCs w:val="21"/>
              </w:rPr>
              <w:t>预期性</w:t>
            </w:r>
          </w:p>
        </w:tc>
      </w:tr>
      <w:tr w14:paraId="50EF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7EA3A3C0">
            <w:pPr>
              <w:spacing w:line="580" w:lineRule="exact"/>
              <w:jc w:val="center"/>
              <w:rPr>
                <w:bCs/>
                <w:sz w:val="21"/>
                <w:szCs w:val="21"/>
              </w:rPr>
            </w:pPr>
          </w:p>
        </w:tc>
        <w:tc>
          <w:tcPr>
            <w:tcW w:w="589" w:type="dxa"/>
            <w:gridSpan w:val="2"/>
            <w:vAlign w:val="center"/>
          </w:tcPr>
          <w:p w14:paraId="48BC17EE">
            <w:pPr>
              <w:spacing w:line="580" w:lineRule="exact"/>
              <w:jc w:val="center"/>
              <w:rPr>
                <w:sz w:val="21"/>
                <w:szCs w:val="21"/>
              </w:rPr>
            </w:pPr>
            <w:r>
              <w:rPr>
                <w:sz w:val="21"/>
                <w:szCs w:val="21"/>
              </w:rPr>
              <w:t>17</w:t>
            </w:r>
          </w:p>
        </w:tc>
        <w:tc>
          <w:tcPr>
            <w:tcW w:w="3471" w:type="dxa"/>
            <w:gridSpan w:val="4"/>
            <w:vAlign w:val="center"/>
          </w:tcPr>
          <w:p w14:paraId="73697D49">
            <w:pPr>
              <w:spacing w:line="580" w:lineRule="exact"/>
              <w:rPr>
                <w:bCs/>
                <w:sz w:val="21"/>
                <w:szCs w:val="21"/>
              </w:rPr>
            </w:pPr>
            <w:r>
              <w:rPr>
                <w:bCs/>
                <w:sz w:val="21"/>
                <w:szCs w:val="21"/>
              </w:rPr>
              <w:t>三级公立医院卫生技术人员人均科研经费（元）</w:t>
            </w:r>
          </w:p>
        </w:tc>
        <w:tc>
          <w:tcPr>
            <w:tcW w:w="946" w:type="dxa"/>
            <w:vAlign w:val="center"/>
          </w:tcPr>
          <w:p w14:paraId="119B8768">
            <w:pPr>
              <w:spacing w:line="580" w:lineRule="exact"/>
              <w:jc w:val="center"/>
              <w:rPr>
                <w:bCs/>
                <w:sz w:val="21"/>
                <w:szCs w:val="21"/>
              </w:rPr>
            </w:pPr>
            <w:r>
              <w:rPr>
                <w:rFonts w:hint="eastAsia"/>
                <w:bCs/>
                <w:sz w:val="21"/>
                <w:szCs w:val="21"/>
              </w:rPr>
              <w:t>——</w:t>
            </w:r>
          </w:p>
        </w:tc>
        <w:tc>
          <w:tcPr>
            <w:tcW w:w="946" w:type="dxa"/>
            <w:vAlign w:val="center"/>
          </w:tcPr>
          <w:p w14:paraId="4AFBAB98">
            <w:pPr>
              <w:spacing w:line="580" w:lineRule="exact"/>
              <w:jc w:val="center"/>
              <w:rPr>
                <w:bCs/>
                <w:sz w:val="21"/>
                <w:szCs w:val="21"/>
              </w:rPr>
            </w:pPr>
            <w:r>
              <w:rPr>
                <w:bCs/>
                <w:sz w:val="21"/>
                <w:szCs w:val="21"/>
              </w:rPr>
              <w:t>5000</w:t>
            </w:r>
          </w:p>
        </w:tc>
        <w:tc>
          <w:tcPr>
            <w:tcW w:w="1142" w:type="dxa"/>
            <w:vAlign w:val="center"/>
          </w:tcPr>
          <w:p w14:paraId="76C15C9A">
            <w:pPr>
              <w:spacing w:line="580" w:lineRule="exact"/>
              <w:jc w:val="center"/>
              <w:rPr>
                <w:bCs/>
                <w:sz w:val="21"/>
                <w:szCs w:val="21"/>
              </w:rPr>
            </w:pPr>
            <w:r>
              <w:rPr>
                <w:bCs/>
                <w:sz w:val="21"/>
                <w:szCs w:val="21"/>
              </w:rPr>
              <w:t>5000</w:t>
            </w:r>
          </w:p>
        </w:tc>
        <w:tc>
          <w:tcPr>
            <w:tcW w:w="1142" w:type="dxa"/>
            <w:vAlign w:val="center"/>
          </w:tcPr>
          <w:p w14:paraId="536CAD34">
            <w:pPr>
              <w:spacing w:line="580" w:lineRule="exact"/>
              <w:jc w:val="center"/>
              <w:rPr>
                <w:bCs/>
                <w:sz w:val="21"/>
                <w:szCs w:val="21"/>
              </w:rPr>
            </w:pPr>
            <w:r>
              <w:rPr>
                <w:bCs/>
                <w:sz w:val="21"/>
                <w:szCs w:val="21"/>
              </w:rPr>
              <w:t>7000</w:t>
            </w:r>
          </w:p>
        </w:tc>
        <w:tc>
          <w:tcPr>
            <w:tcW w:w="918" w:type="dxa"/>
            <w:vAlign w:val="center"/>
          </w:tcPr>
          <w:p w14:paraId="2DE6317B">
            <w:pPr>
              <w:spacing w:line="580" w:lineRule="exact"/>
              <w:jc w:val="center"/>
              <w:rPr>
                <w:bCs/>
                <w:sz w:val="21"/>
                <w:szCs w:val="21"/>
              </w:rPr>
            </w:pPr>
            <w:r>
              <w:rPr>
                <w:bCs/>
                <w:sz w:val="21"/>
                <w:szCs w:val="21"/>
              </w:rPr>
              <w:t>预期性</w:t>
            </w:r>
          </w:p>
        </w:tc>
      </w:tr>
      <w:tr w14:paraId="3059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9" w:type="dxa"/>
            <w:vMerge w:val="continue"/>
            <w:vAlign w:val="center"/>
          </w:tcPr>
          <w:p w14:paraId="06155C39">
            <w:pPr>
              <w:spacing w:line="580" w:lineRule="exact"/>
              <w:jc w:val="center"/>
              <w:rPr>
                <w:bCs/>
                <w:sz w:val="21"/>
                <w:szCs w:val="21"/>
              </w:rPr>
            </w:pPr>
          </w:p>
        </w:tc>
        <w:tc>
          <w:tcPr>
            <w:tcW w:w="589" w:type="dxa"/>
            <w:gridSpan w:val="2"/>
            <w:vMerge w:val="restart"/>
            <w:vAlign w:val="center"/>
          </w:tcPr>
          <w:p w14:paraId="37084EB1">
            <w:pPr>
              <w:spacing w:line="580" w:lineRule="exact"/>
              <w:jc w:val="center"/>
              <w:rPr>
                <w:sz w:val="21"/>
                <w:szCs w:val="21"/>
              </w:rPr>
            </w:pPr>
            <w:r>
              <w:rPr>
                <w:sz w:val="21"/>
                <w:szCs w:val="21"/>
              </w:rPr>
              <w:t>18</w:t>
            </w:r>
          </w:p>
        </w:tc>
        <w:tc>
          <w:tcPr>
            <w:tcW w:w="2695" w:type="dxa"/>
            <w:gridSpan w:val="2"/>
            <w:vMerge w:val="restart"/>
            <w:vAlign w:val="center"/>
          </w:tcPr>
          <w:p w14:paraId="773B5733">
            <w:pPr>
              <w:spacing w:line="580" w:lineRule="exact"/>
              <w:rPr>
                <w:bCs/>
                <w:sz w:val="21"/>
                <w:szCs w:val="21"/>
              </w:rPr>
            </w:pPr>
            <w:r>
              <w:rPr>
                <w:bCs/>
                <w:sz w:val="21"/>
                <w:szCs w:val="21"/>
              </w:rPr>
              <w:t>三级公立中医医院患者中药饮片使用率（%）</w:t>
            </w:r>
          </w:p>
        </w:tc>
        <w:tc>
          <w:tcPr>
            <w:tcW w:w="776" w:type="dxa"/>
            <w:gridSpan w:val="2"/>
            <w:vAlign w:val="center"/>
          </w:tcPr>
          <w:p w14:paraId="3331B470">
            <w:pPr>
              <w:spacing w:line="580" w:lineRule="exact"/>
              <w:jc w:val="center"/>
              <w:rPr>
                <w:bCs/>
                <w:sz w:val="21"/>
                <w:szCs w:val="21"/>
              </w:rPr>
            </w:pPr>
            <w:r>
              <w:rPr>
                <w:bCs/>
                <w:sz w:val="21"/>
                <w:szCs w:val="21"/>
              </w:rPr>
              <w:t>门诊</w:t>
            </w:r>
          </w:p>
        </w:tc>
        <w:tc>
          <w:tcPr>
            <w:tcW w:w="946" w:type="dxa"/>
            <w:vAlign w:val="center"/>
          </w:tcPr>
          <w:p w14:paraId="48778363">
            <w:pPr>
              <w:spacing w:line="580" w:lineRule="exact"/>
              <w:jc w:val="center"/>
              <w:rPr>
                <w:bCs/>
                <w:sz w:val="21"/>
                <w:szCs w:val="21"/>
              </w:rPr>
            </w:pPr>
            <w:r>
              <w:rPr>
                <w:rFonts w:hint="eastAsia"/>
                <w:bCs/>
                <w:sz w:val="21"/>
                <w:szCs w:val="21"/>
              </w:rPr>
              <w:t>26.61</w:t>
            </w:r>
          </w:p>
        </w:tc>
        <w:tc>
          <w:tcPr>
            <w:tcW w:w="946" w:type="dxa"/>
            <w:vAlign w:val="center"/>
          </w:tcPr>
          <w:p w14:paraId="4CC446DD">
            <w:pPr>
              <w:spacing w:line="580" w:lineRule="exact"/>
              <w:jc w:val="center"/>
              <w:rPr>
                <w:bCs/>
                <w:sz w:val="21"/>
                <w:szCs w:val="21"/>
              </w:rPr>
            </w:pPr>
            <w:r>
              <w:rPr>
                <w:bCs/>
                <w:sz w:val="21"/>
                <w:szCs w:val="21"/>
              </w:rPr>
              <w:t>30.49</w:t>
            </w:r>
          </w:p>
        </w:tc>
        <w:tc>
          <w:tcPr>
            <w:tcW w:w="1142" w:type="dxa"/>
            <w:vAlign w:val="center"/>
          </w:tcPr>
          <w:p w14:paraId="0F2C1351">
            <w:pPr>
              <w:spacing w:line="580" w:lineRule="exact"/>
              <w:jc w:val="center"/>
              <w:rPr>
                <w:bCs/>
                <w:sz w:val="21"/>
                <w:szCs w:val="21"/>
              </w:rPr>
            </w:pPr>
            <w:r>
              <w:rPr>
                <w:bCs/>
                <w:sz w:val="21"/>
                <w:szCs w:val="21"/>
              </w:rPr>
              <w:t>≥</w:t>
            </w:r>
            <w:r>
              <w:rPr>
                <w:rFonts w:hint="eastAsia"/>
                <w:bCs/>
                <w:sz w:val="21"/>
                <w:szCs w:val="21"/>
              </w:rPr>
              <w:t>60</w:t>
            </w:r>
          </w:p>
        </w:tc>
        <w:tc>
          <w:tcPr>
            <w:tcW w:w="1142" w:type="dxa"/>
            <w:vAlign w:val="center"/>
          </w:tcPr>
          <w:p w14:paraId="6D11835F">
            <w:pPr>
              <w:spacing w:line="580" w:lineRule="exact"/>
              <w:jc w:val="center"/>
              <w:rPr>
                <w:bCs/>
                <w:sz w:val="21"/>
                <w:szCs w:val="21"/>
              </w:rPr>
            </w:pPr>
            <w:r>
              <w:rPr>
                <w:bCs/>
                <w:sz w:val="21"/>
                <w:szCs w:val="21"/>
              </w:rPr>
              <w:t>≥60</w:t>
            </w:r>
          </w:p>
        </w:tc>
        <w:tc>
          <w:tcPr>
            <w:tcW w:w="918" w:type="dxa"/>
            <w:vAlign w:val="center"/>
          </w:tcPr>
          <w:p w14:paraId="7D552157">
            <w:pPr>
              <w:spacing w:line="580" w:lineRule="exact"/>
              <w:jc w:val="center"/>
              <w:rPr>
                <w:bCs/>
                <w:sz w:val="21"/>
                <w:szCs w:val="21"/>
              </w:rPr>
            </w:pPr>
            <w:r>
              <w:rPr>
                <w:bCs/>
                <w:sz w:val="21"/>
                <w:szCs w:val="21"/>
              </w:rPr>
              <w:t>预期性</w:t>
            </w:r>
          </w:p>
        </w:tc>
      </w:tr>
      <w:tr w14:paraId="672B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2F162105">
            <w:pPr>
              <w:spacing w:line="580" w:lineRule="exact"/>
              <w:jc w:val="center"/>
              <w:rPr>
                <w:bCs/>
                <w:sz w:val="21"/>
                <w:szCs w:val="21"/>
              </w:rPr>
            </w:pPr>
          </w:p>
        </w:tc>
        <w:tc>
          <w:tcPr>
            <w:tcW w:w="589" w:type="dxa"/>
            <w:gridSpan w:val="2"/>
            <w:vMerge w:val="continue"/>
            <w:vAlign w:val="center"/>
          </w:tcPr>
          <w:p w14:paraId="4666C9A6">
            <w:pPr>
              <w:spacing w:line="580" w:lineRule="exact"/>
              <w:jc w:val="center"/>
              <w:rPr>
                <w:sz w:val="21"/>
                <w:szCs w:val="21"/>
              </w:rPr>
            </w:pPr>
          </w:p>
        </w:tc>
        <w:tc>
          <w:tcPr>
            <w:tcW w:w="2695" w:type="dxa"/>
            <w:gridSpan w:val="2"/>
            <w:vMerge w:val="continue"/>
            <w:vAlign w:val="center"/>
          </w:tcPr>
          <w:p w14:paraId="4EB5F99D">
            <w:pPr>
              <w:spacing w:line="580" w:lineRule="exact"/>
              <w:rPr>
                <w:bCs/>
                <w:sz w:val="21"/>
                <w:szCs w:val="21"/>
              </w:rPr>
            </w:pPr>
          </w:p>
        </w:tc>
        <w:tc>
          <w:tcPr>
            <w:tcW w:w="776" w:type="dxa"/>
            <w:gridSpan w:val="2"/>
            <w:vAlign w:val="center"/>
          </w:tcPr>
          <w:p w14:paraId="5C8AE006">
            <w:pPr>
              <w:spacing w:line="580" w:lineRule="exact"/>
              <w:jc w:val="center"/>
              <w:rPr>
                <w:bCs/>
                <w:sz w:val="21"/>
                <w:szCs w:val="21"/>
              </w:rPr>
            </w:pPr>
            <w:r>
              <w:rPr>
                <w:bCs/>
                <w:sz w:val="21"/>
                <w:szCs w:val="21"/>
              </w:rPr>
              <w:t>住院</w:t>
            </w:r>
          </w:p>
        </w:tc>
        <w:tc>
          <w:tcPr>
            <w:tcW w:w="946" w:type="dxa"/>
            <w:vAlign w:val="center"/>
          </w:tcPr>
          <w:p w14:paraId="19E25FA5">
            <w:pPr>
              <w:spacing w:line="580" w:lineRule="exact"/>
              <w:jc w:val="center"/>
              <w:rPr>
                <w:bCs/>
                <w:sz w:val="21"/>
                <w:szCs w:val="21"/>
              </w:rPr>
            </w:pPr>
            <w:r>
              <w:rPr>
                <w:rFonts w:hint="eastAsia"/>
                <w:bCs/>
                <w:sz w:val="21"/>
                <w:szCs w:val="21"/>
              </w:rPr>
              <w:t>0.82</w:t>
            </w:r>
          </w:p>
        </w:tc>
        <w:tc>
          <w:tcPr>
            <w:tcW w:w="946" w:type="dxa"/>
            <w:vAlign w:val="center"/>
          </w:tcPr>
          <w:p w14:paraId="196AEB94">
            <w:pPr>
              <w:spacing w:line="580" w:lineRule="exact"/>
              <w:jc w:val="center"/>
              <w:rPr>
                <w:bCs/>
                <w:sz w:val="21"/>
                <w:szCs w:val="21"/>
              </w:rPr>
            </w:pPr>
            <w:r>
              <w:rPr>
                <w:bCs/>
                <w:sz w:val="21"/>
                <w:szCs w:val="21"/>
              </w:rPr>
              <w:t>63.12</w:t>
            </w:r>
          </w:p>
        </w:tc>
        <w:tc>
          <w:tcPr>
            <w:tcW w:w="1142" w:type="dxa"/>
            <w:vAlign w:val="center"/>
          </w:tcPr>
          <w:p w14:paraId="6EE87FFE">
            <w:pPr>
              <w:spacing w:line="580" w:lineRule="exact"/>
              <w:jc w:val="center"/>
              <w:rPr>
                <w:bCs/>
                <w:sz w:val="21"/>
                <w:szCs w:val="21"/>
              </w:rPr>
            </w:pPr>
            <w:r>
              <w:rPr>
                <w:bCs/>
                <w:sz w:val="21"/>
                <w:szCs w:val="21"/>
              </w:rPr>
              <w:t>≥</w:t>
            </w:r>
            <w:r>
              <w:rPr>
                <w:rFonts w:hint="eastAsia"/>
                <w:bCs/>
                <w:sz w:val="21"/>
                <w:szCs w:val="21"/>
              </w:rPr>
              <w:t>60</w:t>
            </w:r>
          </w:p>
        </w:tc>
        <w:tc>
          <w:tcPr>
            <w:tcW w:w="1142" w:type="dxa"/>
            <w:vAlign w:val="center"/>
          </w:tcPr>
          <w:p w14:paraId="1679E189">
            <w:pPr>
              <w:spacing w:line="580" w:lineRule="exact"/>
              <w:jc w:val="center"/>
              <w:rPr>
                <w:bCs/>
                <w:sz w:val="21"/>
                <w:szCs w:val="21"/>
              </w:rPr>
            </w:pPr>
            <w:r>
              <w:rPr>
                <w:bCs/>
                <w:sz w:val="21"/>
                <w:szCs w:val="21"/>
              </w:rPr>
              <w:t>≥60</w:t>
            </w:r>
          </w:p>
        </w:tc>
        <w:tc>
          <w:tcPr>
            <w:tcW w:w="918" w:type="dxa"/>
            <w:vAlign w:val="center"/>
          </w:tcPr>
          <w:p w14:paraId="70BAF06A">
            <w:pPr>
              <w:spacing w:line="580" w:lineRule="exact"/>
              <w:jc w:val="center"/>
              <w:rPr>
                <w:bCs/>
                <w:sz w:val="21"/>
                <w:szCs w:val="21"/>
              </w:rPr>
            </w:pPr>
            <w:r>
              <w:rPr>
                <w:bCs/>
                <w:sz w:val="21"/>
                <w:szCs w:val="21"/>
              </w:rPr>
              <w:t>预期性</w:t>
            </w:r>
          </w:p>
        </w:tc>
      </w:tr>
      <w:tr w14:paraId="05A7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restart"/>
            <w:vAlign w:val="center"/>
          </w:tcPr>
          <w:p w14:paraId="112703DE">
            <w:pPr>
              <w:spacing w:line="580" w:lineRule="exact"/>
              <w:jc w:val="center"/>
              <w:rPr>
                <w:bCs/>
                <w:sz w:val="21"/>
                <w:szCs w:val="21"/>
              </w:rPr>
            </w:pPr>
            <w:r>
              <w:rPr>
                <w:bCs/>
                <w:sz w:val="21"/>
                <w:szCs w:val="21"/>
              </w:rPr>
              <w:t>健康环境</w:t>
            </w:r>
          </w:p>
        </w:tc>
        <w:tc>
          <w:tcPr>
            <w:tcW w:w="589" w:type="dxa"/>
            <w:gridSpan w:val="2"/>
            <w:vAlign w:val="center"/>
          </w:tcPr>
          <w:p w14:paraId="4FCB1277">
            <w:pPr>
              <w:spacing w:line="580" w:lineRule="exact"/>
              <w:jc w:val="center"/>
              <w:rPr>
                <w:bCs/>
                <w:sz w:val="21"/>
                <w:szCs w:val="21"/>
              </w:rPr>
            </w:pPr>
            <w:r>
              <w:rPr>
                <w:sz w:val="21"/>
                <w:szCs w:val="21"/>
              </w:rPr>
              <w:t>19</w:t>
            </w:r>
          </w:p>
        </w:tc>
        <w:tc>
          <w:tcPr>
            <w:tcW w:w="3471" w:type="dxa"/>
            <w:gridSpan w:val="4"/>
            <w:vAlign w:val="center"/>
          </w:tcPr>
          <w:p w14:paraId="28B6236A">
            <w:pPr>
              <w:spacing w:line="580" w:lineRule="exact"/>
              <w:rPr>
                <w:bCs/>
                <w:sz w:val="21"/>
                <w:szCs w:val="21"/>
              </w:rPr>
            </w:pPr>
            <w:r>
              <w:rPr>
                <w:bCs/>
                <w:sz w:val="21"/>
                <w:szCs w:val="21"/>
              </w:rPr>
              <w:t>城市空气质量优良天数比率（%）</w:t>
            </w:r>
          </w:p>
        </w:tc>
        <w:tc>
          <w:tcPr>
            <w:tcW w:w="946" w:type="dxa"/>
            <w:vAlign w:val="center"/>
          </w:tcPr>
          <w:p w14:paraId="15375EC2">
            <w:pPr>
              <w:spacing w:line="580" w:lineRule="exact"/>
              <w:jc w:val="center"/>
              <w:rPr>
                <w:bCs/>
                <w:sz w:val="21"/>
                <w:szCs w:val="21"/>
              </w:rPr>
            </w:pPr>
            <w:r>
              <w:rPr>
                <w:rFonts w:hint="eastAsia"/>
                <w:bCs/>
                <w:sz w:val="21"/>
                <w:szCs w:val="21"/>
              </w:rPr>
              <w:t>88.3</w:t>
            </w:r>
          </w:p>
        </w:tc>
        <w:tc>
          <w:tcPr>
            <w:tcW w:w="946" w:type="dxa"/>
            <w:vAlign w:val="center"/>
          </w:tcPr>
          <w:p w14:paraId="7E0F00FA">
            <w:pPr>
              <w:spacing w:line="580" w:lineRule="exact"/>
              <w:jc w:val="center"/>
              <w:rPr>
                <w:bCs/>
                <w:sz w:val="21"/>
                <w:szCs w:val="21"/>
              </w:rPr>
            </w:pPr>
            <w:r>
              <w:rPr>
                <w:bCs/>
                <w:sz w:val="21"/>
                <w:szCs w:val="21"/>
              </w:rPr>
              <w:t>91</w:t>
            </w:r>
          </w:p>
        </w:tc>
        <w:tc>
          <w:tcPr>
            <w:tcW w:w="1142" w:type="dxa"/>
            <w:vAlign w:val="center"/>
          </w:tcPr>
          <w:p w14:paraId="77379C33">
            <w:pPr>
              <w:spacing w:line="580" w:lineRule="exact"/>
              <w:jc w:val="center"/>
              <w:rPr>
                <w:bCs/>
                <w:sz w:val="21"/>
                <w:szCs w:val="21"/>
              </w:rPr>
            </w:pPr>
            <w:r>
              <w:rPr>
                <w:bCs/>
                <w:sz w:val="21"/>
                <w:szCs w:val="21"/>
              </w:rPr>
              <w:t>≥88</w:t>
            </w:r>
          </w:p>
        </w:tc>
        <w:tc>
          <w:tcPr>
            <w:tcW w:w="1142" w:type="dxa"/>
            <w:vAlign w:val="center"/>
          </w:tcPr>
          <w:p w14:paraId="5DFB2F6D">
            <w:pPr>
              <w:spacing w:line="580" w:lineRule="exact"/>
              <w:jc w:val="center"/>
              <w:rPr>
                <w:bCs/>
                <w:sz w:val="21"/>
                <w:szCs w:val="21"/>
              </w:rPr>
            </w:pPr>
            <w:r>
              <w:rPr>
                <w:bCs/>
                <w:sz w:val="21"/>
                <w:szCs w:val="21"/>
              </w:rPr>
              <w:t>≥88</w:t>
            </w:r>
          </w:p>
        </w:tc>
        <w:tc>
          <w:tcPr>
            <w:tcW w:w="918" w:type="dxa"/>
            <w:vAlign w:val="center"/>
          </w:tcPr>
          <w:p w14:paraId="2D38D9C4">
            <w:pPr>
              <w:spacing w:line="580" w:lineRule="exact"/>
              <w:jc w:val="center"/>
              <w:rPr>
                <w:bCs/>
                <w:sz w:val="21"/>
                <w:szCs w:val="21"/>
              </w:rPr>
            </w:pPr>
            <w:r>
              <w:rPr>
                <w:bCs/>
                <w:sz w:val="21"/>
                <w:szCs w:val="21"/>
              </w:rPr>
              <w:t>约束性</w:t>
            </w:r>
          </w:p>
        </w:tc>
      </w:tr>
      <w:tr w14:paraId="2D59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0E86B240">
            <w:pPr>
              <w:spacing w:line="580" w:lineRule="exact"/>
              <w:jc w:val="center"/>
              <w:rPr>
                <w:bCs/>
                <w:sz w:val="21"/>
                <w:szCs w:val="21"/>
              </w:rPr>
            </w:pPr>
          </w:p>
        </w:tc>
        <w:tc>
          <w:tcPr>
            <w:tcW w:w="589" w:type="dxa"/>
            <w:gridSpan w:val="2"/>
            <w:vAlign w:val="center"/>
          </w:tcPr>
          <w:p w14:paraId="2C1BF027">
            <w:pPr>
              <w:spacing w:line="580" w:lineRule="exact"/>
              <w:jc w:val="center"/>
              <w:rPr>
                <w:bCs/>
                <w:sz w:val="21"/>
                <w:szCs w:val="21"/>
              </w:rPr>
            </w:pPr>
            <w:r>
              <w:rPr>
                <w:sz w:val="21"/>
                <w:szCs w:val="21"/>
              </w:rPr>
              <w:t>20</w:t>
            </w:r>
          </w:p>
        </w:tc>
        <w:tc>
          <w:tcPr>
            <w:tcW w:w="3471" w:type="dxa"/>
            <w:gridSpan w:val="4"/>
            <w:vAlign w:val="center"/>
          </w:tcPr>
          <w:p w14:paraId="42D56A7B">
            <w:pPr>
              <w:spacing w:line="580" w:lineRule="exact"/>
              <w:rPr>
                <w:bCs/>
                <w:sz w:val="21"/>
                <w:szCs w:val="21"/>
              </w:rPr>
            </w:pPr>
            <w:r>
              <w:rPr>
                <w:bCs/>
                <w:sz w:val="21"/>
                <w:szCs w:val="21"/>
              </w:rPr>
              <w:t>地表水达到或好于Ⅲ类水体比例（%）</w:t>
            </w:r>
          </w:p>
        </w:tc>
        <w:tc>
          <w:tcPr>
            <w:tcW w:w="946" w:type="dxa"/>
            <w:vAlign w:val="center"/>
          </w:tcPr>
          <w:p w14:paraId="5B4D7B52">
            <w:pPr>
              <w:spacing w:line="580" w:lineRule="exact"/>
              <w:jc w:val="center"/>
              <w:rPr>
                <w:bCs/>
                <w:sz w:val="21"/>
                <w:szCs w:val="21"/>
              </w:rPr>
            </w:pPr>
            <w:r>
              <w:rPr>
                <w:rFonts w:hint="eastAsia"/>
                <w:bCs/>
                <w:sz w:val="21"/>
                <w:szCs w:val="21"/>
              </w:rPr>
              <w:t>100</w:t>
            </w:r>
          </w:p>
        </w:tc>
        <w:tc>
          <w:tcPr>
            <w:tcW w:w="946" w:type="dxa"/>
            <w:vAlign w:val="center"/>
          </w:tcPr>
          <w:p w14:paraId="3E3D98EC">
            <w:pPr>
              <w:spacing w:line="580" w:lineRule="exact"/>
              <w:jc w:val="center"/>
              <w:rPr>
                <w:bCs/>
                <w:sz w:val="21"/>
                <w:szCs w:val="21"/>
              </w:rPr>
            </w:pPr>
            <w:r>
              <w:rPr>
                <w:bCs/>
                <w:sz w:val="21"/>
                <w:szCs w:val="21"/>
              </w:rPr>
              <w:t>100</w:t>
            </w:r>
          </w:p>
        </w:tc>
        <w:tc>
          <w:tcPr>
            <w:tcW w:w="1142" w:type="dxa"/>
            <w:vAlign w:val="center"/>
          </w:tcPr>
          <w:p w14:paraId="7396A16D">
            <w:pPr>
              <w:spacing w:line="580" w:lineRule="exact"/>
              <w:jc w:val="center"/>
              <w:rPr>
                <w:bCs/>
                <w:sz w:val="21"/>
                <w:szCs w:val="21"/>
              </w:rPr>
            </w:pPr>
            <w:r>
              <w:rPr>
                <w:bCs/>
                <w:sz w:val="21"/>
                <w:szCs w:val="21"/>
              </w:rPr>
              <w:t>国家下达</w:t>
            </w:r>
          </w:p>
        </w:tc>
        <w:tc>
          <w:tcPr>
            <w:tcW w:w="1142" w:type="dxa"/>
            <w:vAlign w:val="center"/>
          </w:tcPr>
          <w:p w14:paraId="59255DEE">
            <w:pPr>
              <w:spacing w:line="580" w:lineRule="exact"/>
              <w:jc w:val="center"/>
              <w:rPr>
                <w:bCs/>
                <w:sz w:val="21"/>
                <w:szCs w:val="21"/>
              </w:rPr>
            </w:pPr>
            <w:r>
              <w:rPr>
                <w:bCs/>
                <w:sz w:val="21"/>
                <w:szCs w:val="21"/>
              </w:rPr>
              <w:t>国家下达</w:t>
            </w:r>
          </w:p>
        </w:tc>
        <w:tc>
          <w:tcPr>
            <w:tcW w:w="918" w:type="dxa"/>
            <w:vAlign w:val="center"/>
          </w:tcPr>
          <w:p w14:paraId="062AF7A8">
            <w:pPr>
              <w:spacing w:line="580" w:lineRule="exact"/>
              <w:jc w:val="center"/>
              <w:rPr>
                <w:bCs/>
                <w:sz w:val="21"/>
                <w:szCs w:val="21"/>
              </w:rPr>
            </w:pPr>
            <w:r>
              <w:rPr>
                <w:bCs/>
                <w:sz w:val="21"/>
                <w:szCs w:val="21"/>
              </w:rPr>
              <w:t>约束性</w:t>
            </w:r>
          </w:p>
        </w:tc>
      </w:tr>
      <w:tr w14:paraId="2D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restart"/>
            <w:vAlign w:val="center"/>
          </w:tcPr>
          <w:p w14:paraId="54B4CCC0">
            <w:pPr>
              <w:spacing w:line="580" w:lineRule="exact"/>
              <w:jc w:val="center"/>
              <w:rPr>
                <w:bCs/>
                <w:sz w:val="21"/>
                <w:szCs w:val="21"/>
              </w:rPr>
            </w:pPr>
            <w:r>
              <w:rPr>
                <w:bCs/>
                <w:sz w:val="21"/>
                <w:szCs w:val="21"/>
              </w:rPr>
              <w:t>健康保障</w:t>
            </w:r>
          </w:p>
        </w:tc>
        <w:tc>
          <w:tcPr>
            <w:tcW w:w="589" w:type="dxa"/>
            <w:gridSpan w:val="2"/>
            <w:vAlign w:val="center"/>
          </w:tcPr>
          <w:p w14:paraId="4790AA67">
            <w:pPr>
              <w:spacing w:line="580" w:lineRule="exact"/>
              <w:jc w:val="center"/>
              <w:rPr>
                <w:bCs/>
                <w:sz w:val="21"/>
                <w:szCs w:val="21"/>
              </w:rPr>
            </w:pPr>
            <w:r>
              <w:rPr>
                <w:bCs/>
                <w:sz w:val="21"/>
                <w:szCs w:val="21"/>
              </w:rPr>
              <w:t>21</w:t>
            </w:r>
          </w:p>
        </w:tc>
        <w:tc>
          <w:tcPr>
            <w:tcW w:w="3471" w:type="dxa"/>
            <w:gridSpan w:val="4"/>
            <w:vAlign w:val="center"/>
          </w:tcPr>
          <w:p w14:paraId="25664DC2">
            <w:pPr>
              <w:spacing w:line="580" w:lineRule="exact"/>
              <w:rPr>
                <w:bCs/>
                <w:sz w:val="21"/>
                <w:szCs w:val="21"/>
              </w:rPr>
            </w:pPr>
            <w:r>
              <w:rPr>
                <w:bCs/>
                <w:sz w:val="21"/>
                <w:szCs w:val="21"/>
              </w:rPr>
              <w:t>个人卫生支出占卫生总费用的比重（%）</w:t>
            </w:r>
          </w:p>
        </w:tc>
        <w:tc>
          <w:tcPr>
            <w:tcW w:w="946" w:type="dxa"/>
            <w:vAlign w:val="center"/>
          </w:tcPr>
          <w:p w14:paraId="45820948">
            <w:pPr>
              <w:spacing w:line="580" w:lineRule="exact"/>
              <w:jc w:val="center"/>
              <w:rPr>
                <w:bCs/>
                <w:sz w:val="21"/>
                <w:szCs w:val="21"/>
              </w:rPr>
            </w:pPr>
            <w:r>
              <w:rPr>
                <w:rFonts w:hint="eastAsia"/>
                <w:bCs/>
                <w:sz w:val="21"/>
                <w:szCs w:val="21"/>
              </w:rPr>
              <w:t>25.04</w:t>
            </w:r>
          </w:p>
        </w:tc>
        <w:tc>
          <w:tcPr>
            <w:tcW w:w="946" w:type="dxa"/>
            <w:vAlign w:val="center"/>
          </w:tcPr>
          <w:p w14:paraId="13578470">
            <w:pPr>
              <w:spacing w:line="580" w:lineRule="exact"/>
              <w:jc w:val="center"/>
              <w:rPr>
                <w:bCs/>
                <w:sz w:val="21"/>
                <w:szCs w:val="21"/>
              </w:rPr>
            </w:pPr>
            <w:r>
              <w:rPr>
                <w:bCs/>
                <w:sz w:val="21"/>
                <w:szCs w:val="21"/>
              </w:rPr>
              <w:t>28.28*</w:t>
            </w:r>
          </w:p>
        </w:tc>
        <w:tc>
          <w:tcPr>
            <w:tcW w:w="1142" w:type="dxa"/>
            <w:vAlign w:val="center"/>
          </w:tcPr>
          <w:p w14:paraId="3D4030D6">
            <w:pPr>
              <w:spacing w:line="580" w:lineRule="exact"/>
              <w:jc w:val="center"/>
              <w:rPr>
                <w:bCs/>
                <w:sz w:val="21"/>
                <w:szCs w:val="21"/>
              </w:rPr>
            </w:pPr>
            <w:r>
              <w:rPr>
                <w:bCs/>
                <w:sz w:val="21"/>
                <w:szCs w:val="21"/>
              </w:rPr>
              <w:t>≤27</w:t>
            </w:r>
          </w:p>
        </w:tc>
        <w:tc>
          <w:tcPr>
            <w:tcW w:w="1142" w:type="dxa"/>
            <w:vAlign w:val="center"/>
          </w:tcPr>
          <w:p w14:paraId="65058E3B">
            <w:pPr>
              <w:spacing w:line="580" w:lineRule="exact"/>
              <w:jc w:val="center"/>
              <w:rPr>
                <w:bCs/>
                <w:sz w:val="21"/>
                <w:szCs w:val="21"/>
              </w:rPr>
            </w:pPr>
            <w:r>
              <w:rPr>
                <w:bCs/>
                <w:sz w:val="21"/>
                <w:szCs w:val="21"/>
              </w:rPr>
              <w:t>≤27</w:t>
            </w:r>
          </w:p>
        </w:tc>
        <w:tc>
          <w:tcPr>
            <w:tcW w:w="918" w:type="dxa"/>
            <w:vAlign w:val="center"/>
          </w:tcPr>
          <w:p w14:paraId="2FEA4101">
            <w:pPr>
              <w:spacing w:line="580" w:lineRule="exact"/>
              <w:jc w:val="center"/>
              <w:rPr>
                <w:bCs/>
                <w:sz w:val="21"/>
                <w:szCs w:val="21"/>
              </w:rPr>
            </w:pPr>
            <w:r>
              <w:rPr>
                <w:bCs/>
                <w:sz w:val="21"/>
                <w:szCs w:val="21"/>
              </w:rPr>
              <w:t>约束性</w:t>
            </w:r>
          </w:p>
        </w:tc>
      </w:tr>
      <w:tr w14:paraId="5BD0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6C41AD32">
            <w:pPr>
              <w:spacing w:line="580" w:lineRule="exact"/>
              <w:jc w:val="center"/>
              <w:rPr>
                <w:bCs/>
                <w:sz w:val="21"/>
                <w:szCs w:val="21"/>
              </w:rPr>
            </w:pPr>
          </w:p>
        </w:tc>
        <w:tc>
          <w:tcPr>
            <w:tcW w:w="589" w:type="dxa"/>
            <w:gridSpan w:val="2"/>
            <w:vMerge w:val="restart"/>
            <w:vAlign w:val="center"/>
          </w:tcPr>
          <w:p w14:paraId="3988BE61">
            <w:pPr>
              <w:spacing w:line="580" w:lineRule="exact"/>
              <w:jc w:val="center"/>
              <w:rPr>
                <w:bCs/>
                <w:sz w:val="21"/>
                <w:szCs w:val="21"/>
              </w:rPr>
            </w:pPr>
            <w:r>
              <w:rPr>
                <w:bCs/>
                <w:sz w:val="21"/>
                <w:szCs w:val="21"/>
              </w:rPr>
              <w:t>22</w:t>
            </w:r>
          </w:p>
        </w:tc>
        <w:tc>
          <w:tcPr>
            <w:tcW w:w="2771" w:type="dxa"/>
            <w:gridSpan w:val="3"/>
            <w:vAlign w:val="center"/>
          </w:tcPr>
          <w:p w14:paraId="5FCD2DD9">
            <w:pPr>
              <w:spacing w:line="580" w:lineRule="exact"/>
              <w:rPr>
                <w:bCs/>
                <w:sz w:val="21"/>
                <w:szCs w:val="21"/>
              </w:rPr>
            </w:pPr>
            <w:r>
              <w:rPr>
                <w:bCs/>
                <w:sz w:val="21"/>
                <w:szCs w:val="21"/>
              </w:rPr>
              <w:t>政策范围内住院费用支付比例（%）</w:t>
            </w:r>
          </w:p>
        </w:tc>
        <w:tc>
          <w:tcPr>
            <w:tcW w:w="700" w:type="dxa"/>
            <w:vAlign w:val="center"/>
          </w:tcPr>
          <w:p w14:paraId="6EB23F92">
            <w:pPr>
              <w:spacing w:line="580" w:lineRule="exact"/>
              <w:rPr>
                <w:bCs/>
                <w:sz w:val="21"/>
                <w:szCs w:val="21"/>
              </w:rPr>
            </w:pPr>
            <w:r>
              <w:rPr>
                <w:bCs/>
                <w:sz w:val="21"/>
                <w:szCs w:val="21"/>
              </w:rPr>
              <w:t>城镇职工医保</w:t>
            </w:r>
          </w:p>
        </w:tc>
        <w:tc>
          <w:tcPr>
            <w:tcW w:w="946" w:type="dxa"/>
            <w:vAlign w:val="center"/>
          </w:tcPr>
          <w:p w14:paraId="50AEABEC">
            <w:pPr>
              <w:spacing w:line="580" w:lineRule="exact"/>
              <w:jc w:val="center"/>
              <w:rPr>
                <w:bCs/>
                <w:sz w:val="21"/>
                <w:szCs w:val="21"/>
              </w:rPr>
            </w:pPr>
            <w:r>
              <w:rPr>
                <w:rFonts w:hint="eastAsia"/>
                <w:bCs/>
                <w:sz w:val="21"/>
                <w:szCs w:val="21"/>
              </w:rPr>
              <w:t>83</w:t>
            </w:r>
          </w:p>
        </w:tc>
        <w:tc>
          <w:tcPr>
            <w:tcW w:w="946" w:type="dxa"/>
            <w:vAlign w:val="center"/>
          </w:tcPr>
          <w:p w14:paraId="1BEF1427">
            <w:pPr>
              <w:spacing w:line="580" w:lineRule="exact"/>
              <w:jc w:val="center"/>
              <w:rPr>
                <w:bCs/>
                <w:sz w:val="21"/>
                <w:szCs w:val="21"/>
              </w:rPr>
            </w:pPr>
            <w:r>
              <w:rPr>
                <w:bCs/>
                <w:sz w:val="21"/>
                <w:szCs w:val="21"/>
              </w:rPr>
              <w:t>8</w:t>
            </w:r>
            <w:r>
              <w:rPr>
                <w:rFonts w:hint="eastAsia"/>
                <w:bCs/>
                <w:sz w:val="21"/>
                <w:szCs w:val="21"/>
              </w:rPr>
              <w:t>3</w:t>
            </w:r>
            <w:r>
              <w:rPr>
                <w:bCs/>
                <w:sz w:val="21"/>
                <w:szCs w:val="21"/>
              </w:rPr>
              <w:t>左右</w:t>
            </w:r>
          </w:p>
        </w:tc>
        <w:tc>
          <w:tcPr>
            <w:tcW w:w="1142" w:type="dxa"/>
            <w:vAlign w:val="center"/>
          </w:tcPr>
          <w:p w14:paraId="3BB6E3BD">
            <w:pPr>
              <w:spacing w:line="580" w:lineRule="exact"/>
              <w:jc w:val="center"/>
              <w:rPr>
                <w:bCs/>
                <w:sz w:val="21"/>
                <w:szCs w:val="21"/>
              </w:rPr>
            </w:pPr>
            <w:r>
              <w:rPr>
                <w:rFonts w:hint="eastAsia"/>
                <w:bCs/>
                <w:sz w:val="21"/>
                <w:szCs w:val="21"/>
              </w:rPr>
              <w:t>85</w:t>
            </w:r>
          </w:p>
        </w:tc>
        <w:tc>
          <w:tcPr>
            <w:tcW w:w="1142" w:type="dxa"/>
            <w:vAlign w:val="center"/>
          </w:tcPr>
          <w:p w14:paraId="4B00D06A">
            <w:pPr>
              <w:spacing w:line="580" w:lineRule="exact"/>
              <w:jc w:val="center"/>
              <w:rPr>
                <w:bCs/>
                <w:sz w:val="21"/>
                <w:szCs w:val="21"/>
              </w:rPr>
            </w:pPr>
            <w:r>
              <w:rPr>
                <w:rFonts w:hint="eastAsia"/>
                <w:bCs/>
                <w:sz w:val="21"/>
                <w:szCs w:val="21"/>
              </w:rPr>
              <w:t>85</w:t>
            </w:r>
          </w:p>
        </w:tc>
        <w:tc>
          <w:tcPr>
            <w:tcW w:w="918" w:type="dxa"/>
            <w:vMerge w:val="restart"/>
            <w:vAlign w:val="center"/>
          </w:tcPr>
          <w:p w14:paraId="513D77F9">
            <w:pPr>
              <w:spacing w:line="580" w:lineRule="exact"/>
              <w:jc w:val="center"/>
              <w:rPr>
                <w:bCs/>
                <w:sz w:val="21"/>
                <w:szCs w:val="21"/>
              </w:rPr>
            </w:pPr>
            <w:r>
              <w:rPr>
                <w:rFonts w:hint="eastAsia"/>
                <w:bCs/>
                <w:sz w:val="21"/>
                <w:szCs w:val="21"/>
              </w:rPr>
              <w:t>预期</w:t>
            </w:r>
            <w:r>
              <w:rPr>
                <w:bCs/>
                <w:sz w:val="21"/>
                <w:szCs w:val="21"/>
              </w:rPr>
              <w:t>性</w:t>
            </w:r>
          </w:p>
        </w:tc>
      </w:tr>
      <w:tr w14:paraId="10F3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49" w:type="dxa"/>
            <w:vMerge w:val="continue"/>
            <w:vAlign w:val="center"/>
          </w:tcPr>
          <w:p w14:paraId="6920B2E4">
            <w:pPr>
              <w:spacing w:line="580" w:lineRule="exact"/>
              <w:jc w:val="center"/>
              <w:rPr>
                <w:bCs/>
                <w:sz w:val="21"/>
                <w:szCs w:val="21"/>
              </w:rPr>
            </w:pPr>
          </w:p>
        </w:tc>
        <w:tc>
          <w:tcPr>
            <w:tcW w:w="589" w:type="dxa"/>
            <w:gridSpan w:val="2"/>
            <w:vMerge w:val="continue"/>
            <w:vAlign w:val="center"/>
          </w:tcPr>
          <w:p w14:paraId="1AEACA1C">
            <w:pPr>
              <w:spacing w:line="580" w:lineRule="exact"/>
              <w:jc w:val="center"/>
              <w:rPr>
                <w:bCs/>
                <w:sz w:val="21"/>
                <w:szCs w:val="21"/>
              </w:rPr>
            </w:pPr>
          </w:p>
        </w:tc>
        <w:tc>
          <w:tcPr>
            <w:tcW w:w="2771" w:type="dxa"/>
            <w:gridSpan w:val="3"/>
            <w:vAlign w:val="center"/>
          </w:tcPr>
          <w:p w14:paraId="6C351BDD">
            <w:pPr>
              <w:spacing w:line="580" w:lineRule="exact"/>
              <w:rPr>
                <w:bCs/>
                <w:sz w:val="21"/>
                <w:szCs w:val="21"/>
              </w:rPr>
            </w:pPr>
            <w:r>
              <w:rPr>
                <w:bCs/>
                <w:sz w:val="21"/>
                <w:szCs w:val="21"/>
              </w:rPr>
              <w:t>政策范围内住院费用支付比例（%）</w:t>
            </w:r>
          </w:p>
        </w:tc>
        <w:tc>
          <w:tcPr>
            <w:tcW w:w="700" w:type="dxa"/>
            <w:vAlign w:val="center"/>
          </w:tcPr>
          <w:p w14:paraId="1F3B2DB9">
            <w:pPr>
              <w:spacing w:line="580" w:lineRule="exact"/>
              <w:rPr>
                <w:bCs/>
                <w:sz w:val="21"/>
                <w:szCs w:val="21"/>
              </w:rPr>
            </w:pPr>
            <w:r>
              <w:rPr>
                <w:bCs/>
                <w:sz w:val="21"/>
                <w:szCs w:val="21"/>
              </w:rPr>
              <w:t>城乡居民医保</w:t>
            </w:r>
          </w:p>
        </w:tc>
        <w:tc>
          <w:tcPr>
            <w:tcW w:w="946" w:type="dxa"/>
            <w:vAlign w:val="center"/>
          </w:tcPr>
          <w:p w14:paraId="4C6A6215">
            <w:pPr>
              <w:spacing w:line="580" w:lineRule="exact"/>
              <w:jc w:val="center"/>
              <w:rPr>
                <w:bCs/>
                <w:sz w:val="21"/>
                <w:szCs w:val="21"/>
              </w:rPr>
            </w:pPr>
            <w:r>
              <w:rPr>
                <w:rFonts w:hint="eastAsia"/>
                <w:bCs/>
                <w:sz w:val="21"/>
                <w:szCs w:val="21"/>
              </w:rPr>
              <w:t>65</w:t>
            </w:r>
          </w:p>
        </w:tc>
        <w:tc>
          <w:tcPr>
            <w:tcW w:w="946" w:type="dxa"/>
            <w:vAlign w:val="center"/>
          </w:tcPr>
          <w:p w14:paraId="4E267311">
            <w:pPr>
              <w:spacing w:line="580" w:lineRule="exact"/>
              <w:jc w:val="center"/>
              <w:rPr>
                <w:bCs/>
                <w:sz w:val="21"/>
                <w:szCs w:val="21"/>
              </w:rPr>
            </w:pPr>
            <w:r>
              <w:rPr>
                <w:rFonts w:hint="eastAsia"/>
                <w:bCs/>
                <w:sz w:val="21"/>
                <w:szCs w:val="21"/>
              </w:rPr>
              <w:t>65</w:t>
            </w:r>
            <w:r>
              <w:rPr>
                <w:bCs/>
                <w:sz w:val="21"/>
                <w:szCs w:val="21"/>
              </w:rPr>
              <w:t>左右</w:t>
            </w:r>
          </w:p>
        </w:tc>
        <w:tc>
          <w:tcPr>
            <w:tcW w:w="1142" w:type="dxa"/>
            <w:vAlign w:val="center"/>
          </w:tcPr>
          <w:p w14:paraId="3CAC30F0">
            <w:pPr>
              <w:spacing w:line="580" w:lineRule="exact"/>
              <w:jc w:val="center"/>
              <w:rPr>
                <w:bCs/>
                <w:sz w:val="21"/>
                <w:szCs w:val="21"/>
              </w:rPr>
            </w:pPr>
            <w:r>
              <w:rPr>
                <w:rFonts w:hint="eastAsia"/>
                <w:bCs/>
                <w:sz w:val="21"/>
                <w:szCs w:val="21"/>
              </w:rPr>
              <w:t>70</w:t>
            </w:r>
          </w:p>
        </w:tc>
        <w:tc>
          <w:tcPr>
            <w:tcW w:w="1142" w:type="dxa"/>
            <w:vAlign w:val="center"/>
          </w:tcPr>
          <w:p w14:paraId="58A88FE5">
            <w:pPr>
              <w:spacing w:line="580" w:lineRule="exact"/>
              <w:jc w:val="center"/>
              <w:rPr>
                <w:bCs/>
                <w:sz w:val="21"/>
                <w:szCs w:val="21"/>
              </w:rPr>
            </w:pPr>
            <w:r>
              <w:rPr>
                <w:rFonts w:hint="eastAsia"/>
                <w:bCs/>
                <w:sz w:val="21"/>
                <w:szCs w:val="21"/>
              </w:rPr>
              <w:t>70</w:t>
            </w:r>
          </w:p>
        </w:tc>
        <w:tc>
          <w:tcPr>
            <w:tcW w:w="918" w:type="dxa"/>
            <w:vMerge w:val="continue"/>
            <w:vAlign w:val="center"/>
          </w:tcPr>
          <w:p w14:paraId="33A086CA">
            <w:pPr>
              <w:spacing w:line="580" w:lineRule="exact"/>
              <w:jc w:val="center"/>
              <w:rPr>
                <w:bCs/>
                <w:sz w:val="21"/>
                <w:szCs w:val="21"/>
              </w:rPr>
            </w:pPr>
          </w:p>
        </w:tc>
      </w:tr>
      <w:tr w14:paraId="6E01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 w:author="Lucía" w:date="2021-12-17T16: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1225" w:hRule="exact"/>
          <w:jc w:val="center"/>
          <w:trPrChange w:id="1" w:author="Lucía" w:date="2021-12-17T16:33:00Z">
            <w:trPr>
              <w:trHeight w:val="510" w:hRule="exact"/>
              <w:jc w:val="center"/>
            </w:trPr>
          </w:trPrChange>
        </w:trPr>
        <w:tc>
          <w:tcPr>
            <w:tcW w:w="849" w:type="dxa"/>
            <w:vAlign w:val="center"/>
            <w:tcPrChange w:id="2" w:author="Lucía" w:date="2021-12-17T16:33:00Z">
              <w:tcPr>
                <w:tcW w:w="849" w:type="dxa"/>
                <w:vAlign w:val="center"/>
              </w:tcPr>
            </w:tcPrChange>
          </w:tcPr>
          <w:p w14:paraId="5CF74AA5">
            <w:pPr>
              <w:spacing w:line="580" w:lineRule="exact"/>
              <w:jc w:val="center"/>
              <w:rPr>
                <w:bCs/>
                <w:sz w:val="21"/>
                <w:szCs w:val="21"/>
              </w:rPr>
            </w:pPr>
            <w:r>
              <w:rPr>
                <w:bCs/>
                <w:sz w:val="21"/>
                <w:szCs w:val="21"/>
              </w:rPr>
              <w:t>健康产业</w:t>
            </w:r>
          </w:p>
        </w:tc>
        <w:tc>
          <w:tcPr>
            <w:tcW w:w="589" w:type="dxa"/>
            <w:gridSpan w:val="2"/>
            <w:vAlign w:val="center"/>
            <w:tcPrChange w:id="3" w:author="Lucía" w:date="2021-12-17T16:33:00Z">
              <w:tcPr>
                <w:tcW w:w="589" w:type="dxa"/>
                <w:gridSpan w:val="2"/>
                <w:vAlign w:val="center"/>
              </w:tcPr>
            </w:tcPrChange>
          </w:tcPr>
          <w:p w14:paraId="1DD6B66F">
            <w:pPr>
              <w:spacing w:line="580" w:lineRule="exact"/>
              <w:jc w:val="center"/>
              <w:rPr>
                <w:bCs/>
                <w:sz w:val="21"/>
                <w:szCs w:val="21"/>
              </w:rPr>
            </w:pPr>
            <w:r>
              <w:rPr>
                <w:bCs/>
                <w:sz w:val="21"/>
                <w:szCs w:val="21"/>
              </w:rPr>
              <w:t>23</w:t>
            </w:r>
          </w:p>
        </w:tc>
        <w:tc>
          <w:tcPr>
            <w:tcW w:w="3471" w:type="dxa"/>
            <w:gridSpan w:val="4"/>
            <w:vAlign w:val="center"/>
            <w:tcPrChange w:id="4" w:author="Lucía" w:date="2021-12-17T16:33:00Z">
              <w:tcPr>
                <w:tcW w:w="3471" w:type="dxa"/>
                <w:gridSpan w:val="4"/>
                <w:vAlign w:val="center"/>
              </w:tcPr>
            </w:tcPrChange>
          </w:tcPr>
          <w:p w14:paraId="7CCDDC0B">
            <w:pPr>
              <w:spacing w:line="580" w:lineRule="exact"/>
              <w:rPr>
                <w:bCs/>
                <w:sz w:val="21"/>
                <w:szCs w:val="21"/>
              </w:rPr>
            </w:pPr>
            <w:r>
              <w:rPr>
                <w:rFonts w:hint="eastAsia"/>
                <w:bCs/>
                <w:sz w:val="21"/>
                <w:szCs w:val="21"/>
              </w:rPr>
              <w:t>大</w:t>
            </w:r>
            <w:r>
              <w:rPr>
                <w:bCs/>
                <w:sz w:val="21"/>
                <w:szCs w:val="21"/>
              </w:rPr>
              <w:t>健康</w:t>
            </w:r>
            <w:r>
              <w:rPr>
                <w:rFonts w:hint="eastAsia"/>
                <w:bCs/>
                <w:sz w:val="21"/>
                <w:szCs w:val="21"/>
              </w:rPr>
              <w:t>产</w:t>
            </w:r>
            <w:r>
              <w:rPr>
                <w:bCs/>
                <w:sz w:val="21"/>
                <w:szCs w:val="21"/>
              </w:rPr>
              <w:t>业总规模（亿元）</w:t>
            </w:r>
          </w:p>
        </w:tc>
        <w:tc>
          <w:tcPr>
            <w:tcW w:w="946" w:type="dxa"/>
            <w:vAlign w:val="center"/>
            <w:tcPrChange w:id="5" w:author="Lucía" w:date="2021-12-17T16:33:00Z">
              <w:tcPr>
                <w:tcW w:w="946" w:type="dxa"/>
                <w:vAlign w:val="center"/>
              </w:tcPr>
            </w:tcPrChange>
          </w:tcPr>
          <w:p w14:paraId="466A278C">
            <w:pPr>
              <w:spacing w:line="580" w:lineRule="exact"/>
              <w:jc w:val="center"/>
              <w:rPr>
                <w:bCs/>
                <w:sz w:val="21"/>
                <w:szCs w:val="21"/>
              </w:rPr>
            </w:pPr>
            <w:r>
              <w:rPr>
                <w:rFonts w:hint="eastAsia"/>
                <w:bCs/>
                <w:sz w:val="21"/>
                <w:szCs w:val="21"/>
              </w:rPr>
              <w:t>——</w:t>
            </w:r>
          </w:p>
        </w:tc>
        <w:tc>
          <w:tcPr>
            <w:tcW w:w="946" w:type="dxa"/>
            <w:vAlign w:val="center"/>
            <w:tcPrChange w:id="6" w:author="Lucía" w:date="2021-12-17T16:33:00Z">
              <w:tcPr>
                <w:tcW w:w="946" w:type="dxa"/>
                <w:vAlign w:val="center"/>
              </w:tcPr>
            </w:tcPrChange>
          </w:tcPr>
          <w:p w14:paraId="0790C534">
            <w:pPr>
              <w:spacing w:line="580" w:lineRule="exact"/>
              <w:jc w:val="center"/>
              <w:rPr>
                <w:bCs/>
                <w:sz w:val="21"/>
                <w:szCs w:val="21"/>
              </w:rPr>
            </w:pPr>
            <w:r>
              <w:rPr>
                <w:rFonts w:hint="eastAsia"/>
                <w:bCs/>
                <w:sz w:val="21"/>
                <w:szCs w:val="21"/>
              </w:rPr>
              <w:t>——</w:t>
            </w:r>
          </w:p>
        </w:tc>
        <w:tc>
          <w:tcPr>
            <w:tcW w:w="1142" w:type="dxa"/>
            <w:vAlign w:val="center"/>
            <w:tcPrChange w:id="7" w:author="Lucía" w:date="2021-12-17T16:33:00Z">
              <w:tcPr>
                <w:tcW w:w="1142" w:type="dxa"/>
                <w:vAlign w:val="center"/>
              </w:tcPr>
            </w:tcPrChange>
          </w:tcPr>
          <w:p w14:paraId="6B2C28E5">
            <w:pPr>
              <w:spacing w:line="580" w:lineRule="exact"/>
              <w:jc w:val="center"/>
              <w:rPr>
                <w:bCs/>
                <w:sz w:val="21"/>
                <w:szCs w:val="21"/>
              </w:rPr>
            </w:pPr>
            <w:r>
              <w:rPr>
                <w:rFonts w:hint="eastAsia"/>
                <w:bCs/>
                <w:sz w:val="21"/>
                <w:szCs w:val="21"/>
              </w:rPr>
              <w:t>100</w:t>
            </w:r>
          </w:p>
        </w:tc>
        <w:tc>
          <w:tcPr>
            <w:tcW w:w="1142" w:type="dxa"/>
            <w:vAlign w:val="center"/>
            <w:tcPrChange w:id="8" w:author="Lucía" w:date="2021-12-17T16:33:00Z">
              <w:tcPr>
                <w:tcW w:w="1142" w:type="dxa"/>
                <w:vAlign w:val="center"/>
              </w:tcPr>
            </w:tcPrChange>
          </w:tcPr>
          <w:p w14:paraId="35ED5EE8">
            <w:pPr>
              <w:spacing w:line="580" w:lineRule="exact"/>
              <w:jc w:val="center"/>
              <w:rPr>
                <w:bCs/>
                <w:sz w:val="21"/>
                <w:szCs w:val="21"/>
              </w:rPr>
            </w:pPr>
            <w:r>
              <w:rPr>
                <w:bCs/>
                <w:sz w:val="21"/>
                <w:szCs w:val="21"/>
              </w:rPr>
              <w:t>2700</w:t>
            </w:r>
          </w:p>
        </w:tc>
        <w:tc>
          <w:tcPr>
            <w:tcW w:w="918" w:type="dxa"/>
            <w:vAlign w:val="center"/>
            <w:tcPrChange w:id="9" w:author="Lucía" w:date="2021-12-17T16:33:00Z">
              <w:tcPr>
                <w:tcW w:w="918" w:type="dxa"/>
                <w:vAlign w:val="center"/>
              </w:tcPr>
            </w:tcPrChange>
          </w:tcPr>
          <w:p w14:paraId="10C82654">
            <w:pPr>
              <w:spacing w:line="580" w:lineRule="exact"/>
              <w:jc w:val="center"/>
              <w:rPr>
                <w:bCs/>
                <w:sz w:val="21"/>
                <w:szCs w:val="21"/>
              </w:rPr>
            </w:pPr>
            <w:r>
              <w:rPr>
                <w:bCs/>
                <w:sz w:val="21"/>
                <w:szCs w:val="21"/>
              </w:rPr>
              <w:t>预期性</w:t>
            </w:r>
          </w:p>
        </w:tc>
      </w:tr>
      <w:tr w14:paraId="4313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50" w:type="dxa"/>
            <w:gridSpan w:val="2"/>
            <w:vAlign w:val="center"/>
          </w:tcPr>
          <w:p w14:paraId="1125C7C9">
            <w:pPr>
              <w:spacing w:line="580" w:lineRule="exact"/>
              <w:jc w:val="left"/>
              <w:rPr>
                <w:bCs/>
                <w:sz w:val="21"/>
                <w:szCs w:val="21"/>
              </w:rPr>
            </w:pPr>
          </w:p>
        </w:tc>
        <w:tc>
          <w:tcPr>
            <w:tcW w:w="1144" w:type="dxa"/>
            <w:gridSpan w:val="2"/>
            <w:vAlign w:val="center"/>
          </w:tcPr>
          <w:p w14:paraId="25068708">
            <w:pPr>
              <w:spacing w:line="580" w:lineRule="exact"/>
              <w:jc w:val="left"/>
              <w:rPr>
                <w:bCs/>
                <w:sz w:val="21"/>
                <w:szCs w:val="21"/>
              </w:rPr>
            </w:pPr>
          </w:p>
        </w:tc>
        <w:tc>
          <w:tcPr>
            <w:tcW w:w="7909" w:type="dxa"/>
            <w:gridSpan w:val="8"/>
            <w:vAlign w:val="center"/>
          </w:tcPr>
          <w:p w14:paraId="5D9D28F0">
            <w:pPr>
              <w:spacing w:line="580" w:lineRule="exact"/>
              <w:jc w:val="left"/>
              <w:rPr>
                <w:bCs/>
                <w:sz w:val="21"/>
                <w:szCs w:val="21"/>
              </w:rPr>
            </w:pPr>
            <w:r>
              <w:rPr>
                <w:bCs/>
                <w:sz w:val="21"/>
                <w:szCs w:val="21"/>
              </w:rPr>
              <w:t>注：标“*”数据以国家有关部门最后确定为准。</w:t>
            </w:r>
          </w:p>
        </w:tc>
      </w:tr>
      <w:bookmarkEnd w:id="28"/>
    </w:tbl>
    <w:p w14:paraId="4BB594C4">
      <w:pPr>
        <w:pStyle w:val="5"/>
        <w:spacing w:before="0" w:after="0" w:line="580" w:lineRule="exact"/>
        <w:ind w:firstLine="640" w:firstLineChars="200"/>
        <w:rPr>
          <w:rFonts w:ascii="Times New Roman" w:hAnsi="Times New Roman" w:eastAsia="方正黑体_GBK"/>
          <w:kern w:val="44"/>
        </w:rPr>
      </w:pPr>
      <w:bookmarkStart w:id="29" w:name="_Toc701"/>
      <w:bookmarkStart w:id="30" w:name="_Toc19352"/>
      <w:bookmarkStart w:id="31" w:name="_Toc83307946"/>
      <w:bookmarkStart w:id="32" w:name="_Toc78987104"/>
      <w:r>
        <w:rPr>
          <w:rFonts w:ascii="Times New Roman" w:hAnsi="Times New Roman" w:eastAsia="方正黑体_GBK"/>
          <w:kern w:val="44"/>
        </w:rPr>
        <w:t>三、构建强大公共卫生体系</w:t>
      </w:r>
      <w:bookmarkEnd w:id="29"/>
      <w:bookmarkEnd w:id="30"/>
      <w:bookmarkEnd w:id="31"/>
      <w:bookmarkEnd w:id="32"/>
    </w:p>
    <w:p w14:paraId="78B8731B">
      <w:pPr>
        <w:pStyle w:val="5"/>
        <w:spacing w:before="0" w:after="0" w:line="580" w:lineRule="exact"/>
        <w:ind w:firstLine="640" w:firstLineChars="200"/>
        <w:rPr>
          <w:rFonts w:ascii="Times New Roman" w:hAnsi="Times New Roman"/>
        </w:rPr>
      </w:pPr>
      <w:bookmarkStart w:id="33" w:name="_Toc78987105"/>
      <w:bookmarkStart w:id="34" w:name="_Toc83307947"/>
      <w:r>
        <w:rPr>
          <w:rFonts w:ascii="Times New Roman" w:hAnsi="Times New Roman"/>
        </w:rPr>
        <w:t>（一）建设现代化疾病预防控制体系</w:t>
      </w:r>
      <w:bookmarkEnd w:id="33"/>
      <w:bookmarkEnd w:id="34"/>
    </w:p>
    <w:p w14:paraId="76F6B808">
      <w:pPr>
        <w:spacing w:line="580" w:lineRule="exact"/>
        <w:ind w:firstLine="640" w:firstLineChars="200"/>
        <w:rPr>
          <w:bCs/>
        </w:rPr>
      </w:pPr>
      <w:r>
        <w:rPr>
          <w:bCs/>
        </w:rPr>
        <w:t xml:space="preserve">1. </w:t>
      </w:r>
      <w:r>
        <w:rPr>
          <w:rFonts w:hint="eastAsia"/>
          <w:bCs/>
        </w:rPr>
        <w:t>健全体系构成。</w:t>
      </w:r>
      <w:r>
        <w:rPr>
          <w:bCs/>
        </w:rPr>
        <w:t>构建以</w:t>
      </w:r>
      <w:r>
        <w:rPr>
          <w:rFonts w:hint="eastAsia"/>
          <w:bCs/>
        </w:rPr>
        <w:t>区疾控中心、区精神卫生中心</w:t>
      </w:r>
      <w:r>
        <w:rPr>
          <w:bCs/>
        </w:rPr>
        <w:t>为骨干，医疗机构为依托，基层医疗卫生机构为网底，防治结合、全社会协同的疾病预防控制体系。健全基层社区网络化疫情防控体系，织密织牢基层防控网。</w:t>
      </w:r>
    </w:p>
    <w:p w14:paraId="516B91B6">
      <w:pPr>
        <w:spacing w:line="580" w:lineRule="exact"/>
        <w:ind w:firstLine="640" w:firstLineChars="200"/>
        <w:rPr>
          <w:bCs/>
        </w:rPr>
      </w:pPr>
      <w:r>
        <w:rPr>
          <w:bCs/>
        </w:rPr>
        <w:t xml:space="preserve">2. </w:t>
      </w:r>
      <w:r>
        <w:rPr>
          <w:rFonts w:hint="eastAsia"/>
          <w:bCs/>
        </w:rPr>
        <w:t>加强机构建设</w:t>
      </w:r>
      <w:r>
        <w:rPr>
          <w:bCs/>
        </w:rPr>
        <w:t>。加强</w:t>
      </w:r>
      <w:r>
        <w:rPr>
          <w:rFonts w:hint="eastAsia"/>
          <w:bCs/>
        </w:rPr>
        <w:t>区</w:t>
      </w:r>
      <w:r>
        <w:rPr>
          <w:bCs/>
        </w:rPr>
        <w:t>疾病预防控制中心</w:t>
      </w:r>
      <w:r>
        <w:rPr>
          <w:rFonts w:hint="eastAsia"/>
          <w:bCs/>
        </w:rPr>
        <w:t>能力</w:t>
      </w:r>
      <w:r>
        <w:rPr>
          <w:bCs/>
        </w:rPr>
        <w:t>建设，</w:t>
      </w:r>
      <w:r>
        <w:rPr>
          <w:rFonts w:hint="eastAsia"/>
          <w:bCs/>
        </w:rPr>
        <w:t>推进区</w:t>
      </w:r>
      <w:r>
        <w:rPr>
          <w:bCs/>
        </w:rPr>
        <w:t>疾控中心</w:t>
      </w:r>
      <w:r>
        <w:rPr>
          <w:rFonts w:hint="eastAsia"/>
          <w:bCs/>
        </w:rPr>
        <w:t>新</w:t>
      </w:r>
      <w:r>
        <w:rPr>
          <w:bCs/>
        </w:rPr>
        <w:t>建工程，服务能力、检测能力、基础设施和装备配备水平达到</w:t>
      </w:r>
      <w:r>
        <w:rPr>
          <w:rFonts w:hint="eastAsia"/>
          <w:bCs/>
        </w:rPr>
        <w:t>全市前列</w:t>
      </w:r>
      <w:r>
        <w:rPr>
          <w:bCs/>
        </w:rPr>
        <w:t>。实施等级疾控中心建设，</w:t>
      </w:r>
      <w:r>
        <w:rPr>
          <w:rFonts w:hint="eastAsia"/>
          <w:bCs/>
        </w:rPr>
        <w:t>争创二</w:t>
      </w:r>
      <w:r>
        <w:rPr>
          <w:bCs/>
        </w:rPr>
        <w:t>级甲等疾病预防控制中心，</w:t>
      </w:r>
      <w:r>
        <w:rPr>
          <w:rFonts w:hint="eastAsia"/>
          <w:bCs/>
        </w:rPr>
        <w:t>力争</w:t>
      </w:r>
      <w:r>
        <w:rPr>
          <w:bCs/>
        </w:rPr>
        <w:t>实验室能力</w:t>
      </w:r>
      <w:r>
        <w:rPr>
          <w:rFonts w:hint="eastAsia"/>
          <w:bCs/>
        </w:rPr>
        <w:t>达到P3标准</w:t>
      </w:r>
      <w:r>
        <w:rPr>
          <w:bCs/>
        </w:rPr>
        <w:t>，强化疾病预防控制中心监测预警、风险评估、流行病学调查、检验检测、应急处置等职能。</w:t>
      </w:r>
    </w:p>
    <w:p w14:paraId="1A3BE897">
      <w:pPr>
        <w:spacing w:line="580" w:lineRule="exact"/>
        <w:ind w:firstLine="640" w:firstLineChars="200"/>
        <w:rPr>
          <w:bCs/>
        </w:rPr>
      </w:pPr>
      <w:r>
        <w:rPr>
          <w:bCs/>
        </w:rPr>
        <w:t xml:space="preserve">3. </w:t>
      </w:r>
      <w:r>
        <w:rPr>
          <w:rFonts w:hint="eastAsia"/>
          <w:bCs/>
        </w:rPr>
        <w:t>完善运行机制。建立健全绩效评价和稳定投入机制，持续加大公共卫生经费投入。完善医疗卫生机构公共卫生服务购买机制，建立职责清单，将公共卫生履职情况纳入绩效考核。</w:t>
      </w:r>
    </w:p>
    <w:p w14:paraId="79FC0212">
      <w:pPr>
        <w:spacing w:line="580" w:lineRule="exact"/>
        <w:ind w:firstLine="640" w:firstLineChars="200"/>
        <w:rPr>
          <w:bCs/>
        </w:rPr>
      </w:pPr>
      <w:r>
        <w:rPr>
          <w:bCs/>
        </w:rPr>
        <w:t xml:space="preserve">4. </w:t>
      </w:r>
      <w:r>
        <w:rPr>
          <w:rFonts w:hint="eastAsia"/>
          <w:bCs/>
        </w:rPr>
        <w:t>创新医防协同机制。</w:t>
      </w:r>
      <w:bookmarkStart w:id="35" w:name="_Toc78987106"/>
      <w:r>
        <w:rPr>
          <w:bCs/>
        </w:rPr>
        <w:t>推进医疗机构和专业公共卫生机构的深度协作，</w:t>
      </w:r>
      <w:r>
        <w:rPr>
          <w:rFonts w:hint="eastAsia"/>
          <w:bCs/>
        </w:rPr>
        <w:t>按照</w:t>
      </w:r>
      <w:r>
        <w:rPr>
          <w:bCs/>
        </w:rPr>
        <w:t>医疗机构（医疗联合体）公共卫生责任清单，落实医疗机构公共卫生责任。加强疾控</w:t>
      </w:r>
      <w:r>
        <w:rPr>
          <w:rFonts w:hint="eastAsia"/>
          <w:bCs/>
        </w:rPr>
        <w:t>中心</w:t>
      </w:r>
      <w:r>
        <w:rPr>
          <w:bCs/>
        </w:rPr>
        <w:t>对医疗机构疾控工作的技术指导和监督考核。建立协同监测机制，发挥哨点作用。探索区</w:t>
      </w:r>
      <w:r>
        <w:rPr>
          <w:rFonts w:hint="eastAsia"/>
          <w:bCs/>
        </w:rPr>
        <w:t>疾控中心</w:t>
      </w:r>
      <w:r>
        <w:rPr>
          <w:bCs/>
        </w:rPr>
        <w:t>和区域医共体协同建设发展，建立完善人员通、信息通、资源通和监督相互制约的机制。建立公共卫生专业技术人员和医疗机构临床医生交叉培训制度，鼓励人员双向流动。探索建立疾控监督员制度，督促落实传染病疫情和突发公共卫生事件报告责任。</w:t>
      </w:r>
    </w:p>
    <w:p w14:paraId="24198FBF">
      <w:pPr>
        <w:spacing w:line="580" w:lineRule="exact"/>
        <w:ind w:firstLine="640" w:firstLineChars="200"/>
        <w:rPr>
          <w:rFonts w:ascii="方正楷体_GBK"/>
        </w:rPr>
      </w:pPr>
      <w:bookmarkStart w:id="36" w:name="_Toc83307948"/>
      <w:r>
        <w:rPr>
          <w:rFonts w:hint="eastAsia" w:ascii="方正楷体_GBK" w:eastAsia="方正楷体_GBK"/>
          <w:bCs/>
        </w:rPr>
        <w:t>（二）完善卫生应急响应和处置机制</w:t>
      </w:r>
      <w:bookmarkEnd w:id="35"/>
      <w:bookmarkEnd w:id="36"/>
    </w:p>
    <w:p w14:paraId="32D34178">
      <w:pPr>
        <w:spacing w:line="580" w:lineRule="exact"/>
        <w:ind w:firstLine="640" w:firstLineChars="200"/>
        <w:rPr>
          <w:bCs/>
        </w:rPr>
      </w:pPr>
      <w:r>
        <w:rPr>
          <w:bCs/>
        </w:rPr>
        <w:t xml:space="preserve">5. </w:t>
      </w:r>
      <w:r>
        <w:rPr>
          <w:rFonts w:hint="eastAsia"/>
          <w:bCs/>
        </w:rPr>
        <w:t>完善应急处置机制。</w:t>
      </w:r>
      <w:r>
        <w:rPr>
          <w:bCs/>
        </w:rPr>
        <w:t>完善多部门、跨地区、军地联防联控机制，完善传染病疫情等突发公共卫生事件应急响应机制和定期演练机制。加强管理人员、专业人员和社会公众的多场景突发事件应急培训和实战演练。建成标准化卫生应急指挥中心。</w:t>
      </w:r>
    </w:p>
    <w:p w14:paraId="030E9995">
      <w:pPr>
        <w:spacing w:line="580" w:lineRule="exact"/>
        <w:ind w:firstLine="640" w:firstLineChars="200"/>
        <w:rPr>
          <w:bCs/>
        </w:rPr>
      </w:pPr>
      <w:r>
        <w:rPr>
          <w:bCs/>
        </w:rPr>
        <w:t xml:space="preserve">6. </w:t>
      </w:r>
      <w:r>
        <w:rPr>
          <w:rFonts w:hint="eastAsia"/>
          <w:bCs/>
        </w:rPr>
        <w:t>提高应急响应能力。</w:t>
      </w:r>
      <w:r>
        <w:rPr>
          <w:bCs/>
        </w:rPr>
        <w:t>完善传染病疫情等突发公共卫生事件分级应急响应机制，确定不同级别响应的启动标准和流程，明确相关部门和机构的参与范围、职责分工和工作机制。提升医务人员早期识别和应急处置水平，完善首诊负责、联合会诊等制度和应急处置流程，提高各级各类医疗卫生机构规范化处置能力。</w:t>
      </w:r>
    </w:p>
    <w:p w14:paraId="41C572EB">
      <w:pPr>
        <w:spacing w:line="580" w:lineRule="exact"/>
        <w:ind w:firstLine="640" w:firstLineChars="200"/>
        <w:rPr>
          <w:bCs/>
        </w:rPr>
      </w:pPr>
      <w:r>
        <w:rPr>
          <w:bCs/>
        </w:rPr>
        <w:t xml:space="preserve">7. </w:t>
      </w:r>
      <w:r>
        <w:rPr>
          <w:rFonts w:hint="eastAsia"/>
          <w:bCs/>
        </w:rPr>
        <w:t>构建各级响应卫生应急队伍。</w:t>
      </w:r>
      <w:r>
        <w:rPr>
          <w:bCs/>
        </w:rPr>
        <w:t>建成紧急医学救援、突发急性传染病防控、突发中毒事件处置等3个专业的标准化卫生应急队伍。</w:t>
      </w:r>
      <w:r>
        <w:rPr>
          <w:rFonts w:hint="eastAsia"/>
          <w:bCs/>
        </w:rPr>
        <w:t>区</w:t>
      </w:r>
      <w:r>
        <w:rPr>
          <w:bCs/>
        </w:rPr>
        <w:t>疾控中心</w:t>
      </w:r>
      <w:r>
        <w:rPr>
          <w:rFonts w:hint="eastAsia"/>
          <w:bCs/>
        </w:rPr>
        <w:t>、</w:t>
      </w:r>
      <w:r>
        <w:rPr>
          <w:bCs/>
        </w:rPr>
        <w:t>二级以上公立综合医院、中医院各至少建成1支背囊化快速反应小分队。各级各类医疗卫生机构建立完善卫生应急队伍。</w:t>
      </w:r>
    </w:p>
    <w:p w14:paraId="5964B7EC">
      <w:pPr>
        <w:spacing w:line="580" w:lineRule="exact"/>
        <w:ind w:firstLine="640" w:firstLineChars="200"/>
        <w:rPr>
          <w:bCs/>
        </w:rPr>
      </w:pPr>
      <w:r>
        <w:rPr>
          <w:bCs/>
        </w:rPr>
        <w:t xml:space="preserve">8. </w:t>
      </w:r>
      <w:r>
        <w:rPr>
          <w:rFonts w:hint="eastAsia"/>
          <w:bCs/>
        </w:rPr>
        <w:t>强化应急医疗物资储备。</w:t>
      </w:r>
      <w:r>
        <w:rPr>
          <w:bCs/>
        </w:rPr>
        <w:t>构建完善</w:t>
      </w:r>
      <w:r>
        <w:rPr>
          <w:rFonts w:hint="eastAsia"/>
          <w:bCs/>
        </w:rPr>
        <w:t>“区级—镇（街）—机构”</w:t>
      </w:r>
      <w:r>
        <w:rPr>
          <w:bCs/>
        </w:rPr>
        <w:t>突发事件应急医疗物资储备体系和应急调用机制，落实各级医疗卫生机构卫生应急基本物资储备，与流通企业探索建立常态化战略储备和定期轮换机制。</w:t>
      </w:r>
    </w:p>
    <w:p w14:paraId="0B60A5D8">
      <w:pPr>
        <w:pStyle w:val="5"/>
        <w:spacing w:before="0" w:after="0" w:line="580" w:lineRule="exact"/>
        <w:ind w:firstLine="640" w:firstLineChars="200"/>
        <w:rPr>
          <w:rFonts w:ascii="Times New Roman" w:hAnsi="Times New Roman"/>
        </w:rPr>
      </w:pPr>
      <w:bookmarkStart w:id="37" w:name="_Toc83307949"/>
      <w:bookmarkStart w:id="38" w:name="_Toc78987107"/>
      <w:r>
        <w:rPr>
          <w:rFonts w:ascii="Times New Roman" w:hAnsi="Times New Roman"/>
        </w:rPr>
        <w:t>（三）提升重大疫情防控和救治能力</w:t>
      </w:r>
      <w:bookmarkEnd w:id="37"/>
      <w:bookmarkEnd w:id="38"/>
    </w:p>
    <w:p w14:paraId="14074344">
      <w:pPr>
        <w:spacing w:line="580" w:lineRule="exact"/>
        <w:ind w:firstLine="640" w:firstLineChars="200"/>
        <w:rPr>
          <w:bCs/>
        </w:rPr>
      </w:pPr>
      <w:r>
        <w:rPr>
          <w:bCs/>
        </w:rPr>
        <w:t xml:space="preserve">9. </w:t>
      </w:r>
      <w:r>
        <w:rPr>
          <w:rFonts w:hint="eastAsia"/>
          <w:bCs/>
        </w:rPr>
        <w:t>构筑传染病救治网络。</w:t>
      </w:r>
      <w:r>
        <w:rPr>
          <w:bCs/>
        </w:rPr>
        <w:t>建立健全以</w:t>
      </w:r>
      <w:r>
        <w:rPr>
          <w:rFonts w:hint="eastAsia"/>
          <w:bCs/>
        </w:rPr>
        <w:t>区人民医院、重钢总医院</w:t>
      </w:r>
      <w:r>
        <w:rPr>
          <w:bCs/>
        </w:rPr>
        <w:t>为核心，</w:t>
      </w:r>
      <w:r>
        <w:rPr>
          <w:rFonts w:hint="eastAsia"/>
          <w:bCs/>
        </w:rPr>
        <w:t>区中医院、区妇幼保健院</w:t>
      </w:r>
      <w:r>
        <w:rPr>
          <w:bCs/>
        </w:rPr>
        <w:t>为支撑，基层医疗机构为基础，</w:t>
      </w:r>
      <w:r>
        <w:rPr>
          <w:rFonts w:hint="eastAsia"/>
          <w:bCs/>
        </w:rPr>
        <w:t>社会办医疗机构、</w:t>
      </w:r>
      <w:r>
        <w:rPr>
          <w:bCs/>
        </w:rPr>
        <w:t>方舱医院为补充的重大疫情应急救治体系。建立</w:t>
      </w:r>
      <w:r>
        <w:rPr>
          <w:rFonts w:hint="eastAsia"/>
          <w:bCs/>
        </w:rPr>
        <w:t>“</w:t>
      </w:r>
      <w:r>
        <w:rPr>
          <w:bCs/>
        </w:rPr>
        <w:t>固定标识应急床位—快速扩展应急床位—快速腾空床位</w:t>
      </w:r>
      <w:r>
        <w:rPr>
          <w:rFonts w:hint="eastAsia"/>
          <w:bCs/>
        </w:rPr>
        <w:t>”</w:t>
      </w:r>
      <w:r>
        <w:rPr>
          <w:bCs/>
        </w:rPr>
        <w:t>的应急床位使用机制。加快推进</w:t>
      </w:r>
      <w:r>
        <w:rPr>
          <w:rFonts w:hint="eastAsia"/>
          <w:bCs/>
        </w:rPr>
        <w:t>以区人民医院为基础的三甲综合医院平战结合</w:t>
      </w:r>
      <w:r>
        <w:rPr>
          <w:bCs/>
        </w:rPr>
        <w:t>救治基地建设。</w:t>
      </w:r>
    </w:p>
    <w:p w14:paraId="7DD9D9FA">
      <w:pPr>
        <w:spacing w:line="580" w:lineRule="exact"/>
        <w:ind w:firstLine="640" w:firstLineChars="200"/>
        <w:rPr>
          <w:bCs/>
        </w:rPr>
      </w:pPr>
      <w:r>
        <w:rPr>
          <w:bCs/>
        </w:rPr>
        <w:t xml:space="preserve">10. </w:t>
      </w:r>
      <w:r>
        <w:rPr>
          <w:rFonts w:hint="eastAsia"/>
          <w:bCs/>
        </w:rPr>
        <w:t>提升传染病救治能力。</w:t>
      </w:r>
      <w:r>
        <w:rPr>
          <w:bCs/>
        </w:rPr>
        <w:t>加强二级以上综合医院、中医医院感染性疾病科和发热门诊建设，</w:t>
      </w:r>
      <w:r>
        <w:rPr>
          <w:rFonts w:hint="eastAsia"/>
          <w:bCs/>
        </w:rPr>
        <w:t>有条件的乡镇卫生院、社区卫生服务中心设立独立发热门诊，一般乡镇卫生院和社区卫生服务中心设立标准化的发热诊室、发热哨点</w:t>
      </w:r>
      <w:r>
        <w:rPr>
          <w:bCs/>
        </w:rPr>
        <w:t>。建设</w:t>
      </w:r>
      <w:r>
        <w:rPr>
          <w:rFonts w:hint="eastAsia"/>
          <w:bCs/>
        </w:rPr>
        <w:t>区级</w:t>
      </w:r>
      <w:r>
        <w:rPr>
          <w:bCs/>
        </w:rPr>
        <w:t>中医疫病防治</w:t>
      </w:r>
      <w:r>
        <w:rPr>
          <w:rFonts w:hint="eastAsia"/>
          <w:bCs/>
        </w:rPr>
        <w:t>中心</w:t>
      </w:r>
      <w:r>
        <w:rPr>
          <w:bCs/>
        </w:rPr>
        <w:t>，加强中西医结合，发挥好中医药疫情防控独特优势和作用。</w:t>
      </w:r>
    </w:p>
    <w:p w14:paraId="222FCC38">
      <w:pPr>
        <w:pStyle w:val="5"/>
        <w:spacing w:before="0" w:after="0" w:line="580" w:lineRule="exact"/>
        <w:ind w:firstLine="640" w:firstLineChars="200"/>
        <w:rPr>
          <w:rFonts w:ascii="Times New Roman" w:hAnsi="Times New Roman" w:eastAsia="方正黑体_GBK"/>
          <w:kern w:val="44"/>
        </w:rPr>
      </w:pPr>
      <w:bookmarkStart w:id="39" w:name="_Toc83307950"/>
      <w:bookmarkStart w:id="40" w:name="_Toc78987109"/>
      <w:r>
        <w:rPr>
          <w:rFonts w:ascii="Times New Roman" w:hAnsi="Times New Roman" w:eastAsia="方正黑体_GBK"/>
          <w:kern w:val="44"/>
        </w:rPr>
        <w:t>四、</w:t>
      </w:r>
      <w:bookmarkStart w:id="41" w:name="_Hlk77875800"/>
      <w:r>
        <w:rPr>
          <w:rFonts w:ascii="Times New Roman" w:hAnsi="Times New Roman" w:eastAsia="方正黑体_GBK"/>
          <w:kern w:val="44"/>
        </w:rPr>
        <w:t>推动医疗服务高质量发展</w:t>
      </w:r>
      <w:bookmarkEnd w:id="39"/>
      <w:bookmarkEnd w:id="40"/>
    </w:p>
    <w:bookmarkEnd w:id="41"/>
    <w:p w14:paraId="473B82E9">
      <w:pPr>
        <w:pStyle w:val="5"/>
        <w:spacing w:before="0" w:after="0" w:line="580" w:lineRule="exact"/>
        <w:ind w:firstLine="640" w:firstLineChars="200"/>
        <w:rPr>
          <w:rFonts w:ascii="Times New Roman" w:hAnsi="Times New Roman"/>
        </w:rPr>
      </w:pPr>
      <w:bookmarkStart w:id="42" w:name="_Toc78987110"/>
      <w:bookmarkStart w:id="43" w:name="_Toc83307951"/>
      <w:r>
        <w:rPr>
          <w:rFonts w:ascii="Times New Roman" w:hAnsi="Times New Roman"/>
        </w:rPr>
        <w:t>（一）建设优质高效医疗服务体系</w:t>
      </w:r>
      <w:bookmarkEnd w:id="42"/>
      <w:bookmarkEnd w:id="43"/>
    </w:p>
    <w:p w14:paraId="4E5F2ABC">
      <w:pPr>
        <w:ind w:firstLine="640" w:firstLineChars="200"/>
        <w:rPr>
          <w:bCs/>
          <w:shd w:val="clear" w:color="auto" w:fill="FFFFFF"/>
        </w:rPr>
      </w:pPr>
      <w:r>
        <w:rPr>
          <w:bCs/>
          <w:shd w:val="clear" w:color="auto" w:fill="FFFFFF"/>
        </w:rPr>
        <w:t xml:space="preserve">11. </w:t>
      </w:r>
      <w:r>
        <w:rPr>
          <w:rFonts w:hint="eastAsia"/>
          <w:bCs/>
          <w:shd w:val="clear" w:color="auto" w:fill="FFFFFF"/>
        </w:rPr>
        <w:t>完善现代医疗服务体系。</w:t>
      </w:r>
      <w:r>
        <w:rPr>
          <w:bCs/>
          <w:shd w:val="clear" w:color="auto" w:fill="FFFFFF"/>
        </w:rPr>
        <w:t>加快构建布局合理、学科完备、特色鲜明、优质高效的三级医疗服务体系。推动优质医疗资源扩容下沉、均衡布局，到2025年，全</w:t>
      </w:r>
      <w:r>
        <w:rPr>
          <w:rFonts w:hint="eastAsia"/>
          <w:bCs/>
          <w:shd w:val="clear" w:color="auto" w:fill="FFFFFF"/>
        </w:rPr>
        <w:t>区</w:t>
      </w:r>
      <w:r>
        <w:rPr>
          <w:bCs/>
          <w:shd w:val="clear" w:color="auto" w:fill="FFFFFF"/>
        </w:rPr>
        <w:t>建</w:t>
      </w:r>
      <w:r>
        <w:rPr>
          <w:rFonts w:hint="eastAsia"/>
          <w:bCs/>
          <w:shd w:val="clear" w:color="auto" w:fill="FFFFFF"/>
        </w:rPr>
        <w:t>设</w:t>
      </w:r>
      <w:r>
        <w:rPr>
          <w:bCs/>
          <w:shd w:val="clear" w:color="auto" w:fill="FFFFFF"/>
        </w:rPr>
        <w:t>三级医院</w:t>
      </w:r>
      <w:r>
        <w:rPr>
          <w:rFonts w:hint="eastAsia"/>
          <w:bCs/>
          <w:shd w:val="clear" w:color="auto" w:fill="FFFFFF"/>
        </w:rPr>
        <w:t>4</w:t>
      </w:r>
      <w:r>
        <w:rPr>
          <w:bCs/>
          <w:shd w:val="clear" w:color="auto" w:fill="FFFFFF"/>
        </w:rPr>
        <w:t>个，</w:t>
      </w:r>
      <w:r>
        <w:rPr>
          <w:bCs/>
        </w:rPr>
        <w:t>重点支持</w:t>
      </w:r>
      <w:r>
        <w:rPr>
          <w:rFonts w:hint="eastAsia"/>
          <w:bCs/>
        </w:rPr>
        <w:t>重钢总医院创建三甲综合医院，按照三甲医院标准迁建区人民医院，完成重医附属康复医院（大渡口院区）二期建设项目，开展三甲专科医院创建，按照三级中医院标准迁建区中医院。</w:t>
      </w:r>
      <w:r>
        <w:rPr>
          <w:bCs/>
          <w:shd w:val="clear" w:color="auto" w:fill="FFFFFF"/>
        </w:rPr>
        <w:t xml:space="preserve"> </w:t>
      </w:r>
      <w:r>
        <w:rPr>
          <w:rFonts w:hint="eastAsia"/>
          <w:bCs/>
          <w:shd w:val="clear" w:color="auto" w:fill="FFFFFF"/>
        </w:rPr>
        <w:t>积极争取复旦榜上榜医院落户大渡口。</w:t>
      </w:r>
      <w:bookmarkStart w:id="44" w:name="_Toc78987111"/>
      <w:bookmarkStart w:id="45" w:name="_Toc83307952"/>
    </w:p>
    <w:p w14:paraId="4467CC16">
      <w:pPr>
        <w:rPr>
          <w:rFonts w:ascii="方正楷体_GBK" w:eastAsia="方正楷体_GBK"/>
          <w:bCs/>
          <w:kern w:val="2"/>
        </w:rPr>
      </w:pPr>
      <w:r>
        <w:rPr>
          <w:rFonts w:hint="eastAsia" w:ascii="方正楷体_GBK" w:hAnsi="等线 Light" w:eastAsia="方正楷体_GBK"/>
          <w:bCs/>
        </w:rPr>
        <w:t xml:space="preserve">    </w:t>
      </w:r>
      <w:bookmarkEnd w:id="44"/>
      <w:bookmarkEnd w:id="45"/>
      <w:r>
        <w:rPr>
          <w:rFonts w:hint="eastAsia" w:ascii="方正楷体_GBK" w:eastAsia="方正楷体_GBK"/>
          <w:bCs/>
          <w:kern w:val="2"/>
        </w:rPr>
        <w:t>（二）加快重点学科（专科）建设</w:t>
      </w:r>
    </w:p>
    <w:p w14:paraId="31959E72">
      <w:pPr>
        <w:ind w:firstLine="640" w:firstLineChars="200"/>
        <w:rPr>
          <w:rFonts w:ascii="方正楷体_GBK" w:eastAsia="方正楷体_GBK"/>
          <w:bCs/>
          <w:kern w:val="2"/>
        </w:rPr>
      </w:pPr>
      <w:r>
        <w:rPr>
          <w:rFonts w:hint="eastAsia"/>
          <w:bCs/>
          <w:shd w:val="clear" w:color="auto" w:fill="FFFFFF"/>
        </w:rPr>
        <w:t>12</w:t>
      </w:r>
      <w:r>
        <w:rPr>
          <w:bCs/>
          <w:shd w:val="clear" w:color="auto" w:fill="FFFFFF"/>
        </w:rPr>
        <w:t xml:space="preserve">. </w:t>
      </w:r>
      <w:r>
        <w:rPr>
          <w:rFonts w:hint="eastAsia"/>
          <w:bCs/>
          <w:shd w:val="clear" w:color="auto" w:fill="FFFFFF"/>
        </w:rPr>
        <w:t>推动区级医疗集团与市内外国家医学中心、国家区域医疗中心建设主体单位协作共建。积极争取建设康复、检验等</w:t>
      </w:r>
      <w:r>
        <w:rPr>
          <w:bCs/>
          <w:shd w:val="clear" w:color="auto" w:fill="FFFFFF"/>
        </w:rPr>
        <w:t>市级重点</w:t>
      </w:r>
      <w:r>
        <w:rPr>
          <w:rFonts w:hint="eastAsia"/>
          <w:bCs/>
          <w:shd w:val="clear" w:color="auto" w:fill="FFFFFF"/>
        </w:rPr>
        <w:t>学科1-2个，培育建设急诊、创伤、重症、肿瘤、中医、针灸</w:t>
      </w:r>
      <w:r>
        <w:rPr>
          <w:bCs/>
          <w:shd w:val="clear" w:color="auto" w:fill="FFFFFF"/>
        </w:rPr>
        <w:t>、临床药学等</w:t>
      </w:r>
      <w:r>
        <w:rPr>
          <w:rFonts w:hint="eastAsia"/>
          <w:bCs/>
          <w:shd w:val="clear" w:color="auto" w:fill="FFFFFF"/>
        </w:rPr>
        <w:t>市级临床重点专科3-5个</w:t>
      </w:r>
      <w:r>
        <w:rPr>
          <w:bCs/>
          <w:shd w:val="clear" w:color="auto" w:fill="FFFFFF"/>
        </w:rPr>
        <w:t>；建设一批</w:t>
      </w:r>
      <w:r>
        <w:rPr>
          <w:rFonts w:hint="eastAsia"/>
          <w:bCs/>
          <w:shd w:val="clear" w:color="auto" w:fill="FFFFFF"/>
        </w:rPr>
        <w:t>市级特色专科和区级特色专科，</w:t>
      </w:r>
      <w:r>
        <w:rPr>
          <w:bCs/>
          <w:shd w:val="clear" w:color="auto" w:fill="FFFFFF"/>
        </w:rPr>
        <w:t>加大</w:t>
      </w:r>
      <w:r>
        <w:rPr>
          <w:rFonts w:hint="eastAsia"/>
          <w:bCs/>
          <w:shd w:val="clear" w:color="auto" w:fill="FFFFFF"/>
        </w:rPr>
        <w:t>麻醉、儿科、精神等区级</w:t>
      </w:r>
      <w:r>
        <w:rPr>
          <w:bCs/>
          <w:shd w:val="clear" w:color="auto" w:fill="FFFFFF"/>
        </w:rPr>
        <w:t>急需、特色临床重点专科建设。</w:t>
      </w:r>
      <w:r>
        <w:rPr>
          <w:rFonts w:hint="eastAsia"/>
          <w:bCs/>
          <w:shd w:val="clear" w:color="auto" w:fill="FFFFFF"/>
        </w:rPr>
        <w:t>加强区域</w:t>
      </w:r>
      <w:r>
        <w:rPr>
          <w:bCs/>
          <w:shd w:val="clear" w:color="auto" w:fill="FFFFFF"/>
        </w:rPr>
        <w:t>胸痛中心、卒中中心、创伤中心、咯血救治中心</w:t>
      </w:r>
      <w:r>
        <w:rPr>
          <w:rFonts w:hint="eastAsia"/>
          <w:bCs/>
          <w:shd w:val="clear" w:color="auto" w:fill="FFFFFF"/>
        </w:rPr>
        <w:t>、</w:t>
      </w:r>
      <w:r>
        <w:rPr>
          <w:bCs/>
          <w:shd w:val="clear" w:color="auto" w:fill="FFFFFF"/>
        </w:rPr>
        <w:t>癌症筛查和早诊早治中心</w:t>
      </w:r>
      <w:r>
        <w:rPr>
          <w:rFonts w:hint="eastAsia"/>
          <w:bCs/>
          <w:shd w:val="clear" w:color="auto" w:fill="FFFFFF"/>
        </w:rPr>
        <w:t>建设，</w:t>
      </w:r>
      <w:r>
        <w:rPr>
          <w:bCs/>
          <w:shd w:val="clear" w:color="auto" w:fill="FFFFFF"/>
        </w:rPr>
        <w:t>增强疑难危重病诊治能力</w:t>
      </w:r>
      <w:r>
        <w:rPr>
          <w:rFonts w:hint="eastAsia"/>
          <w:bCs/>
          <w:shd w:val="clear" w:color="auto" w:fill="FFFFFF"/>
        </w:rPr>
        <w:t>。</w:t>
      </w:r>
    </w:p>
    <w:p w14:paraId="429D2056">
      <w:pPr>
        <w:pStyle w:val="5"/>
        <w:spacing w:before="0" w:after="0" w:line="580" w:lineRule="exact"/>
        <w:ind w:firstLine="640" w:firstLineChars="200"/>
        <w:rPr>
          <w:rFonts w:ascii="Times New Roman" w:hAnsi="Times New Roman"/>
        </w:rPr>
      </w:pPr>
      <w:bookmarkStart w:id="46" w:name="_Toc78987112"/>
      <w:bookmarkStart w:id="47" w:name="_Toc83307953"/>
      <w:r>
        <w:rPr>
          <w:rFonts w:ascii="Times New Roman" w:hAnsi="Times New Roman"/>
        </w:rPr>
        <w:t>（三）统筹推进“美丽医院”建设</w:t>
      </w:r>
      <w:bookmarkEnd w:id="46"/>
      <w:bookmarkEnd w:id="47"/>
    </w:p>
    <w:p w14:paraId="381534F7">
      <w:pPr>
        <w:ind w:firstLine="640" w:firstLineChars="200"/>
        <w:rPr>
          <w:bCs/>
          <w:shd w:val="clear" w:color="auto" w:fill="FFFFFF"/>
        </w:rPr>
      </w:pPr>
      <w:r>
        <w:rPr>
          <w:rFonts w:hint="eastAsia"/>
          <w:bCs/>
          <w:shd w:val="clear" w:color="auto" w:fill="FFFFFF"/>
        </w:rPr>
        <w:t>13</w:t>
      </w:r>
      <w:r>
        <w:rPr>
          <w:bCs/>
          <w:shd w:val="clear" w:color="auto" w:fill="FFFFFF"/>
        </w:rPr>
        <w:t xml:space="preserve">. </w:t>
      </w:r>
      <w:r>
        <w:rPr>
          <w:rFonts w:hint="eastAsia"/>
          <w:bCs/>
          <w:shd w:val="clear" w:color="auto" w:fill="FFFFFF"/>
        </w:rPr>
        <w:t>聚焦</w:t>
      </w:r>
      <w:r>
        <w:rPr>
          <w:bCs/>
          <w:shd w:val="clear" w:color="auto" w:fill="FFFFFF"/>
        </w:rPr>
        <w:t>“</w:t>
      </w:r>
      <w:r>
        <w:rPr>
          <w:rFonts w:hint="eastAsia"/>
          <w:bCs/>
          <w:shd w:val="clear" w:color="auto" w:fill="FFFFFF"/>
        </w:rPr>
        <w:t>环境美</w:t>
      </w:r>
      <w:r>
        <w:rPr>
          <w:bCs/>
          <w:shd w:val="clear" w:color="auto" w:fill="FFFFFF"/>
        </w:rPr>
        <w:t>”</w:t>
      </w:r>
      <w:r>
        <w:rPr>
          <w:rFonts w:hint="eastAsia"/>
          <w:bCs/>
          <w:shd w:val="clear" w:color="auto" w:fill="FFFFFF"/>
        </w:rPr>
        <w:t>，提档升级就医环境。</w:t>
      </w:r>
      <w:r>
        <w:rPr>
          <w:bCs/>
          <w:shd w:val="clear" w:color="auto" w:fill="FFFFFF"/>
        </w:rPr>
        <w:t>聚焦绿色低碳发展，开展医院绿色建筑创建行动，推动既有建筑围护结构、照明、电梯等综合型用能系统和设施设备节能改造，新建</w:t>
      </w:r>
      <w:r>
        <w:rPr>
          <w:rFonts w:hint="eastAsia"/>
          <w:bCs/>
          <w:shd w:val="clear" w:color="auto" w:fill="FFFFFF"/>
        </w:rPr>
        <w:t>区人民医院、区疾控中心、基层医疗机构等</w:t>
      </w:r>
      <w:r>
        <w:rPr>
          <w:bCs/>
          <w:shd w:val="clear" w:color="auto" w:fill="FFFFFF"/>
        </w:rPr>
        <w:t>全面执行绿色建筑标准，落实节能节地节水节材。持续抓好医疗污水和医疗废弃物规范处置，加强生活垃圾源头减量，推进</w:t>
      </w:r>
      <w:r>
        <w:rPr>
          <w:rFonts w:hint="eastAsia"/>
          <w:bCs/>
          <w:shd w:val="clear" w:color="auto" w:fill="FFFFFF"/>
        </w:rPr>
        <w:t>医疗机构创建</w:t>
      </w:r>
      <w:r>
        <w:rPr>
          <w:bCs/>
          <w:shd w:val="clear" w:color="auto" w:fill="FFFFFF"/>
        </w:rPr>
        <w:t>节水型单位和节约型公共机构示范单位、生态文明示范单位等。持续改善便捷停车、文明就餐、方便如厕、绿色办</w:t>
      </w:r>
      <w:r>
        <w:rPr>
          <w:rFonts w:hint="eastAsia"/>
          <w:bCs/>
          <w:shd w:val="clear" w:color="auto" w:fill="FFFFFF"/>
        </w:rPr>
        <w:t>公</w:t>
      </w:r>
      <w:r>
        <w:rPr>
          <w:bCs/>
          <w:shd w:val="clear" w:color="auto" w:fill="FFFFFF"/>
        </w:rPr>
        <w:t>、低碳出行</w:t>
      </w:r>
      <w:r>
        <w:rPr>
          <w:rFonts w:hint="eastAsia"/>
          <w:bCs/>
          <w:shd w:val="clear" w:color="auto" w:fill="FFFFFF"/>
        </w:rPr>
        <w:t>，建设市级“美丽医院”2个</w:t>
      </w:r>
      <w:r>
        <w:rPr>
          <w:bCs/>
          <w:shd w:val="clear" w:color="auto" w:fill="FFFFFF"/>
        </w:rPr>
        <w:t>。</w:t>
      </w:r>
    </w:p>
    <w:p w14:paraId="62EE1B22">
      <w:pPr>
        <w:ind w:firstLine="640" w:firstLineChars="200"/>
        <w:rPr>
          <w:bCs/>
          <w:shd w:val="clear" w:color="auto" w:fill="FFFFFF"/>
        </w:rPr>
      </w:pPr>
      <w:r>
        <w:rPr>
          <w:rFonts w:hint="eastAsia"/>
          <w:bCs/>
          <w:shd w:val="clear" w:color="auto" w:fill="FFFFFF"/>
        </w:rPr>
        <w:t>14</w:t>
      </w:r>
      <w:r>
        <w:rPr>
          <w:bCs/>
          <w:shd w:val="clear" w:color="auto" w:fill="FFFFFF"/>
        </w:rPr>
        <w:t xml:space="preserve">. </w:t>
      </w:r>
      <w:r>
        <w:rPr>
          <w:rFonts w:hint="eastAsia"/>
          <w:bCs/>
          <w:shd w:val="clear" w:color="auto" w:fill="FFFFFF"/>
        </w:rPr>
        <w:t>聚焦</w:t>
      </w:r>
      <w:r>
        <w:rPr>
          <w:bCs/>
          <w:shd w:val="clear" w:color="auto" w:fill="FFFFFF"/>
        </w:rPr>
        <w:t>“</w:t>
      </w:r>
      <w:r>
        <w:rPr>
          <w:rFonts w:hint="eastAsia"/>
          <w:bCs/>
          <w:shd w:val="clear" w:color="auto" w:fill="FFFFFF"/>
        </w:rPr>
        <w:t>服务美</w:t>
      </w:r>
      <w:r>
        <w:rPr>
          <w:bCs/>
          <w:shd w:val="clear" w:color="auto" w:fill="FFFFFF"/>
        </w:rPr>
        <w:t>”</w:t>
      </w:r>
      <w:r>
        <w:rPr>
          <w:rFonts w:hint="eastAsia"/>
          <w:bCs/>
          <w:shd w:val="clear" w:color="auto" w:fill="FFFFFF"/>
        </w:rPr>
        <w:t>，持续改善医疗服务。推进区人民医院高质量发展，达到县级医院服务能力建设标准。</w:t>
      </w:r>
      <w:r>
        <w:rPr>
          <w:bCs/>
          <w:shd w:val="clear" w:color="auto" w:fill="FFFFFF"/>
        </w:rPr>
        <w:t>推动深入实施新一轮改善医疗服务行动，三级甲等医院（不含中医医院）四级手术占比达到22%以上</w:t>
      </w:r>
      <w:r>
        <w:rPr>
          <w:rFonts w:hint="eastAsia"/>
          <w:bCs/>
          <w:shd w:val="clear" w:color="auto" w:fill="FFFFFF"/>
        </w:rPr>
        <w:t>。</w:t>
      </w:r>
      <w:r>
        <w:rPr>
          <w:bCs/>
          <w:shd w:val="clear" w:color="auto" w:fill="FFFFFF"/>
        </w:rPr>
        <w:t>健全预约诊疗、检查检验结果互认等便民服务措施，三级公立医院门诊患者平均预约诊疗率达到50%以上、</w:t>
      </w:r>
      <w:r>
        <w:rPr>
          <w:rFonts w:hint="eastAsia"/>
          <w:bCs/>
          <w:shd w:val="clear" w:color="auto" w:fill="FFFFFF"/>
        </w:rPr>
        <w:t>二级公立医院门诊患者平均预约诊疗率达到30%以上，</w:t>
      </w:r>
      <w:r>
        <w:rPr>
          <w:bCs/>
          <w:shd w:val="clear" w:color="auto" w:fill="FFFFFF"/>
        </w:rPr>
        <w:t>预约后平均等待时间低于30分钟。创新多学科联合会诊、日间手术等诊疗方式。</w:t>
      </w:r>
    </w:p>
    <w:p w14:paraId="4E1E41AC">
      <w:pPr>
        <w:ind w:firstLine="640" w:firstLineChars="200"/>
        <w:rPr>
          <w:bCs/>
          <w:shd w:val="clear" w:color="auto" w:fill="FFFFFF"/>
        </w:rPr>
      </w:pPr>
      <w:r>
        <w:rPr>
          <w:bCs/>
          <w:shd w:val="clear" w:color="auto" w:fill="FFFFFF"/>
        </w:rPr>
        <w:t>1</w:t>
      </w:r>
      <w:r>
        <w:rPr>
          <w:rFonts w:hint="eastAsia"/>
          <w:bCs/>
          <w:shd w:val="clear" w:color="auto" w:fill="FFFFFF"/>
        </w:rPr>
        <w:t>5</w:t>
      </w:r>
      <w:r>
        <w:rPr>
          <w:bCs/>
          <w:shd w:val="clear" w:color="auto" w:fill="FFFFFF"/>
        </w:rPr>
        <w:t xml:space="preserve">. </w:t>
      </w:r>
      <w:r>
        <w:rPr>
          <w:rFonts w:hint="eastAsia"/>
          <w:bCs/>
          <w:shd w:val="clear" w:color="auto" w:fill="FFFFFF"/>
        </w:rPr>
        <w:t>聚焦</w:t>
      </w:r>
      <w:r>
        <w:rPr>
          <w:bCs/>
          <w:shd w:val="clear" w:color="auto" w:fill="FFFFFF"/>
        </w:rPr>
        <w:t>“</w:t>
      </w:r>
      <w:r>
        <w:rPr>
          <w:rFonts w:hint="eastAsia"/>
          <w:bCs/>
          <w:shd w:val="clear" w:color="auto" w:fill="FFFFFF"/>
        </w:rPr>
        <w:t>人文美</w:t>
      </w:r>
      <w:r>
        <w:rPr>
          <w:bCs/>
          <w:shd w:val="clear" w:color="auto" w:fill="FFFFFF"/>
        </w:rPr>
        <w:t>”</w:t>
      </w:r>
      <w:r>
        <w:rPr>
          <w:rFonts w:hint="eastAsia"/>
          <w:bCs/>
          <w:shd w:val="clear" w:color="auto" w:fill="FFFFFF"/>
        </w:rPr>
        <w:t>，稳步提升人文环境。</w:t>
      </w:r>
      <w:r>
        <w:rPr>
          <w:bCs/>
          <w:shd w:val="clear" w:color="auto" w:fill="FFFFFF"/>
        </w:rPr>
        <w:t>坚持以患者和医务人员为中心，建设平安医院，注重人文关怀，改善患者就医感受和医务人员执业感受。优化改善便民服务设施，增添“一老一小”和残疾人关怀设施，提升就医满意度。优化医护人员工作环境，</w:t>
      </w:r>
      <w:r>
        <w:rPr>
          <w:rFonts w:hint="eastAsia"/>
          <w:bCs/>
          <w:shd w:val="clear" w:color="auto" w:fill="FFFFFF"/>
        </w:rPr>
        <w:t>在院内设置书吧、咖啡厅等休闲设施，探索实施3岁及以下婴幼儿照护服务，解决医护人员后顾之忧，</w:t>
      </w:r>
      <w:r>
        <w:rPr>
          <w:bCs/>
          <w:shd w:val="clear" w:color="auto" w:fill="FFFFFF"/>
        </w:rPr>
        <w:t>提高医护人员积极性。注重医院文化建设，</w:t>
      </w:r>
      <w:r>
        <w:rPr>
          <w:rFonts w:hint="eastAsia"/>
          <w:bCs/>
          <w:shd w:val="clear" w:color="auto" w:fill="FFFFFF"/>
        </w:rPr>
        <w:t>以文化驱动机制提高医院竞争力和创新力，</w:t>
      </w:r>
      <w:r>
        <w:rPr>
          <w:bCs/>
          <w:shd w:val="clear" w:color="auto" w:fill="FFFFFF"/>
        </w:rPr>
        <w:t>增强认同感。</w:t>
      </w:r>
    </w:p>
    <w:p w14:paraId="43AEA595">
      <w:pPr>
        <w:spacing w:line="580" w:lineRule="exact"/>
        <w:ind w:firstLine="640" w:firstLineChars="200"/>
      </w:pPr>
      <w:bookmarkStart w:id="48" w:name="_Toc83307954"/>
      <w:r>
        <w:rPr>
          <w:rFonts w:hint="eastAsia" w:ascii="方正楷体_GBK" w:eastAsia="方正楷体_GBK"/>
        </w:rPr>
        <w:t>（四）建强基层医疗卫生机构</w:t>
      </w:r>
      <w:bookmarkEnd w:id="48"/>
    </w:p>
    <w:p w14:paraId="0706139D">
      <w:pPr>
        <w:spacing w:line="580" w:lineRule="exact"/>
        <w:ind w:firstLine="640" w:firstLineChars="200"/>
        <w:rPr>
          <w:bCs/>
        </w:rPr>
      </w:pPr>
      <w:r>
        <w:rPr>
          <w:bCs/>
        </w:rPr>
        <w:t xml:space="preserve">16. </w:t>
      </w:r>
      <w:r>
        <w:rPr>
          <w:rFonts w:hint="eastAsia"/>
          <w:bCs/>
        </w:rPr>
        <w:t>完善基层医疗服务网络。强化以区级医院为龙头，镇卫生院（社区卫生服务中心）为枢纽，村卫生室（社区卫生服务站）为基础的基层医疗卫生服务网络建设。争创国家基层卫生健康综合试验区，基层医疗卫生服务体系纳入乡村振兴战略全局统筹推进。扩建</w:t>
      </w:r>
      <w:r>
        <w:rPr>
          <w:bCs/>
        </w:rPr>
        <w:t>2</w:t>
      </w:r>
      <w:r>
        <w:rPr>
          <w:rFonts w:hint="eastAsia"/>
          <w:bCs/>
        </w:rPr>
        <w:t>个社区卫生服务中心，按照甲级基层医疗卫生机构标准改建</w:t>
      </w:r>
      <w:r>
        <w:rPr>
          <w:bCs/>
        </w:rPr>
        <w:t>1</w:t>
      </w:r>
      <w:r>
        <w:rPr>
          <w:rFonts w:hint="eastAsia"/>
          <w:bCs/>
        </w:rPr>
        <w:t>个镇卫生院和</w:t>
      </w:r>
      <w:r>
        <w:rPr>
          <w:bCs/>
        </w:rPr>
        <w:t>3</w:t>
      </w:r>
      <w:r>
        <w:rPr>
          <w:rFonts w:hint="eastAsia"/>
          <w:bCs/>
        </w:rPr>
        <w:t>个社区卫生服务中心。</w:t>
      </w:r>
    </w:p>
    <w:p w14:paraId="747E1F1C">
      <w:pPr>
        <w:numPr>
          <w:ilvl w:val="255"/>
          <w:numId w:val="0"/>
        </w:numPr>
        <w:spacing w:line="580" w:lineRule="exact"/>
        <w:ind w:firstLine="640" w:firstLineChars="200"/>
        <w:rPr>
          <w:bCs/>
        </w:rPr>
      </w:pPr>
      <w:r>
        <w:rPr>
          <w:rFonts w:hint="eastAsia"/>
          <w:bCs/>
        </w:rPr>
        <w:t>17. 提升基层医疗服务能力。</w:t>
      </w:r>
      <w:r>
        <w:rPr>
          <w:bCs/>
        </w:rPr>
        <w:t>提升镇卫生院（社区卫生服务中心）急诊急救、二级以下常规手术、高危孕产妇筛查和中医诊疗等基本医疗服务能力</w:t>
      </w:r>
      <w:r>
        <w:rPr>
          <w:rFonts w:hint="eastAsia"/>
          <w:bCs/>
        </w:rPr>
        <w:t>，强化</w:t>
      </w:r>
      <w:r>
        <w:rPr>
          <w:bCs/>
        </w:rPr>
        <w:t>内科、儿科、口腔科、五官科</w:t>
      </w:r>
      <w:r>
        <w:rPr>
          <w:rFonts w:hint="eastAsia"/>
          <w:bCs/>
        </w:rPr>
        <w:t>等科室建设</w:t>
      </w:r>
      <w:r>
        <w:rPr>
          <w:bCs/>
        </w:rPr>
        <w:t>，特色科室达到30%。</w:t>
      </w:r>
      <w:r>
        <w:rPr>
          <w:rFonts w:hint="eastAsia"/>
          <w:bCs/>
        </w:rPr>
        <w:t>创建甲级基层医疗卫生机构4个</w:t>
      </w:r>
      <w:r>
        <w:rPr>
          <w:bCs/>
        </w:rPr>
        <w:t>。</w:t>
      </w:r>
    </w:p>
    <w:p w14:paraId="1E38095F">
      <w:pPr>
        <w:widowControl/>
        <w:shd w:val="clear" w:color="auto" w:fill="FFFFFF"/>
        <w:spacing w:line="580" w:lineRule="exact"/>
        <w:jc w:val="center"/>
        <w:rPr>
          <w:rFonts w:eastAsia="方正姚体"/>
          <w:bCs/>
          <w:sz w:val="30"/>
          <w:szCs w:val="30"/>
        </w:rPr>
      </w:pPr>
      <w:r>
        <w:rPr>
          <w:rFonts w:eastAsia="方正黑体_GBK"/>
          <w:bCs/>
          <w:sz w:val="30"/>
          <w:szCs w:val="30"/>
        </w:rPr>
        <w:t>专栏</w:t>
      </w:r>
      <w:r>
        <w:rPr>
          <w:rFonts w:hint="eastAsia" w:eastAsia="方正黑体_GBK"/>
          <w:bCs/>
          <w:sz w:val="30"/>
          <w:szCs w:val="30"/>
        </w:rPr>
        <w:t>2</w:t>
      </w:r>
      <w:r>
        <w:rPr>
          <w:rFonts w:eastAsia="方正黑体_GBK"/>
          <w:bCs/>
          <w:sz w:val="30"/>
          <w:szCs w:val="30"/>
        </w:rPr>
        <w:t xml:space="preserve"> </w:t>
      </w:r>
      <w:r>
        <w:rPr>
          <w:rFonts w:hint="eastAsia" w:eastAsia="方正黑体_GBK"/>
          <w:bCs/>
          <w:sz w:val="30"/>
          <w:szCs w:val="30"/>
        </w:rPr>
        <w:t>基层医疗卫生机构</w:t>
      </w:r>
      <w:r>
        <w:rPr>
          <w:rFonts w:eastAsia="方正黑体_GBK"/>
          <w:bCs/>
          <w:sz w:val="30"/>
          <w:szCs w:val="30"/>
        </w:rPr>
        <w:t>建设项目</w:t>
      </w:r>
    </w:p>
    <w:tbl>
      <w:tblPr>
        <w:tblStyle w:val="10"/>
        <w:tblW w:w="8841" w:type="dxa"/>
        <w:tblInd w:w="2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41"/>
      </w:tblGrid>
      <w:tr w14:paraId="125A89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trPr>
        <w:tc>
          <w:tcPr>
            <w:tcW w:w="8841" w:type="dxa"/>
            <w:vAlign w:val="center"/>
          </w:tcPr>
          <w:p w14:paraId="5F04DA7E">
            <w:pPr>
              <w:widowControl/>
              <w:spacing w:line="400" w:lineRule="exact"/>
              <w:ind w:firstLine="480" w:firstLineChars="200"/>
              <w:rPr>
                <w:bCs/>
                <w:sz w:val="24"/>
                <w:szCs w:val="24"/>
              </w:rPr>
            </w:pPr>
            <w:r>
              <w:rPr>
                <w:rFonts w:hint="eastAsia"/>
                <w:bCs/>
                <w:sz w:val="24"/>
                <w:szCs w:val="24"/>
              </w:rPr>
              <w:t>1.扩建工程。扩建八桥镇荣盛城社区卫生服务中心、茄子溪琅樾江山社区卫生服务中心。</w:t>
            </w:r>
          </w:p>
          <w:p w14:paraId="5537A4A0">
            <w:pPr>
              <w:widowControl/>
              <w:spacing w:line="400" w:lineRule="exact"/>
              <w:ind w:firstLine="480" w:firstLineChars="200"/>
              <w:rPr>
                <w:bCs/>
                <w:sz w:val="24"/>
                <w:szCs w:val="24"/>
              </w:rPr>
            </w:pPr>
            <w:r>
              <w:rPr>
                <w:rFonts w:hint="eastAsia"/>
                <w:bCs/>
                <w:sz w:val="24"/>
                <w:szCs w:val="24"/>
              </w:rPr>
              <w:t>2.改建工程。建跳磴镇卫生院、春晖路街道社区卫生服务中心、新山村街道社区卫生服务中心（含华润万象汇院区）、跃进村街道社区卫生服务中心。</w:t>
            </w:r>
          </w:p>
          <w:p w14:paraId="4779C684">
            <w:pPr>
              <w:widowControl/>
              <w:spacing w:line="400" w:lineRule="exact"/>
              <w:ind w:firstLine="480" w:firstLineChars="200"/>
              <w:rPr>
                <w:bCs/>
                <w:sz w:val="24"/>
                <w:szCs w:val="24"/>
              </w:rPr>
            </w:pPr>
            <w:r>
              <w:rPr>
                <w:bCs/>
                <w:sz w:val="24"/>
                <w:szCs w:val="24"/>
              </w:rPr>
              <w:t>3.</w:t>
            </w:r>
            <w:r>
              <w:rPr>
                <w:rFonts w:hint="eastAsia"/>
                <w:bCs/>
                <w:sz w:val="24"/>
                <w:szCs w:val="24"/>
              </w:rPr>
              <w:t>等级创建。跳磴镇卫生院、春晖路街道社区卫生服务中心、新山村街道社区卫生服务中心、跃进村街道社区卫生服务中心创建甲级基层医疗卫生机构。</w:t>
            </w:r>
          </w:p>
        </w:tc>
      </w:tr>
    </w:tbl>
    <w:p w14:paraId="2C855B45">
      <w:pPr>
        <w:pStyle w:val="2"/>
        <w:spacing w:line="580" w:lineRule="exact"/>
      </w:pPr>
    </w:p>
    <w:p w14:paraId="3FBD071B">
      <w:pPr>
        <w:pStyle w:val="5"/>
        <w:spacing w:before="0" w:after="0" w:line="580" w:lineRule="exact"/>
        <w:ind w:firstLine="640" w:firstLineChars="200"/>
        <w:rPr>
          <w:rFonts w:ascii="Times New Roman" w:hAnsi="Times New Roman"/>
        </w:rPr>
      </w:pPr>
      <w:bookmarkStart w:id="49" w:name="_Toc83307955"/>
      <w:bookmarkStart w:id="50" w:name="_Toc78987114"/>
      <w:r>
        <w:rPr>
          <w:rFonts w:ascii="Times New Roman" w:hAnsi="Times New Roman"/>
        </w:rPr>
        <w:t>（五）提高医疗质量和安全水平</w:t>
      </w:r>
      <w:bookmarkEnd w:id="49"/>
      <w:bookmarkEnd w:id="50"/>
    </w:p>
    <w:p w14:paraId="6D7FBEE9">
      <w:pPr>
        <w:spacing w:line="580" w:lineRule="exact"/>
        <w:ind w:firstLine="640" w:firstLineChars="200"/>
        <w:rPr>
          <w:bCs/>
        </w:rPr>
      </w:pPr>
      <w:r>
        <w:rPr>
          <w:bCs/>
        </w:rPr>
        <w:t>1</w:t>
      </w:r>
      <w:r>
        <w:rPr>
          <w:rFonts w:hint="eastAsia"/>
          <w:bCs/>
        </w:rPr>
        <w:t>8</w:t>
      </w:r>
      <w:r>
        <w:rPr>
          <w:bCs/>
        </w:rPr>
        <w:t xml:space="preserve">. </w:t>
      </w:r>
      <w:r>
        <w:rPr>
          <w:rFonts w:hint="eastAsia"/>
          <w:bCs/>
        </w:rPr>
        <w:t>加强医疗质量管理。</w:t>
      </w:r>
      <w:r>
        <w:rPr>
          <w:bCs/>
        </w:rPr>
        <w:t>健全</w:t>
      </w:r>
      <w:r>
        <w:rPr>
          <w:rFonts w:hint="eastAsia"/>
          <w:bCs/>
        </w:rPr>
        <w:t>区级</w:t>
      </w:r>
      <w:r>
        <w:rPr>
          <w:bCs/>
        </w:rPr>
        <w:t>质控体系，</w:t>
      </w:r>
      <w:r>
        <w:rPr>
          <w:rFonts w:hint="eastAsia"/>
          <w:bCs/>
        </w:rPr>
        <w:t>增设神经、消化、肿瘤、泌尿、普外等专业质控中心，在二级以上医疗机构设立质控办公室，以新一轮等级医院评审为契机，推动</w:t>
      </w:r>
      <w:r>
        <w:rPr>
          <w:bCs/>
        </w:rPr>
        <w:t>建立科学的医疗管理绩效评价机制、医疗质量控制动态监测和反馈机制。加强医师执业管理，健全医师定期考核制度。规范诊疗行为，实施临床路径，推进预约诊疗，推行日间手术。推广</w:t>
      </w:r>
      <w:r>
        <w:rPr>
          <w:rFonts w:hint="eastAsia"/>
          <w:bCs/>
        </w:rPr>
        <w:t>MDT</w:t>
      </w:r>
      <w:r>
        <w:rPr>
          <w:bCs/>
        </w:rPr>
        <w:t>多学科诊疗模式，将麻醉、医学检验、医学影像、病理、药学等专业技术人员纳入多学科诊疗团队。</w:t>
      </w:r>
    </w:p>
    <w:p w14:paraId="2B5C3672">
      <w:pPr>
        <w:spacing w:line="580" w:lineRule="exact"/>
        <w:ind w:firstLine="640" w:firstLineChars="200"/>
        <w:rPr>
          <w:bCs/>
        </w:rPr>
      </w:pPr>
      <w:r>
        <w:rPr>
          <w:rFonts w:hint="eastAsia"/>
          <w:bCs/>
        </w:rPr>
        <w:t>19</w:t>
      </w:r>
      <w:r>
        <w:rPr>
          <w:bCs/>
        </w:rPr>
        <w:t xml:space="preserve">. </w:t>
      </w:r>
      <w:r>
        <w:rPr>
          <w:rFonts w:hint="eastAsia"/>
          <w:bCs/>
        </w:rPr>
        <w:t>优化护理服务</w:t>
      </w:r>
      <w:r>
        <w:rPr>
          <w:bCs/>
        </w:rPr>
        <w:t>。加强护理队伍建设，增加护士配备，医护比达到1:1.3。以病人为中心，全面落实护理责任制，整体提升护理服务水平，二级以上公立医疗机构开展优质护理服务全覆盖。推动优质护理服务下沉，通过培训、指导、远程等方式，将优质护理延伸到基层医疗卫生机构。</w:t>
      </w:r>
      <w:r>
        <w:rPr>
          <w:rFonts w:hint="eastAsia"/>
          <w:bCs/>
        </w:rPr>
        <w:t>积极探索“互联网+护理”工作，为群众提供便捷、高效的护理服务。</w:t>
      </w:r>
    </w:p>
    <w:p w14:paraId="1CADC7F0">
      <w:pPr>
        <w:spacing w:line="580" w:lineRule="exact"/>
        <w:ind w:firstLine="640" w:firstLineChars="200"/>
        <w:rPr>
          <w:bCs/>
        </w:rPr>
      </w:pPr>
      <w:r>
        <w:rPr>
          <w:rFonts w:hint="eastAsia"/>
          <w:bCs/>
        </w:rPr>
        <w:t>20</w:t>
      </w:r>
      <w:r>
        <w:rPr>
          <w:bCs/>
        </w:rPr>
        <w:t xml:space="preserve">. </w:t>
      </w:r>
      <w:r>
        <w:rPr>
          <w:rFonts w:hint="eastAsia"/>
          <w:bCs/>
        </w:rPr>
        <w:t>加强药学服务能力建设。</w:t>
      </w:r>
      <w:r>
        <w:rPr>
          <w:bCs/>
        </w:rPr>
        <w:t>完善药事管理与药物治疗学委员会制度，建立临床药师工作制度，试点建立总药师制度。</w:t>
      </w:r>
      <w:r>
        <w:rPr>
          <w:rFonts w:hint="eastAsia"/>
          <w:bCs/>
        </w:rPr>
        <w:t>积极探索智慧</w:t>
      </w:r>
      <w:r>
        <w:rPr>
          <w:bCs/>
        </w:rPr>
        <w:t>药房</w:t>
      </w:r>
      <w:r>
        <w:rPr>
          <w:rFonts w:hint="eastAsia"/>
          <w:bCs/>
        </w:rPr>
        <w:t>建设、</w:t>
      </w:r>
      <w:r>
        <w:rPr>
          <w:bCs/>
        </w:rPr>
        <w:t>加强静脉配置中心标准化建设，开设药学或医药联合门诊。加大临床药师培养力度，每百张床位临床药师数达到0.7人，探索开展中医临床药师和社区临床药师培养工作。开展处方医嘱</w:t>
      </w:r>
      <w:r>
        <w:rPr>
          <w:rFonts w:hint="eastAsia"/>
          <w:bCs/>
        </w:rPr>
        <w:t>前置</w:t>
      </w:r>
      <w:r>
        <w:rPr>
          <w:bCs/>
        </w:rPr>
        <w:t>审核，推行临床药师驻科服务，规范用药行为，促进合理用药，三级公立医院住院抗菌药物使用强度（DDDs）降低到38%以下。探索在医共体内统一药事管理和药学服务。</w:t>
      </w:r>
      <w:r>
        <w:rPr>
          <w:rFonts w:hint="eastAsia"/>
          <w:bCs/>
        </w:rPr>
        <w:t>实施医疗机构上下级用药衔接，</w:t>
      </w:r>
      <w:r>
        <w:rPr>
          <w:bCs/>
        </w:rPr>
        <w:t>实</w:t>
      </w:r>
      <w:r>
        <w:rPr>
          <w:rFonts w:hint="eastAsia"/>
          <w:bCs/>
        </w:rPr>
        <w:t>现医疗集团内部</w:t>
      </w:r>
      <w:r>
        <w:rPr>
          <w:bCs/>
        </w:rPr>
        <w:t>药品耗材统一管理，统一用药目录、统一采购配送、统一支付货款。</w:t>
      </w:r>
    </w:p>
    <w:p w14:paraId="166579E9">
      <w:pPr>
        <w:spacing w:line="580" w:lineRule="exact"/>
        <w:ind w:firstLine="640" w:firstLineChars="200"/>
        <w:rPr>
          <w:bCs/>
        </w:rPr>
      </w:pPr>
      <w:r>
        <w:rPr>
          <w:rFonts w:hint="eastAsia"/>
          <w:bCs/>
        </w:rPr>
        <w:t>21</w:t>
      </w:r>
      <w:r>
        <w:rPr>
          <w:bCs/>
        </w:rPr>
        <w:t xml:space="preserve">. </w:t>
      </w:r>
      <w:r>
        <w:rPr>
          <w:rFonts w:hint="eastAsia"/>
          <w:bCs/>
        </w:rPr>
        <w:t>加强血液安全保障。</w:t>
      </w:r>
      <w:r>
        <w:rPr>
          <w:bCs/>
        </w:rPr>
        <w:t>完善无偿献血工作机制</w:t>
      </w:r>
      <w:r>
        <w:rPr>
          <w:rFonts w:hint="eastAsia"/>
          <w:bCs/>
        </w:rPr>
        <w:t>，加强街头采血阵地建设，推动集体预约献血，保障临床用血的供需平衡。</w:t>
      </w:r>
      <w:r>
        <w:rPr>
          <w:bCs/>
        </w:rPr>
        <w:t>加强临床用血</w:t>
      </w:r>
      <w:r>
        <w:rPr>
          <w:rFonts w:hint="eastAsia"/>
          <w:bCs/>
        </w:rPr>
        <w:t>质量、安全</w:t>
      </w:r>
      <w:r>
        <w:rPr>
          <w:bCs/>
        </w:rPr>
        <w:t>管理，提高临床合理用血水平。</w:t>
      </w:r>
    </w:p>
    <w:p w14:paraId="7246BC6D">
      <w:pPr>
        <w:pStyle w:val="5"/>
        <w:spacing w:before="0" w:after="0" w:line="580" w:lineRule="exact"/>
        <w:ind w:firstLine="640" w:firstLineChars="200"/>
        <w:rPr>
          <w:rFonts w:ascii="Times New Roman" w:hAnsi="Times New Roman" w:eastAsia="方正黑体_GBK"/>
          <w:kern w:val="44"/>
        </w:rPr>
      </w:pPr>
      <w:bookmarkStart w:id="51" w:name="_Toc78987116"/>
      <w:bookmarkStart w:id="52" w:name="_Toc83307956"/>
      <w:r>
        <w:rPr>
          <w:rFonts w:ascii="Times New Roman" w:hAnsi="Times New Roman" w:eastAsia="方正黑体_GBK"/>
          <w:kern w:val="44"/>
        </w:rPr>
        <w:t>五、深入实施健康中国重庆行动</w:t>
      </w:r>
      <w:bookmarkEnd w:id="51"/>
      <w:bookmarkEnd w:id="52"/>
    </w:p>
    <w:p w14:paraId="0DE4345A">
      <w:pPr>
        <w:pStyle w:val="5"/>
        <w:spacing w:before="0" w:after="0" w:line="580" w:lineRule="exact"/>
        <w:ind w:firstLine="640" w:firstLineChars="200"/>
        <w:rPr>
          <w:rFonts w:ascii="Times New Roman" w:hAnsi="Times New Roman"/>
        </w:rPr>
      </w:pPr>
      <w:bookmarkStart w:id="53" w:name="_Toc78987117"/>
      <w:bookmarkStart w:id="54" w:name="_Toc83307957"/>
      <w:r>
        <w:rPr>
          <w:rFonts w:ascii="Times New Roman" w:hAnsi="Times New Roman"/>
        </w:rPr>
        <w:t>（一）</w:t>
      </w:r>
      <w:bookmarkEnd w:id="53"/>
      <w:r>
        <w:rPr>
          <w:rFonts w:ascii="Times New Roman" w:hAnsi="Times New Roman"/>
        </w:rPr>
        <w:t>普及健康生活方式</w:t>
      </w:r>
      <w:bookmarkEnd w:id="54"/>
    </w:p>
    <w:p w14:paraId="27ABF97E">
      <w:pPr>
        <w:spacing w:line="580" w:lineRule="exact"/>
        <w:ind w:firstLine="640" w:firstLineChars="200"/>
        <w:rPr>
          <w:bCs/>
        </w:rPr>
      </w:pPr>
      <w:r>
        <w:rPr>
          <w:rFonts w:hint="eastAsia"/>
          <w:bCs/>
        </w:rPr>
        <w:t>22</w:t>
      </w:r>
      <w:r>
        <w:rPr>
          <w:bCs/>
        </w:rPr>
        <w:t xml:space="preserve">. </w:t>
      </w:r>
      <w:r>
        <w:rPr>
          <w:rFonts w:hint="eastAsia"/>
          <w:bCs/>
        </w:rPr>
        <w:t>加强健康教育和健康知识普及。</w:t>
      </w:r>
      <w:r>
        <w:rPr>
          <w:bCs/>
        </w:rPr>
        <w:t>推动健康科普基地建设，建立完善全</w:t>
      </w:r>
      <w:r>
        <w:rPr>
          <w:rFonts w:hint="eastAsia"/>
          <w:bCs/>
        </w:rPr>
        <w:t>区</w:t>
      </w:r>
      <w:r>
        <w:rPr>
          <w:bCs/>
        </w:rPr>
        <w:t>健康科普专家库和资源库，构建全媒体健康科普知识发布和传播机制。加强“健康中国巴渝行”</w:t>
      </w:r>
      <w:r>
        <w:rPr>
          <w:rFonts w:hint="eastAsia"/>
          <w:bCs/>
          <w:color w:val="FF0000"/>
        </w:rPr>
        <w:t xml:space="preserve"> </w:t>
      </w:r>
      <w:r>
        <w:rPr>
          <w:rFonts w:hint="eastAsia"/>
          <w:bCs/>
          <w:color w:val="000000" w:themeColor="text1"/>
          <w14:textFill>
            <w14:solidFill>
              <w14:schemeClr w14:val="tx1"/>
            </w14:solidFill>
          </w14:textFill>
        </w:rPr>
        <w:t>“玲玲姐讲健康”等健康科普宣传品牌建设，参加市级并举办区级健康科普讲解和</w:t>
      </w:r>
      <w:r>
        <w:rPr>
          <w:bCs/>
        </w:rPr>
        <w:t>传播技能大赛，形成规模效应和传播影响力。</w:t>
      </w:r>
      <w:r>
        <w:rPr>
          <w:rFonts w:hint="eastAsia"/>
          <w:bCs/>
        </w:rPr>
        <w:t>推进大渡口区公众卫生应急技能提升行动，实施示范培训基地建设，完善师资培训考核机制，建立多方筹资机制，提升财力保障。</w:t>
      </w:r>
      <w:r>
        <w:rPr>
          <w:bCs/>
        </w:rPr>
        <w:t>建成公众卫生应急技能培训体系，推进公共场所急救设施设备配置，提升居民自救互救能力。开展健康促进区建设；推进健康促进医院建设，二级以上医院中健康促进医院</w:t>
      </w:r>
      <w:r>
        <w:rPr>
          <w:rFonts w:hint="eastAsia"/>
          <w:bCs/>
        </w:rPr>
        <w:t>比例</w:t>
      </w:r>
      <w:r>
        <w:rPr>
          <w:bCs/>
        </w:rPr>
        <w:t>不低于60%。推动二级以上医疗机构设立健康教育科，推进医务人员开具健康教育处方。</w:t>
      </w:r>
    </w:p>
    <w:p w14:paraId="009463B6">
      <w:pPr>
        <w:spacing w:line="580" w:lineRule="exact"/>
        <w:ind w:firstLine="640" w:firstLineChars="200"/>
        <w:rPr>
          <w:bCs/>
        </w:rPr>
      </w:pPr>
      <w:r>
        <w:rPr>
          <w:rFonts w:hint="eastAsia"/>
          <w:bCs/>
        </w:rPr>
        <w:t>23</w:t>
      </w:r>
      <w:r>
        <w:rPr>
          <w:bCs/>
        </w:rPr>
        <w:t xml:space="preserve">. </w:t>
      </w:r>
      <w:r>
        <w:rPr>
          <w:rFonts w:hint="eastAsia"/>
          <w:bCs/>
        </w:rPr>
        <w:t>引导健康生活方式。</w:t>
      </w:r>
      <w:r>
        <w:rPr>
          <w:bCs/>
        </w:rPr>
        <w:t>引导居民养成“三减三健”（减盐、减油、减糖，健康口腔、健康体重、健康骨骼）、手卫生、个人防护等健康生活方式。深入开展控烟宣传教育，推动落实《重庆市公共场所控制吸烟条例》，推进医院、学校、机关全面禁烟。开展限酒行动，控制酒精过度使用，减少酗酒。广泛开展全民健身运动，落实主动健康理念，普及运动促进健康知识，在社区医疗卫生机构中设立科学健身门诊，推动国民体质监测站点与医疗卫生机构合作。</w:t>
      </w:r>
    </w:p>
    <w:p w14:paraId="08B0695A">
      <w:pPr>
        <w:pStyle w:val="5"/>
        <w:spacing w:before="0" w:after="0" w:line="580" w:lineRule="exact"/>
        <w:ind w:firstLine="640" w:firstLineChars="200"/>
        <w:rPr>
          <w:rFonts w:ascii="Times New Roman" w:hAnsi="Times New Roman"/>
        </w:rPr>
      </w:pPr>
      <w:bookmarkStart w:id="55" w:name="_Toc78987118"/>
      <w:bookmarkStart w:id="56" w:name="_Toc83307958"/>
      <w:r>
        <w:rPr>
          <w:rFonts w:ascii="Times New Roman" w:hAnsi="Times New Roman"/>
        </w:rPr>
        <w:t>（二）加强传染病、寄生虫病和地方病</w:t>
      </w:r>
      <w:bookmarkEnd w:id="55"/>
      <w:r>
        <w:rPr>
          <w:rFonts w:ascii="Times New Roman" w:hAnsi="Times New Roman"/>
        </w:rPr>
        <w:t>防控</w:t>
      </w:r>
      <w:bookmarkEnd w:id="56"/>
    </w:p>
    <w:p w14:paraId="6D4855E9">
      <w:pPr>
        <w:spacing w:line="580" w:lineRule="exact"/>
        <w:ind w:firstLine="640" w:firstLineChars="200"/>
        <w:rPr>
          <w:bCs/>
        </w:rPr>
      </w:pPr>
      <w:r>
        <w:rPr>
          <w:rFonts w:hint="eastAsia"/>
          <w:bCs/>
        </w:rPr>
        <w:t>24</w:t>
      </w:r>
      <w:r>
        <w:rPr>
          <w:bCs/>
        </w:rPr>
        <w:t xml:space="preserve">. </w:t>
      </w:r>
      <w:r>
        <w:rPr>
          <w:rFonts w:hint="eastAsia"/>
          <w:bCs/>
        </w:rPr>
        <w:t>做好重点传染病、</w:t>
      </w:r>
      <w:r>
        <w:rPr>
          <w:rFonts w:hint="eastAsia"/>
          <w:bCs/>
          <w:kern w:val="2"/>
        </w:rPr>
        <w:t>寄生虫病、地方病</w:t>
      </w:r>
      <w:r>
        <w:rPr>
          <w:rFonts w:hint="eastAsia"/>
          <w:bCs/>
        </w:rPr>
        <w:t>防控。</w:t>
      </w:r>
      <w:r>
        <w:rPr>
          <w:bCs/>
        </w:rPr>
        <w:t>加强传染病监测预警，法定传染病报告率达到98%以上。加强鼠疫、霍乱等烈性传染病防控，防范突发急性传染病输入。加强艾滋病防治，全面落实临床用血核酸检测，预防艾滋病母婴传播。加强肺结核患者发现力度，强化耐药肺结核患者的筛查和治疗，实现患者全程随访管理。加强应对流感、手足口病、麻疹等重点传染病疫情，完善狂犬病、布鲁氏菌病、禽流感等人畜共患传染病综合治理。</w:t>
      </w:r>
      <w:r>
        <w:rPr>
          <w:rFonts w:hint="eastAsia"/>
          <w:bCs/>
        </w:rPr>
        <w:t>持续保持消除疟疾状态，有效控制和消除碘缺乏病危害。</w:t>
      </w:r>
    </w:p>
    <w:p w14:paraId="744B6206">
      <w:pPr>
        <w:pStyle w:val="3"/>
        <w:spacing w:line="580" w:lineRule="exact"/>
        <w:ind w:firstLine="640" w:firstLineChars="200"/>
        <w:jc w:val="both"/>
        <w:rPr>
          <w:rFonts w:ascii="Times New Roman" w:eastAsia="方正仿宋_GBK"/>
          <w:bCs/>
          <w:color w:val="auto"/>
          <w:kern w:val="2"/>
          <w:sz w:val="32"/>
          <w:szCs w:val="32"/>
        </w:rPr>
      </w:pPr>
      <w:r>
        <w:rPr>
          <w:rFonts w:hint="eastAsia" w:ascii="Times New Roman" w:eastAsia="方正仿宋_GBK"/>
          <w:bCs/>
          <w:color w:val="auto"/>
          <w:sz w:val="32"/>
          <w:szCs w:val="32"/>
        </w:rPr>
        <w:t>25</w:t>
      </w:r>
      <w:r>
        <w:rPr>
          <w:rFonts w:ascii="Times New Roman" w:eastAsia="方正仿宋_GBK"/>
          <w:bCs/>
          <w:color w:val="auto"/>
          <w:sz w:val="32"/>
          <w:szCs w:val="32"/>
        </w:rPr>
        <w:t xml:space="preserve">. </w:t>
      </w:r>
      <w:r>
        <w:rPr>
          <w:rFonts w:hint="eastAsia" w:ascii="Times New Roman" w:eastAsia="方正仿宋_GBK"/>
          <w:bCs/>
          <w:color w:val="auto"/>
          <w:sz w:val="32"/>
          <w:szCs w:val="32"/>
        </w:rPr>
        <w:t>强化疫苗接种。</w:t>
      </w:r>
      <w:r>
        <w:rPr>
          <w:rFonts w:ascii="Times New Roman" w:eastAsia="方正仿宋_GBK"/>
          <w:bCs/>
          <w:color w:val="auto"/>
          <w:kern w:val="2"/>
          <w:sz w:val="32"/>
          <w:szCs w:val="32"/>
        </w:rPr>
        <w:t>稳妥有序做好新冠疫苗接种工作，逐步提高人群接种率。落实国家免疫规划，以镇（街道）为单位适龄儿童免疫规划疫苗接种率达到95%以上，健全预防接种异常反应补偿机制。</w:t>
      </w:r>
      <w:r>
        <w:rPr>
          <w:rFonts w:hint="eastAsia" w:ascii="Times New Roman" w:eastAsia="方正仿宋_GBK"/>
          <w:bCs/>
          <w:color w:val="auto"/>
          <w:kern w:val="2"/>
          <w:sz w:val="32"/>
          <w:szCs w:val="32"/>
        </w:rPr>
        <w:t>加强成人预防接种门诊监督管理。</w:t>
      </w:r>
    </w:p>
    <w:p w14:paraId="0A038378">
      <w:pPr>
        <w:pStyle w:val="5"/>
        <w:spacing w:before="0" w:after="0" w:line="580" w:lineRule="exact"/>
        <w:ind w:firstLine="640" w:firstLineChars="200"/>
        <w:rPr>
          <w:rFonts w:ascii="Times New Roman" w:hAnsi="Times New Roman"/>
        </w:rPr>
      </w:pPr>
      <w:bookmarkStart w:id="57" w:name="_Toc78987119"/>
      <w:bookmarkStart w:id="58" w:name="_Toc83307959"/>
      <w:r>
        <w:rPr>
          <w:rFonts w:ascii="Times New Roman" w:hAnsi="Times New Roman"/>
        </w:rPr>
        <w:t>（三）强化慢病管理和伤害预防干预</w:t>
      </w:r>
      <w:bookmarkEnd w:id="57"/>
      <w:bookmarkEnd w:id="58"/>
    </w:p>
    <w:p w14:paraId="7CC6B71E">
      <w:pPr>
        <w:spacing w:line="580" w:lineRule="exact"/>
        <w:ind w:firstLine="640" w:firstLineChars="200"/>
        <w:rPr>
          <w:bCs/>
        </w:rPr>
      </w:pPr>
      <w:r>
        <w:rPr>
          <w:rFonts w:hint="eastAsia"/>
          <w:bCs/>
        </w:rPr>
        <w:t>26</w:t>
      </w:r>
      <w:r>
        <w:rPr>
          <w:bCs/>
        </w:rPr>
        <w:t xml:space="preserve">. </w:t>
      </w:r>
      <w:r>
        <w:rPr>
          <w:rFonts w:hint="eastAsia"/>
          <w:bCs/>
        </w:rPr>
        <w:t>实施慢性病综合防控策略。</w:t>
      </w:r>
      <w:r>
        <w:rPr>
          <w:bCs/>
        </w:rPr>
        <w:t>巩固慢性病综合防控示范区建设成果，健全主要健康危害因素与人体健康危害监测体系。推进疾病治疗向健康管理转变，实施早诊早治，促进慢性病早期发现，基本实现高血压、糖尿病患者管理干预全覆盖。将重点癌症、脑卒中等重大慢性疾病早诊早治技术纳入诊疗常规，提升防治能力，</w:t>
      </w:r>
      <w:r>
        <w:rPr>
          <w:rFonts w:hint="eastAsia"/>
          <w:bCs/>
        </w:rPr>
        <w:t>“十四五”期间</w:t>
      </w:r>
      <w:r>
        <w:rPr>
          <w:bCs/>
        </w:rPr>
        <w:t>，重大慢性疾病过早死亡率</w:t>
      </w:r>
      <w:r>
        <w:rPr>
          <w:rFonts w:hint="eastAsia"/>
          <w:bCs/>
        </w:rPr>
        <w:t>持续低于</w:t>
      </w:r>
      <w:r>
        <w:rPr>
          <w:bCs/>
        </w:rPr>
        <w:t>13.5%。</w:t>
      </w:r>
    </w:p>
    <w:p w14:paraId="6BCA3A3A">
      <w:pPr>
        <w:spacing w:line="580" w:lineRule="exact"/>
        <w:ind w:firstLine="640" w:firstLineChars="200"/>
        <w:rPr>
          <w:bCs/>
        </w:rPr>
      </w:pPr>
      <w:r>
        <w:rPr>
          <w:rFonts w:hint="eastAsia"/>
          <w:bCs/>
        </w:rPr>
        <w:t>27</w:t>
      </w:r>
      <w:r>
        <w:rPr>
          <w:bCs/>
        </w:rPr>
        <w:t xml:space="preserve">. </w:t>
      </w:r>
      <w:r>
        <w:rPr>
          <w:rFonts w:hint="eastAsia"/>
          <w:bCs/>
        </w:rPr>
        <w:t>加强伤害预防和干预</w:t>
      </w:r>
      <w:r>
        <w:rPr>
          <w:bCs/>
        </w:rPr>
        <w:t>。加强交通隐患治理，减少交通伤害事件的发生，加强儿童和老年人伤害预防和干预，减少儿童溺水和老年人意外跌倒。</w:t>
      </w:r>
      <w:r>
        <w:rPr>
          <w:rFonts w:hint="eastAsia"/>
          <w:bCs/>
        </w:rPr>
        <w:t>继续开展伤害监测。</w:t>
      </w:r>
    </w:p>
    <w:p w14:paraId="45EC61E5">
      <w:pPr>
        <w:shd w:val="clear" w:color="auto" w:fill="FFFFFF"/>
        <w:spacing w:line="580" w:lineRule="exact"/>
        <w:jc w:val="center"/>
      </w:pPr>
      <w:r>
        <w:rPr>
          <w:rFonts w:eastAsia="方正黑体_GBK"/>
          <w:bCs/>
          <w:sz w:val="30"/>
          <w:szCs w:val="30"/>
        </w:rPr>
        <w:t>专栏</w:t>
      </w:r>
      <w:r>
        <w:rPr>
          <w:rFonts w:hint="eastAsia" w:eastAsia="方正黑体_GBK"/>
          <w:bCs/>
          <w:sz w:val="30"/>
          <w:szCs w:val="30"/>
        </w:rPr>
        <w:t>3</w:t>
      </w:r>
      <w:r>
        <w:rPr>
          <w:rFonts w:eastAsia="方正黑体_GBK"/>
          <w:bCs/>
          <w:sz w:val="30"/>
          <w:szCs w:val="30"/>
        </w:rPr>
        <w:t>健康危险因素干预项目</w:t>
      </w:r>
    </w:p>
    <w:tbl>
      <w:tblPr>
        <w:tblStyle w:val="10"/>
        <w:tblW w:w="8841" w:type="dxa"/>
        <w:tblInd w:w="1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41"/>
      </w:tblGrid>
      <w:tr w14:paraId="36856F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c>
          <w:tcPr>
            <w:tcW w:w="8841" w:type="dxa"/>
            <w:vAlign w:val="center"/>
          </w:tcPr>
          <w:p w14:paraId="005F879C">
            <w:pPr>
              <w:widowControl/>
              <w:spacing w:line="400" w:lineRule="exact"/>
              <w:ind w:firstLine="480" w:firstLineChars="200"/>
              <w:rPr>
                <w:bCs/>
                <w:sz w:val="24"/>
                <w:szCs w:val="24"/>
              </w:rPr>
            </w:pPr>
            <w:r>
              <w:rPr>
                <w:bCs/>
                <w:sz w:val="24"/>
                <w:szCs w:val="24"/>
              </w:rPr>
              <w:t>1.健康促进与教育。健康素养促进行动，</w:t>
            </w:r>
            <w:r>
              <w:rPr>
                <w:rFonts w:hint="eastAsia"/>
                <w:bCs/>
                <w:sz w:val="24"/>
                <w:szCs w:val="24"/>
              </w:rPr>
              <w:t>“</w:t>
            </w:r>
            <w:r>
              <w:rPr>
                <w:bCs/>
                <w:sz w:val="24"/>
                <w:szCs w:val="24"/>
              </w:rPr>
              <w:t>健康中国巴渝行</w:t>
            </w:r>
            <w:r>
              <w:rPr>
                <w:rFonts w:hint="eastAsia"/>
                <w:bCs/>
                <w:sz w:val="24"/>
                <w:szCs w:val="24"/>
              </w:rPr>
              <w:t>”“玲玲姐讲健康”</w:t>
            </w:r>
            <w:r>
              <w:rPr>
                <w:bCs/>
                <w:sz w:val="24"/>
                <w:szCs w:val="24"/>
              </w:rPr>
              <w:t>活动。建立健全健康科普专家库、资源库，健全全媒体健康科普知识发布和传播机制。加强医疗机构健康促进与教育。</w:t>
            </w:r>
          </w:p>
          <w:p w14:paraId="6DFBC952">
            <w:pPr>
              <w:pStyle w:val="3"/>
              <w:spacing w:line="400" w:lineRule="exact"/>
              <w:ind w:firstLine="480" w:firstLineChars="200"/>
              <w:rPr>
                <w:rFonts w:ascii="Times New Roman" w:eastAsia="方正仿宋_GBK"/>
                <w:bCs/>
                <w:color w:val="auto"/>
              </w:rPr>
            </w:pPr>
            <w:r>
              <w:rPr>
                <w:rFonts w:ascii="Times New Roman" w:eastAsia="方正仿宋_GBK"/>
                <w:bCs/>
                <w:color w:val="auto"/>
              </w:rPr>
              <w:t>2.全民文明健康生活方式。减少烟草危害行动，推广“三减三健”等专项行动。</w:t>
            </w:r>
          </w:p>
          <w:p w14:paraId="43C3C913">
            <w:pPr>
              <w:widowControl/>
              <w:spacing w:line="400" w:lineRule="exact"/>
              <w:ind w:firstLine="480" w:firstLineChars="200"/>
              <w:rPr>
                <w:bCs/>
                <w:sz w:val="24"/>
                <w:szCs w:val="24"/>
              </w:rPr>
            </w:pPr>
            <w:r>
              <w:rPr>
                <w:bCs/>
                <w:sz w:val="24"/>
                <w:szCs w:val="24"/>
              </w:rPr>
              <w:t>3.重大疾病及危害因素监测。人禽流感、SARS</w:t>
            </w:r>
            <w:r>
              <w:rPr>
                <w:rFonts w:hint="eastAsia"/>
                <w:bCs/>
                <w:sz w:val="24"/>
                <w:szCs w:val="24"/>
              </w:rPr>
              <w:t>、新冠肺炎</w:t>
            </w:r>
            <w:r>
              <w:rPr>
                <w:bCs/>
                <w:sz w:val="24"/>
                <w:szCs w:val="24"/>
              </w:rPr>
              <w:t>防控监测，鼠疫防治监测，麻风病监测，流感、手足口病、病毒性腹泻、布病、狂犬病、出血热、登革热等重点传染病防控监测和评估，疟疾等寄生虫病防治监测，青少年、成人、高校大学生烟草流行监测，慢性病与营养监测、肿瘤随访登记、死因监测，饮用水和环境卫生及学生常见病监测。完善全国伤害监测体系，拓展儿童伤害监测。</w:t>
            </w:r>
          </w:p>
          <w:p w14:paraId="130FE171">
            <w:pPr>
              <w:widowControl/>
              <w:spacing w:line="400" w:lineRule="exact"/>
              <w:ind w:firstLine="480" w:firstLineChars="200"/>
              <w:rPr>
                <w:bCs/>
                <w:sz w:val="24"/>
                <w:szCs w:val="24"/>
              </w:rPr>
            </w:pPr>
            <w:r>
              <w:rPr>
                <w:bCs/>
                <w:sz w:val="24"/>
                <w:szCs w:val="24"/>
              </w:rPr>
              <w:t>4.重点传染病和地方病防控。扩大国家免疫规划，</w:t>
            </w:r>
            <w:r>
              <w:rPr>
                <w:rFonts w:hint="eastAsia"/>
                <w:bCs/>
                <w:sz w:val="24"/>
                <w:szCs w:val="24"/>
              </w:rPr>
              <w:t>新冠肺炎防控，</w:t>
            </w:r>
            <w:r>
              <w:rPr>
                <w:bCs/>
                <w:sz w:val="24"/>
                <w:szCs w:val="24"/>
              </w:rPr>
              <w:t>艾滋病防治，结核病防控，地方病防治，鼠疫防控。</w:t>
            </w:r>
          </w:p>
          <w:p w14:paraId="6EB01474">
            <w:pPr>
              <w:widowControl/>
              <w:spacing w:line="400" w:lineRule="exact"/>
              <w:ind w:firstLine="480" w:firstLineChars="200"/>
              <w:rPr>
                <w:bCs/>
                <w:sz w:val="24"/>
                <w:szCs w:val="24"/>
              </w:rPr>
            </w:pPr>
            <w:r>
              <w:rPr>
                <w:bCs/>
                <w:sz w:val="24"/>
                <w:szCs w:val="24"/>
              </w:rPr>
              <w:t>5.慢性病综合防控。巩固慢性病综合防控示范区，癌症早诊早治、心脑血管疾病、慢性阻塞性肺疾病高危人群筛查干预，三高（高血压、高血糖、高血脂）共管。糖尿病高危人群干预试点</w:t>
            </w:r>
            <w:r>
              <w:rPr>
                <w:rFonts w:hint="eastAsia"/>
                <w:bCs/>
                <w:sz w:val="24"/>
                <w:szCs w:val="24"/>
              </w:rPr>
              <w:t>。</w:t>
            </w:r>
          </w:p>
        </w:tc>
      </w:tr>
    </w:tbl>
    <w:p w14:paraId="328741B3">
      <w:pPr>
        <w:pStyle w:val="5"/>
        <w:spacing w:before="0" w:after="0" w:line="580" w:lineRule="exact"/>
        <w:ind w:firstLine="640" w:firstLineChars="200"/>
        <w:rPr>
          <w:rFonts w:ascii="Times New Roman" w:hAnsi="Times New Roman"/>
        </w:rPr>
      </w:pPr>
      <w:bookmarkStart w:id="59" w:name="_Toc78987120"/>
      <w:bookmarkStart w:id="60" w:name="_Toc83307960"/>
      <w:r>
        <w:rPr>
          <w:rFonts w:ascii="Times New Roman" w:hAnsi="Times New Roman"/>
        </w:rPr>
        <w:t>（四）完善心理健康和精神卫生</w:t>
      </w:r>
      <w:bookmarkEnd w:id="59"/>
      <w:r>
        <w:rPr>
          <w:rFonts w:ascii="Times New Roman" w:hAnsi="Times New Roman"/>
        </w:rPr>
        <w:t>服务</w:t>
      </w:r>
      <w:bookmarkEnd w:id="60"/>
    </w:p>
    <w:p w14:paraId="5F219E69">
      <w:pPr>
        <w:spacing w:line="580" w:lineRule="exact"/>
        <w:ind w:firstLine="640" w:firstLineChars="200"/>
        <w:rPr>
          <w:bCs/>
        </w:rPr>
      </w:pPr>
      <w:r>
        <w:rPr>
          <w:rFonts w:hint="eastAsia"/>
          <w:bCs/>
        </w:rPr>
        <w:t>28</w:t>
      </w:r>
      <w:r>
        <w:rPr>
          <w:bCs/>
        </w:rPr>
        <w:t xml:space="preserve">. </w:t>
      </w:r>
      <w:r>
        <w:rPr>
          <w:rFonts w:hint="eastAsia"/>
          <w:bCs/>
        </w:rPr>
        <w:t>加强社会心理服务体系建设</w:t>
      </w:r>
      <w:r>
        <w:rPr>
          <w:bCs/>
        </w:rPr>
        <w:t>。</w:t>
      </w:r>
      <w:r>
        <w:rPr>
          <w:rFonts w:hint="eastAsia"/>
          <w:bCs/>
        </w:rPr>
        <w:t>持续开展社会心理服务体系建设试点工作，积极探索社工组织辅助心理健康服务，</w:t>
      </w:r>
      <w:r>
        <w:rPr>
          <w:bCs/>
        </w:rPr>
        <w:t>构建覆盖全社会的心理健康服务网络，促进心理健康服务规范化发展，全面提升精神卫生和心理健康服务保障能力。到2025年，每10万人口拥有6名精神科医师，居民心理健康素养水平提升到40%。开展心理危机干预和心理援助工作，加强心理健康人才培养。</w:t>
      </w:r>
    </w:p>
    <w:p w14:paraId="69451CD1">
      <w:pPr>
        <w:spacing w:line="580" w:lineRule="exact"/>
        <w:ind w:firstLine="640" w:firstLineChars="200"/>
        <w:rPr>
          <w:bCs/>
        </w:rPr>
      </w:pPr>
      <w:r>
        <w:rPr>
          <w:rFonts w:hint="eastAsia"/>
          <w:bCs/>
        </w:rPr>
        <w:t>29</w:t>
      </w:r>
      <w:r>
        <w:rPr>
          <w:bCs/>
        </w:rPr>
        <w:t xml:space="preserve">. </w:t>
      </w:r>
      <w:r>
        <w:rPr>
          <w:rFonts w:hint="eastAsia"/>
          <w:bCs/>
        </w:rPr>
        <w:t>强化精神卫生体系建设。统筹调整区域医疗卫生资源布局，新设区</w:t>
      </w:r>
      <w:r>
        <w:rPr>
          <w:bCs/>
        </w:rPr>
        <w:t>精神卫生中心</w:t>
      </w:r>
      <w:r>
        <w:rPr>
          <w:rFonts w:hint="eastAsia"/>
          <w:bCs/>
        </w:rPr>
        <w:t>，加快</w:t>
      </w:r>
      <w:r>
        <w:rPr>
          <w:bCs/>
        </w:rPr>
        <w:t>推进标准化</w:t>
      </w:r>
      <w:r>
        <w:rPr>
          <w:rFonts w:hint="eastAsia"/>
          <w:bCs/>
        </w:rPr>
        <w:t>改</w:t>
      </w:r>
      <w:r>
        <w:rPr>
          <w:bCs/>
        </w:rPr>
        <w:t>建工程。提升全</w:t>
      </w:r>
      <w:r>
        <w:rPr>
          <w:rFonts w:hint="eastAsia"/>
          <w:bCs/>
        </w:rPr>
        <w:t>区</w:t>
      </w:r>
      <w:r>
        <w:rPr>
          <w:bCs/>
        </w:rPr>
        <w:t>精神卫生综合管理工作，配合现代社会治理，完善多部门参与的强制医疗管理机制</w:t>
      </w:r>
      <w:r>
        <w:rPr>
          <w:rFonts w:hint="eastAsia"/>
          <w:bCs/>
        </w:rPr>
        <w:t>，</w:t>
      </w:r>
      <w:r>
        <w:rPr>
          <w:bCs/>
        </w:rPr>
        <w:t>严重精神障碍管理率达到95%以上。</w:t>
      </w:r>
    </w:p>
    <w:p w14:paraId="3D21FD4E">
      <w:pPr>
        <w:pStyle w:val="5"/>
        <w:spacing w:before="0" w:after="0" w:line="580" w:lineRule="exact"/>
        <w:ind w:firstLine="640" w:firstLineChars="200"/>
        <w:rPr>
          <w:rFonts w:ascii="Times New Roman" w:hAnsi="Times New Roman"/>
        </w:rPr>
      </w:pPr>
      <w:bookmarkStart w:id="61" w:name="_Toc78987121"/>
      <w:bookmarkStart w:id="62" w:name="_Toc83307961"/>
      <w:r>
        <w:rPr>
          <w:rFonts w:ascii="Times New Roman" w:hAnsi="Times New Roman"/>
        </w:rPr>
        <w:t>（五）维护环境健康和保障食品安全</w:t>
      </w:r>
      <w:bookmarkEnd w:id="61"/>
      <w:bookmarkEnd w:id="62"/>
    </w:p>
    <w:p w14:paraId="3700121A">
      <w:pPr>
        <w:spacing w:line="580" w:lineRule="exact"/>
        <w:ind w:firstLine="640" w:firstLineChars="200"/>
        <w:rPr>
          <w:bCs/>
        </w:rPr>
      </w:pPr>
      <w:r>
        <w:rPr>
          <w:rFonts w:hint="eastAsia"/>
          <w:bCs/>
        </w:rPr>
        <w:t>30</w:t>
      </w:r>
      <w:r>
        <w:rPr>
          <w:bCs/>
        </w:rPr>
        <w:t xml:space="preserve">. </w:t>
      </w:r>
      <w:r>
        <w:rPr>
          <w:rFonts w:hint="eastAsia"/>
          <w:bCs/>
        </w:rPr>
        <w:t>加强环境健康管理。</w:t>
      </w:r>
      <w:r>
        <w:rPr>
          <w:bCs/>
        </w:rPr>
        <w:t>改善大气环境质量，加强细颗粒物和臭氧协同控制，PM2.5年均浓度稳定达标。深入开展污染防治行动，基本消除重污染天气。改善水环境质量，加强城市黑臭水体治理。加强集中式饮用水水源地规范化建设。</w:t>
      </w:r>
      <w:r>
        <w:rPr>
          <w:rFonts w:hint="eastAsia"/>
          <w:bCs/>
        </w:rPr>
        <w:t>继续落实全域医疗卫生机构</w:t>
      </w:r>
      <w:r>
        <w:rPr>
          <w:szCs w:val="20"/>
          <w:lang w:bidi="ar"/>
        </w:rPr>
        <w:t>医疗废物集中无害化处置</w:t>
      </w:r>
      <w:r>
        <w:rPr>
          <w:bCs/>
        </w:rPr>
        <w:t>。</w:t>
      </w:r>
    </w:p>
    <w:p w14:paraId="124CEBFB">
      <w:pPr>
        <w:spacing w:line="580" w:lineRule="exact"/>
        <w:ind w:firstLine="640" w:firstLineChars="200"/>
        <w:rPr>
          <w:bCs/>
        </w:rPr>
      </w:pPr>
      <w:r>
        <w:rPr>
          <w:rFonts w:hint="eastAsia"/>
          <w:bCs/>
        </w:rPr>
        <w:t>31</w:t>
      </w:r>
      <w:r>
        <w:rPr>
          <w:bCs/>
        </w:rPr>
        <w:t xml:space="preserve">. </w:t>
      </w:r>
      <w:r>
        <w:rPr>
          <w:rFonts w:hint="eastAsia"/>
          <w:bCs/>
        </w:rPr>
        <w:t>维护食品安全。</w:t>
      </w:r>
      <w:r>
        <w:rPr>
          <w:bCs/>
        </w:rPr>
        <w:t>实施国民营养计划，强化重点人群营养干预，提升全民营养健康素养。开展食品等健康危害因素风险监测评估，强化食源性疾病风险监测预警和溯源能力，开展居民营养与健康状况监测。</w:t>
      </w:r>
    </w:p>
    <w:p w14:paraId="455D2252">
      <w:pPr>
        <w:pStyle w:val="5"/>
        <w:spacing w:before="0" w:after="0" w:line="580" w:lineRule="exact"/>
        <w:ind w:firstLine="640" w:firstLineChars="200"/>
        <w:rPr>
          <w:rFonts w:ascii="Times New Roman" w:hAnsi="Times New Roman"/>
        </w:rPr>
      </w:pPr>
      <w:bookmarkStart w:id="63" w:name="_Toc83307962"/>
      <w:bookmarkStart w:id="64" w:name="_Toc78987122"/>
      <w:r>
        <w:rPr>
          <w:rFonts w:ascii="Times New Roman" w:hAnsi="Times New Roman"/>
        </w:rPr>
        <w:t>（六）深入开展爱国卫生运动</w:t>
      </w:r>
      <w:bookmarkEnd w:id="63"/>
      <w:bookmarkEnd w:id="64"/>
    </w:p>
    <w:p w14:paraId="17555141">
      <w:pPr>
        <w:spacing w:line="580" w:lineRule="exact"/>
        <w:ind w:firstLine="640" w:firstLineChars="200"/>
        <w:rPr>
          <w:bCs/>
        </w:rPr>
      </w:pPr>
      <w:r>
        <w:rPr>
          <w:rFonts w:hint="eastAsia"/>
          <w:bCs/>
        </w:rPr>
        <w:t>32</w:t>
      </w:r>
      <w:r>
        <w:rPr>
          <w:bCs/>
        </w:rPr>
        <w:t xml:space="preserve">. </w:t>
      </w:r>
      <w:r>
        <w:rPr>
          <w:rFonts w:hint="eastAsia"/>
          <w:bCs/>
        </w:rPr>
        <w:t>推进环境卫生整治。</w:t>
      </w:r>
      <w:r>
        <w:rPr>
          <w:bCs/>
        </w:rPr>
        <w:t>全面改善人居环境，倡导文明健康绿色环保的生活方式，推动爱国卫生</w:t>
      </w:r>
      <w:r>
        <w:rPr>
          <w:rFonts w:hint="eastAsia"/>
          <w:bCs/>
        </w:rPr>
        <w:t>运动</w:t>
      </w:r>
      <w:r>
        <w:rPr>
          <w:bCs/>
        </w:rPr>
        <w:t>从环境卫生治理向全面社会健康管理转变。统筹推进城乡环境卫生整治，提高环境卫生基础设施现代化水平，完善城乡环境卫生治理长效机制。</w:t>
      </w:r>
      <w:r>
        <w:rPr>
          <w:rFonts w:hint="eastAsia"/>
          <w:bCs/>
          <w:color w:val="000000" w:themeColor="text1"/>
          <w14:textFill>
            <w14:solidFill>
              <w14:schemeClr w14:val="tx1"/>
            </w14:solidFill>
          </w14:textFill>
        </w:rPr>
        <w:t>巩固国家卫生区创建成果，加强卫生城镇创建，</w:t>
      </w:r>
      <w:bookmarkStart w:id="65" w:name="_Hlk83644807"/>
      <w:r>
        <w:rPr>
          <w:rFonts w:hint="eastAsia"/>
          <w:bCs/>
          <w:color w:val="000000" w:themeColor="text1"/>
          <w14:textFill>
            <w14:solidFill>
              <w14:schemeClr w14:val="tx1"/>
            </w14:solidFill>
          </w14:textFill>
        </w:rPr>
        <w:t>跳磴镇建成国家卫</w:t>
      </w:r>
      <w:r>
        <w:rPr>
          <w:rFonts w:hint="eastAsia"/>
          <w:bCs/>
        </w:rPr>
        <w:t>生镇</w:t>
      </w:r>
      <w:bookmarkEnd w:id="65"/>
      <w:r>
        <w:rPr>
          <w:bCs/>
        </w:rPr>
        <w:t>。广泛开展健康城市建设，持续加强健康村镇、健康社区、健康单位（企业）、健康学校、健康家庭等健康细胞建设。强化以环境治理为主、以专业防治为辅的病媒生物防制工作。</w:t>
      </w:r>
    </w:p>
    <w:p w14:paraId="50186F85">
      <w:pPr>
        <w:spacing w:line="580" w:lineRule="exact"/>
        <w:ind w:firstLine="640" w:firstLineChars="200"/>
        <w:rPr>
          <w:bCs/>
        </w:rPr>
      </w:pPr>
      <w:r>
        <w:rPr>
          <w:rFonts w:hint="eastAsia"/>
          <w:bCs/>
        </w:rPr>
        <w:t>33</w:t>
      </w:r>
      <w:r>
        <w:rPr>
          <w:bCs/>
        </w:rPr>
        <w:t xml:space="preserve">. </w:t>
      </w:r>
      <w:r>
        <w:rPr>
          <w:rFonts w:hint="eastAsia"/>
          <w:bCs/>
        </w:rPr>
        <w:t>创新社会动员机制。</w:t>
      </w:r>
      <w:r>
        <w:rPr>
          <w:bCs/>
        </w:rPr>
        <w:t>依托镇政府（街道办事处）、村（居）民委员会等基层组织及机关、企事业单位，发挥村规民约、居民公约的积极作用，推广周末大扫除、</w:t>
      </w:r>
      <w:r>
        <w:rPr>
          <w:rFonts w:hint="eastAsia"/>
          <w:bCs/>
        </w:rPr>
        <w:t>全民动手日、</w:t>
      </w:r>
      <w:r>
        <w:rPr>
          <w:bCs/>
        </w:rPr>
        <w:t>卫生清洁日活动等有效经验，发挥群团组织作用，推动爱国卫生运动融入群众日常生活。</w:t>
      </w:r>
    </w:p>
    <w:p w14:paraId="7F7FDB41">
      <w:pPr>
        <w:widowControl/>
        <w:shd w:val="clear" w:color="auto" w:fill="FFFFFF"/>
        <w:spacing w:line="580" w:lineRule="exact"/>
        <w:jc w:val="center"/>
        <w:rPr>
          <w:rFonts w:eastAsia="方正黑体_GBK"/>
          <w:bCs/>
          <w:sz w:val="30"/>
          <w:szCs w:val="30"/>
        </w:rPr>
      </w:pPr>
      <w:r>
        <w:rPr>
          <w:rFonts w:eastAsia="方正黑体_GBK"/>
          <w:bCs/>
          <w:sz w:val="30"/>
          <w:szCs w:val="30"/>
        </w:rPr>
        <w:t>专栏</w:t>
      </w:r>
      <w:r>
        <w:rPr>
          <w:rFonts w:hint="eastAsia" w:eastAsia="方正黑体_GBK"/>
          <w:bCs/>
          <w:sz w:val="30"/>
          <w:szCs w:val="30"/>
        </w:rPr>
        <w:t>4</w:t>
      </w:r>
      <w:r>
        <w:rPr>
          <w:rFonts w:eastAsia="方正黑体_GBK"/>
          <w:bCs/>
          <w:sz w:val="30"/>
          <w:szCs w:val="30"/>
        </w:rPr>
        <w:t xml:space="preserve"> 干预主要健康问题项目</w:t>
      </w:r>
    </w:p>
    <w:tbl>
      <w:tblPr>
        <w:tblStyle w:val="10"/>
        <w:tblW w:w="8841" w:type="dxa"/>
        <w:tblInd w:w="2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41"/>
      </w:tblGrid>
      <w:tr w14:paraId="7C74FAD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c>
          <w:tcPr>
            <w:tcW w:w="8841" w:type="dxa"/>
            <w:vAlign w:val="center"/>
          </w:tcPr>
          <w:p w14:paraId="3D605320">
            <w:pPr>
              <w:widowControl/>
              <w:spacing w:line="400" w:lineRule="exact"/>
              <w:ind w:firstLine="480" w:firstLineChars="200"/>
              <w:rPr>
                <w:bCs/>
                <w:sz w:val="24"/>
                <w:szCs w:val="24"/>
              </w:rPr>
            </w:pPr>
            <w:r>
              <w:rPr>
                <w:bCs/>
                <w:sz w:val="24"/>
                <w:szCs w:val="24"/>
              </w:rPr>
              <w:t>1.健康城镇</w:t>
            </w:r>
            <w:r>
              <w:rPr>
                <w:rFonts w:hint="eastAsia"/>
                <w:bCs/>
                <w:sz w:val="24"/>
                <w:szCs w:val="24"/>
              </w:rPr>
              <w:t>建设</w:t>
            </w:r>
            <w:r>
              <w:rPr>
                <w:bCs/>
                <w:sz w:val="24"/>
                <w:szCs w:val="24"/>
              </w:rPr>
              <w:t>。</w:t>
            </w:r>
            <w:r>
              <w:rPr>
                <w:rFonts w:hint="eastAsia"/>
                <w:bCs/>
                <w:sz w:val="24"/>
                <w:szCs w:val="24"/>
              </w:rPr>
              <w:t>跳磴镇建设成为国家卫生镇</w:t>
            </w:r>
            <w:r>
              <w:rPr>
                <w:bCs/>
                <w:sz w:val="24"/>
                <w:szCs w:val="24"/>
              </w:rPr>
              <w:t>。</w:t>
            </w:r>
          </w:p>
          <w:p w14:paraId="13581DC2">
            <w:pPr>
              <w:widowControl/>
              <w:spacing w:line="400" w:lineRule="exact"/>
              <w:ind w:firstLine="480" w:firstLineChars="200"/>
              <w:rPr>
                <w:bCs/>
                <w:sz w:val="24"/>
                <w:szCs w:val="24"/>
              </w:rPr>
            </w:pPr>
            <w:r>
              <w:rPr>
                <w:bCs/>
                <w:sz w:val="24"/>
                <w:szCs w:val="24"/>
              </w:rPr>
              <w:t>2.环境健康危险因素监测。城乡饮用水监测，农村环境卫生监测，公共场所健康危害因素监测，空气污染对人群健康影响监测，人体生物监测。</w:t>
            </w:r>
          </w:p>
          <w:p w14:paraId="07F4B12C">
            <w:pPr>
              <w:widowControl/>
              <w:spacing w:line="400" w:lineRule="exact"/>
              <w:ind w:firstLine="480" w:firstLineChars="200"/>
              <w:rPr>
                <w:bCs/>
                <w:sz w:val="28"/>
                <w:szCs w:val="28"/>
              </w:rPr>
            </w:pPr>
            <w:r>
              <w:rPr>
                <w:bCs/>
                <w:sz w:val="24"/>
                <w:szCs w:val="24"/>
              </w:rPr>
              <w:t>3.食品安全监测评估。食品安全风险监测评估网络和食源性疾病监测报告网络与溯源平台建设，食源性疾病管理和食品安全事故流行病学调查处置。</w:t>
            </w:r>
          </w:p>
        </w:tc>
      </w:tr>
    </w:tbl>
    <w:p w14:paraId="33468979">
      <w:pPr>
        <w:pStyle w:val="5"/>
        <w:spacing w:before="0" w:after="0" w:line="580" w:lineRule="exact"/>
        <w:ind w:firstLine="640" w:firstLineChars="200"/>
        <w:rPr>
          <w:rFonts w:ascii="Times New Roman" w:hAnsi="Times New Roman"/>
        </w:rPr>
      </w:pPr>
      <w:bookmarkStart w:id="66" w:name="_Toc83307963"/>
      <w:bookmarkStart w:id="67" w:name="_Toc78987123"/>
      <w:bookmarkStart w:id="68" w:name="_Toc12818"/>
      <w:bookmarkStart w:id="69" w:name="_Toc11122"/>
      <w:r>
        <w:rPr>
          <w:rFonts w:ascii="Times New Roman" w:hAnsi="Times New Roman"/>
        </w:rPr>
        <w:t>（七）强化职业卫生与健康保护</w:t>
      </w:r>
      <w:bookmarkEnd w:id="66"/>
      <w:bookmarkEnd w:id="67"/>
    </w:p>
    <w:p w14:paraId="20D61920">
      <w:pPr>
        <w:spacing w:line="580" w:lineRule="exact"/>
        <w:ind w:firstLine="640" w:firstLineChars="200"/>
        <w:rPr>
          <w:bCs/>
        </w:rPr>
      </w:pPr>
      <w:r>
        <w:rPr>
          <w:rFonts w:hint="eastAsia"/>
          <w:bCs/>
        </w:rPr>
        <w:t>34</w:t>
      </w:r>
      <w:r>
        <w:rPr>
          <w:bCs/>
        </w:rPr>
        <w:t xml:space="preserve">. </w:t>
      </w:r>
      <w:r>
        <w:rPr>
          <w:rFonts w:hint="eastAsia"/>
          <w:bCs/>
        </w:rPr>
        <w:t>强化职业健康危害源头防控和风险管控。健全完善职业病危害项目申报制度。</w:t>
      </w:r>
      <w:r>
        <w:rPr>
          <w:bCs/>
        </w:rPr>
        <w:t>建立健全职业病和职业病危害因素监测评估制度，扩大主动监测范围，工作场所职业病危害因素监测合格率达到85%以上。建立中小微型企业职工健康帮扶机制，支持企业完善职业病防护设施。健全职业病诊断与鉴定制度，强化尘肺病等职业病救治保障。加强职业健康教育和健康促进，提高劳动者职业健康素养。推进健康企业建设，建设一批示范性健康企业。到2025年，辖区职业健康检查覆盖率达到93%以上。</w:t>
      </w:r>
    </w:p>
    <w:p w14:paraId="2AEA8F60">
      <w:pPr>
        <w:spacing w:line="580" w:lineRule="exact"/>
        <w:ind w:firstLine="640" w:firstLineChars="200"/>
        <w:rPr>
          <w:bCs/>
        </w:rPr>
      </w:pPr>
      <w:r>
        <w:rPr>
          <w:rFonts w:hint="eastAsia"/>
          <w:bCs/>
        </w:rPr>
        <w:t>35</w:t>
      </w:r>
      <w:r>
        <w:rPr>
          <w:bCs/>
        </w:rPr>
        <w:t xml:space="preserve">. </w:t>
      </w:r>
      <w:r>
        <w:rPr>
          <w:rFonts w:hint="eastAsia"/>
          <w:bCs/>
        </w:rPr>
        <w:t>提高职业病防治工作技术支撑能力。</w:t>
      </w:r>
      <w:r>
        <w:rPr>
          <w:bCs/>
        </w:rPr>
        <w:t>加强职业健康风险评估、职业病危害监测及控制、职业病诊断救治能力建设。开展重点职业病监测与职业健康风险评估、职业性放射性疾病监测与职业健康风险评估、医疗卫生机构与非医疗单位辐射防护监测。加强组织机构和人才队伍、基础设施、职业病危害工程防护和治理能力建设，提升职业病危害因素检测检验能力、职业健康检查</w:t>
      </w:r>
      <w:r>
        <w:rPr>
          <w:rFonts w:hint="eastAsia"/>
          <w:bCs/>
        </w:rPr>
        <w:t>、</w:t>
      </w:r>
      <w:r>
        <w:rPr>
          <w:bCs/>
        </w:rPr>
        <w:t>职业病诊断</w:t>
      </w:r>
      <w:r>
        <w:rPr>
          <w:rFonts w:hint="eastAsia"/>
          <w:bCs/>
        </w:rPr>
        <w:t>和</w:t>
      </w:r>
      <w:r>
        <w:rPr>
          <w:bCs/>
        </w:rPr>
        <w:t>救治的技术支撑能力。到2025年</w:t>
      </w:r>
      <w:r>
        <w:rPr>
          <w:rFonts w:hint="eastAsia"/>
          <w:bCs/>
        </w:rPr>
        <w:t>，长征医院、重庆冶金职防院和</w:t>
      </w:r>
      <w:r>
        <w:rPr>
          <w:bCs/>
        </w:rPr>
        <w:t>甲级基层医疗卫生机构均具备职业健康检查能力，</w:t>
      </w:r>
      <w:r>
        <w:rPr>
          <w:rFonts w:hint="eastAsia"/>
          <w:bCs/>
        </w:rPr>
        <w:t>跳磴镇卫生院尘肺病</w:t>
      </w:r>
      <w:r>
        <w:rPr>
          <w:bCs/>
        </w:rPr>
        <w:t>康复</w:t>
      </w:r>
      <w:r>
        <w:rPr>
          <w:rFonts w:hint="eastAsia"/>
          <w:bCs/>
        </w:rPr>
        <w:t>站建成。</w:t>
      </w:r>
    </w:p>
    <w:p w14:paraId="447BBC91">
      <w:pPr>
        <w:pStyle w:val="5"/>
        <w:spacing w:before="0" w:after="0" w:line="580" w:lineRule="exact"/>
        <w:ind w:firstLine="640" w:firstLineChars="200"/>
        <w:rPr>
          <w:rFonts w:ascii="Times New Roman" w:hAnsi="Times New Roman"/>
        </w:rPr>
      </w:pPr>
      <w:bookmarkStart w:id="70" w:name="_Toc78987124"/>
      <w:bookmarkStart w:id="71" w:name="_Toc83307964"/>
      <w:r>
        <w:rPr>
          <w:rFonts w:ascii="Times New Roman" w:hAnsi="Times New Roman"/>
        </w:rPr>
        <w:t>（八）保持健康帮扶政策总体稳定</w:t>
      </w:r>
      <w:bookmarkEnd w:id="70"/>
      <w:bookmarkEnd w:id="71"/>
    </w:p>
    <w:p w14:paraId="35245D1C">
      <w:pPr>
        <w:spacing w:line="580" w:lineRule="exact"/>
        <w:ind w:firstLine="640" w:firstLineChars="200"/>
        <w:rPr>
          <w:rFonts w:eastAsia="仿宋"/>
          <w:bCs/>
        </w:rPr>
      </w:pPr>
      <w:r>
        <w:rPr>
          <w:rFonts w:hint="eastAsia"/>
          <w:bCs/>
        </w:rPr>
        <w:t>36</w:t>
      </w:r>
      <w:r>
        <w:rPr>
          <w:bCs/>
        </w:rPr>
        <w:t>. 巩固拓展健康扶贫与乡村振兴有效衔接</w:t>
      </w:r>
      <w:r>
        <w:rPr>
          <w:b/>
        </w:rPr>
        <w:t>，</w:t>
      </w:r>
      <w:r>
        <w:rPr>
          <w:bCs/>
        </w:rPr>
        <w:t>调整优化超常规保障措施，健全防止因病致贫返贫动态监测和帮扶机制。进一步完善大病专项救治政策，加强慢性病患者和残疾人健康管理，推进家庭医生签约服务。深入推进二级以上医院对口帮扶</w:t>
      </w:r>
      <w:r>
        <w:rPr>
          <w:rFonts w:hint="eastAsia"/>
          <w:bCs/>
        </w:rPr>
        <w:t>酉阳县</w:t>
      </w:r>
      <w:r>
        <w:rPr>
          <w:bCs/>
        </w:rPr>
        <w:t>乡镇卫生院，推动建立稳定帮扶关系。</w:t>
      </w:r>
    </w:p>
    <w:bookmarkEnd w:id="68"/>
    <w:bookmarkEnd w:id="69"/>
    <w:p w14:paraId="6B0372A4">
      <w:pPr>
        <w:pStyle w:val="5"/>
        <w:spacing w:before="0" w:after="0" w:line="580" w:lineRule="exact"/>
        <w:ind w:firstLine="640" w:firstLineChars="200"/>
        <w:rPr>
          <w:rFonts w:ascii="Times New Roman" w:hAnsi="Times New Roman" w:eastAsia="方正黑体_GBK"/>
          <w:kern w:val="44"/>
        </w:rPr>
      </w:pPr>
      <w:bookmarkStart w:id="72" w:name="_Toc78987125"/>
      <w:bookmarkStart w:id="73" w:name="_Toc31505"/>
      <w:bookmarkStart w:id="74" w:name="_Toc560"/>
      <w:bookmarkStart w:id="75" w:name="_Toc83307965"/>
      <w:r>
        <w:rPr>
          <w:rFonts w:ascii="Times New Roman" w:hAnsi="Times New Roman" w:eastAsia="方正黑体_GBK"/>
          <w:kern w:val="44"/>
        </w:rPr>
        <w:t>六、促进中医药事业传承创新发展</w:t>
      </w:r>
      <w:bookmarkEnd w:id="72"/>
      <w:bookmarkEnd w:id="73"/>
      <w:bookmarkEnd w:id="74"/>
      <w:bookmarkEnd w:id="75"/>
    </w:p>
    <w:p w14:paraId="21710F06">
      <w:pPr>
        <w:pStyle w:val="5"/>
        <w:spacing w:before="0" w:after="0" w:line="580" w:lineRule="exact"/>
        <w:ind w:firstLine="640" w:firstLineChars="200"/>
        <w:rPr>
          <w:rFonts w:ascii="Times New Roman" w:hAnsi="Times New Roman"/>
        </w:rPr>
      </w:pPr>
      <w:bookmarkStart w:id="76" w:name="_Toc78987126"/>
      <w:bookmarkStart w:id="77" w:name="_Toc83307966"/>
      <w:r>
        <w:rPr>
          <w:rFonts w:ascii="Times New Roman" w:hAnsi="Times New Roman"/>
        </w:rPr>
        <w:t>（一）健全中医药服务体系</w:t>
      </w:r>
      <w:bookmarkEnd w:id="76"/>
      <w:bookmarkEnd w:id="77"/>
    </w:p>
    <w:p w14:paraId="573E521E">
      <w:pPr>
        <w:spacing w:line="580" w:lineRule="exact"/>
        <w:ind w:firstLine="640" w:firstLineChars="200"/>
        <w:rPr>
          <w:bCs/>
        </w:rPr>
      </w:pPr>
      <w:r>
        <w:rPr>
          <w:rFonts w:hint="eastAsia"/>
          <w:bCs/>
        </w:rPr>
        <w:t>37</w:t>
      </w:r>
      <w:r>
        <w:rPr>
          <w:bCs/>
        </w:rPr>
        <w:t>. 建成以</w:t>
      </w:r>
      <w:r>
        <w:rPr>
          <w:rFonts w:hint="eastAsia"/>
          <w:bCs/>
        </w:rPr>
        <w:t>区</w:t>
      </w:r>
      <w:r>
        <w:rPr>
          <w:bCs/>
        </w:rPr>
        <w:t>中医院为龙头，基层医疗卫生机构为基础，融预防保健、疾病治疗和康复于一体的中医药服务体系。推进</w:t>
      </w:r>
      <w:r>
        <w:rPr>
          <w:rFonts w:hint="eastAsia"/>
          <w:bCs/>
        </w:rPr>
        <w:t>区级</w:t>
      </w:r>
      <w:r>
        <w:rPr>
          <w:bCs/>
        </w:rPr>
        <w:t>中医疫病防治</w:t>
      </w:r>
      <w:r>
        <w:rPr>
          <w:rFonts w:hint="eastAsia"/>
          <w:bCs/>
        </w:rPr>
        <w:t>中心建设</w:t>
      </w:r>
      <w:r>
        <w:rPr>
          <w:bCs/>
        </w:rPr>
        <w:t>。</w:t>
      </w:r>
      <w:r>
        <w:rPr>
          <w:rFonts w:hint="eastAsia"/>
          <w:bCs/>
        </w:rPr>
        <w:t>巩固全国基层中医药工作示范单位创建成果，</w:t>
      </w:r>
      <w:r>
        <w:rPr>
          <w:bCs/>
        </w:rPr>
        <w:t>推进中医馆提档升级</w:t>
      </w:r>
      <w:r>
        <w:rPr>
          <w:rFonts w:hint="eastAsia"/>
          <w:bCs/>
        </w:rPr>
        <w:t>，实现</w:t>
      </w:r>
      <w:r>
        <w:rPr>
          <w:bCs/>
        </w:rPr>
        <w:t>镇卫生院（社区卫生服务中心）中医馆全覆盖，</w:t>
      </w:r>
      <w:r>
        <w:rPr>
          <w:rFonts w:hint="eastAsia"/>
          <w:bCs/>
        </w:rPr>
        <w:t>精品中医馆占60%以上，</w:t>
      </w:r>
      <w:r>
        <w:rPr>
          <w:bCs/>
        </w:rPr>
        <w:t>建设“旗舰”中医馆</w:t>
      </w:r>
      <w:r>
        <w:rPr>
          <w:rFonts w:hint="eastAsia"/>
          <w:bCs/>
        </w:rPr>
        <w:t>2</w:t>
      </w:r>
      <w:r>
        <w:rPr>
          <w:bCs/>
        </w:rPr>
        <w:t>个，中医诊疗量占比30%以上。加强综合医院、专科医院、妇幼保健院中医科室和中药房建设。</w:t>
      </w:r>
      <w:r>
        <w:rPr>
          <w:rFonts w:hint="eastAsia"/>
          <w:bCs/>
        </w:rPr>
        <w:t>鼓励社会资本举办</w:t>
      </w:r>
      <w:r>
        <w:rPr>
          <w:bCs/>
        </w:rPr>
        <w:t>中医特色专科医院、门诊部和诊所，鼓励连锁经营。</w:t>
      </w:r>
    </w:p>
    <w:p w14:paraId="1221169E">
      <w:pPr>
        <w:pStyle w:val="5"/>
        <w:spacing w:before="0" w:after="0" w:line="580" w:lineRule="exact"/>
        <w:ind w:firstLine="640" w:firstLineChars="200"/>
        <w:rPr>
          <w:rFonts w:ascii="Times New Roman" w:hAnsi="Times New Roman"/>
        </w:rPr>
      </w:pPr>
      <w:bookmarkStart w:id="78" w:name="_Toc78987127"/>
      <w:bookmarkStart w:id="79" w:name="_Toc83307967"/>
      <w:r>
        <w:rPr>
          <w:rFonts w:ascii="Times New Roman" w:hAnsi="Times New Roman"/>
        </w:rPr>
        <w:t>（二）</w:t>
      </w:r>
      <w:bookmarkEnd w:id="78"/>
      <w:bookmarkEnd w:id="79"/>
      <w:r>
        <w:rPr>
          <w:rFonts w:hint="eastAsia" w:ascii="Times New Roman" w:hAnsi="Times New Roman"/>
        </w:rPr>
        <w:t>传承发展中医药服务</w:t>
      </w:r>
    </w:p>
    <w:p w14:paraId="00AA2E1C">
      <w:pPr>
        <w:spacing w:line="580" w:lineRule="exact"/>
        <w:ind w:firstLine="640" w:firstLineChars="200"/>
        <w:rPr>
          <w:bCs/>
        </w:rPr>
      </w:pPr>
      <w:r>
        <w:rPr>
          <w:rFonts w:hint="eastAsia"/>
          <w:bCs/>
        </w:rPr>
        <w:t>38</w:t>
      </w:r>
      <w:r>
        <w:rPr>
          <w:bCs/>
        </w:rPr>
        <w:t>. 加强中医重点学科专科建设，开展中医优势病种防治研究和中医适宜技术推广，</w:t>
      </w:r>
      <w:r>
        <w:rPr>
          <w:rFonts w:hint="eastAsia"/>
          <w:bCs/>
        </w:rPr>
        <w:t>争创</w:t>
      </w:r>
      <w:r>
        <w:rPr>
          <w:bCs/>
        </w:rPr>
        <w:t>中医康复适宜技术推广示范点。推动医疗机构开展中医特色康复医疗、康复护理等服务，</w:t>
      </w:r>
      <w:r>
        <w:rPr>
          <w:rFonts w:hint="eastAsia"/>
          <w:bCs/>
        </w:rPr>
        <w:t>区中医院设立中医</w:t>
      </w:r>
      <w:r>
        <w:rPr>
          <w:bCs/>
        </w:rPr>
        <w:t>治未病</w:t>
      </w:r>
      <w:r>
        <w:rPr>
          <w:rFonts w:hint="eastAsia"/>
          <w:bCs/>
        </w:rPr>
        <w:t>中心</w:t>
      </w:r>
      <w:r>
        <w:rPr>
          <w:bCs/>
        </w:rPr>
        <w:t>，积极运用中医药技术和方法开展诊疗服务，三级公立中医医院门诊、住院患者中药饮片使用率均达到</w:t>
      </w:r>
      <w:r>
        <w:rPr>
          <w:rFonts w:hint="eastAsia"/>
          <w:bCs/>
        </w:rPr>
        <w:t>60</w:t>
      </w:r>
      <w:r>
        <w:rPr>
          <w:bCs/>
        </w:rPr>
        <w:t>%以上。</w:t>
      </w:r>
      <w:r>
        <w:rPr>
          <w:rFonts w:hint="eastAsia"/>
          <w:bCs/>
        </w:rPr>
        <w:t>力争建设市级以上（基层）名老中医药专家传承工作室</w:t>
      </w:r>
      <w:r>
        <w:rPr>
          <w:bCs/>
        </w:rPr>
        <w:t>1-2</w:t>
      </w:r>
      <w:r>
        <w:rPr>
          <w:rFonts w:hint="eastAsia"/>
          <w:bCs/>
        </w:rPr>
        <w:t>个，市级以上老中医药专家学术经验继承人</w:t>
      </w:r>
      <w:r>
        <w:rPr>
          <w:bCs/>
        </w:rPr>
        <w:t>2-4</w:t>
      </w:r>
      <w:r>
        <w:rPr>
          <w:rFonts w:hint="eastAsia"/>
          <w:bCs/>
        </w:rPr>
        <w:t>人。</w:t>
      </w:r>
      <w:r>
        <w:t>实施中医药文化传播行动，广泛开展中医药文化普及群众性活动，到2025年，公民中医药健康文化素养水平提高到25%以上。鼓励建设中医药博物馆、文化馆、展览馆、非遗馆等公益设施。支持中医药机构建设海外中医药中心。</w:t>
      </w:r>
    </w:p>
    <w:p w14:paraId="75A3F0BC">
      <w:pPr>
        <w:spacing w:line="580" w:lineRule="exact"/>
        <w:jc w:val="center"/>
        <w:rPr>
          <w:rFonts w:eastAsia="方正黑体_GBK"/>
          <w:bCs/>
          <w:sz w:val="30"/>
          <w:szCs w:val="30"/>
        </w:rPr>
      </w:pPr>
      <w:r>
        <w:rPr>
          <w:rFonts w:eastAsia="方正黑体_GBK"/>
          <w:bCs/>
          <w:sz w:val="30"/>
          <w:szCs w:val="30"/>
        </w:rPr>
        <w:t>专栏</w:t>
      </w:r>
      <w:r>
        <w:rPr>
          <w:rFonts w:hint="eastAsia" w:eastAsia="方正黑体_GBK"/>
          <w:bCs/>
          <w:sz w:val="30"/>
          <w:szCs w:val="30"/>
        </w:rPr>
        <w:t>6</w:t>
      </w:r>
      <w:r>
        <w:rPr>
          <w:rFonts w:eastAsia="方正黑体_GBK"/>
          <w:bCs/>
          <w:sz w:val="30"/>
          <w:szCs w:val="30"/>
        </w:rPr>
        <w:t xml:space="preserve"> 中医药发展项目</w:t>
      </w:r>
    </w:p>
    <w:tbl>
      <w:tblPr>
        <w:tblStyle w:val="10"/>
        <w:tblW w:w="8874" w:type="dxa"/>
        <w:tblInd w:w="1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74"/>
      </w:tblGrid>
      <w:tr w14:paraId="598C9E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c>
          <w:tcPr>
            <w:tcW w:w="8874" w:type="dxa"/>
            <w:vAlign w:val="center"/>
          </w:tcPr>
          <w:p w14:paraId="74481FDA">
            <w:pPr>
              <w:autoSpaceDE w:val="0"/>
              <w:autoSpaceDN w:val="0"/>
              <w:adjustRightInd/>
              <w:spacing w:line="400" w:lineRule="exact"/>
              <w:ind w:firstLine="480" w:firstLineChars="200"/>
              <w:textAlignment w:val="auto"/>
              <w:rPr>
                <w:bCs/>
                <w:kern w:val="2"/>
                <w:sz w:val="24"/>
                <w:szCs w:val="24"/>
              </w:rPr>
            </w:pPr>
            <w:r>
              <w:rPr>
                <w:bCs/>
                <w:kern w:val="2"/>
                <w:sz w:val="24"/>
                <w:szCs w:val="24"/>
              </w:rPr>
              <w:t>1.</w:t>
            </w:r>
            <w:r>
              <w:rPr>
                <w:rFonts w:hint="eastAsia"/>
                <w:bCs/>
                <w:kern w:val="2"/>
                <w:sz w:val="24"/>
                <w:szCs w:val="24"/>
              </w:rPr>
              <w:t>开展</w:t>
            </w:r>
            <w:r>
              <w:rPr>
                <w:bCs/>
                <w:kern w:val="2"/>
                <w:sz w:val="24"/>
                <w:szCs w:val="24"/>
              </w:rPr>
              <w:t>中医药服务体系建设。</w:t>
            </w:r>
            <w:r>
              <w:rPr>
                <w:rFonts w:hint="eastAsia"/>
                <w:bCs/>
                <w:kern w:val="2"/>
                <w:sz w:val="24"/>
                <w:szCs w:val="24"/>
              </w:rPr>
              <w:t>按照三级中医院标准迁建区中医院，</w:t>
            </w:r>
            <w:r>
              <w:rPr>
                <w:bCs/>
                <w:kern w:val="2"/>
                <w:sz w:val="24"/>
                <w:szCs w:val="24"/>
              </w:rPr>
              <w:t>加强综合医院、专科医院、妇幼保健院中医科室和中药房建设。</w:t>
            </w:r>
          </w:p>
          <w:p w14:paraId="0978709C">
            <w:pPr>
              <w:widowControl/>
              <w:shd w:val="clear" w:color="auto" w:fill="FFFFFF"/>
              <w:spacing w:line="400" w:lineRule="exact"/>
              <w:ind w:firstLine="480" w:firstLineChars="200"/>
              <w:rPr>
                <w:bCs/>
                <w:kern w:val="2"/>
                <w:sz w:val="24"/>
                <w:szCs w:val="24"/>
              </w:rPr>
            </w:pPr>
            <w:r>
              <w:rPr>
                <w:rFonts w:hint="eastAsia"/>
                <w:bCs/>
                <w:kern w:val="2"/>
                <w:sz w:val="24"/>
                <w:szCs w:val="24"/>
              </w:rPr>
              <w:t>2.增强中医药服务能力。实现镇卫生院（社区卫生服务中心）中医馆全覆盖，精品中医馆占60%以上，建设“旗舰”中医馆2个，中医诊疗量占比30%以上，</w:t>
            </w:r>
            <w:r>
              <w:rPr>
                <w:bCs/>
                <w:kern w:val="2"/>
                <w:sz w:val="24"/>
                <w:szCs w:val="24"/>
              </w:rPr>
              <w:t>新建</w:t>
            </w:r>
            <w:r>
              <w:rPr>
                <w:rFonts w:hint="eastAsia"/>
                <w:bCs/>
                <w:kern w:val="2"/>
                <w:sz w:val="24"/>
                <w:szCs w:val="24"/>
              </w:rPr>
              <w:t>2-3个</w:t>
            </w:r>
            <w:r>
              <w:rPr>
                <w:bCs/>
                <w:kern w:val="2"/>
                <w:sz w:val="24"/>
                <w:szCs w:val="24"/>
              </w:rPr>
              <w:t>中医名科、</w:t>
            </w:r>
            <w:r>
              <w:rPr>
                <w:rFonts w:hint="eastAsia"/>
                <w:bCs/>
                <w:kern w:val="2"/>
                <w:sz w:val="24"/>
                <w:szCs w:val="24"/>
              </w:rPr>
              <w:t>3-5个重点、特色专科</w:t>
            </w:r>
            <w:r>
              <w:rPr>
                <w:bCs/>
                <w:kern w:val="2"/>
                <w:sz w:val="24"/>
                <w:szCs w:val="24"/>
              </w:rPr>
              <w:t>，</w:t>
            </w:r>
            <w:r>
              <w:rPr>
                <w:rFonts w:hint="eastAsia"/>
                <w:bCs/>
                <w:kern w:val="2"/>
                <w:sz w:val="24"/>
                <w:szCs w:val="24"/>
              </w:rPr>
              <w:t>1-2</w:t>
            </w:r>
            <w:r>
              <w:rPr>
                <w:bCs/>
                <w:kern w:val="2"/>
                <w:sz w:val="24"/>
                <w:szCs w:val="24"/>
              </w:rPr>
              <w:t>个重点学科。建成</w:t>
            </w:r>
            <w:r>
              <w:rPr>
                <w:rFonts w:hint="eastAsia"/>
                <w:bCs/>
                <w:kern w:val="2"/>
                <w:sz w:val="24"/>
                <w:szCs w:val="24"/>
              </w:rPr>
              <w:t>区级</w:t>
            </w:r>
            <w:r>
              <w:rPr>
                <w:bCs/>
                <w:kern w:val="2"/>
                <w:sz w:val="24"/>
                <w:szCs w:val="24"/>
              </w:rPr>
              <w:t>中医治未病中心</w:t>
            </w:r>
            <w:r>
              <w:rPr>
                <w:rFonts w:hint="eastAsia"/>
                <w:bCs/>
                <w:kern w:val="2"/>
                <w:sz w:val="24"/>
                <w:szCs w:val="24"/>
              </w:rPr>
              <w:t>1</w:t>
            </w:r>
            <w:r>
              <w:rPr>
                <w:bCs/>
                <w:kern w:val="2"/>
                <w:sz w:val="24"/>
                <w:szCs w:val="24"/>
              </w:rPr>
              <w:t>个。</w:t>
            </w:r>
          </w:p>
          <w:p w14:paraId="4773A4D0">
            <w:pPr>
              <w:widowControl/>
              <w:shd w:val="clear" w:color="auto" w:fill="FFFFFF"/>
              <w:spacing w:line="400" w:lineRule="exact"/>
              <w:ind w:firstLine="480" w:firstLineChars="200"/>
            </w:pPr>
            <w:r>
              <w:rPr>
                <w:rFonts w:hint="eastAsia"/>
                <w:bCs/>
                <w:sz w:val="24"/>
                <w:szCs w:val="24"/>
              </w:rPr>
              <w:t>3</w:t>
            </w:r>
            <w:r>
              <w:rPr>
                <w:bCs/>
                <w:sz w:val="24"/>
                <w:szCs w:val="24"/>
              </w:rPr>
              <w:t>.中医药传承</w:t>
            </w:r>
            <w:r>
              <w:rPr>
                <w:rFonts w:hint="eastAsia"/>
                <w:bCs/>
                <w:color w:val="000000" w:themeColor="text1"/>
                <w:sz w:val="24"/>
                <w:szCs w:val="24"/>
                <w14:textFill>
                  <w14:solidFill>
                    <w14:schemeClr w14:val="tx1"/>
                  </w14:solidFill>
                </w14:textFill>
              </w:rPr>
              <w:t>项目</w:t>
            </w:r>
            <w:r>
              <w:rPr>
                <w:rFonts w:hint="eastAsia"/>
                <w:bCs/>
                <w:sz w:val="24"/>
                <w:szCs w:val="24"/>
              </w:rPr>
              <w:t>建设</w:t>
            </w:r>
            <w:r>
              <w:rPr>
                <w:bCs/>
                <w:sz w:val="24"/>
                <w:szCs w:val="24"/>
              </w:rPr>
              <w:t>。建设市级以上（基层）名老中医药专家传承工作室</w:t>
            </w:r>
            <w:r>
              <w:rPr>
                <w:rFonts w:hint="eastAsia"/>
                <w:bCs/>
                <w:sz w:val="24"/>
                <w:szCs w:val="24"/>
              </w:rPr>
              <w:t>1-2</w:t>
            </w:r>
            <w:r>
              <w:rPr>
                <w:bCs/>
                <w:sz w:val="24"/>
                <w:szCs w:val="24"/>
              </w:rPr>
              <w:t>个，培养</w:t>
            </w:r>
            <w:r>
              <w:rPr>
                <w:rFonts w:hint="eastAsia"/>
                <w:bCs/>
                <w:sz w:val="24"/>
                <w:szCs w:val="24"/>
              </w:rPr>
              <w:t>市级以上</w:t>
            </w:r>
            <w:r>
              <w:rPr>
                <w:bCs/>
                <w:sz w:val="24"/>
                <w:szCs w:val="24"/>
              </w:rPr>
              <w:t>名老中医药学术思想和临床经验继承人</w:t>
            </w:r>
            <w:r>
              <w:rPr>
                <w:rFonts w:hint="eastAsia"/>
                <w:bCs/>
                <w:sz w:val="24"/>
                <w:szCs w:val="24"/>
              </w:rPr>
              <w:t>2-4</w:t>
            </w:r>
            <w:r>
              <w:rPr>
                <w:bCs/>
                <w:sz w:val="24"/>
                <w:szCs w:val="24"/>
              </w:rPr>
              <w:t>人。</w:t>
            </w:r>
          </w:p>
        </w:tc>
      </w:tr>
    </w:tbl>
    <w:p w14:paraId="4D3BDEA7">
      <w:pPr>
        <w:pStyle w:val="5"/>
        <w:spacing w:before="0" w:after="0" w:line="580" w:lineRule="exact"/>
        <w:ind w:firstLine="640" w:firstLineChars="200"/>
        <w:rPr>
          <w:rFonts w:ascii="Times New Roman" w:hAnsi="Times New Roman" w:eastAsia="方正黑体_GBK"/>
          <w:kern w:val="44"/>
        </w:rPr>
      </w:pPr>
      <w:bookmarkStart w:id="80" w:name="_Toc1008"/>
      <w:bookmarkStart w:id="81" w:name="_Toc83307969"/>
      <w:bookmarkStart w:id="82" w:name="_Toc17926"/>
      <w:bookmarkStart w:id="83" w:name="_Toc78987129"/>
      <w:r>
        <w:rPr>
          <w:rFonts w:ascii="Times New Roman" w:hAnsi="Times New Roman" w:eastAsia="方正黑体_GBK"/>
          <w:kern w:val="44"/>
        </w:rPr>
        <w:t>七、促进大健康产业高质量发展</w:t>
      </w:r>
      <w:bookmarkEnd w:id="80"/>
      <w:bookmarkEnd w:id="81"/>
      <w:bookmarkEnd w:id="82"/>
      <w:bookmarkEnd w:id="83"/>
    </w:p>
    <w:p w14:paraId="5F7FB98E">
      <w:pPr>
        <w:pStyle w:val="5"/>
        <w:spacing w:before="0" w:after="0" w:line="580" w:lineRule="exact"/>
        <w:ind w:firstLine="640" w:firstLineChars="200"/>
        <w:rPr>
          <w:rFonts w:ascii="Times New Roman" w:hAnsi="Times New Roman"/>
        </w:rPr>
      </w:pPr>
      <w:bookmarkStart w:id="84" w:name="_Toc83307970"/>
      <w:r>
        <w:rPr>
          <w:rFonts w:ascii="Times New Roman" w:hAnsi="Times New Roman"/>
        </w:rPr>
        <w:t>（一）优化多元社会办医格局</w:t>
      </w:r>
      <w:bookmarkEnd w:id="84"/>
    </w:p>
    <w:p w14:paraId="70F0C318">
      <w:pPr>
        <w:spacing w:line="580" w:lineRule="exact"/>
        <w:ind w:firstLine="640" w:firstLineChars="200"/>
      </w:pPr>
      <w:r>
        <w:rPr>
          <w:rFonts w:hint="eastAsia"/>
          <w:bCs/>
        </w:rPr>
        <w:t>40</w:t>
      </w:r>
      <w:r>
        <w:rPr>
          <w:bCs/>
        </w:rPr>
        <w:t>. 深化“放管服”改革，促进社会办医规范发展。鼓励和支持社会资本</w:t>
      </w:r>
      <w:r>
        <w:rPr>
          <w:rFonts w:hint="eastAsia" w:ascii="方正仿宋_GBK" w:hAnsi="方正仿宋_GBK" w:cs="方正仿宋_GBK"/>
          <w:color w:val="333333"/>
        </w:rPr>
        <w:t>在医疗资源薄弱区域和康复、护理、精神卫生等短缺专科领域举办</w:t>
      </w:r>
      <w:r>
        <w:rPr>
          <w:bCs/>
        </w:rPr>
        <w:t>医疗机构。</w:t>
      </w:r>
      <w:r>
        <w:rPr>
          <w:rFonts w:hint="eastAsia"/>
          <w:bCs/>
        </w:rPr>
        <w:t>支持社会办医发展“互联网+医疗健康”服务。持续深化行政审批制度改革，着力推进机构设置审批减环节、减材料、减时限、减费用。深化“证照分离”改革，进一步降低行业准入门槛。</w:t>
      </w:r>
      <w:r>
        <w:rPr>
          <w:bCs/>
        </w:rPr>
        <w:t>大力提升网上政务服务效能</w:t>
      </w:r>
      <w:r>
        <w:rPr>
          <w:rFonts w:hint="eastAsia"/>
          <w:bCs/>
        </w:rPr>
        <w:t>，</w:t>
      </w:r>
      <w:r>
        <w:rPr>
          <w:bCs/>
        </w:rPr>
        <w:t>积极推动跨区域通办和川渝通办事项</w:t>
      </w:r>
      <w:r>
        <w:rPr>
          <w:rFonts w:hint="eastAsia"/>
          <w:bCs/>
        </w:rPr>
        <w:t>。</w:t>
      </w:r>
      <w:r>
        <w:rPr>
          <w:bCs/>
        </w:rPr>
        <w:t>加强政府监管和服务，推进行业自律和社会监督，提高社会办医疗机构同质化水平。</w:t>
      </w:r>
    </w:p>
    <w:p w14:paraId="0B7E32FE">
      <w:pPr>
        <w:pStyle w:val="5"/>
        <w:spacing w:before="0" w:after="0" w:line="580" w:lineRule="exact"/>
        <w:ind w:firstLine="640" w:firstLineChars="200"/>
        <w:rPr>
          <w:rFonts w:ascii="Times New Roman" w:hAnsi="Times New Roman"/>
        </w:rPr>
      </w:pPr>
      <w:bookmarkStart w:id="85" w:name="_Toc83307971"/>
      <w:bookmarkStart w:id="86" w:name="_Toc78987130"/>
      <w:r>
        <w:rPr>
          <w:rFonts w:ascii="Times New Roman" w:hAnsi="Times New Roman"/>
        </w:rPr>
        <w:t>（二）促进</w:t>
      </w:r>
      <w:r>
        <w:rPr>
          <w:rFonts w:hint="eastAsia" w:ascii="Times New Roman" w:hAnsi="Times New Roman"/>
        </w:rPr>
        <w:t>大健康</w:t>
      </w:r>
      <w:r>
        <w:rPr>
          <w:rFonts w:ascii="Times New Roman" w:hAnsi="Times New Roman"/>
        </w:rPr>
        <w:t>生物医药产业发展</w:t>
      </w:r>
      <w:bookmarkEnd w:id="85"/>
      <w:bookmarkEnd w:id="86"/>
    </w:p>
    <w:p w14:paraId="550AD07F">
      <w:pPr>
        <w:spacing w:line="580" w:lineRule="exact"/>
        <w:ind w:firstLine="640" w:firstLineChars="200"/>
      </w:pPr>
      <w:r>
        <w:rPr>
          <w:rFonts w:hint="eastAsia"/>
          <w:bCs/>
        </w:rPr>
        <w:t>41</w:t>
      </w:r>
      <w:r>
        <w:rPr>
          <w:bCs/>
        </w:rPr>
        <w:t>. 支持</w:t>
      </w:r>
      <w:r>
        <w:rPr>
          <w:rFonts w:hint="eastAsia"/>
          <w:bCs/>
        </w:rPr>
        <w:t>做特做精大健康生物医药产业，深耕体外诊断产业，推挤国内知名药企、重点实验室、生物医药研发中心落户大渡口。支持大渡口区生物医药产业园发展</w:t>
      </w:r>
      <w:r>
        <w:rPr>
          <w:bCs/>
        </w:rPr>
        <w:t>。</w:t>
      </w:r>
      <w:r>
        <w:rPr>
          <w:rFonts w:hint="eastAsia"/>
        </w:rPr>
        <w:t>做大做强生化诊断、免疫诊断、分子诊断、即时诊断等细分市场</w:t>
      </w:r>
      <w:r>
        <w:t>。</w:t>
      </w:r>
      <w:r>
        <w:rPr>
          <w:rFonts w:hint="eastAsia"/>
        </w:rPr>
        <w:t>做精做特数字X射线机、派克CT、手术机器人、医用3D打印机、口腔医疗等高端医疗器械部件及整机生产，打造具有影响力的医疗器械科技产业园。到2025年，规上大健康生物医药企业达40家、营业收入达100亿，其中10亿级企业达3家。</w:t>
      </w:r>
    </w:p>
    <w:p w14:paraId="1FE99824">
      <w:pPr>
        <w:pStyle w:val="5"/>
        <w:spacing w:before="0" w:after="0" w:line="580" w:lineRule="exact"/>
        <w:ind w:firstLine="640" w:firstLineChars="200"/>
        <w:rPr>
          <w:rFonts w:ascii="Times New Roman" w:hAnsi="Times New Roman"/>
        </w:rPr>
      </w:pPr>
      <w:bookmarkStart w:id="87" w:name="_Toc78987132"/>
      <w:bookmarkStart w:id="88" w:name="_Toc83307972"/>
      <w:bookmarkStart w:id="89" w:name="_Toc466533479"/>
      <w:bookmarkStart w:id="90" w:name="_Toc4897"/>
      <w:bookmarkStart w:id="91" w:name="_Toc29201"/>
      <w:r>
        <w:rPr>
          <w:rFonts w:ascii="Times New Roman" w:hAnsi="Times New Roman"/>
        </w:rPr>
        <w:t>（三）拓展健康服务新业态</w:t>
      </w:r>
      <w:bookmarkEnd w:id="87"/>
      <w:bookmarkEnd w:id="88"/>
    </w:p>
    <w:p w14:paraId="4FA793CE">
      <w:pPr>
        <w:spacing w:line="580" w:lineRule="exact"/>
        <w:ind w:firstLine="640" w:firstLineChars="200"/>
        <w:rPr>
          <w:bCs/>
        </w:rPr>
      </w:pPr>
      <w:r>
        <w:rPr>
          <w:rFonts w:hint="eastAsia"/>
          <w:bCs/>
        </w:rPr>
        <w:t>42</w:t>
      </w:r>
      <w:r>
        <w:rPr>
          <w:bCs/>
        </w:rPr>
        <w:t>. 支持发展中医药养生游，支持旅游与药膳健康养生产品、中医药文化体验、中医药保健养生等中医药康养业态融合</w:t>
      </w:r>
      <w:r>
        <w:rPr>
          <w:rFonts w:hint="eastAsia"/>
          <w:bCs/>
        </w:rPr>
        <w:t>。</w:t>
      </w:r>
      <w:r>
        <w:rPr>
          <w:bCs/>
        </w:rPr>
        <w:t>推动中医药健康服务高质量多业态融合发展，推进中医康养服务，建设</w:t>
      </w:r>
      <w:r>
        <w:rPr>
          <w:rFonts w:hint="eastAsia"/>
          <w:bCs/>
        </w:rPr>
        <w:t>培育金鳌山周边</w:t>
      </w:r>
      <w:r>
        <w:rPr>
          <w:bCs/>
        </w:rPr>
        <w:t>中医药</w:t>
      </w:r>
      <w:r>
        <w:rPr>
          <w:rFonts w:hint="eastAsia"/>
          <w:bCs/>
        </w:rPr>
        <w:t>健康旅游综合体。</w:t>
      </w:r>
      <w:r>
        <w:rPr>
          <w:bCs/>
        </w:rPr>
        <w:t>提升健康管理服务质效，推广全生命周期分级式的健康管理服务模式，推动向个性化、专业化、智慧化发展。支持增加商业健康保险供给，发展商业长期护理保险、医疗责任险、医疗意外保险。支持发展以母婴护理、家庭护理等为主要内容的家庭服务业。</w:t>
      </w:r>
    </w:p>
    <w:p w14:paraId="1967E3B7">
      <w:pPr>
        <w:pStyle w:val="5"/>
        <w:spacing w:before="0" w:after="0" w:line="580" w:lineRule="exact"/>
        <w:ind w:firstLine="640" w:firstLineChars="200"/>
        <w:rPr>
          <w:rFonts w:ascii="Times New Roman" w:hAnsi="Times New Roman" w:eastAsia="方正黑体_GBK"/>
          <w:kern w:val="44"/>
        </w:rPr>
      </w:pPr>
      <w:bookmarkStart w:id="92" w:name="_Toc8946"/>
      <w:bookmarkStart w:id="93" w:name="_Toc83307973"/>
      <w:bookmarkStart w:id="94" w:name="_Toc78987133"/>
      <w:bookmarkStart w:id="95" w:name="_Toc788"/>
      <w:r>
        <w:rPr>
          <w:rFonts w:ascii="Times New Roman" w:hAnsi="Times New Roman" w:eastAsia="方正黑体_GBK"/>
          <w:kern w:val="44"/>
        </w:rPr>
        <w:t>八、全面深化医药卫生体制改革</w:t>
      </w:r>
      <w:bookmarkEnd w:id="92"/>
      <w:bookmarkEnd w:id="93"/>
      <w:bookmarkEnd w:id="94"/>
      <w:bookmarkEnd w:id="95"/>
    </w:p>
    <w:p w14:paraId="660C002E">
      <w:pPr>
        <w:pStyle w:val="5"/>
        <w:spacing w:before="0" w:after="0" w:line="580" w:lineRule="exact"/>
        <w:ind w:firstLine="640" w:firstLineChars="200"/>
        <w:rPr>
          <w:rFonts w:ascii="Times New Roman" w:hAnsi="Times New Roman"/>
        </w:rPr>
      </w:pPr>
      <w:bookmarkStart w:id="96" w:name="_Toc78987134"/>
      <w:bookmarkStart w:id="97" w:name="_Toc83307974"/>
      <w:r>
        <w:rPr>
          <w:rFonts w:ascii="Times New Roman" w:hAnsi="Times New Roman"/>
        </w:rPr>
        <w:t>（一）坚持和加强党对公立医院的全面领导</w:t>
      </w:r>
      <w:bookmarkEnd w:id="96"/>
      <w:bookmarkEnd w:id="97"/>
    </w:p>
    <w:p w14:paraId="4B788740">
      <w:pPr>
        <w:spacing w:line="580" w:lineRule="exact"/>
        <w:ind w:firstLine="640" w:firstLineChars="200"/>
        <w:rPr>
          <w:bCs/>
        </w:rPr>
      </w:pPr>
      <w:r>
        <w:rPr>
          <w:rFonts w:hint="eastAsia"/>
          <w:bCs/>
        </w:rPr>
        <w:t>43</w:t>
      </w:r>
      <w:r>
        <w:rPr>
          <w:bCs/>
        </w:rPr>
        <w:t>. 加强公立医院主体地位，坚持和加强党对公立医院的全面领导，全面执行和落实党委领导下的院长负责制，推动公立医院高质量发展，各公立医院修订完善医院党委会、院长办公会议事规则</w:t>
      </w:r>
      <w:r>
        <w:rPr>
          <w:rFonts w:hint="eastAsia"/>
          <w:bCs/>
        </w:rPr>
        <w:t>，</w:t>
      </w:r>
      <w:r>
        <w:rPr>
          <w:bCs/>
        </w:rPr>
        <w:t>备案率达到100%。加强领导班子和干部人才队伍建设，提升公立医院党组织和党员队伍建设质量，着力提升公立医院基层党建工作水平，把党支部建设成为坚强战斗堡垒，公立医院临床医技科室党支部书记由业务骨干担任比例达到90%以上</w:t>
      </w:r>
      <w:r>
        <w:rPr>
          <w:rFonts w:hint="eastAsia"/>
          <w:bCs/>
        </w:rPr>
        <w:t>，科室主任实行“双任双免”制度</w:t>
      </w:r>
      <w:r>
        <w:rPr>
          <w:bCs/>
        </w:rPr>
        <w:t>。落实公立医院党建工作责任，建立健全党建工作机制。</w:t>
      </w:r>
    </w:p>
    <w:p w14:paraId="5FE3FE94">
      <w:pPr>
        <w:pStyle w:val="5"/>
        <w:spacing w:before="0" w:after="0" w:line="580" w:lineRule="exact"/>
        <w:ind w:firstLine="640" w:firstLineChars="200"/>
        <w:rPr>
          <w:rFonts w:ascii="Times New Roman" w:hAnsi="Times New Roman"/>
        </w:rPr>
      </w:pPr>
      <w:bookmarkStart w:id="98" w:name="_Toc78987135"/>
      <w:bookmarkStart w:id="99" w:name="_Toc83307975"/>
      <w:r>
        <w:rPr>
          <w:rFonts w:ascii="Times New Roman" w:hAnsi="Times New Roman"/>
        </w:rPr>
        <w:t>（二）深入推广三明医改经验</w:t>
      </w:r>
      <w:bookmarkEnd w:id="98"/>
      <w:bookmarkEnd w:id="99"/>
    </w:p>
    <w:p w14:paraId="15CF5754">
      <w:pPr>
        <w:spacing w:line="580" w:lineRule="exact"/>
        <w:ind w:firstLine="640" w:firstLineChars="200"/>
        <w:rPr>
          <w:bCs/>
        </w:rPr>
      </w:pPr>
      <w:r>
        <w:rPr>
          <w:rFonts w:hint="eastAsia"/>
          <w:bCs/>
        </w:rPr>
        <w:t>44</w:t>
      </w:r>
      <w:r>
        <w:rPr>
          <w:bCs/>
        </w:rPr>
        <w:t xml:space="preserve">. </w:t>
      </w:r>
      <w:r>
        <w:rPr>
          <w:rFonts w:hint="eastAsia"/>
          <w:bCs/>
        </w:rPr>
        <w:t>全面推开医共体</w:t>
      </w:r>
      <w:r>
        <w:rPr>
          <w:bCs/>
        </w:rPr>
        <w:t>“</w:t>
      </w:r>
      <w:r>
        <w:rPr>
          <w:rFonts w:hint="eastAsia"/>
          <w:bCs/>
        </w:rPr>
        <w:t>三通</w:t>
      </w:r>
      <w:r>
        <w:rPr>
          <w:bCs/>
        </w:rPr>
        <w:t>”</w:t>
      </w:r>
      <w:r>
        <w:rPr>
          <w:rFonts w:hint="eastAsia"/>
          <w:bCs/>
        </w:rPr>
        <w:t>建设。建成以区人民医院、区中医院和重钢总医院为牵头医院的3个城市医疗集团。</w:t>
      </w:r>
      <w:r>
        <w:rPr>
          <w:bCs/>
        </w:rPr>
        <w:t>加强医共体“三通”运行监测和绩效评价，持续破解“医通、人通、财通”体制机制障碍。落实医共体内实行医保基金“总额预算、结余留用、合理超支分担”机制。推进“</w:t>
      </w:r>
      <w:r>
        <w:rPr>
          <w:rFonts w:hint="eastAsia"/>
          <w:bCs/>
        </w:rPr>
        <w:t>区</w:t>
      </w:r>
      <w:r>
        <w:rPr>
          <w:bCs/>
        </w:rPr>
        <w:t>管</w:t>
      </w:r>
      <w:r>
        <w:rPr>
          <w:rFonts w:hint="eastAsia"/>
          <w:bCs/>
        </w:rPr>
        <w:t>镇</w:t>
      </w:r>
      <w:r>
        <w:rPr>
          <w:bCs/>
        </w:rPr>
        <w:t>用、</w:t>
      </w:r>
      <w:r>
        <w:rPr>
          <w:rFonts w:hint="eastAsia"/>
          <w:bCs/>
        </w:rPr>
        <w:t>镇</w:t>
      </w:r>
      <w:r>
        <w:rPr>
          <w:bCs/>
        </w:rPr>
        <w:t>聘村用”试点。推动医防工作在管理、队伍、服务、信息、绩效等五方面实现融合。</w:t>
      </w:r>
    </w:p>
    <w:p w14:paraId="3E10F2B8">
      <w:pPr>
        <w:spacing w:line="580" w:lineRule="exact"/>
        <w:ind w:firstLine="640" w:firstLineChars="200"/>
        <w:rPr>
          <w:bCs/>
        </w:rPr>
      </w:pPr>
      <w:r>
        <w:rPr>
          <w:rFonts w:hint="eastAsia"/>
          <w:bCs/>
        </w:rPr>
        <w:t>45</w:t>
      </w:r>
      <w:r>
        <w:rPr>
          <w:bCs/>
        </w:rPr>
        <w:t xml:space="preserve">. </w:t>
      </w:r>
      <w:r>
        <w:rPr>
          <w:rFonts w:hint="eastAsia"/>
          <w:bCs/>
        </w:rPr>
        <w:t>深化人事薪酬制度改革。</w:t>
      </w:r>
      <w:r>
        <w:rPr>
          <w:bCs/>
        </w:rPr>
        <w:t>推动在医疗卫生机构落实“两个允许”要求，落实分配自主权。</w:t>
      </w:r>
      <w:r>
        <w:rPr>
          <w:rFonts w:hint="eastAsia"/>
          <w:bCs/>
        </w:rPr>
        <w:t>优化公立医院薪酬分配绩效考核体系，</w:t>
      </w:r>
      <w:r>
        <w:rPr>
          <w:bCs/>
        </w:rPr>
        <w:t>动态调整公立医院薪酬水平，合理确定人员支出占公立医院业务支出的比例。深化基层运行机制改革，完善乡村基层卫生健康人才激励机制，</w:t>
      </w:r>
      <w:r>
        <w:rPr>
          <w:rFonts w:hint="eastAsia"/>
          <w:bCs/>
        </w:rPr>
        <w:t>强化基层医疗机构绩效管理，鼓励有条件的基层医疗机构率先实现“两个允许”突破，</w:t>
      </w:r>
      <w:r>
        <w:rPr>
          <w:bCs/>
        </w:rPr>
        <w:t>合理保障基层医务人员薪酬水平。</w:t>
      </w:r>
    </w:p>
    <w:p w14:paraId="5FDC928B">
      <w:pPr>
        <w:spacing w:line="580" w:lineRule="exact"/>
        <w:ind w:firstLine="640" w:firstLineChars="200"/>
        <w:rPr>
          <w:bCs/>
        </w:rPr>
      </w:pPr>
      <w:r>
        <w:rPr>
          <w:bCs/>
        </w:rPr>
        <w:t>4</w:t>
      </w:r>
      <w:r>
        <w:rPr>
          <w:rFonts w:hint="eastAsia"/>
          <w:bCs/>
        </w:rPr>
        <w:t>6</w:t>
      </w:r>
      <w:r>
        <w:rPr>
          <w:bCs/>
        </w:rPr>
        <w:t xml:space="preserve">. </w:t>
      </w:r>
      <w:r>
        <w:rPr>
          <w:rFonts w:hint="eastAsia"/>
          <w:bCs/>
        </w:rPr>
        <w:t>推动药品耗材集中带量采购。巩固完善基本药物制度，逐步提高各级医疗卫生机构基本药物配备和使用比例。推动药品集中带量采购工作常态化开展，落实药品集采医保资金结余留用政策。建立医保支付标准与采购价格联动调整机制，实现挂网价、交易价、支付价“三价合一”。探索建立短缺药品保供稳价集采机制，持续加强药品价格监测。探索完善耗材交易采购制度，规范采购工作。</w:t>
      </w:r>
    </w:p>
    <w:p w14:paraId="449AA4B1">
      <w:pPr>
        <w:spacing w:line="580" w:lineRule="exact"/>
        <w:ind w:firstLine="640" w:firstLineChars="200"/>
        <w:rPr>
          <w:bCs/>
        </w:rPr>
      </w:pPr>
      <w:r>
        <w:rPr>
          <w:bCs/>
        </w:rPr>
        <w:t>4</w:t>
      </w:r>
      <w:r>
        <w:rPr>
          <w:rFonts w:hint="eastAsia"/>
          <w:bCs/>
        </w:rPr>
        <w:t>7</w:t>
      </w:r>
      <w:r>
        <w:rPr>
          <w:bCs/>
        </w:rPr>
        <w:t xml:space="preserve">. </w:t>
      </w:r>
      <w:r>
        <w:rPr>
          <w:rFonts w:hint="eastAsia"/>
          <w:bCs/>
        </w:rPr>
        <w:t>深化医疗服务价格改革。强化基本医疗卫生事业公益属性，建立合理补偿机制，建立健全适应经济社会发展、更好发挥政府作用、医疗机构充分参与、体现技术劳务价值的医疗服务价格形成机制，医疗服务收入占医疗收入的比例达到</w:t>
      </w:r>
      <w:r>
        <w:rPr>
          <w:bCs/>
        </w:rPr>
        <w:t>35%</w:t>
      </w:r>
      <w:r>
        <w:rPr>
          <w:rFonts w:hint="eastAsia"/>
          <w:bCs/>
        </w:rPr>
        <w:t>以上。建立完善医疗服务价格动态调整机制，每年开展一次调价评估，监测公立医疗机构医疗服务价格、成本、费用、收入分配及改革运行情况等，作为实施医疗服务价格调整的基础。</w:t>
      </w:r>
    </w:p>
    <w:p w14:paraId="46EA6282">
      <w:pPr>
        <w:spacing w:line="580" w:lineRule="exact"/>
        <w:ind w:firstLine="640" w:firstLineChars="200"/>
        <w:rPr>
          <w:bCs/>
        </w:rPr>
      </w:pPr>
      <w:r>
        <w:rPr>
          <w:rFonts w:hint="eastAsia"/>
          <w:bCs/>
        </w:rPr>
        <w:t>48</w:t>
      </w:r>
      <w:r>
        <w:rPr>
          <w:bCs/>
        </w:rPr>
        <w:t xml:space="preserve">. </w:t>
      </w:r>
      <w:r>
        <w:rPr>
          <w:rFonts w:hint="eastAsia"/>
          <w:bCs/>
        </w:rPr>
        <w:t>深化医保支付方式改革。按照国家和市级统一安排部署，稳妥实施按疾病诊断相关分组（DRGs）。持续推进以按病种付费为主的多元复合医保支付方式改革。落实城乡居民高血压、糖尿病门诊用药保障制度。将符合条件的互联网医疗服务纳入医保支付范围。</w:t>
      </w:r>
    </w:p>
    <w:p w14:paraId="4C1F53B6">
      <w:pPr>
        <w:pStyle w:val="5"/>
        <w:spacing w:before="0" w:after="0" w:line="580" w:lineRule="exact"/>
        <w:ind w:firstLine="640" w:firstLineChars="200"/>
        <w:rPr>
          <w:rFonts w:ascii="Times New Roman" w:hAnsi="Times New Roman"/>
        </w:rPr>
      </w:pPr>
      <w:bookmarkStart w:id="100" w:name="_Toc78987139"/>
      <w:bookmarkStart w:id="101" w:name="_Toc83307976"/>
      <w:r>
        <w:rPr>
          <w:rFonts w:ascii="Times New Roman" w:hAnsi="Times New Roman"/>
        </w:rPr>
        <w:t>（三）提升卫生健康治理水平</w:t>
      </w:r>
      <w:bookmarkEnd w:id="100"/>
      <w:bookmarkEnd w:id="101"/>
    </w:p>
    <w:p w14:paraId="3F9DD588">
      <w:pPr>
        <w:spacing w:line="580" w:lineRule="exact"/>
        <w:ind w:firstLine="640" w:firstLineChars="200"/>
        <w:rPr>
          <w:bCs/>
        </w:rPr>
      </w:pPr>
      <w:r>
        <w:rPr>
          <w:rFonts w:hint="eastAsia"/>
          <w:bCs/>
          <w:kern w:val="2"/>
        </w:rPr>
        <w:t>49</w:t>
      </w:r>
      <w:r>
        <w:rPr>
          <w:bCs/>
          <w:kern w:val="2"/>
        </w:rPr>
        <w:t>.</w:t>
      </w:r>
      <w:r>
        <w:rPr>
          <w:bCs/>
        </w:rPr>
        <w:t xml:space="preserve"> </w:t>
      </w:r>
      <w:r>
        <w:rPr>
          <w:rFonts w:hint="eastAsia"/>
          <w:bCs/>
        </w:rPr>
        <w:t>完善卫生健康法治体系。落实法治建设主体责任，充分发挥各级党组织在法治建设中的领导核心作用。推进法治宣传教育，</w:t>
      </w:r>
      <w:r>
        <w:rPr>
          <w:bCs/>
        </w:rPr>
        <w:t>加强对《民法典》《重庆市突发公共卫生</w:t>
      </w:r>
      <w:r>
        <w:rPr>
          <w:rFonts w:hint="eastAsia"/>
          <w:bCs/>
        </w:rPr>
        <w:t>事件</w:t>
      </w:r>
      <w:r>
        <w:rPr>
          <w:bCs/>
        </w:rPr>
        <w:t>应急条例》《重庆市</w:t>
      </w:r>
      <w:r>
        <w:rPr>
          <w:rFonts w:hint="eastAsia"/>
          <w:bCs/>
        </w:rPr>
        <w:t>院前</w:t>
      </w:r>
      <w:r>
        <w:rPr>
          <w:bCs/>
        </w:rPr>
        <w:t>急救条例》《重庆市人口与计划生育条例》等</w:t>
      </w:r>
      <w:r>
        <w:rPr>
          <w:rFonts w:hint="eastAsia"/>
          <w:bCs/>
        </w:rPr>
        <w:t>法律</w:t>
      </w:r>
      <w:r>
        <w:rPr>
          <w:bCs/>
        </w:rPr>
        <w:t>法规</w:t>
      </w:r>
      <w:r>
        <w:rPr>
          <w:rFonts w:hint="eastAsia"/>
          <w:bCs/>
        </w:rPr>
        <w:t>的宣贯</w:t>
      </w:r>
      <w:r>
        <w:rPr>
          <w:bCs/>
        </w:rPr>
        <w:t>，增强全社会法治意识，强化法制审核工作机制，</w:t>
      </w:r>
      <w:r>
        <w:rPr>
          <w:rFonts w:hint="eastAsia" w:ascii="方正仿宋_GBK"/>
          <w:bCs/>
        </w:rPr>
        <w:t>坚持</w:t>
      </w:r>
      <w:r>
        <w:rPr>
          <w:rFonts w:ascii="方正仿宋_GBK"/>
          <w:bCs/>
        </w:rPr>
        <w:t>合法性审核</w:t>
      </w:r>
      <w:r>
        <w:rPr>
          <w:rFonts w:hint="eastAsia" w:ascii="方正仿宋_GBK"/>
          <w:bCs/>
        </w:rPr>
        <w:t>、合规性审查</w:t>
      </w:r>
      <w:r>
        <w:rPr>
          <w:rFonts w:ascii="方正仿宋_GBK"/>
          <w:bCs/>
        </w:rPr>
        <w:t>和公平竞争审查</w:t>
      </w:r>
      <w:r>
        <w:rPr>
          <w:rFonts w:hint="eastAsia" w:ascii="方正仿宋_GBK"/>
          <w:bCs/>
        </w:rPr>
        <w:t>同步，推进重大行政决策的科学化、民主化和法治化</w:t>
      </w:r>
      <w:r>
        <w:rPr>
          <w:rFonts w:ascii="方正仿宋_GBK"/>
          <w:bCs/>
        </w:rPr>
        <w:t>。</w:t>
      </w:r>
    </w:p>
    <w:p w14:paraId="5176B1F9">
      <w:pPr>
        <w:spacing w:line="580" w:lineRule="exact"/>
        <w:ind w:firstLine="640" w:firstLineChars="200"/>
        <w:rPr>
          <w:bCs/>
        </w:rPr>
      </w:pPr>
      <w:r>
        <w:rPr>
          <w:rFonts w:hint="eastAsia"/>
          <w:bCs/>
        </w:rPr>
        <w:t>50</w:t>
      </w:r>
      <w:r>
        <w:rPr>
          <w:bCs/>
        </w:rPr>
        <w:t xml:space="preserve">. </w:t>
      </w:r>
      <w:r>
        <w:rPr>
          <w:rFonts w:hint="eastAsia"/>
          <w:bCs/>
        </w:rPr>
        <w:t>健全综合监管制度。</w:t>
      </w:r>
      <w:r>
        <w:rPr>
          <w:rFonts w:hint="eastAsia" w:ascii="方正仿宋_GBK"/>
          <w:bCs/>
        </w:rPr>
        <w:t>健全部门协调机制，完善政府主导、机构自治、行业自律、社会监督的综合监管体系。建立健全信用评价体系，</w:t>
      </w:r>
      <w:r>
        <w:rPr>
          <w:rFonts w:hAnsi="方正仿宋_GBK"/>
        </w:rPr>
        <w:t>实施守信联合激励和失信联合惩戒</w:t>
      </w:r>
      <w:r>
        <w:rPr>
          <w:rFonts w:hint="eastAsia" w:hAnsi="方正仿宋_GBK"/>
        </w:rPr>
        <w:t>。</w:t>
      </w:r>
      <w:r>
        <w:rPr>
          <w:rFonts w:hint="eastAsia" w:ascii="方正仿宋_GBK"/>
          <w:bCs/>
        </w:rPr>
        <w:t>深入实施卫生行政执法“三项制度”，不断完善</w:t>
      </w:r>
      <w:r>
        <w:rPr>
          <w:rFonts w:hint="eastAsia" w:ascii="方正仿宋_GBK"/>
          <w:bCs/>
          <w:lang w:eastAsia="zh-CN"/>
        </w:rPr>
        <w:t>“双随机、一公开”监管</w:t>
      </w:r>
      <w:r>
        <w:rPr>
          <w:rFonts w:hint="eastAsia" w:ascii="方正仿宋_GBK"/>
          <w:bCs/>
        </w:rPr>
        <w:t>工作机制。推进“诚信+综合监管”试点，全面加强医疗服务多元化监管。建立公立医院动态监测与评估机制，实施公立医院监测数据接入全覆盖。强化医疗服务监管职能，完善机构、人员、技术、装备准入和退出机制。支持社会各界参与监督，加强相关投诉举报平台建设，发挥媒体监督作用。</w:t>
      </w:r>
    </w:p>
    <w:p w14:paraId="152D6BE2">
      <w:pPr>
        <w:spacing w:line="580" w:lineRule="exact"/>
        <w:ind w:firstLine="640" w:firstLineChars="200"/>
        <w:rPr>
          <w:rFonts w:ascii="方正仿宋_GBK"/>
          <w:bCs/>
        </w:rPr>
      </w:pPr>
      <w:r>
        <w:rPr>
          <w:rFonts w:hint="eastAsia"/>
          <w:bCs/>
        </w:rPr>
        <w:t>51</w:t>
      </w:r>
      <w:r>
        <w:rPr>
          <w:bCs/>
        </w:rPr>
        <w:t xml:space="preserve">. </w:t>
      </w:r>
      <w:r>
        <w:rPr>
          <w:rFonts w:hint="eastAsia" w:ascii="方正仿宋_GBK"/>
          <w:bCs/>
        </w:rPr>
        <w:t>加强监督执法能力建设。建设专业高效、统一规范、文明公正的卫生健康执法监督队伍。持续开展规范化监督执法机构建设。实施卫生监督智能化监管，建成 “智慧卫监”平台。推进执法办案质量提升行动，重点加强传染病防控等领域监督执法。探索建立健全事前、事中和事后全监管环节的新型监管机制。</w:t>
      </w:r>
    </w:p>
    <w:p w14:paraId="7D3D3D28">
      <w:pPr>
        <w:pStyle w:val="5"/>
        <w:spacing w:before="0" w:after="0" w:line="580" w:lineRule="exact"/>
        <w:ind w:firstLine="640" w:firstLineChars="200"/>
        <w:rPr>
          <w:rFonts w:ascii="Times New Roman" w:hAnsi="Times New Roman" w:eastAsia="方正黑体_GBK"/>
          <w:kern w:val="44"/>
        </w:rPr>
      </w:pPr>
      <w:bookmarkStart w:id="102" w:name="_Toc78987140"/>
      <w:bookmarkStart w:id="103" w:name="_Toc83307977"/>
      <w:r>
        <w:rPr>
          <w:rFonts w:ascii="Times New Roman" w:hAnsi="Times New Roman" w:eastAsia="方正黑体_GBK"/>
          <w:kern w:val="44"/>
        </w:rPr>
        <w:t>九、</w:t>
      </w:r>
      <w:bookmarkEnd w:id="102"/>
      <w:r>
        <w:rPr>
          <w:rFonts w:ascii="Times New Roman" w:hAnsi="Times New Roman" w:eastAsia="方正黑体_GBK"/>
          <w:kern w:val="44"/>
        </w:rPr>
        <w:t>促进人口长期均衡发展</w:t>
      </w:r>
      <w:bookmarkEnd w:id="103"/>
    </w:p>
    <w:p w14:paraId="73E8932C">
      <w:pPr>
        <w:pStyle w:val="5"/>
        <w:spacing w:before="0" w:after="0" w:line="580" w:lineRule="exact"/>
        <w:ind w:firstLine="640" w:firstLineChars="200"/>
        <w:rPr>
          <w:rFonts w:ascii="Times New Roman" w:hAnsi="Times New Roman"/>
        </w:rPr>
      </w:pPr>
      <w:bookmarkStart w:id="104" w:name="_Toc83307978"/>
      <w:bookmarkStart w:id="105" w:name="_Toc78987141"/>
      <w:r>
        <w:rPr>
          <w:rFonts w:ascii="Times New Roman" w:hAnsi="Times New Roman"/>
        </w:rPr>
        <w:t>（一）推动实现适度生育水平</w:t>
      </w:r>
      <w:bookmarkEnd w:id="104"/>
      <w:bookmarkEnd w:id="105"/>
    </w:p>
    <w:p w14:paraId="0AAACE76">
      <w:pPr>
        <w:spacing w:line="580" w:lineRule="exact"/>
        <w:ind w:firstLine="640" w:firstLineChars="200"/>
        <w:rPr>
          <w:b/>
        </w:rPr>
      </w:pPr>
      <w:r>
        <w:rPr>
          <w:rFonts w:hint="eastAsia"/>
          <w:bCs/>
        </w:rPr>
        <w:t>52</w:t>
      </w:r>
      <w:r>
        <w:rPr>
          <w:bCs/>
        </w:rPr>
        <w:t xml:space="preserve">. </w:t>
      </w:r>
      <w:r>
        <w:rPr>
          <w:rFonts w:hint="eastAsia"/>
          <w:bCs/>
        </w:rPr>
        <w:t>落实优化生育政策。</w:t>
      </w:r>
      <w:r>
        <w:rPr>
          <w:bCs/>
        </w:rPr>
        <w:t>提倡适龄婚育、优生优育，实施三孩生育政策，促进生育政策和相关经济社会政策配套衔接，减轻家庭生育、养育、教育负担</w:t>
      </w:r>
      <w:r>
        <w:rPr>
          <w:rFonts w:hint="eastAsia"/>
          <w:bCs/>
        </w:rPr>
        <w:t>，营造有利于生育的文化环境</w:t>
      </w:r>
      <w:r>
        <w:rPr>
          <w:bCs/>
        </w:rPr>
        <w:t>。鼓励用人单位制定有利于职工平衡工作与家庭关系的措施。</w:t>
      </w:r>
      <w:r>
        <w:rPr>
          <w:rFonts w:hint="eastAsia"/>
          <w:bCs/>
        </w:rPr>
        <w:t>全面落实产假、育儿假、哺乳假和生育保险等政策，探索建立税收减免等家庭福利政策</w:t>
      </w:r>
      <w:r>
        <w:rPr>
          <w:bCs/>
        </w:rPr>
        <w:t>。</w:t>
      </w:r>
      <w:r>
        <w:rPr>
          <w:rFonts w:hint="eastAsia"/>
          <w:bCs/>
        </w:rPr>
        <w:t>推进公共场所和用人单位</w:t>
      </w:r>
      <w:r>
        <w:rPr>
          <w:bCs/>
        </w:rPr>
        <w:t>母婴设施</w:t>
      </w:r>
      <w:r>
        <w:rPr>
          <w:rFonts w:hint="eastAsia"/>
          <w:bCs/>
        </w:rPr>
        <w:t>建设</w:t>
      </w:r>
      <w:r>
        <w:rPr>
          <w:bCs/>
        </w:rPr>
        <w:t>。</w:t>
      </w:r>
    </w:p>
    <w:p w14:paraId="44882606">
      <w:pPr>
        <w:spacing w:line="580" w:lineRule="exact"/>
        <w:ind w:firstLine="640" w:firstLineChars="200"/>
        <w:rPr>
          <w:bCs/>
        </w:rPr>
      </w:pPr>
      <w:r>
        <w:rPr>
          <w:rFonts w:hint="eastAsia"/>
          <w:bCs/>
        </w:rPr>
        <w:t>53</w:t>
      </w:r>
      <w:r>
        <w:rPr>
          <w:bCs/>
        </w:rPr>
        <w:t xml:space="preserve">. </w:t>
      </w:r>
      <w:r>
        <w:rPr>
          <w:rFonts w:hint="eastAsia"/>
          <w:bCs/>
        </w:rPr>
        <w:t>建立健全人口服务体系。</w:t>
      </w:r>
      <w:r>
        <w:rPr>
          <w:bCs/>
        </w:rPr>
        <w:t>积极应对人口老龄化，促进人口长期均衡发展。以“一老一小”为重点，建立健全覆盖全生命周期的人口服务体系。加强服务体系和能力建设，增强抚幼养老功能。健全</w:t>
      </w:r>
      <w:r>
        <w:rPr>
          <w:rFonts w:hint="eastAsia"/>
          <w:bCs/>
        </w:rPr>
        <w:t>区、镇街、村社区</w:t>
      </w:r>
      <w:r>
        <w:rPr>
          <w:bCs/>
        </w:rPr>
        <w:t>人口与家庭发展</w:t>
      </w:r>
      <w:r>
        <w:rPr>
          <w:rFonts w:hint="eastAsia"/>
          <w:bCs/>
        </w:rPr>
        <w:t>三级</w:t>
      </w:r>
      <w:r>
        <w:rPr>
          <w:bCs/>
        </w:rPr>
        <w:t>工作网络，</w:t>
      </w:r>
      <w:r>
        <w:rPr>
          <w:rFonts w:hint="eastAsia"/>
          <w:bCs/>
        </w:rPr>
        <w:t>强化措施，</w:t>
      </w:r>
      <w:r>
        <w:rPr>
          <w:bCs/>
        </w:rPr>
        <w:t>持续提升服务能力。</w:t>
      </w:r>
      <w:r>
        <w:rPr>
          <w:rFonts w:hint="eastAsia"/>
          <w:bCs/>
        </w:rPr>
        <w:t>加强基层计生协组织和能力建设，</w:t>
      </w:r>
      <w:r>
        <w:rPr>
          <w:rFonts w:hint="eastAsia" w:ascii="方正仿宋_GBK" w:hAnsi="方正仿宋_GBK" w:cs="方正仿宋_GBK"/>
          <w:color w:val="000000" w:themeColor="text1"/>
          <w14:textFill>
            <w14:solidFill>
              <w14:schemeClr w14:val="tx1"/>
            </w14:solidFill>
          </w14:textFill>
        </w:rPr>
        <w:t>优化村居（社区）计生协会组织架构。</w:t>
      </w:r>
      <w:r>
        <w:rPr>
          <w:rFonts w:hint="eastAsia"/>
          <w:color w:val="000000" w:themeColor="text1"/>
          <w14:textFill>
            <w14:solidFill>
              <w14:schemeClr w14:val="tx1"/>
            </w14:solidFill>
          </w14:textFill>
        </w:rPr>
        <w:t>做好优生优育、生育关怀、家庭健康的</w:t>
      </w:r>
      <w:r>
        <w:rPr>
          <w:rFonts w:hint="eastAsia" w:ascii="宋体" w:hAnsi="宋体" w:cs="宋体"/>
          <w:color w:val="000000" w:themeColor="text1"/>
          <w14:textFill>
            <w14:solidFill>
              <w14:schemeClr w14:val="tx1"/>
            </w14:solidFill>
          </w14:textFill>
        </w:rPr>
        <w:t>宣传、引导、教育和服务，</w:t>
      </w:r>
      <w:r>
        <w:rPr>
          <w:bCs/>
        </w:rPr>
        <w:t>完善人口监测体系，健全人口监测预警制度。</w:t>
      </w:r>
      <w:r>
        <w:rPr>
          <w:rFonts w:hint="eastAsia"/>
          <w:bCs/>
        </w:rPr>
        <w:t>开展健康知识进万家活动，</w:t>
      </w:r>
      <w:r>
        <w:rPr>
          <w:bCs/>
        </w:rPr>
        <w:t>推动健康家庭建设。</w:t>
      </w:r>
    </w:p>
    <w:p w14:paraId="3B4CDDB7">
      <w:pPr>
        <w:spacing w:line="580" w:lineRule="exact"/>
        <w:ind w:firstLine="640" w:firstLineChars="200"/>
        <w:rPr>
          <w:bCs/>
          <w:kern w:val="2"/>
        </w:rPr>
      </w:pPr>
      <w:r>
        <w:rPr>
          <w:rFonts w:hint="eastAsia"/>
          <w:bCs/>
        </w:rPr>
        <w:t>54</w:t>
      </w:r>
      <w:r>
        <w:rPr>
          <w:bCs/>
        </w:rPr>
        <w:t xml:space="preserve">. </w:t>
      </w:r>
      <w:r>
        <w:rPr>
          <w:rFonts w:hint="eastAsia"/>
          <w:bCs/>
        </w:rPr>
        <w:t>加强政策调整有序衔接。</w:t>
      </w:r>
      <w:r>
        <w:rPr>
          <w:bCs/>
          <w:kern w:val="2"/>
        </w:rPr>
        <w:t>对全面两孩政策调整前的独生子女家庭和农村计划生育双女家庭，继续</w:t>
      </w:r>
      <w:r>
        <w:rPr>
          <w:rFonts w:hint="eastAsia"/>
          <w:bCs/>
          <w:kern w:val="2"/>
        </w:rPr>
        <w:t>落实</w:t>
      </w:r>
      <w:r>
        <w:rPr>
          <w:bCs/>
          <w:kern w:val="2"/>
        </w:rPr>
        <w:t>现行各项奖励扶助制度。建立健全政府主导、社会组织参与的扶助关怀工作机制。建立定期巡防制度，落实计划生育特殊家庭“双岗”联系人制度。</w:t>
      </w:r>
    </w:p>
    <w:p w14:paraId="7FA9EEB4">
      <w:pPr>
        <w:pStyle w:val="5"/>
        <w:spacing w:before="0" w:after="0" w:line="580" w:lineRule="exact"/>
        <w:ind w:firstLine="640" w:firstLineChars="200"/>
        <w:rPr>
          <w:rFonts w:ascii="Times New Roman" w:hAnsi="Times New Roman"/>
        </w:rPr>
      </w:pPr>
      <w:bookmarkStart w:id="106" w:name="_Toc83307979"/>
      <w:bookmarkStart w:id="107" w:name="_Toc78987142"/>
      <w:r>
        <w:rPr>
          <w:rFonts w:ascii="Times New Roman" w:hAnsi="Times New Roman"/>
        </w:rPr>
        <w:t>（二）促进婴幼儿照护服务发展</w:t>
      </w:r>
      <w:bookmarkEnd w:id="106"/>
      <w:bookmarkEnd w:id="107"/>
    </w:p>
    <w:p w14:paraId="61845980">
      <w:pPr>
        <w:spacing w:line="580" w:lineRule="exact"/>
        <w:ind w:firstLine="640" w:firstLineChars="200"/>
        <w:rPr>
          <w:b/>
        </w:rPr>
      </w:pPr>
      <w:r>
        <w:rPr>
          <w:rFonts w:hint="eastAsia"/>
          <w:bCs/>
        </w:rPr>
        <w:t>55</w:t>
      </w:r>
      <w:r>
        <w:rPr>
          <w:bCs/>
        </w:rPr>
        <w:t xml:space="preserve">. </w:t>
      </w:r>
      <w:r>
        <w:rPr>
          <w:rFonts w:hint="eastAsia"/>
          <w:bCs/>
        </w:rPr>
        <w:t>推进托育服务专业化、规范化发展。加强</w:t>
      </w:r>
      <w:r>
        <w:rPr>
          <w:bCs/>
        </w:rPr>
        <w:t>托育服务标准化、规范化建设，</w:t>
      </w:r>
      <w:r>
        <w:rPr>
          <w:rFonts w:hint="eastAsia"/>
          <w:bCs/>
        </w:rPr>
        <w:t>严格落实</w:t>
      </w:r>
      <w:r>
        <w:rPr>
          <w:bCs/>
        </w:rPr>
        <w:t>托育机构设置标准和托育机构管理规格，建立健全托育服务机构备案登记制度、信息公示制度和质量评估制度。</w:t>
      </w:r>
      <w:r>
        <w:rPr>
          <w:rFonts w:hint="eastAsia"/>
          <w:bCs/>
          <w:color w:val="000000" w:themeColor="text1"/>
          <w14:textFill>
            <w14:solidFill>
              <w14:schemeClr w14:val="tx1"/>
            </w14:solidFill>
          </w14:textFill>
        </w:rPr>
        <w:t>按照国家职业技能标准和行业评价规范，加强托育从业人员岗前培训、岗位技能提升培训，</w:t>
      </w:r>
      <w:r>
        <w:rPr>
          <w:bCs/>
        </w:rPr>
        <w:t>建立综合监管机制，加强社会监督和行业自律，提高保育保教质量和水平。</w:t>
      </w:r>
    </w:p>
    <w:p w14:paraId="1D259621">
      <w:pPr>
        <w:spacing w:line="580" w:lineRule="exact"/>
        <w:ind w:firstLine="640" w:firstLineChars="200"/>
        <w:rPr>
          <w:b/>
        </w:rPr>
      </w:pPr>
      <w:r>
        <w:rPr>
          <w:rFonts w:hint="eastAsia"/>
          <w:bCs/>
        </w:rPr>
        <w:t>56</w:t>
      </w:r>
      <w:r>
        <w:rPr>
          <w:bCs/>
        </w:rPr>
        <w:t xml:space="preserve">. </w:t>
      </w:r>
      <w:r>
        <w:rPr>
          <w:rFonts w:hint="eastAsia"/>
          <w:bCs/>
        </w:rPr>
        <w:t>发展多种形式的婴幼儿照护服务。构建完善“家庭为主、托育补充”的婴幼儿照护服务体系。依托区妇幼保健院，探索建立区托育服务中心。加强托育服务设施建设，各镇街至少建设1个普惠托育点</w:t>
      </w:r>
      <w:r>
        <w:rPr>
          <w:bCs/>
        </w:rPr>
        <w:t>，完善社区婴幼儿</w:t>
      </w:r>
      <w:r>
        <w:rPr>
          <w:rFonts w:hint="eastAsia"/>
          <w:bCs/>
        </w:rPr>
        <w:t>照护服务功能，构建普惠、便捷、品质的15分钟托育服务圈</w:t>
      </w:r>
      <w:r>
        <w:rPr>
          <w:bCs/>
        </w:rPr>
        <w:t>。支持隔代照料、家庭互助等照护模式。</w:t>
      </w:r>
      <w:r>
        <w:rPr>
          <w:rFonts w:hint="eastAsia"/>
          <w:bCs/>
        </w:rPr>
        <w:t>鼓励</w:t>
      </w:r>
      <w:r>
        <w:rPr>
          <w:bCs/>
        </w:rPr>
        <w:t>有条件的</w:t>
      </w:r>
      <w:r>
        <w:rPr>
          <w:rFonts w:hint="eastAsia"/>
          <w:bCs/>
        </w:rPr>
        <w:t>用</w:t>
      </w:r>
      <w:r>
        <w:rPr>
          <w:bCs/>
        </w:rPr>
        <w:t>人单位在工作场所为职工提供托育服务。</w:t>
      </w:r>
      <w:r>
        <w:rPr>
          <w:rFonts w:hint="eastAsia"/>
          <w:bCs/>
        </w:rPr>
        <w:t>调动社会力量发展普惠托育服务。到2025年，多元化、多样化、覆盖城乡的婴幼儿照护服务体系基本形成。</w:t>
      </w:r>
    </w:p>
    <w:p w14:paraId="322503D1">
      <w:pPr>
        <w:pStyle w:val="5"/>
        <w:spacing w:before="0" w:after="0" w:line="580" w:lineRule="exact"/>
        <w:ind w:firstLine="640" w:firstLineChars="200"/>
        <w:rPr>
          <w:rFonts w:ascii="Times New Roman" w:hAnsi="Times New Roman"/>
        </w:rPr>
      </w:pPr>
      <w:bookmarkStart w:id="108" w:name="_Toc83307980"/>
      <w:r>
        <w:rPr>
          <w:rFonts w:ascii="Times New Roman" w:hAnsi="Times New Roman"/>
        </w:rPr>
        <w:t>（三）加强妇女儿童健康服务</w:t>
      </w:r>
      <w:bookmarkEnd w:id="108"/>
    </w:p>
    <w:p w14:paraId="20288101">
      <w:pPr>
        <w:spacing w:line="580" w:lineRule="exact"/>
        <w:ind w:firstLine="640" w:firstLineChars="200"/>
      </w:pPr>
      <w:r>
        <w:rPr>
          <w:rFonts w:hint="eastAsia"/>
          <w:bCs/>
        </w:rPr>
        <w:t>57</w:t>
      </w:r>
      <w:r>
        <w:rPr>
          <w:bCs/>
        </w:rPr>
        <w:t xml:space="preserve">. </w:t>
      </w:r>
      <w:r>
        <w:rPr>
          <w:rFonts w:hint="eastAsia"/>
          <w:bCs/>
        </w:rPr>
        <w:t>优化妇幼健康体系。依托区人民医院医疗集团，按照</w:t>
      </w:r>
      <w:r>
        <w:rPr>
          <w:bCs/>
        </w:rPr>
        <w:t>二级</w:t>
      </w:r>
      <w:r>
        <w:rPr>
          <w:rFonts w:hint="eastAsia"/>
          <w:bCs/>
        </w:rPr>
        <w:t>甲等标准建设区</w:t>
      </w:r>
      <w:r>
        <w:rPr>
          <w:bCs/>
        </w:rPr>
        <w:t>妇幼保健院</w:t>
      </w:r>
      <w:r>
        <w:rPr>
          <w:rFonts w:hint="eastAsia"/>
          <w:bCs/>
        </w:rPr>
        <w:t>（区妇女儿童医院）</w:t>
      </w:r>
      <w:r>
        <w:rPr>
          <w:bCs/>
        </w:rPr>
        <w:t>。实施母婴安全行动提升计划</w:t>
      </w:r>
      <w:r>
        <w:rPr>
          <w:rFonts w:hint="eastAsia"/>
          <w:bCs/>
        </w:rPr>
        <w:t>，</w:t>
      </w:r>
      <w:r>
        <w:rPr>
          <w:bCs/>
        </w:rPr>
        <w:t>筑牢妇幼保健服务网底，增加产科、儿科优质资源供给。建设孕产妇和新生儿重症监护室，加强危重孕产妇和新生儿救治中心能力建设。强化急救、转运、用血等重点环节保障，畅通转诊救治绿色通道，提升临床救治能力。建设高品质、普惠型产科床位。</w:t>
      </w:r>
    </w:p>
    <w:p w14:paraId="473A23F8">
      <w:pPr>
        <w:spacing w:line="580" w:lineRule="exact"/>
        <w:ind w:firstLine="640" w:firstLineChars="200"/>
      </w:pPr>
      <w:r>
        <w:rPr>
          <w:rFonts w:hint="eastAsia"/>
          <w:bCs/>
        </w:rPr>
        <w:t>58</w:t>
      </w:r>
      <w:r>
        <w:rPr>
          <w:bCs/>
        </w:rPr>
        <w:t xml:space="preserve">. </w:t>
      </w:r>
      <w:r>
        <w:rPr>
          <w:rFonts w:hint="eastAsia"/>
          <w:bCs/>
        </w:rPr>
        <w:t>促进妇女儿童健康。</w:t>
      </w:r>
      <w:r>
        <w:t>完善妇幼健康服务全周期链条，实施健康儿童行动提升计划和母乳喂养促进行动计划</w:t>
      </w:r>
      <w:r>
        <w:rPr>
          <w:rFonts w:hint="eastAsia"/>
        </w:rPr>
        <w:t>，孕产妇系统管理率和3岁以下儿童系统管理率达到</w:t>
      </w:r>
      <w:r>
        <w:t>94</w:t>
      </w:r>
      <w:r>
        <w:rPr>
          <w:rFonts w:hint="eastAsia"/>
        </w:rPr>
        <w:t>%。加强妇女常见病防治，持续开展妇女“两癌”检查，推进妇女更年期和老年期保健服务</w:t>
      </w:r>
      <w:r>
        <w:t>。加强出生缺陷综合防治，规范开展三级预防，到2025年，产前筛查率达到80%，新生儿遗传代谢性疾病筛查率达到98%以上，新生儿听力筛查率达到90%以上。强化婴幼儿养育照护指导，促进儿童早期发展。强化儿童保健和重点疾病防控，推进眼保健和心理健康服务。夯实学生常见病防控网络及技术支撑体系，加强学生营养健康膳食评估指导和学校卫生综合评价能力。加强学生近视、肥胖、龋齿、脊柱侧弯等常见病防治</w:t>
      </w:r>
      <w:r>
        <w:rPr>
          <w:bCs/>
        </w:rPr>
        <w:t>，12岁儿童患龋率控制在30%以内。</w:t>
      </w:r>
      <w:r>
        <w:rPr>
          <w:rFonts w:hint="eastAsia"/>
        </w:rPr>
        <w:t>开展青少年性与生殖健康促进行动，保护生育力。</w:t>
      </w:r>
    </w:p>
    <w:p w14:paraId="0D37D6CE">
      <w:pPr>
        <w:spacing w:line="580" w:lineRule="exact"/>
        <w:jc w:val="center"/>
        <w:rPr>
          <w:rFonts w:eastAsia="方正黑体_GBK"/>
          <w:bCs/>
          <w:sz w:val="30"/>
          <w:szCs w:val="30"/>
        </w:rPr>
      </w:pPr>
      <w:r>
        <w:rPr>
          <w:rFonts w:eastAsia="方正黑体_GBK"/>
          <w:bCs/>
          <w:sz w:val="30"/>
          <w:szCs w:val="30"/>
        </w:rPr>
        <w:t>专栏</w:t>
      </w:r>
      <w:r>
        <w:rPr>
          <w:rFonts w:hint="eastAsia" w:eastAsia="方正黑体_GBK"/>
          <w:bCs/>
          <w:sz w:val="30"/>
          <w:szCs w:val="30"/>
        </w:rPr>
        <w:t>7</w:t>
      </w:r>
      <w:r>
        <w:rPr>
          <w:rFonts w:eastAsia="方正黑体_GBK"/>
          <w:bCs/>
          <w:sz w:val="30"/>
          <w:szCs w:val="30"/>
        </w:rPr>
        <w:t xml:space="preserve"> 妇幼服务项目</w:t>
      </w:r>
    </w:p>
    <w:tbl>
      <w:tblPr>
        <w:tblStyle w:val="10"/>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5384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958" w:type="dxa"/>
          </w:tcPr>
          <w:p w14:paraId="7B0CA246">
            <w:pPr>
              <w:widowControl/>
              <w:shd w:val="clear" w:color="auto" w:fill="FFFFFF"/>
              <w:spacing w:line="580" w:lineRule="exact"/>
              <w:ind w:firstLine="480" w:firstLineChars="200"/>
              <w:rPr>
                <w:bCs/>
                <w:sz w:val="24"/>
                <w:szCs w:val="24"/>
                <w:lang w:bidi="ar"/>
              </w:rPr>
            </w:pPr>
            <w:r>
              <w:rPr>
                <w:bCs/>
                <w:sz w:val="24"/>
                <w:szCs w:val="24"/>
                <w:lang w:bidi="ar"/>
              </w:rPr>
              <w:t>1.</w:t>
            </w:r>
            <w:r>
              <w:rPr>
                <w:rFonts w:hint="eastAsia"/>
                <w:bCs/>
              </w:rPr>
              <w:t xml:space="preserve"> </w:t>
            </w:r>
            <w:r>
              <w:rPr>
                <w:rFonts w:hint="eastAsia"/>
                <w:bCs/>
                <w:sz w:val="24"/>
                <w:szCs w:val="24"/>
                <w:lang w:bidi="ar"/>
              </w:rPr>
              <w:t>区妇幼保健院</w:t>
            </w:r>
            <w:r>
              <w:rPr>
                <w:bCs/>
                <w:sz w:val="24"/>
                <w:szCs w:val="24"/>
                <w:lang w:bidi="ar"/>
              </w:rPr>
              <w:t>。</w:t>
            </w:r>
            <w:r>
              <w:rPr>
                <w:rFonts w:hint="eastAsia"/>
                <w:bCs/>
                <w:sz w:val="24"/>
                <w:szCs w:val="24"/>
                <w:lang w:bidi="ar"/>
              </w:rPr>
              <w:t>按照二级甲等标准建设区妇幼保健院（区妇女儿童医院）</w:t>
            </w:r>
            <w:r>
              <w:rPr>
                <w:bCs/>
                <w:sz w:val="24"/>
                <w:szCs w:val="24"/>
                <w:lang w:bidi="ar"/>
              </w:rPr>
              <w:t>。</w:t>
            </w:r>
          </w:p>
          <w:p w14:paraId="33FAA60B">
            <w:pPr>
              <w:widowControl/>
              <w:shd w:val="clear" w:color="auto" w:fill="FFFFFF"/>
              <w:spacing w:line="580" w:lineRule="exact"/>
              <w:ind w:firstLine="480" w:firstLineChars="200"/>
              <w:rPr>
                <w:bCs/>
                <w:sz w:val="28"/>
                <w:szCs w:val="28"/>
                <w:lang w:bidi="ar"/>
              </w:rPr>
            </w:pPr>
            <w:r>
              <w:rPr>
                <w:bCs/>
                <w:sz w:val="24"/>
                <w:szCs w:val="24"/>
                <w:lang w:bidi="ar"/>
              </w:rPr>
              <w:t>2.建成托育服务示范机构2个。</w:t>
            </w:r>
          </w:p>
        </w:tc>
      </w:tr>
    </w:tbl>
    <w:p w14:paraId="1B8FCBAB">
      <w:pPr>
        <w:pStyle w:val="5"/>
        <w:spacing w:before="0" w:after="0" w:line="580" w:lineRule="exact"/>
        <w:ind w:firstLine="640" w:firstLineChars="200"/>
        <w:rPr>
          <w:rFonts w:ascii="Times New Roman" w:hAnsi="Times New Roman"/>
        </w:rPr>
      </w:pPr>
      <w:bookmarkStart w:id="109" w:name="_Toc78987145"/>
      <w:bookmarkStart w:id="110" w:name="_Toc83307981"/>
      <w:r>
        <w:rPr>
          <w:rFonts w:ascii="Times New Roman" w:hAnsi="Times New Roman"/>
        </w:rPr>
        <w:t>（四）提升老年健康服务</w:t>
      </w:r>
      <w:bookmarkEnd w:id="109"/>
      <w:r>
        <w:rPr>
          <w:rFonts w:ascii="Times New Roman" w:hAnsi="Times New Roman"/>
        </w:rPr>
        <w:t>能力</w:t>
      </w:r>
      <w:bookmarkEnd w:id="110"/>
    </w:p>
    <w:p w14:paraId="776B1D9D">
      <w:pPr>
        <w:spacing w:line="580" w:lineRule="exact"/>
        <w:ind w:firstLine="640" w:firstLineChars="200"/>
        <w:rPr>
          <w:bCs/>
        </w:rPr>
      </w:pPr>
      <w:r>
        <w:rPr>
          <w:rFonts w:hint="eastAsia"/>
          <w:bCs/>
        </w:rPr>
        <w:t>59</w:t>
      </w:r>
      <w:r>
        <w:rPr>
          <w:bCs/>
        </w:rPr>
        <w:t xml:space="preserve">. </w:t>
      </w:r>
      <w:r>
        <w:rPr>
          <w:rFonts w:hint="eastAsia"/>
          <w:bCs/>
        </w:rPr>
        <w:t>完善老年健康服务体系。</w:t>
      </w:r>
      <w:r>
        <w:rPr>
          <w:bCs/>
        </w:rPr>
        <w:t>推动二级以上综合医院、中医医院开设老年病科、康复科或治未病科，二级以上综合性医院设立老年医学科的比例不低于60%，引导基层医疗卫生机构转型为老年医院、康复医院、护理院等接续性医疗机构。</w:t>
      </w:r>
      <w:r>
        <w:rPr>
          <w:rFonts w:hint="eastAsia"/>
          <w:bCs/>
        </w:rPr>
        <w:t>推进</w:t>
      </w:r>
      <w:r>
        <w:rPr>
          <w:bCs/>
        </w:rPr>
        <w:t>老年友善医疗机构建设</w:t>
      </w:r>
      <w:r>
        <w:rPr>
          <w:rFonts w:hint="eastAsia"/>
          <w:bCs/>
        </w:rPr>
        <w:t>活动</w:t>
      </w:r>
      <w:r>
        <w:rPr>
          <w:bCs/>
        </w:rPr>
        <w:t>。</w:t>
      </w:r>
      <w:r>
        <w:rPr>
          <w:rFonts w:hint="eastAsia"/>
          <w:bCs/>
        </w:rPr>
        <w:t>增强重医附属康复医院辐射能力，</w:t>
      </w:r>
      <w:r>
        <w:rPr>
          <w:bCs/>
        </w:rPr>
        <w:t>加强老年医学科建设力度，</w:t>
      </w:r>
      <w:r>
        <w:rPr>
          <w:rFonts w:hint="eastAsia"/>
          <w:bCs/>
        </w:rPr>
        <w:t>做实老年健康管理、老年健康与医养结合服务等基本公共卫生服务项目</w:t>
      </w:r>
      <w:r>
        <w:rPr>
          <w:bCs/>
        </w:rPr>
        <w:t>。</w:t>
      </w:r>
      <w:r>
        <w:rPr>
          <w:rFonts w:hint="eastAsia"/>
          <w:bCs/>
        </w:rPr>
        <w:t>稳步</w:t>
      </w:r>
      <w:r>
        <w:rPr>
          <w:bCs/>
        </w:rPr>
        <w:t>推进安宁疗护工作，保障疾病终末期患者生命质量。</w:t>
      </w:r>
    </w:p>
    <w:p w14:paraId="35BECEEB">
      <w:pPr>
        <w:spacing w:line="580" w:lineRule="exact"/>
        <w:ind w:firstLine="640" w:firstLineChars="200"/>
        <w:rPr>
          <w:bCs/>
        </w:rPr>
      </w:pPr>
      <w:bookmarkStart w:id="111" w:name="_Toc78987146"/>
      <w:r>
        <w:rPr>
          <w:rFonts w:hint="eastAsia"/>
          <w:bCs/>
        </w:rPr>
        <w:t>60</w:t>
      </w:r>
      <w:r>
        <w:rPr>
          <w:bCs/>
        </w:rPr>
        <w:t xml:space="preserve">. </w:t>
      </w:r>
      <w:r>
        <w:rPr>
          <w:rFonts w:hint="eastAsia"/>
          <w:bCs/>
        </w:rPr>
        <w:t>推进医养结合协调发展</w:t>
      </w:r>
      <w:bookmarkEnd w:id="111"/>
      <w:r>
        <w:rPr>
          <w:rFonts w:hint="eastAsia"/>
          <w:bCs/>
        </w:rPr>
        <w:t>。深化医养结合，</w:t>
      </w:r>
      <w:r>
        <w:rPr>
          <w:bCs/>
        </w:rPr>
        <w:t>构建以居家社区机构相协调、医养康养相结合的</w:t>
      </w:r>
      <w:r>
        <w:rPr>
          <w:rFonts w:hint="eastAsia"/>
          <w:bCs/>
        </w:rPr>
        <w:t>养老</w:t>
      </w:r>
      <w:r>
        <w:rPr>
          <w:bCs/>
        </w:rPr>
        <w:t>服务体系。</w:t>
      </w:r>
      <w:r>
        <w:rPr>
          <w:rFonts w:hint="eastAsia"/>
          <w:bCs/>
        </w:rPr>
        <w:t>持续</w:t>
      </w:r>
      <w:r>
        <w:rPr>
          <w:bCs/>
        </w:rPr>
        <w:t>开展医养结合机构服务质量提升行动。引导“医中有养”“养中有医”的医养结合机构实现差异化发展，为老年人提供多元化、有针对性的健康养老服务。基层医疗卫生机构探索开展医养结合服务，推动</w:t>
      </w:r>
      <w:r>
        <w:rPr>
          <w:rFonts w:hint="eastAsia"/>
          <w:bCs/>
        </w:rPr>
        <w:t>成</w:t>
      </w:r>
      <w:r>
        <w:rPr>
          <w:bCs/>
        </w:rPr>
        <w:t>渝优质医养资源共建共享</w:t>
      </w:r>
      <w:r>
        <w:rPr>
          <w:rFonts w:hint="eastAsia"/>
          <w:bCs/>
        </w:rPr>
        <w:t>。</w:t>
      </w:r>
      <w:r>
        <w:rPr>
          <w:bCs/>
        </w:rPr>
        <w:t>鼓励社会资本以市场化运作方式举办医养结合机构，支持社会办大型医养结合机构</w:t>
      </w:r>
      <w:r>
        <w:rPr>
          <w:rFonts w:hint="eastAsia"/>
          <w:bCs/>
        </w:rPr>
        <w:t>建设</w:t>
      </w:r>
      <w:r>
        <w:rPr>
          <w:bCs/>
        </w:rPr>
        <w:t>。</w:t>
      </w:r>
    </w:p>
    <w:p w14:paraId="2A6B6505">
      <w:pPr>
        <w:spacing w:line="580" w:lineRule="exact"/>
        <w:ind w:firstLine="640" w:firstLineChars="200"/>
        <w:rPr>
          <w:bCs/>
        </w:rPr>
      </w:pPr>
      <w:r>
        <w:rPr>
          <w:rFonts w:hint="eastAsia"/>
          <w:bCs/>
        </w:rPr>
        <w:t>61</w:t>
      </w:r>
      <w:r>
        <w:rPr>
          <w:bCs/>
        </w:rPr>
        <w:t xml:space="preserve">. </w:t>
      </w:r>
      <w:r>
        <w:rPr>
          <w:rFonts w:hint="eastAsia"/>
          <w:bCs/>
        </w:rPr>
        <w:t>加强老年健康管理与健康干预。</w:t>
      </w:r>
      <w:r>
        <w:rPr>
          <w:bCs/>
        </w:rPr>
        <w:t>加强老年预防保健，开展老年健康生活方式和可干预危险因素的健康教育，发展适合老年人特点的体育健身活动。开展老年人慢性病和神经退行性病症的早期筛查干预和健康指导，</w:t>
      </w:r>
      <w:r>
        <w:rPr>
          <w:rFonts w:hint="eastAsia"/>
          <w:bCs/>
        </w:rPr>
        <w:t>推进</w:t>
      </w:r>
      <w:r>
        <w:rPr>
          <w:bCs/>
        </w:rPr>
        <w:t>老年人失能预防项目和心理健康预防干预计划</w:t>
      </w:r>
      <w:r>
        <w:rPr>
          <w:rFonts w:hint="eastAsia"/>
          <w:bCs/>
        </w:rPr>
        <w:t>实施</w:t>
      </w:r>
      <w:r>
        <w:rPr>
          <w:bCs/>
        </w:rPr>
        <w:t>。</w:t>
      </w:r>
    </w:p>
    <w:p w14:paraId="6FFEBE10">
      <w:pPr>
        <w:pStyle w:val="5"/>
        <w:spacing w:before="0" w:after="0" w:line="580" w:lineRule="exact"/>
        <w:ind w:firstLine="640" w:firstLineChars="200"/>
        <w:rPr>
          <w:rFonts w:ascii="Times New Roman" w:hAnsi="Times New Roman" w:eastAsia="方正黑体_GBK"/>
          <w:kern w:val="44"/>
        </w:rPr>
      </w:pPr>
      <w:bookmarkStart w:id="112" w:name="_Toc83307982"/>
      <w:bookmarkStart w:id="113" w:name="_Toc78987150"/>
      <w:r>
        <w:rPr>
          <w:rFonts w:ascii="Times New Roman" w:hAnsi="Times New Roman" w:eastAsia="方正黑体_GBK"/>
          <w:kern w:val="44"/>
        </w:rPr>
        <w:t>十、强化基础支撑与保障</w:t>
      </w:r>
      <w:bookmarkEnd w:id="112"/>
      <w:bookmarkEnd w:id="113"/>
    </w:p>
    <w:p w14:paraId="61E94D90">
      <w:pPr>
        <w:pStyle w:val="5"/>
        <w:spacing w:before="0" w:after="0" w:line="580" w:lineRule="exact"/>
        <w:ind w:firstLine="640" w:firstLineChars="200"/>
        <w:rPr>
          <w:rFonts w:ascii="Times New Roman" w:hAnsi="Times New Roman" w:eastAsia="方正仿宋_GBK"/>
        </w:rPr>
      </w:pPr>
      <w:bookmarkStart w:id="114" w:name="_Toc83307983"/>
      <w:r>
        <w:rPr>
          <w:rFonts w:hint="eastAsia" w:ascii="Times New Roman" w:hAnsi="Times New Roman"/>
        </w:rPr>
        <w:t>（一）实施人才强卫工程</w:t>
      </w:r>
      <w:r>
        <w:rPr>
          <w:rFonts w:ascii="Times New Roman" w:hAnsi="Times New Roman" w:eastAsia="方正仿宋_GBK"/>
        </w:rPr>
        <w:t xml:space="preserve"> </w:t>
      </w:r>
      <w:bookmarkEnd w:id="114"/>
    </w:p>
    <w:p w14:paraId="45A40A28">
      <w:pPr>
        <w:widowControl/>
        <w:spacing w:line="580" w:lineRule="exact"/>
        <w:ind w:firstLine="640" w:firstLineChars="200"/>
        <w:rPr>
          <w:bCs/>
        </w:rPr>
      </w:pPr>
      <w:r>
        <w:rPr>
          <w:rFonts w:hint="eastAsia"/>
          <w:bCs/>
        </w:rPr>
        <w:t>62</w:t>
      </w:r>
      <w:r>
        <w:rPr>
          <w:bCs/>
        </w:rPr>
        <w:t xml:space="preserve">. </w:t>
      </w:r>
      <w:r>
        <w:rPr>
          <w:rFonts w:hint="eastAsia"/>
          <w:bCs/>
        </w:rPr>
        <w:t>聚焦全市人才引培计划。参与落实全市</w:t>
      </w:r>
      <w:r>
        <w:t>“医学领航人才”“医学枢纽人才”“医学守门人才”三大人才振兴专项，</w:t>
      </w:r>
      <w:r>
        <w:rPr>
          <w:bCs/>
        </w:rPr>
        <w:t>集聚医学领航人才，</w:t>
      </w:r>
      <w:r>
        <w:rPr>
          <w:rFonts w:hint="eastAsia"/>
          <w:bCs/>
        </w:rPr>
        <w:t>重点</w:t>
      </w:r>
      <w:r>
        <w:rPr>
          <w:rFonts w:hint="eastAsia"/>
        </w:rPr>
        <w:t>参与</w:t>
      </w:r>
      <w:r>
        <w:t>院士带培计划、重庆英才计划、中青年医学高端人才部委共建计划。</w:t>
      </w:r>
    </w:p>
    <w:p w14:paraId="29D53198">
      <w:pPr>
        <w:spacing w:line="580" w:lineRule="exact"/>
        <w:ind w:firstLine="640" w:firstLineChars="200"/>
        <w:rPr>
          <w:bCs/>
          <w:color w:val="000000"/>
        </w:rPr>
      </w:pPr>
      <w:r>
        <w:rPr>
          <w:rFonts w:hint="eastAsia"/>
          <w:bCs/>
        </w:rPr>
        <w:t>63</w:t>
      </w:r>
      <w:r>
        <w:rPr>
          <w:bCs/>
        </w:rPr>
        <w:t xml:space="preserve">. </w:t>
      </w:r>
      <w:r>
        <w:rPr>
          <w:rFonts w:hint="eastAsia"/>
          <w:bCs/>
        </w:rPr>
        <w:t>加大人才引培力度。</w:t>
      </w:r>
      <w:r>
        <w:rPr>
          <w:rFonts w:hint="eastAsia"/>
        </w:rPr>
        <w:t>出台卫生健康系统人才引进服务及培养管理办法，</w:t>
      </w:r>
      <w:r>
        <w:rPr>
          <w:rFonts w:hint="eastAsia"/>
          <w:bCs/>
          <w:color w:val="000000"/>
        </w:rPr>
        <w:t>吸引和培养一批高水平的医疗卫生学科领军人才、技术骨干人才、</w:t>
      </w:r>
      <w:r>
        <w:rPr>
          <w:rFonts w:hint="eastAsia" w:ascii="方正仿宋_GBK" w:hAnsi="方正仿宋_GBK" w:cs="方正仿宋_GBK"/>
          <w:color w:val="000000"/>
        </w:rPr>
        <w:t>实用型骨干人才、急需紧缺人才</w:t>
      </w:r>
      <w:r>
        <w:rPr>
          <w:rFonts w:hint="eastAsia"/>
          <w:bCs/>
          <w:color w:val="000000"/>
        </w:rPr>
        <w:t>，促进</w:t>
      </w:r>
      <w:r>
        <w:rPr>
          <w:bCs/>
          <w:color w:val="000000"/>
        </w:rPr>
        <w:t>医疗卫生事业科学发展</w:t>
      </w:r>
      <w:r>
        <w:rPr>
          <w:rFonts w:hint="eastAsia"/>
        </w:rPr>
        <w:t>。</w:t>
      </w:r>
      <w:r>
        <w:t>加大</w:t>
      </w:r>
      <w:r>
        <w:rPr>
          <w:rFonts w:hint="eastAsia"/>
        </w:rPr>
        <w:t>领军</w:t>
      </w:r>
      <w:r>
        <w:t>人才引进力度，</w:t>
      </w:r>
      <w:r>
        <w:rPr>
          <w:rFonts w:hint="eastAsia"/>
        </w:rPr>
        <w:t>对符合相关规定的，</w:t>
      </w:r>
      <w:r>
        <w:t>采取“一事一议”“一人一策”方式直接入编入岗。</w:t>
      </w:r>
      <w:r>
        <w:rPr>
          <w:rFonts w:hint="eastAsia"/>
        </w:rPr>
        <w:t>落实</w:t>
      </w:r>
      <w:r>
        <w:t>紧缺高层次人才引进“绿色通道”政策，按区人事调配</w:t>
      </w:r>
      <w:r>
        <w:rPr>
          <w:rFonts w:hint="eastAsia"/>
        </w:rPr>
        <w:t>有关</w:t>
      </w:r>
      <w:r>
        <w:t>规定及时办理人事关系及入编手续</w:t>
      </w:r>
      <w:r>
        <w:rPr>
          <w:rFonts w:hint="eastAsia"/>
        </w:rPr>
        <w:t>，</w:t>
      </w:r>
      <w:r>
        <w:t>根据市级统一安排，按规定积极拓宽基层卫生人才引进渠道，优化招聘条件，扩大医疗卫生单位用人自主权，积极争取放宽考核招聘学历和年龄条件，简化考核招聘流程。鼓励用人单位设置青年人才培育专项</w:t>
      </w:r>
      <w:r>
        <w:rPr>
          <w:rFonts w:hint="eastAsia"/>
        </w:rPr>
        <w:t>。实施“4类专项人才”引进计划，</w:t>
      </w:r>
      <w:r>
        <w:rPr>
          <w:rFonts w:hint="eastAsia"/>
          <w:bCs/>
          <w:color w:val="000000"/>
        </w:rPr>
        <w:t>力争引进区级学科带头人1-3人、技术骨干人才2-4人、实用型骨干人才5-10人、急需紧缺人才40-80人。</w:t>
      </w:r>
      <w:r>
        <w:rPr>
          <w:rFonts w:hint="eastAsia"/>
          <w:bCs/>
        </w:rPr>
        <w:t>柔性引进</w:t>
      </w:r>
      <w:r>
        <w:rPr>
          <w:bCs/>
        </w:rPr>
        <w:t>“巴渝岐黄学者”、中西医结合高层次人才</w:t>
      </w:r>
      <w:r>
        <w:rPr>
          <w:rFonts w:hint="eastAsia"/>
          <w:bCs/>
        </w:rPr>
        <w:t>、知名医学专家、教授等人才。</w:t>
      </w:r>
      <w:r>
        <w:rPr>
          <w:rFonts w:hint="eastAsia"/>
          <w:bCs/>
          <w:color w:val="000000"/>
        </w:rPr>
        <w:t>实施“博士倍增”计划，力争引进博士8-10人。实施“百人硕士”计划，力争引进硕士研究生70-100人。实施打造“名中医”工程计划，力争培养市级名中1人、区级名中医10人。实施医学卫生人才能力提升计划，培养中医药人才20-30人、专科护理人才50-100名、公共卫生骨干人才20人、选派医护人员进修学习50-100人。大力补充卫生专业技术人员计划，招聘临床类医师150-250人、中医类医师30-50人，中西药学人员10-30人，护理人员300-400人，医技人员50-100人，康复治疗师100-150人等。</w:t>
      </w:r>
    </w:p>
    <w:p w14:paraId="43C38B25">
      <w:pPr>
        <w:pStyle w:val="15"/>
        <w:spacing w:line="580" w:lineRule="exact"/>
        <w:ind w:firstLine="640" w:firstLineChars="200"/>
        <w:jc w:val="both"/>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64. 加强人才评价和管理。推进人才分类评价，坚持医德为先、评用结合，健全评价组织管理，完善评价指标体系，加强内部监督机制，促进人才发展与使命责任协调统一。优化人员编制管理，推进实施1-2家公立医院人员总量备案管理，加强专业公共卫生机构编制保障，动态调整基层医疗卫生机构编制总量。优化岗位结构比例，支持人才集聚的三级医院、专业公共卫生机构适当提高高级专业技术岗位占比。实施优质医疗资源下沉基层计划，引导人才向基层一线流动。</w:t>
      </w:r>
    </w:p>
    <w:p w14:paraId="255C6FC8">
      <w:pPr>
        <w:widowControl/>
        <w:shd w:val="clear" w:color="auto" w:fill="FFFFFF"/>
        <w:spacing w:line="580" w:lineRule="exact"/>
        <w:jc w:val="center"/>
        <w:rPr>
          <w:rFonts w:eastAsia="方正黑体_GBK"/>
          <w:bCs/>
          <w:sz w:val="30"/>
          <w:szCs w:val="30"/>
        </w:rPr>
      </w:pPr>
      <w:r>
        <w:rPr>
          <w:rFonts w:eastAsia="方正黑体_GBK"/>
          <w:bCs/>
          <w:sz w:val="30"/>
          <w:szCs w:val="30"/>
        </w:rPr>
        <w:t>专栏</w:t>
      </w:r>
      <w:r>
        <w:rPr>
          <w:rFonts w:hint="eastAsia" w:eastAsia="方正黑体_GBK"/>
          <w:bCs/>
          <w:sz w:val="30"/>
          <w:szCs w:val="30"/>
        </w:rPr>
        <w:t>8</w:t>
      </w:r>
      <w:r>
        <w:rPr>
          <w:rFonts w:eastAsia="方正黑体_GBK"/>
          <w:bCs/>
          <w:sz w:val="30"/>
          <w:szCs w:val="30"/>
        </w:rPr>
        <w:t xml:space="preserve"> </w:t>
      </w:r>
      <w:r>
        <w:rPr>
          <w:rFonts w:hint="eastAsia" w:eastAsia="方正黑体_GBK"/>
          <w:bCs/>
          <w:sz w:val="30"/>
          <w:szCs w:val="30"/>
        </w:rPr>
        <w:t>卫生健康人才队伍</w:t>
      </w:r>
      <w:r>
        <w:rPr>
          <w:rFonts w:eastAsia="方正黑体_GBK"/>
          <w:bCs/>
          <w:sz w:val="30"/>
          <w:szCs w:val="30"/>
        </w:rPr>
        <w:t>高质量发展项目</w:t>
      </w:r>
    </w:p>
    <w:p w14:paraId="0384226B">
      <w:pPr>
        <w:numPr>
          <w:ilvl w:val="0"/>
          <w:numId w:val="1"/>
        </w:numPr>
        <w:pBdr>
          <w:top w:val="single" w:color="auto" w:sz="4" w:space="1"/>
          <w:left w:val="single" w:color="auto" w:sz="4" w:space="4"/>
          <w:bottom w:val="single" w:color="auto" w:sz="4" w:space="1"/>
          <w:right w:val="single" w:color="auto" w:sz="4" w:space="4"/>
        </w:pBdr>
        <w:spacing w:line="400" w:lineRule="exact"/>
        <w:ind w:firstLine="480" w:firstLineChars="200"/>
        <w:rPr>
          <w:bCs/>
          <w:sz w:val="24"/>
          <w:szCs w:val="24"/>
          <w:lang w:bidi="ar"/>
        </w:rPr>
      </w:pPr>
      <w:r>
        <w:rPr>
          <w:rFonts w:hint="eastAsia"/>
          <w:bCs/>
          <w:sz w:val="24"/>
          <w:szCs w:val="24"/>
          <w:lang w:bidi="ar"/>
        </w:rPr>
        <w:t>聚焦全市人才引培计划。积极参与市级“三大人才”振兴专项计划。</w:t>
      </w:r>
      <w:r>
        <w:rPr>
          <w:bCs/>
          <w:sz w:val="24"/>
          <w:szCs w:val="24"/>
          <w:lang w:bidi="ar"/>
        </w:rPr>
        <w:t>集聚医学领航人才，</w:t>
      </w:r>
      <w:r>
        <w:rPr>
          <w:rFonts w:hint="eastAsia"/>
          <w:bCs/>
          <w:sz w:val="24"/>
          <w:szCs w:val="24"/>
          <w:lang w:bidi="ar"/>
        </w:rPr>
        <w:t>重点参与</w:t>
      </w:r>
      <w:r>
        <w:rPr>
          <w:bCs/>
          <w:sz w:val="24"/>
          <w:szCs w:val="24"/>
          <w:lang w:bidi="ar"/>
        </w:rPr>
        <w:t>院士带培计划、重庆英才计划、中青年医学高端人才部委共建计划。</w:t>
      </w:r>
    </w:p>
    <w:p w14:paraId="4AF46018">
      <w:pPr>
        <w:numPr>
          <w:ilvl w:val="0"/>
          <w:numId w:val="1"/>
        </w:numPr>
        <w:pBdr>
          <w:top w:val="single" w:color="auto" w:sz="4" w:space="1"/>
          <w:left w:val="single" w:color="auto" w:sz="4" w:space="4"/>
          <w:bottom w:val="single" w:color="auto" w:sz="4" w:space="1"/>
          <w:right w:val="single" w:color="auto" w:sz="4" w:space="4"/>
        </w:pBdr>
        <w:spacing w:line="400" w:lineRule="exact"/>
        <w:ind w:firstLine="480" w:firstLineChars="200"/>
        <w:rPr>
          <w:bCs/>
          <w:sz w:val="24"/>
          <w:szCs w:val="24"/>
          <w:lang w:bidi="ar"/>
        </w:rPr>
      </w:pPr>
      <w:r>
        <w:rPr>
          <w:rFonts w:hint="eastAsia"/>
          <w:bCs/>
          <w:sz w:val="24"/>
          <w:szCs w:val="24"/>
          <w:lang w:bidi="ar"/>
        </w:rPr>
        <w:t>加大人才引培力度。实施“4类专项人才”引进计划，力争引进区级学科带头人1-3人、技术骨干人才2-4人、实用型骨干人才5-10人、急需紧缺人才40-80人。柔性引进</w:t>
      </w:r>
      <w:r>
        <w:rPr>
          <w:bCs/>
          <w:sz w:val="24"/>
          <w:szCs w:val="24"/>
          <w:lang w:bidi="ar"/>
        </w:rPr>
        <w:t>“巴渝岐黄学者”、中西医结合高层次人才</w:t>
      </w:r>
      <w:r>
        <w:rPr>
          <w:rFonts w:hint="eastAsia"/>
          <w:bCs/>
          <w:sz w:val="24"/>
          <w:szCs w:val="24"/>
          <w:lang w:bidi="ar"/>
        </w:rPr>
        <w:t>、知名医学专家、教授等人才。实施“博士倍增”计划，力争引进博士8-10人。实施“百人硕士”计划，力争引进硕士研究生70-100人。实施打造“名中医”工程计划，力争培养市级名中1人、区级名中医5-10人。实施医学卫生人才能力提升计划，培养中医药人才20-30人、专科护理人才50-100名、公共卫生骨干人才20人、选派医护人员进修学习50-100人。大力补充卫生专业技术人员计划，多渠道招聘临床类医师150-250人、中医类医师30-50人，中西药学人员10-30人，护理人员300-400人，医技人员50-100人，康复治疗师100-150人等。</w:t>
      </w:r>
    </w:p>
    <w:p w14:paraId="24973161">
      <w:pPr>
        <w:pStyle w:val="5"/>
        <w:spacing w:before="0" w:after="0" w:line="580" w:lineRule="exact"/>
        <w:ind w:firstLine="640" w:firstLineChars="200"/>
        <w:rPr>
          <w:rFonts w:ascii="Times New Roman" w:hAnsi="Times New Roman"/>
        </w:rPr>
      </w:pPr>
      <w:bookmarkStart w:id="115" w:name="_Toc78987152"/>
      <w:bookmarkStart w:id="116" w:name="_Toc83307984"/>
      <w:r>
        <w:rPr>
          <w:rFonts w:ascii="Times New Roman" w:hAnsi="Times New Roman"/>
        </w:rPr>
        <w:t>（二）</w:t>
      </w:r>
      <w:r>
        <w:rPr>
          <w:rFonts w:hint="eastAsia" w:ascii="Times New Roman" w:hAnsi="Times New Roman"/>
        </w:rPr>
        <w:t>加快推进</w:t>
      </w:r>
      <w:r>
        <w:rPr>
          <w:rFonts w:ascii="Times New Roman" w:hAnsi="Times New Roman"/>
        </w:rPr>
        <w:t>医学科技创新</w:t>
      </w:r>
      <w:bookmarkEnd w:id="115"/>
      <w:bookmarkEnd w:id="116"/>
      <w:r>
        <w:rPr>
          <w:rFonts w:ascii="Times New Roman" w:hAnsi="Times New Roman"/>
        </w:rPr>
        <w:t xml:space="preserve"> </w:t>
      </w:r>
    </w:p>
    <w:p w14:paraId="26F34902">
      <w:pPr>
        <w:spacing w:line="580" w:lineRule="exact"/>
        <w:ind w:firstLine="640" w:firstLineChars="200"/>
        <w:rPr>
          <w:bCs/>
        </w:rPr>
      </w:pPr>
      <w:r>
        <w:rPr>
          <w:rFonts w:hint="eastAsia"/>
          <w:bCs/>
        </w:rPr>
        <w:t>65</w:t>
      </w:r>
      <w:r>
        <w:rPr>
          <w:bCs/>
        </w:rPr>
        <w:t xml:space="preserve">. </w:t>
      </w:r>
      <w:r>
        <w:rPr>
          <w:rFonts w:hint="eastAsia"/>
          <w:bCs/>
        </w:rPr>
        <w:t>加强卫生健康科技创新能力建设。</w:t>
      </w:r>
      <w:r>
        <w:rPr>
          <w:rFonts w:hint="eastAsia"/>
        </w:rPr>
        <w:t>建设以IVD为核心的委托生产和公共服务转化平台，打造全国领先得IVD产业基地。</w:t>
      </w:r>
      <w:r>
        <w:rPr>
          <w:bCs/>
        </w:rPr>
        <w:t>加大临床研究支持力度，医院科研经费投入占业务收入的比重</w:t>
      </w:r>
      <w:r>
        <w:rPr>
          <w:rFonts w:hint="eastAsia"/>
          <w:bCs/>
        </w:rPr>
        <w:t>逐年提高</w:t>
      </w:r>
      <w:r>
        <w:rPr>
          <w:bCs/>
        </w:rPr>
        <w:t>，</w:t>
      </w:r>
      <w:r>
        <w:rPr>
          <w:rFonts w:hint="eastAsia"/>
          <w:bCs/>
        </w:rPr>
        <w:t>力争二级医院达到每名医疗卫生技术人员2000元、三级医院达到每名医疗卫生技术人员5000元</w:t>
      </w:r>
      <w:r>
        <w:rPr>
          <w:bCs/>
        </w:rPr>
        <w:t>，针对不同层次人才设置科技创新项目及资助金额，力争获得有影响力的创新性成果。推动卫生健康科技成果转化，以提高基层医疗技术水平和服务能力为目标，推广常见病、多发病、慢性病和重大疾病防治等关键共性技术，推广卫生适宜技术项目</w:t>
      </w:r>
      <w:r>
        <w:rPr>
          <w:rFonts w:hint="eastAsia"/>
          <w:bCs/>
        </w:rPr>
        <w:t>10</w:t>
      </w:r>
      <w:r>
        <w:rPr>
          <w:bCs/>
        </w:rPr>
        <w:t>项。</w:t>
      </w:r>
    </w:p>
    <w:p w14:paraId="5BF72F8C">
      <w:pPr>
        <w:pStyle w:val="5"/>
        <w:spacing w:before="0" w:after="0" w:line="580" w:lineRule="exact"/>
        <w:ind w:firstLine="640" w:firstLineChars="200"/>
        <w:rPr>
          <w:rFonts w:ascii="Times New Roman" w:hAnsi="Times New Roman"/>
        </w:rPr>
      </w:pPr>
      <w:bookmarkStart w:id="117" w:name="_Toc83307985"/>
      <w:bookmarkStart w:id="118" w:name="_Toc78987153"/>
      <w:r>
        <w:rPr>
          <w:rFonts w:ascii="Times New Roman" w:hAnsi="Times New Roman"/>
        </w:rPr>
        <w:t>（三）加快推进数字健康建设</w:t>
      </w:r>
      <w:bookmarkEnd w:id="117"/>
      <w:bookmarkEnd w:id="118"/>
    </w:p>
    <w:p w14:paraId="752B302A">
      <w:pPr>
        <w:spacing w:line="580" w:lineRule="exact"/>
        <w:ind w:firstLine="640" w:firstLineChars="200"/>
        <w:rPr>
          <w:bCs/>
        </w:rPr>
      </w:pPr>
      <w:r>
        <w:rPr>
          <w:rFonts w:hint="eastAsia"/>
          <w:bCs/>
        </w:rPr>
        <w:t>66</w:t>
      </w:r>
      <w:r>
        <w:rPr>
          <w:bCs/>
        </w:rPr>
        <w:t xml:space="preserve">. </w:t>
      </w:r>
      <w:r>
        <w:rPr>
          <w:rFonts w:hint="eastAsia"/>
          <w:bCs/>
        </w:rPr>
        <w:t>夯实卫生健康数字新基础。按照全市统一的“卫生健康云”平台，积极推动区域智慧医疗云平台建设。到</w:t>
      </w:r>
      <w:r>
        <w:rPr>
          <w:bCs/>
        </w:rPr>
        <w:t>2025</w:t>
      </w:r>
      <w:r>
        <w:rPr>
          <w:rFonts w:hint="eastAsia"/>
          <w:bCs/>
        </w:rPr>
        <w:t>年，辖区医疗卫生机构迁移至市卫生健康云比例达到</w:t>
      </w:r>
      <w:r>
        <w:rPr>
          <w:bCs/>
        </w:rPr>
        <w:t>75%</w:t>
      </w:r>
      <w:r>
        <w:rPr>
          <w:rFonts w:hint="eastAsia"/>
          <w:bCs/>
        </w:rPr>
        <w:t>。加快卫生健康信息网络智能化改造，优化提升网络保障能力，全面实现行业一张网整体布局。夯实健康医疗大数据资源体系，建设健康医疗大数据资源池，建立完善卫生健康数据共享交换和大数据协同共治机制。推动卫生健康信息管理、技术、评估等标准体系落地实施，筑牢网络信息安全防护体系，形成“云、网、数、应用”一体化的安全防护能力。</w:t>
      </w:r>
    </w:p>
    <w:p w14:paraId="751B4E57">
      <w:pPr>
        <w:spacing w:line="580" w:lineRule="exact"/>
        <w:ind w:firstLine="640" w:firstLineChars="200"/>
        <w:rPr>
          <w:bCs/>
        </w:rPr>
      </w:pPr>
      <w:r>
        <w:rPr>
          <w:rFonts w:hint="eastAsia"/>
          <w:bCs/>
        </w:rPr>
        <w:t>67</w:t>
      </w:r>
      <w:r>
        <w:rPr>
          <w:bCs/>
        </w:rPr>
        <w:t xml:space="preserve">. </w:t>
      </w:r>
      <w:r>
        <w:rPr>
          <w:rFonts w:hint="eastAsia"/>
          <w:bCs/>
        </w:rPr>
        <w:t>构建卫生健康数字新服务。提升疾病预防控制信息管理水平，支持传染病智慧化多点触发监测预警系统建设，增强传染病疫情和突发公共卫生事件早期监测预警能力，强化应急指挥决策和智能化响应。持续开展医疗、服务、管理“三位一体”的“智慧医院”建设，加快数字医疗服务改造，提升患者就医体验，推动医院精细管理，到</w:t>
      </w:r>
      <w:r>
        <w:rPr>
          <w:bCs/>
        </w:rPr>
        <w:t>2025</w:t>
      </w:r>
      <w:r>
        <w:rPr>
          <w:rFonts w:hint="eastAsia"/>
          <w:bCs/>
        </w:rPr>
        <w:t>年，建设“智慧医院”2个，二、三级公立医院电子病历应用水平分级分别达到</w:t>
      </w:r>
      <w:r>
        <w:rPr>
          <w:bCs/>
        </w:rPr>
        <w:t>3</w:t>
      </w:r>
      <w:r>
        <w:rPr>
          <w:rFonts w:hint="eastAsia"/>
          <w:bCs/>
        </w:rPr>
        <w:t>级、</w:t>
      </w:r>
      <w:r>
        <w:rPr>
          <w:bCs/>
        </w:rPr>
        <w:t>4</w:t>
      </w:r>
      <w:r>
        <w:rPr>
          <w:rFonts w:hint="eastAsia"/>
          <w:bCs/>
        </w:rPr>
        <w:t>级。推进危急重症医疗救治全流程信息协同，强化急诊急救、血液药品等数字化服务支撑能力。提升中医药现代化服务水平，充分发挥中医特色优势，创新发展“互联网+中医药健康”服务。加快妇幼、老年、慢病等领域智能化服务改造，推进线上线下一体化服务模式应用。加强数字健康环境监测评价，提升食品安全、职业病、健康危险因素等智能监测预警能力，强化线上健康科普和智能化健康干预，推广健康生活方式。重点支撑人口家庭监测、分级诊疗、医防协同、综合管理和科研教学等创新发展。大力发展线上医疗服务新业态，稳步推进互联网医院建设，发展个性化健康管理，赋能数字健康产业提档升级。</w:t>
      </w:r>
    </w:p>
    <w:p w14:paraId="4CD410E6">
      <w:pPr>
        <w:spacing w:line="580" w:lineRule="exact"/>
        <w:ind w:firstLine="640" w:firstLineChars="200"/>
        <w:rPr>
          <w:bCs/>
        </w:rPr>
      </w:pPr>
      <w:r>
        <w:rPr>
          <w:rFonts w:hint="eastAsia"/>
          <w:bCs/>
        </w:rPr>
        <w:t>68</w:t>
      </w:r>
      <w:r>
        <w:rPr>
          <w:bCs/>
        </w:rPr>
        <w:t xml:space="preserve">. </w:t>
      </w:r>
      <w:r>
        <w:rPr>
          <w:rFonts w:hint="eastAsia"/>
          <w:bCs/>
        </w:rPr>
        <w:t>营造卫生健康数字新生态。积极参与重庆数字健康联盟，搭建“政产学研用”沟通桥梁，集聚卫生健康行业优势资源，推动新型信息技术融合应用。强化信息化专家队伍建设。深化卫生健康领域开放合作，促进成渝地区和跨区域的数字健康建设交流沟通。</w:t>
      </w:r>
    </w:p>
    <w:p w14:paraId="535CB5E7">
      <w:pPr>
        <w:spacing w:line="580" w:lineRule="exact"/>
        <w:jc w:val="center"/>
        <w:rPr>
          <w:rFonts w:eastAsia="方正黑体_GBK"/>
          <w:bCs/>
          <w:sz w:val="30"/>
          <w:szCs w:val="30"/>
        </w:rPr>
      </w:pPr>
      <w:r>
        <w:rPr>
          <w:rFonts w:eastAsia="方正黑体_GBK"/>
          <w:bCs/>
          <w:sz w:val="30"/>
          <w:szCs w:val="30"/>
        </w:rPr>
        <w:t>专栏</w:t>
      </w:r>
      <w:r>
        <w:rPr>
          <w:rFonts w:hint="eastAsia" w:eastAsia="方正黑体_GBK"/>
          <w:bCs/>
          <w:sz w:val="30"/>
          <w:szCs w:val="30"/>
        </w:rPr>
        <w:t>9</w:t>
      </w:r>
      <w:r>
        <w:rPr>
          <w:rFonts w:eastAsia="方正黑体_GBK"/>
          <w:bCs/>
          <w:sz w:val="30"/>
          <w:szCs w:val="30"/>
        </w:rPr>
        <w:t xml:space="preserve"> 数字健康服务</w:t>
      </w:r>
      <w:r>
        <w:rPr>
          <w:rFonts w:hint="eastAsia" w:eastAsia="方正黑体_GBK"/>
          <w:bCs/>
          <w:sz w:val="30"/>
          <w:szCs w:val="30"/>
        </w:rPr>
        <w:t>建设</w:t>
      </w:r>
      <w:r>
        <w:rPr>
          <w:rFonts w:eastAsia="方正黑体_GBK"/>
          <w:bCs/>
          <w:sz w:val="30"/>
          <w:szCs w:val="30"/>
        </w:rPr>
        <w:t>项目</w:t>
      </w:r>
    </w:p>
    <w:p w14:paraId="49EF9D48">
      <w:pPr>
        <w:pStyle w:val="3"/>
        <w:pBdr>
          <w:top w:val="single" w:color="auto" w:sz="4" w:space="1"/>
          <w:left w:val="single" w:color="auto" w:sz="4" w:space="4"/>
          <w:bottom w:val="single" w:color="auto" w:sz="4" w:space="1"/>
          <w:right w:val="single" w:color="auto" w:sz="4" w:space="4"/>
        </w:pBdr>
        <w:spacing w:line="400" w:lineRule="exact"/>
        <w:ind w:firstLine="480" w:firstLineChars="200"/>
        <w:jc w:val="both"/>
        <w:rPr>
          <w:rFonts w:ascii="Times New Roman" w:eastAsia="方正仿宋_GBK"/>
          <w:bCs/>
          <w:color w:val="auto"/>
          <w:kern w:val="2"/>
          <w:lang w:bidi="ar"/>
        </w:rPr>
      </w:pPr>
      <w:r>
        <w:rPr>
          <w:rFonts w:ascii="Times New Roman" w:eastAsia="方正仿宋_GBK"/>
          <w:bCs/>
          <w:color w:val="auto"/>
          <w:kern w:val="2"/>
          <w:lang w:bidi="ar"/>
        </w:rPr>
        <w:t>1.</w:t>
      </w:r>
      <w:r>
        <w:rPr>
          <w:rFonts w:hint="eastAsia" w:ascii="Times New Roman" w:eastAsia="方正仿宋_GBK"/>
          <w:bCs/>
          <w:color w:val="auto"/>
          <w:kern w:val="2"/>
          <w:lang w:bidi="ar"/>
        </w:rPr>
        <w:t>卫生健康数字化基础建设。建设区域智慧医疗云平台和卫生健康智能网络，建设健康医疗大数据资源池、共性服务支撑平台等。</w:t>
      </w:r>
    </w:p>
    <w:p w14:paraId="21720547">
      <w:pPr>
        <w:pStyle w:val="3"/>
        <w:pBdr>
          <w:top w:val="single" w:color="auto" w:sz="4" w:space="1"/>
          <w:left w:val="single" w:color="auto" w:sz="4" w:space="4"/>
          <w:bottom w:val="single" w:color="auto" w:sz="4" w:space="1"/>
          <w:right w:val="single" w:color="auto" w:sz="4" w:space="4"/>
        </w:pBdr>
        <w:spacing w:line="400" w:lineRule="exact"/>
        <w:ind w:firstLine="480" w:firstLineChars="200"/>
        <w:jc w:val="both"/>
        <w:rPr>
          <w:rFonts w:ascii="Times New Roman" w:eastAsia="方正仿宋_GBK"/>
          <w:bCs/>
          <w:color w:val="auto"/>
          <w:kern w:val="2"/>
          <w:lang w:bidi="ar"/>
        </w:rPr>
      </w:pPr>
      <w:r>
        <w:rPr>
          <w:rFonts w:hint="eastAsia" w:ascii="Times New Roman" w:eastAsia="方正仿宋_GBK"/>
          <w:bCs/>
          <w:color w:val="auto"/>
          <w:kern w:val="2"/>
          <w:lang w:bidi="ar"/>
        </w:rPr>
        <w:t>2</w:t>
      </w:r>
      <w:r>
        <w:rPr>
          <w:rFonts w:ascii="Times New Roman" w:eastAsia="方正仿宋_GBK"/>
          <w:bCs/>
          <w:color w:val="auto"/>
          <w:kern w:val="2"/>
          <w:lang w:bidi="ar"/>
        </w:rPr>
        <w:t>.</w:t>
      </w:r>
      <w:r>
        <w:rPr>
          <w:rFonts w:hint="eastAsia" w:ascii="Times New Roman" w:eastAsia="方正仿宋_GBK"/>
          <w:bCs/>
          <w:color w:val="auto"/>
          <w:kern w:val="2"/>
          <w:lang w:bidi="ar"/>
        </w:rPr>
        <w:t>公共卫生智能化建设。融入智慧疾控综合管理系统、传染病智慧化多点触发预警监测系统和突发公共卫生事件应急指挥决策系统建设。</w:t>
      </w:r>
    </w:p>
    <w:p w14:paraId="628AFC46">
      <w:pPr>
        <w:pStyle w:val="3"/>
        <w:pBdr>
          <w:top w:val="single" w:color="auto" w:sz="4" w:space="1"/>
          <w:left w:val="single" w:color="auto" w:sz="4" w:space="4"/>
          <w:bottom w:val="single" w:color="auto" w:sz="4" w:space="1"/>
          <w:right w:val="single" w:color="auto" w:sz="4" w:space="4"/>
        </w:pBdr>
        <w:spacing w:line="400" w:lineRule="exact"/>
        <w:ind w:firstLine="480" w:firstLineChars="200"/>
        <w:jc w:val="both"/>
        <w:rPr>
          <w:rFonts w:ascii="Times New Roman" w:eastAsia="方正仿宋_GBK"/>
          <w:bCs/>
          <w:color w:val="auto"/>
          <w:kern w:val="2"/>
          <w:lang w:bidi="ar"/>
        </w:rPr>
      </w:pPr>
      <w:r>
        <w:rPr>
          <w:rFonts w:hint="eastAsia" w:ascii="Times New Roman" w:eastAsia="方正仿宋_GBK"/>
          <w:bCs/>
          <w:color w:val="auto"/>
          <w:kern w:val="2"/>
          <w:lang w:bidi="ar"/>
        </w:rPr>
        <w:t>3</w:t>
      </w:r>
      <w:r>
        <w:rPr>
          <w:rFonts w:ascii="Times New Roman" w:eastAsia="方正仿宋_GBK"/>
          <w:bCs/>
          <w:color w:val="auto"/>
          <w:kern w:val="2"/>
          <w:lang w:bidi="ar"/>
        </w:rPr>
        <w:t>.</w:t>
      </w:r>
      <w:r>
        <w:rPr>
          <w:rFonts w:hint="eastAsia" w:ascii="Times New Roman" w:eastAsia="方正仿宋_GBK"/>
          <w:bCs/>
          <w:color w:val="auto"/>
          <w:kern w:val="2"/>
          <w:lang w:bidi="ar"/>
        </w:rPr>
        <w:t>智慧医疗建设。建设医院协同一体化救治系统，完善血液管理信息系统和药品供应保障信息系统，建设“智慧医院”2个。</w:t>
      </w:r>
    </w:p>
    <w:p w14:paraId="1B62F336">
      <w:pPr>
        <w:pStyle w:val="5"/>
        <w:spacing w:before="0" w:after="0" w:line="580" w:lineRule="exact"/>
        <w:ind w:firstLine="640" w:firstLineChars="200"/>
        <w:rPr>
          <w:rFonts w:ascii="Times New Roman" w:hAnsi="Times New Roman"/>
        </w:rPr>
      </w:pPr>
      <w:bookmarkStart w:id="119" w:name="_Toc83307986"/>
      <w:r>
        <w:rPr>
          <w:rFonts w:ascii="Times New Roman" w:hAnsi="Times New Roman"/>
        </w:rPr>
        <w:t>（四）加强宣传能力建设</w:t>
      </w:r>
      <w:bookmarkEnd w:id="119"/>
    </w:p>
    <w:p w14:paraId="280E53D4">
      <w:pPr>
        <w:spacing w:line="580" w:lineRule="exact"/>
        <w:ind w:firstLine="640" w:firstLineChars="200"/>
      </w:pPr>
      <w:r>
        <w:rPr>
          <w:rFonts w:hint="eastAsia"/>
          <w:bCs/>
        </w:rPr>
        <w:t>69</w:t>
      </w:r>
      <w:r>
        <w:rPr>
          <w:bCs/>
        </w:rPr>
        <w:t>. 提升应急宣传水平，完善突发事件信息发布机制，及时准确、公开透明发布权威信息。建强健康宣传队伍，加强宣传策划队伍建设，提升重大宣传统筹策划能力。拓展宣传</w:t>
      </w:r>
      <w:r>
        <w:rPr>
          <w:rFonts w:hint="eastAsia"/>
          <w:bCs/>
        </w:rPr>
        <w:t>渠道</w:t>
      </w:r>
      <w:r>
        <w:rPr>
          <w:bCs/>
        </w:rPr>
        <w:t>，巩固提高传统传播</w:t>
      </w:r>
      <w:r>
        <w:rPr>
          <w:rFonts w:hint="eastAsia"/>
          <w:bCs/>
        </w:rPr>
        <w:t>渠道</w:t>
      </w:r>
      <w:r>
        <w:rPr>
          <w:bCs/>
        </w:rPr>
        <w:t>，</w:t>
      </w:r>
      <w:r>
        <w:rPr>
          <w:rFonts w:hint="eastAsia"/>
          <w:bCs/>
        </w:rPr>
        <w:t>充分利用</w:t>
      </w:r>
      <w:r>
        <w:rPr>
          <w:bCs/>
        </w:rPr>
        <w:t>各类</w:t>
      </w:r>
      <w:r>
        <w:rPr>
          <w:rFonts w:hint="eastAsia"/>
          <w:bCs/>
        </w:rPr>
        <w:t>报</w:t>
      </w:r>
      <w:r>
        <w:rPr>
          <w:bCs/>
        </w:rPr>
        <w:t>刊、新媒体等资源。完善健康传播机制，优化舆情快速反应机制，强化属地第一时间反应、核实、处置。建立应急科普</w:t>
      </w:r>
      <w:r>
        <w:rPr>
          <w:rFonts w:hint="eastAsia"/>
          <w:bCs/>
        </w:rPr>
        <w:t>多部门</w:t>
      </w:r>
      <w:r>
        <w:rPr>
          <w:bCs/>
        </w:rPr>
        <w:t>联合宣传机制，提高应急科普传播能力。</w:t>
      </w:r>
    </w:p>
    <w:p w14:paraId="573AFEC1">
      <w:pPr>
        <w:pStyle w:val="5"/>
        <w:spacing w:before="0" w:after="0" w:line="580" w:lineRule="exact"/>
        <w:ind w:firstLine="640" w:firstLineChars="200"/>
        <w:rPr>
          <w:rFonts w:ascii="Times New Roman" w:hAnsi="Times New Roman" w:eastAsia="方正黑体_GBK"/>
          <w:kern w:val="44"/>
        </w:rPr>
      </w:pPr>
      <w:bookmarkStart w:id="120" w:name="_Toc78987154"/>
      <w:bookmarkStart w:id="121" w:name="_Toc83307987"/>
      <w:r>
        <w:rPr>
          <w:rFonts w:ascii="Times New Roman" w:hAnsi="Times New Roman" w:eastAsia="方正黑体_GBK"/>
          <w:kern w:val="44"/>
        </w:rPr>
        <w:t>十一、促进区域卫生健康协同与合作</w:t>
      </w:r>
      <w:bookmarkEnd w:id="120"/>
      <w:bookmarkEnd w:id="121"/>
    </w:p>
    <w:p w14:paraId="6023641A">
      <w:pPr>
        <w:pStyle w:val="5"/>
        <w:spacing w:before="0" w:after="0" w:line="580" w:lineRule="exact"/>
        <w:ind w:firstLine="640" w:firstLineChars="200"/>
        <w:rPr>
          <w:rFonts w:ascii="Times New Roman" w:hAnsi="Times New Roman"/>
        </w:rPr>
      </w:pPr>
      <w:bookmarkStart w:id="122" w:name="_Toc78987155"/>
      <w:bookmarkStart w:id="123" w:name="_Toc83307988"/>
      <w:r>
        <w:rPr>
          <w:rFonts w:ascii="Times New Roman" w:hAnsi="Times New Roman"/>
        </w:rPr>
        <w:t>（一）</w:t>
      </w:r>
      <w:r>
        <w:rPr>
          <w:rFonts w:hint="eastAsia" w:ascii="Times New Roman" w:hAnsi="Times New Roman"/>
        </w:rPr>
        <w:t>参与</w:t>
      </w:r>
      <w:r>
        <w:rPr>
          <w:rFonts w:ascii="Times New Roman" w:hAnsi="Times New Roman"/>
        </w:rPr>
        <w:t>川渝</w:t>
      </w:r>
      <w:r>
        <w:rPr>
          <w:rFonts w:hint="eastAsia" w:ascii="Times New Roman" w:hAnsi="Times New Roman"/>
        </w:rPr>
        <w:t>、鲁渝</w:t>
      </w:r>
      <w:r>
        <w:rPr>
          <w:rFonts w:ascii="Times New Roman" w:hAnsi="Times New Roman"/>
        </w:rPr>
        <w:t>卫生健康</w:t>
      </w:r>
      <w:bookmarkEnd w:id="122"/>
      <w:bookmarkEnd w:id="123"/>
      <w:r>
        <w:rPr>
          <w:rFonts w:hint="eastAsia" w:ascii="Times New Roman" w:hAnsi="Times New Roman"/>
        </w:rPr>
        <w:t>协同共建</w:t>
      </w:r>
    </w:p>
    <w:p w14:paraId="0478CEC7">
      <w:pPr>
        <w:spacing w:line="580" w:lineRule="exact"/>
        <w:ind w:firstLine="640" w:firstLineChars="200"/>
        <w:rPr>
          <w:bCs/>
        </w:rPr>
      </w:pPr>
      <w:r>
        <w:rPr>
          <w:rFonts w:hint="eastAsia"/>
          <w:bCs/>
        </w:rPr>
        <w:t>70</w:t>
      </w:r>
      <w:r>
        <w:rPr>
          <w:bCs/>
        </w:rPr>
        <w:t xml:space="preserve">. </w:t>
      </w:r>
      <w:r>
        <w:rPr>
          <w:rFonts w:hint="eastAsia"/>
          <w:bCs/>
        </w:rPr>
        <w:t>推动区域公共卫生协同服务。</w:t>
      </w:r>
      <w:r>
        <w:rPr>
          <w:bCs/>
        </w:rPr>
        <w:t>对跨区域流动职业病患者进行随访调查。开展食品安全风险监测协作，共同提高食品安全管理水平。建立跨区域基层卫生政策互通机制，探索建设跨区域基层医疗卫生机构交流合作平台。建立跨区域基本公共卫生服务、家庭医生签约服务交流机制和基层医务人员培训机制。</w:t>
      </w:r>
    </w:p>
    <w:p w14:paraId="60AB03E1">
      <w:pPr>
        <w:spacing w:line="580" w:lineRule="exact"/>
        <w:ind w:firstLine="640" w:firstLineChars="200"/>
        <w:rPr>
          <w:bCs/>
        </w:rPr>
      </w:pPr>
      <w:r>
        <w:rPr>
          <w:rFonts w:hint="eastAsia"/>
          <w:bCs/>
        </w:rPr>
        <w:t>71</w:t>
      </w:r>
      <w:r>
        <w:rPr>
          <w:bCs/>
        </w:rPr>
        <w:t xml:space="preserve">. </w:t>
      </w:r>
      <w:r>
        <w:rPr>
          <w:rFonts w:hint="eastAsia"/>
          <w:bCs/>
        </w:rPr>
        <w:t>推进区域医疗协同服务。</w:t>
      </w:r>
      <w:r>
        <w:rPr>
          <w:bCs/>
        </w:rPr>
        <w:t>探索组建</w:t>
      </w:r>
      <w:r>
        <w:rPr>
          <w:rFonts w:hint="eastAsia"/>
          <w:bCs/>
        </w:rPr>
        <w:t>跨区域</w:t>
      </w:r>
      <w:r>
        <w:rPr>
          <w:bCs/>
        </w:rPr>
        <w:t>专科联盟，推进跨地区医师多点执业。推进优质医疗卫生资源共享，实施电子健康卡互认、二级以上公立医疗机构检查检验结果互认，在两地医疗卫生机构、符合条件的第三方机构搭建互联网诊疗信息平台、远程会诊系统，推进两地“智慧医院”共建共享。搭建区域合作平台，在等级医院评审、医疗质控、医院巡查等方面共享专家资源。推进川渝中医药一体化发展，开展中医临床研究基地、中医药重点研究室、重点学（专）科、中医专科联盟建设，推动两地中医医院在人才培养等方面合作。推进</w:t>
      </w:r>
      <w:r>
        <w:rPr>
          <w:rFonts w:hint="eastAsia"/>
          <w:bCs/>
        </w:rPr>
        <w:t>大渡口区大健康生物医药产业园区与</w:t>
      </w:r>
      <w:r>
        <w:rPr>
          <w:bCs/>
        </w:rPr>
        <w:t>成渝两地医药健康相关产业园区（功能区）合作交流。</w:t>
      </w:r>
    </w:p>
    <w:p w14:paraId="6C0A56BC">
      <w:pPr>
        <w:pStyle w:val="5"/>
        <w:spacing w:before="0" w:after="0" w:line="580" w:lineRule="exact"/>
        <w:ind w:firstLine="640" w:firstLineChars="200"/>
        <w:rPr>
          <w:rFonts w:ascii="Times New Roman" w:hAnsi="Times New Roman"/>
        </w:rPr>
      </w:pPr>
      <w:bookmarkStart w:id="124" w:name="_Toc83307989"/>
      <w:bookmarkStart w:id="125" w:name="_Toc78987156"/>
      <w:r>
        <w:rPr>
          <w:rFonts w:ascii="Times New Roman" w:hAnsi="Times New Roman"/>
        </w:rPr>
        <w:t>（二）促进“一区两群”协调发展</w:t>
      </w:r>
      <w:bookmarkEnd w:id="124"/>
      <w:bookmarkEnd w:id="125"/>
    </w:p>
    <w:p w14:paraId="3E79BF0D">
      <w:pPr>
        <w:spacing w:line="580" w:lineRule="exact"/>
        <w:ind w:firstLine="640" w:firstLineChars="200"/>
        <w:rPr>
          <w:bCs/>
        </w:rPr>
      </w:pPr>
      <w:r>
        <w:rPr>
          <w:rFonts w:hint="eastAsia"/>
          <w:bCs/>
        </w:rPr>
        <w:t>72</w:t>
      </w:r>
      <w:r>
        <w:rPr>
          <w:bCs/>
        </w:rPr>
        <w:t xml:space="preserve">. </w:t>
      </w:r>
      <w:r>
        <w:rPr>
          <w:rFonts w:hint="eastAsia"/>
          <w:bCs/>
        </w:rPr>
        <w:t>融入主城都市区医疗服务高质量一体化发展。参照</w:t>
      </w:r>
      <w:r>
        <w:rPr>
          <w:bCs/>
        </w:rPr>
        <w:t>中心城区</w:t>
      </w:r>
      <w:r>
        <w:rPr>
          <w:rFonts w:hint="eastAsia"/>
          <w:bCs/>
        </w:rPr>
        <w:t>医疗卫生资源配置</w:t>
      </w:r>
      <w:r>
        <w:rPr>
          <w:bCs/>
        </w:rPr>
        <w:t>，</w:t>
      </w:r>
      <w:r>
        <w:rPr>
          <w:rFonts w:hint="eastAsia"/>
          <w:bCs/>
        </w:rPr>
        <w:t>加快</w:t>
      </w:r>
      <w:r>
        <w:rPr>
          <w:bCs/>
        </w:rPr>
        <w:t>提升区</w:t>
      </w:r>
      <w:r>
        <w:rPr>
          <w:rFonts w:hint="eastAsia"/>
          <w:bCs/>
        </w:rPr>
        <w:t>级</w:t>
      </w:r>
      <w:r>
        <w:rPr>
          <w:bCs/>
        </w:rPr>
        <w:t>卫生健康影响力和竞争力，推动形成大健康产业聚集区，建设高水平医院、发展高水平专科、培养高水平人才。加强基层和公共卫生服务能力，促进健康服务业高质量发展。</w:t>
      </w:r>
    </w:p>
    <w:p w14:paraId="1422C566">
      <w:pPr>
        <w:spacing w:line="580" w:lineRule="exact"/>
        <w:ind w:firstLine="640" w:firstLineChars="200"/>
        <w:rPr>
          <w:bCs/>
        </w:rPr>
      </w:pPr>
      <w:r>
        <w:rPr>
          <w:rFonts w:hint="eastAsia"/>
          <w:bCs/>
        </w:rPr>
        <w:t>73</w:t>
      </w:r>
      <w:r>
        <w:rPr>
          <w:bCs/>
        </w:rPr>
        <w:t xml:space="preserve">. </w:t>
      </w:r>
      <w:r>
        <w:rPr>
          <w:rFonts w:hint="eastAsia"/>
          <w:bCs/>
        </w:rPr>
        <w:t>促进“一区两群”协同发展。持续深化与忠县的对口帮扶交流活动，每年互派医务人员10名，开展交流学习和继续教育培训，培训医疗卫生技术人员不少于10人。持续强化与大健康医药产业交流协作，促进科研成果临床转换。</w:t>
      </w:r>
    </w:p>
    <w:p w14:paraId="44D0054D">
      <w:pPr>
        <w:pStyle w:val="5"/>
        <w:spacing w:before="0" w:after="0" w:line="580" w:lineRule="exact"/>
        <w:ind w:firstLine="640" w:firstLineChars="200"/>
        <w:rPr>
          <w:rFonts w:ascii="Times New Roman" w:hAnsi="Times New Roman" w:eastAsia="方正黑体_GBK"/>
          <w:kern w:val="44"/>
        </w:rPr>
      </w:pPr>
      <w:bookmarkStart w:id="126" w:name="_Toc78987159"/>
      <w:bookmarkStart w:id="127" w:name="_Toc27213"/>
      <w:bookmarkStart w:id="128" w:name="_Toc6945"/>
      <w:bookmarkStart w:id="129" w:name="_Toc83307992"/>
      <w:r>
        <w:rPr>
          <w:rFonts w:ascii="Times New Roman" w:hAnsi="Times New Roman" w:eastAsia="方正黑体_GBK"/>
          <w:kern w:val="44"/>
        </w:rPr>
        <w:t>十二、保障措施</w:t>
      </w:r>
      <w:bookmarkEnd w:id="126"/>
      <w:bookmarkEnd w:id="127"/>
      <w:bookmarkEnd w:id="128"/>
      <w:bookmarkEnd w:id="129"/>
    </w:p>
    <w:p w14:paraId="156CB908">
      <w:pPr>
        <w:pStyle w:val="5"/>
        <w:spacing w:before="0" w:after="0" w:line="580" w:lineRule="exact"/>
        <w:ind w:firstLine="640" w:firstLineChars="200"/>
        <w:rPr>
          <w:rFonts w:ascii="Times New Roman" w:hAnsi="Times New Roman"/>
        </w:rPr>
      </w:pPr>
      <w:bookmarkStart w:id="130" w:name="_Toc78987160"/>
      <w:bookmarkStart w:id="131" w:name="_Toc83307993"/>
      <w:bookmarkStart w:id="132" w:name="_Toc17592"/>
      <w:bookmarkStart w:id="133" w:name="_Toc6375"/>
      <w:r>
        <w:rPr>
          <w:rFonts w:ascii="Times New Roman" w:hAnsi="Times New Roman"/>
        </w:rPr>
        <w:t>（一）强化组织领导</w:t>
      </w:r>
      <w:bookmarkEnd w:id="130"/>
      <w:bookmarkEnd w:id="131"/>
      <w:bookmarkEnd w:id="132"/>
      <w:bookmarkEnd w:id="133"/>
    </w:p>
    <w:p w14:paraId="403FA7D2">
      <w:pPr>
        <w:spacing w:line="580" w:lineRule="exact"/>
        <w:ind w:firstLine="640" w:firstLineChars="200"/>
        <w:rPr>
          <w:bCs/>
        </w:rPr>
      </w:pPr>
      <w:r>
        <w:rPr>
          <w:rFonts w:hint="eastAsia"/>
          <w:bCs/>
        </w:rPr>
        <w:t>区级</w:t>
      </w:r>
      <w:r>
        <w:rPr>
          <w:bCs/>
        </w:rPr>
        <w:t>各</w:t>
      </w:r>
      <w:r>
        <w:rPr>
          <w:rFonts w:hint="eastAsia"/>
          <w:bCs/>
        </w:rPr>
        <w:t>部门、镇街</w:t>
      </w:r>
      <w:r>
        <w:rPr>
          <w:bCs/>
        </w:rPr>
        <w:t>要从推进健康中国</w:t>
      </w:r>
      <w:r>
        <w:rPr>
          <w:rFonts w:hint="eastAsia"/>
          <w:bCs/>
        </w:rPr>
        <w:t>大渡口</w:t>
      </w:r>
      <w:r>
        <w:rPr>
          <w:bCs/>
        </w:rPr>
        <w:t>行动、成渝卫生健康一体化发展的高度，进一步提高认识，加强领导，加强部门联动，动员各方参与。各有关部门要各负其责、密切配合、形成合力，卫生健康、医保、发展改革、财政、编制、人力资源社会保障、教育、科技、经济信息化、民政、规划资源等部门按照各自职责，共同推进规划落实。</w:t>
      </w:r>
      <w:r>
        <w:rPr>
          <w:rFonts w:hint="eastAsia"/>
          <w:bCs/>
        </w:rPr>
        <w:t>区</w:t>
      </w:r>
      <w:r>
        <w:rPr>
          <w:bCs/>
        </w:rPr>
        <w:t>卫生健康部门要建立工作目标责任制，强化规划落实，切实维护规划的权威性和严肃性。</w:t>
      </w:r>
      <w:bookmarkStart w:id="134" w:name="_Toc21168"/>
    </w:p>
    <w:p w14:paraId="0EFFCEF8">
      <w:pPr>
        <w:pStyle w:val="5"/>
        <w:spacing w:before="0" w:after="0" w:line="580" w:lineRule="exact"/>
        <w:ind w:firstLine="640" w:firstLineChars="200"/>
        <w:rPr>
          <w:rFonts w:ascii="Times New Roman" w:hAnsi="Times New Roman"/>
        </w:rPr>
      </w:pPr>
      <w:bookmarkStart w:id="135" w:name="_Toc78987161"/>
      <w:bookmarkStart w:id="136" w:name="_Toc83307994"/>
      <w:r>
        <w:rPr>
          <w:rFonts w:ascii="Times New Roman" w:hAnsi="Times New Roman"/>
        </w:rPr>
        <w:t>（二）完善配套政策</w:t>
      </w:r>
      <w:bookmarkEnd w:id="134"/>
      <w:bookmarkEnd w:id="135"/>
      <w:bookmarkEnd w:id="136"/>
    </w:p>
    <w:p w14:paraId="2DA3D370">
      <w:pPr>
        <w:spacing w:line="580" w:lineRule="exact"/>
        <w:ind w:firstLine="640" w:firstLineChars="200"/>
        <w:rPr>
          <w:bCs/>
        </w:rPr>
      </w:pPr>
      <w:r>
        <w:rPr>
          <w:bCs/>
        </w:rPr>
        <w:t>完善政府主导的多元化卫生健康筹资机制，统筹公共预算基建及政府债券各项资金资源资产，尽力而为，量力而行，做好资金保障，强化政府对卫生健康基本公共服务的投入责任，建立稳定的公共卫生事业投入机制，引导社会资金参与发展卫生健康事业。完善各类公立医疗卫生健康机构的财政补偿政策，健全政府购买卫生健康服务的机制。调整和完善政府卫生投入结构，重点支持基层卫生、公共卫生、基本医疗保障等，切实加强卫生健康基础设施建设、卫生健康科技创新和卫生健康人才培养等工作。</w:t>
      </w:r>
    </w:p>
    <w:p w14:paraId="3FD5D456">
      <w:pPr>
        <w:pStyle w:val="5"/>
        <w:spacing w:before="0" w:after="0" w:line="580" w:lineRule="exact"/>
        <w:ind w:firstLine="640" w:firstLineChars="200"/>
        <w:rPr>
          <w:rFonts w:ascii="Times New Roman" w:hAnsi="Times New Roman"/>
        </w:rPr>
      </w:pPr>
      <w:bookmarkStart w:id="137" w:name="_Toc78987162"/>
      <w:bookmarkStart w:id="138" w:name="_Toc18578"/>
      <w:bookmarkStart w:id="139" w:name="_Toc83307995"/>
      <w:r>
        <w:rPr>
          <w:rFonts w:ascii="Times New Roman" w:hAnsi="Times New Roman"/>
        </w:rPr>
        <w:t>（三）营造良好</w:t>
      </w:r>
      <w:bookmarkEnd w:id="137"/>
      <w:bookmarkEnd w:id="138"/>
      <w:r>
        <w:rPr>
          <w:rFonts w:ascii="Times New Roman" w:hAnsi="Times New Roman"/>
        </w:rPr>
        <w:t>氛围</w:t>
      </w:r>
      <w:bookmarkEnd w:id="139"/>
    </w:p>
    <w:p w14:paraId="19BCE2B4">
      <w:pPr>
        <w:spacing w:line="580" w:lineRule="exact"/>
        <w:ind w:firstLine="640" w:firstLineChars="200"/>
        <w:rPr>
          <w:bCs/>
        </w:rPr>
      </w:pPr>
      <w:r>
        <w:rPr>
          <w:bCs/>
        </w:rPr>
        <w:t>加强党的全面领导，加强行风建设，完善重大案件问责、违规事件通报、不良执业行为记录等制度。弘扬和践行社会主义核心价值观，强化医德医风建设和行业自律，规范诊疗服务行为。加强行业信用制度建设，完善行风评议和患者就医体验满意度第三方评价机制。注重宣传倡导，提高居民科学就医意识和能力，引导公众合理利用医疗卫生资源。提升医务人员合理薪酬待遇、发展空间、执业环境和社会地位，关心爱护医务人员身心健康，营造全社会尊医重卫的良好风气。深化平安医院建设，严厉依法打击涉医违法犯罪行为特别是伤害医务人员的暴力犯罪行为，保护医务人员安全。推进院内调解、人民调解、司法调解和医疗责任险机制建设，构建和谐医患关系。</w:t>
      </w:r>
    </w:p>
    <w:p w14:paraId="308A8AB9">
      <w:pPr>
        <w:pStyle w:val="5"/>
        <w:spacing w:before="0" w:after="0" w:line="580" w:lineRule="exact"/>
        <w:ind w:firstLine="640" w:firstLineChars="200"/>
        <w:rPr>
          <w:rFonts w:ascii="Times New Roman" w:hAnsi="Times New Roman"/>
        </w:rPr>
      </w:pPr>
      <w:bookmarkStart w:id="140" w:name="_Toc24892"/>
      <w:bookmarkStart w:id="141" w:name="_Toc78987163"/>
      <w:bookmarkStart w:id="142" w:name="_Toc83307996"/>
      <w:r>
        <w:rPr>
          <w:rFonts w:ascii="Times New Roman" w:hAnsi="Times New Roman"/>
        </w:rPr>
        <w:t>（四）加强监测评估</w:t>
      </w:r>
      <w:bookmarkEnd w:id="140"/>
      <w:bookmarkEnd w:id="141"/>
      <w:bookmarkEnd w:id="142"/>
    </w:p>
    <w:p w14:paraId="0FB28881">
      <w:pPr>
        <w:spacing w:line="580" w:lineRule="exact"/>
        <w:ind w:firstLine="640" w:firstLineChars="200"/>
        <w:rPr>
          <w:bCs/>
        </w:rPr>
      </w:pPr>
      <w:r>
        <w:rPr>
          <w:bCs/>
        </w:rPr>
        <w:t>做好规划重点任务分解，对主要指标设置年度目标，明确职责，认真组织落实，有序推进各项重点工作任务，推动将主要指标和重点任务纳入年度重点工作。统筹健康中国</w:t>
      </w:r>
      <w:r>
        <w:rPr>
          <w:rFonts w:hint="eastAsia"/>
          <w:bCs/>
        </w:rPr>
        <w:t>大渡口</w:t>
      </w:r>
      <w:r>
        <w:rPr>
          <w:bCs/>
        </w:rPr>
        <w:t>行动相关监测评价，健全规划实施情况监测评估机制，加强规划实施中的督导，定期对规划实施进度及效果开展阶段评估，科学制定方案，按要求开展规划年度监测、中期评估和终期评估，及时发现规划实施中的问题，确保规划目标和各项重点工作任务顺利如期实现。</w:t>
      </w:r>
      <w:bookmarkEnd w:id="89"/>
      <w:bookmarkEnd w:id="90"/>
      <w:bookmarkEnd w:id="91"/>
    </w:p>
    <w:p w14:paraId="2F428BD9">
      <w:pPr>
        <w:spacing w:line="580" w:lineRule="exact"/>
        <w:rPr>
          <w:rFonts w:eastAsia="方正黑体_GBK"/>
        </w:rPr>
      </w:pPr>
    </w:p>
    <w:p w14:paraId="7365EEF9">
      <w:pPr>
        <w:pStyle w:val="2"/>
        <w:spacing w:line="580" w:lineRule="exact"/>
      </w:pPr>
    </w:p>
    <w:p w14:paraId="48E851F3">
      <w:pPr>
        <w:pStyle w:val="3"/>
        <w:spacing w:line="580" w:lineRule="exact"/>
      </w:pPr>
    </w:p>
    <w:p w14:paraId="4E30D487">
      <w:pPr>
        <w:spacing w:line="580" w:lineRule="exact"/>
      </w:pPr>
    </w:p>
    <w:p w14:paraId="7947F86B">
      <w:pPr>
        <w:pStyle w:val="2"/>
        <w:spacing w:line="580" w:lineRule="exact"/>
      </w:pPr>
    </w:p>
    <w:p w14:paraId="3C710F4E">
      <w:pPr>
        <w:pStyle w:val="3"/>
        <w:spacing w:line="580" w:lineRule="exact"/>
      </w:pPr>
    </w:p>
    <w:p w14:paraId="0B31EA1D">
      <w:pPr>
        <w:spacing w:line="580" w:lineRule="exact"/>
      </w:pPr>
    </w:p>
    <w:p w14:paraId="7935C04E">
      <w:pPr>
        <w:pStyle w:val="2"/>
        <w:spacing w:line="580" w:lineRule="exact"/>
      </w:pPr>
    </w:p>
    <w:p w14:paraId="1891FF8E">
      <w:pPr>
        <w:pStyle w:val="3"/>
        <w:spacing w:line="580" w:lineRule="exact"/>
      </w:pPr>
    </w:p>
    <w:p w14:paraId="11580713">
      <w:pPr>
        <w:spacing w:line="580" w:lineRule="exact"/>
      </w:pPr>
    </w:p>
    <w:p w14:paraId="035FD275">
      <w:pPr>
        <w:spacing w:line="580" w:lineRule="exact"/>
        <w:jc w:val="center"/>
        <w:rPr>
          <w:rFonts w:ascii="方正小标宋_GBK" w:eastAsia="方正小标宋_GBK"/>
          <w:sz w:val="36"/>
          <w:szCs w:val="36"/>
        </w:rPr>
      </w:pPr>
      <w:r>
        <w:rPr>
          <w:rFonts w:hint="eastAsia" w:ascii="方正小标宋_GBK" w:eastAsia="方正小标宋_GBK"/>
          <w:sz w:val="36"/>
          <w:szCs w:val="36"/>
        </w:rPr>
        <w:t>大渡口区</w:t>
      </w:r>
      <w:r>
        <w:rPr>
          <w:rFonts w:hint="eastAsia" w:ascii="方正小标宋_GBK" w:hAnsi="宋体" w:eastAsia="方正小标宋_GBK"/>
          <w:sz w:val="36"/>
          <w:szCs w:val="36"/>
        </w:rPr>
        <w:t>“</w:t>
      </w:r>
      <w:r>
        <w:rPr>
          <w:rFonts w:hint="eastAsia" w:ascii="方正小标宋_GBK" w:eastAsia="方正小标宋_GBK"/>
          <w:sz w:val="36"/>
          <w:szCs w:val="36"/>
        </w:rPr>
        <w:t>十四五</w:t>
      </w:r>
      <w:r>
        <w:rPr>
          <w:rFonts w:hint="eastAsia" w:ascii="方正小标宋_GBK" w:hAnsi="宋体" w:eastAsia="方正小标宋_GBK"/>
          <w:sz w:val="36"/>
          <w:szCs w:val="36"/>
        </w:rPr>
        <w:t>”</w:t>
      </w:r>
      <w:r>
        <w:rPr>
          <w:rFonts w:hint="eastAsia" w:ascii="方正小标宋_GBK" w:eastAsia="方正小标宋_GBK"/>
          <w:sz w:val="36"/>
          <w:szCs w:val="36"/>
        </w:rPr>
        <w:t>医疗卫生机构重大项目表</w:t>
      </w:r>
    </w:p>
    <w:p w14:paraId="08317484">
      <w:pPr>
        <w:pStyle w:val="3"/>
        <w:spacing w:line="580" w:lineRule="exact"/>
      </w:pPr>
    </w:p>
    <w:tbl>
      <w:tblPr>
        <w:tblStyle w:val="1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530"/>
        <w:gridCol w:w="3952"/>
        <w:gridCol w:w="1412"/>
        <w:gridCol w:w="1554"/>
      </w:tblGrid>
      <w:tr w14:paraId="6002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015BE6DC">
            <w:pPr>
              <w:pStyle w:val="3"/>
              <w:spacing w:line="320" w:lineRule="exact"/>
              <w:jc w:val="center"/>
              <w:rPr>
                <w:rFonts w:ascii="方正黑体_GBK" w:eastAsia="方正黑体_GBK"/>
              </w:rPr>
            </w:pPr>
            <w:r>
              <w:rPr>
                <w:rFonts w:hint="eastAsia" w:ascii="方正黑体_GBK" w:eastAsia="方正黑体_GBK"/>
                <w:spacing w:val="-4"/>
                <w:szCs w:val="21"/>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1FE26A65">
            <w:pPr>
              <w:pStyle w:val="3"/>
              <w:spacing w:line="320" w:lineRule="exact"/>
              <w:jc w:val="center"/>
              <w:rPr>
                <w:rFonts w:ascii="方正黑体_GBK" w:eastAsia="方正黑体_GBK"/>
              </w:rPr>
            </w:pPr>
            <w:r>
              <w:rPr>
                <w:rFonts w:hint="eastAsia" w:ascii="方正黑体_GBK" w:eastAsia="方正黑体_GBK"/>
                <w:spacing w:val="-4"/>
                <w:szCs w:val="21"/>
              </w:rPr>
              <w:t>项目名称</w:t>
            </w:r>
          </w:p>
        </w:tc>
        <w:tc>
          <w:tcPr>
            <w:tcW w:w="3966" w:type="dxa"/>
            <w:tcBorders>
              <w:top w:val="single" w:color="auto" w:sz="4" w:space="0"/>
              <w:left w:val="single" w:color="auto" w:sz="4" w:space="0"/>
              <w:bottom w:val="single" w:color="auto" w:sz="4" w:space="0"/>
              <w:right w:val="single" w:color="auto" w:sz="4" w:space="0"/>
            </w:tcBorders>
            <w:vAlign w:val="center"/>
          </w:tcPr>
          <w:p w14:paraId="1649727E">
            <w:pPr>
              <w:pStyle w:val="3"/>
              <w:spacing w:line="320" w:lineRule="exact"/>
              <w:jc w:val="center"/>
              <w:rPr>
                <w:rFonts w:ascii="方正黑体_GBK" w:eastAsia="方正黑体_GBK"/>
              </w:rPr>
            </w:pPr>
            <w:r>
              <w:rPr>
                <w:rFonts w:hint="eastAsia" w:ascii="方正黑体_GBK" w:eastAsia="方正黑体_GBK"/>
                <w:spacing w:val="-4"/>
                <w:szCs w:val="21"/>
              </w:rPr>
              <w:t>项目摘要</w:t>
            </w:r>
          </w:p>
        </w:tc>
        <w:tc>
          <w:tcPr>
            <w:tcW w:w="1416" w:type="dxa"/>
            <w:tcBorders>
              <w:top w:val="single" w:color="auto" w:sz="4" w:space="0"/>
              <w:left w:val="single" w:color="auto" w:sz="4" w:space="0"/>
              <w:bottom w:val="single" w:color="auto" w:sz="4" w:space="0"/>
              <w:right w:val="single" w:color="auto" w:sz="4" w:space="0"/>
            </w:tcBorders>
            <w:vAlign w:val="center"/>
          </w:tcPr>
          <w:p w14:paraId="4087E910">
            <w:pPr>
              <w:pStyle w:val="3"/>
              <w:spacing w:line="320" w:lineRule="exact"/>
              <w:jc w:val="center"/>
              <w:rPr>
                <w:rFonts w:ascii="方正黑体_GBK" w:eastAsia="方正黑体_GBK"/>
              </w:rPr>
            </w:pPr>
            <w:r>
              <w:rPr>
                <w:rFonts w:hint="eastAsia" w:ascii="方正黑体_GBK" w:eastAsia="方正黑体_GBK"/>
                <w:spacing w:val="-4"/>
                <w:szCs w:val="21"/>
              </w:rPr>
              <w:t>投资额度（亿元）</w:t>
            </w:r>
          </w:p>
        </w:tc>
        <w:tc>
          <w:tcPr>
            <w:tcW w:w="1559" w:type="dxa"/>
            <w:tcBorders>
              <w:top w:val="single" w:color="auto" w:sz="4" w:space="0"/>
              <w:left w:val="single" w:color="auto" w:sz="4" w:space="0"/>
              <w:bottom w:val="single" w:color="auto" w:sz="4" w:space="0"/>
              <w:right w:val="single" w:color="auto" w:sz="4" w:space="0"/>
            </w:tcBorders>
            <w:vAlign w:val="center"/>
          </w:tcPr>
          <w:p w14:paraId="45940AB3">
            <w:pPr>
              <w:pStyle w:val="3"/>
              <w:spacing w:line="320" w:lineRule="exact"/>
              <w:jc w:val="center"/>
              <w:rPr>
                <w:rFonts w:ascii="方正黑体_GBK" w:eastAsia="方正黑体_GBK"/>
              </w:rPr>
            </w:pPr>
            <w:r>
              <w:rPr>
                <w:rFonts w:hint="eastAsia" w:ascii="方正黑体_GBK" w:eastAsia="方正黑体_GBK"/>
              </w:rPr>
              <w:t>进度安排</w:t>
            </w:r>
          </w:p>
        </w:tc>
      </w:tr>
      <w:tr w14:paraId="1E62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3E6D1359">
            <w:pPr>
              <w:pStyle w:val="3"/>
              <w:spacing w:line="320" w:lineRule="exact"/>
              <w:jc w:val="center"/>
            </w:pPr>
            <w:r>
              <w:rPr>
                <w:rFonts w:hint="eastAsia"/>
              </w:rPr>
              <w:t>1</w:t>
            </w:r>
          </w:p>
        </w:tc>
        <w:tc>
          <w:tcPr>
            <w:tcW w:w="1535" w:type="dxa"/>
            <w:tcBorders>
              <w:top w:val="single" w:color="auto" w:sz="4" w:space="0"/>
              <w:left w:val="single" w:color="auto" w:sz="4" w:space="0"/>
              <w:bottom w:val="single" w:color="auto" w:sz="4" w:space="0"/>
              <w:right w:val="single" w:color="auto" w:sz="4" w:space="0"/>
            </w:tcBorders>
            <w:vAlign w:val="center"/>
          </w:tcPr>
          <w:p w14:paraId="67B0C416">
            <w:pPr>
              <w:pStyle w:val="3"/>
              <w:spacing w:line="320" w:lineRule="exact"/>
              <w:jc w:val="center"/>
            </w:pPr>
            <w:r>
              <w:rPr>
                <w:rFonts w:hint="eastAsia" w:eastAsia="方正仿宋_GBK"/>
                <w:spacing w:val="-4"/>
              </w:rPr>
              <w:t>三甲医院建设项目</w:t>
            </w:r>
          </w:p>
        </w:tc>
        <w:tc>
          <w:tcPr>
            <w:tcW w:w="3966" w:type="dxa"/>
            <w:tcBorders>
              <w:top w:val="single" w:color="auto" w:sz="4" w:space="0"/>
              <w:left w:val="single" w:color="auto" w:sz="4" w:space="0"/>
              <w:bottom w:val="single" w:color="auto" w:sz="4" w:space="0"/>
              <w:right w:val="single" w:color="auto" w:sz="4" w:space="0"/>
            </w:tcBorders>
          </w:tcPr>
          <w:p w14:paraId="2AA0C9B7">
            <w:pPr>
              <w:pStyle w:val="3"/>
              <w:spacing w:line="320" w:lineRule="exact"/>
            </w:pPr>
            <w:r>
              <w:rPr>
                <w:rFonts w:hint="eastAsia" w:eastAsia="方正仿宋_GBK"/>
              </w:rPr>
              <w:t>选址K12-2/02、K34-1-2、K30-4-3地块，按照1200—1500张床位，我区新建三甲综合医院建筑规模约18.48万㎡。</w:t>
            </w:r>
          </w:p>
        </w:tc>
        <w:tc>
          <w:tcPr>
            <w:tcW w:w="1416" w:type="dxa"/>
            <w:tcBorders>
              <w:top w:val="single" w:color="auto" w:sz="4" w:space="0"/>
              <w:left w:val="single" w:color="auto" w:sz="4" w:space="0"/>
              <w:bottom w:val="single" w:color="auto" w:sz="4" w:space="0"/>
              <w:right w:val="single" w:color="auto" w:sz="4" w:space="0"/>
            </w:tcBorders>
            <w:vAlign w:val="center"/>
          </w:tcPr>
          <w:p w14:paraId="405C8923">
            <w:pPr>
              <w:pStyle w:val="3"/>
              <w:spacing w:line="320" w:lineRule="exact"/>
              <w:jc w:val="center"/>
            </w:pPr>
            <w:r>
              <w:rPr>
                <w:rFonts w:hint="eastAsia"/>
              </w:rPr>
              <w:t>18</w:t>
            </w:r>
          </w:p>
        </w:tc>
        <w:tc>
          <w:tcPr>
            <w:tcW w:w="1559" w:type="dxa"/>
            <w:tcBorders>
              <w:top w:val="single" w:color="auto" w:sz="4" w:space="0"/>
              <w:left w:val="single" w:color="auto" w:sz="4" w:space="0"/>
              <w:bottom w:val="single" w:color="auto" w:sz="4" w:space="0"/>
              <w:right w:val="single" w:color="auto" w:sz="4" w:space="0"/>
            </w:tcBorders>
            <w:vAlign w:val="center"/>
          </w:tcPr>
          <w:p w14:paraId="0888EF3C">
            <w:pPr>
              <w:pStyle w:val="3"/>
              <w:spacing w:line="320" w:lineRule="exact"/>
              <w:jc w:val="center"/>
              <w:rPr>
                <w:rFonts w:eastAsia="方正仿宋_GBK"/>
              </w:rPr>
            </w:pPr>
            <w:r>
              <w:rPr>
                <w:rFonts w:hint="eastAsia" w:eastAsia="方正仿宋_GBK"/>
              </w:rPr>
              <w:t>2022年开工，2024年完工</w:t>
            </w:r>
          </w:p>
        </w:tc>
      </w:tr>
      <w:tr w14:paraId="1EC2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5DAEB388">
            <w:pPr>
              <w:pStyle w:val="3"/>
              <w:spacing w:line="320" w:lineRule="exact"/>
              <w:jc w:val="center"/>
            </w:pPr>
            <w:r>
              <w:rPr>
                <w:rFonts w:hint="eastAsia"/>
              </w:rPr>
              <w:t>2</w:t>
            </w:r>
          </w:p>
        </w:tc>
        <w:tc>
          <w:tcPr>
            <w:tcW w:w="1535" w:type="dxa"/>
            <w:tcBorders>
              <w:top w:val="single" w:color="auto" w:sz="4" w:space="0"/>
              <w:left w:val="single" w:color="auto" w:sz="4" w:space="0"/>
              <w:bottom w:val="single" w:color="auto" w:sz="4" w:space="0"/>
              <w:right w:val="single" w:color="auto" w:sz="4" w:space="0"/>
            </w:tcBorders>
            <w:vAlign w:val="center"/>
          </w:tcPr>
          <w:p w14:paraId="6AC498D3">
            <w:pPr>
              <w:widowControl/>
              <w:snapToGrid w:val="0"/>
              <w:spacing w:line="320" w:lineRule="exact"/>
              <w:ind w:right="-80" w:rightChars="-25"/>
              <w:jc w:val="center"/>
              <w:rPr>
                <w:rFonts w:asciiTheme="minorHAnsi" w:hAnsiTheme="minorHAnsi"/>
                <w:spacing w:val="-4"/>
                <w:sz w:val="24"/>
                <w:szCs w:val="24"/>
              </w:rPr>
            </w:pPr>
            <w:r>
              <w:rPr>
                <w:rFonts w:hint="eastAsia"/>
                <w:sz w:val="24"/>
                <w:szCs w:val="24"/>
              </w:rPr>
              <w:t>重庆市残疾人康复中心二期</w:t>
            </w:r>
          </w:p>
        </w:tc>
        <w:tc>
          <w:tcPr>
            <w:tcW w:w="3966" w:type="dxa"/>
            <w:tcBorders>
              <w:top w:val="single" w:color="auto" w:sz="4" w:space="0"/>
              <w:left w:val="single" w:color="auto" w:sz="4" w:space="0"/>
              <w:bottom w:val="single" w:color="auto" w:sz="4" w:space="0"/>
              <w:right w:val="single" w:color="auto" w:sz="4" w:space="0"/>
            </w:tcBorders>
          </w:tcPr>
          <w:p w14:paraId="370C99BB">
            <w:pPr>
              <w:pStyle w:val="3"/>
              <w:spacing w:line="320" w:lineRule="exact"/>
            </w:pPr>
            <w:r>
              <w:rPr>
                <w:rFonts w:hint="eastAsia" w:eastAsia="方正仿宋_GBK"/>
              </w:rPr>
              <w:t>市残疾人康复中心建筑面积8.2万平方米（地上4.7万平方米，地下建筑面积3.5万平方米）。一期项目建成投用，实施二期建设项目</w:t>
            </w:r>
          </w:p>
        </w:tc>
        <w:tc>
          <w:tcPr>
            <w:tcW w:w="1416" w:type="dxa"/>
            <w:tcBorders>
              <w:top w:val="single" w:color="auto" w:sz="4" w:space="0"/>
              <w:left w:val="single" w:color="auto" w:sz="4" w:space="0"/>
              <w:bottom w:val="single" w:color="auto" w:sz="4" w:space="0"/>
              <w:right w:val="single" w:color="auto" w:sz="4" w:space="0"/>
            </w:tcBorders>
            <w:vAlign w:val="center"/>
          </w:tcPr>
          <w:p w14:paraId="63A5774E">
            <w:pPr>
              <w:pStyle w:val="3"/>
              <w:spacing w:line="320" w:lineRule="exact"/>
              <w:jc w:val="center"/>
            </w:pPr>
            <w:r>
              <w:rPr>
                <w:rFonts w:hint="eastAsia"/>
              </w:rPr>
              <w:t>4</w:t>
            </w:r>
          </w:p>
        </w:tc>
        <w:tc>
          <w:tcPr>
            <w:tcW w:w="1559" w:type="dxa"/>
            <w:tcBorders>
              <w:top w:val="single" w:color="auto" w:sz="4" w:space="0"/>
              <w:left w:val="single" w:color="auto" w:sz="4" w:space="0"/>
              <w:bottom w:val="single" w:color="auto" w:sz="4" w:space="0"/>
              <w:right w:val="single" w:color="auto" w:sz="4" w:space="0"/>
            </w:tcBorders>
            <w:vAlign w:val="center"/>
          </w:tcPr>
          <w:p w14:paraId="2F9FEC6F">
            <w:pPr>
              <w:pStyle w:val="3"/>
              <w:spacing w:line="320" w:lineRule="exact"/>
              <w:jc w:val="center"/>
              <w:rPr>
                <w:rFonts w:eastAsia="方正仿宋_GBK"/>
              </w:rPr>
            </w:pPr>
            <w:r>
              <w:rPr>
                <w:rFonts w:hint="eastAsia" w:eastAsia="方正仿宋_GBK"/>
              </w:rPr>
              <w:t>2022年开工</w:t>
            </w:r>
          </w:p>
        </w:tc>
      </w:tr>
      <w:tr w14:paraId="4111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4B22D989">
            <w:pPr>
              <w:pStyle w:val="3"/>
              <w:spacing w:line="320" w:lineRule="exact"/>
              <w:jc w:val="center"/>
            </w:pPr>
            <w:r>
              <w:rPr>
                <w:rFonts w:hint="eastAsia"/>
              </w:rPr>
              <w:t>3</w:t>
            </w:r>
          </w:p>
        </w:tc>
        <w:tc>
          <w:tcPr>
            <w:tcW w:w="1535" w:type="dxa"/>
            <w:tcBorders>
              <w:top w:val="single" w:color="auto" w:sz="4" w:space="0"/>
              <w:left w:val="single" w:color="auto" w:sz="4" w:space="0"/>
              <w:bottom w:val="single" w:color="auto" w:sz="4" w:space="0"/>
              <w:right w:val="single" w:color="auto" w:sz="4" w:space="0"/>
            </w:tcBorders>
            <w:vAlign w:val="center"/>
          </w:tcPr>
          <w:p w14:paraId="73E00105">
            <w:pPr>
              <w:widowControl/>
              <w:snapToGrid w:val="0"/>
              <w:spacing w:line="320" w:lineRule="exact"/>
              <w:ind w:right="-80" w:rightChars="-25"/>
              <w:jc w:val="center"/>
              <w:rPr>
                <w:rFonts w:asciiTheme="minorHAnsi" w:hAnsiTheme="minorHAnsi"/>
                <w:spacing w:val="-4"/>
                <w:sz w:val="24"/>
                <w:szCs w:val="24"/>
              </w:rPr>
            </w:pPr>
            <w:r>
              <w:rPr>
                <w:rFonts w:hint="eastAsia"/>
                <w:spacing w:val="-4"/>
                <w:sz w:val="24"/>
                <w:szCs w:val="24"/>
              </w:rPr>
              <w:t>区疾控中心新建项目</w:t>
            </w:r>
          </w:p>
        </w:tc>
        <w:tc>
          <w:tcPr>
            <w:tcW w:w="3966" w:type="dxa"/>
            <w:tcBorders>
              <w:top w:val="single" w:color="auto" w:sz="4" w:space="0"/>
              <w:left w:val="single" w:color="auto" w:sz="4" w:space="0"/>
              <w:bottom w:val="single" w:color="auto" w:sz="4" w:space="0"/>
              <w:right w:val="single" w:color="auto" w:sz="4" w:space="0"/>
            </w:tcBorders>
          </w:tcPr>
          <w:p w14:paraId="7EC7CB26">
            <w:pPr>
              <w:pStyle w:val="3"/>
              <w:spacing w:line="320" w:lineRule="exact"/>
              <w:rPr>
                <w:rFonts w:eastAsia="方正仿宋_GBK"/>
              </w:rPr>
            </w:pPr>
            <w:r>
              <w:rPr>
                <w:rFonts w:hint="eastAsia" w:eastAsia="方正仿宋_GBK"/>
              </w:rPr>
              <w:t>选址I44-1/02地块，占地面积约24亩，建筑面积约1.3万平方米。</w:t>
            </w:r>
          </w:p>
        </w:tc>
        <w:tc>
          <w:tcPr>
            <w:tcW w:w="1416" w:type="dxa"/>
            <w:tcBorders>
              <w:top w:val="single" w:color="auto" w:sz="4" w:space="0"/>
              <w:left w:val="single" w:color="auto" w:sz="4" w:space="0"/>
              <w:bottom w:val="single" w:color="auto" w:sz="4" w:space="0"/>
              <w:right w:val="single" w:color="auto" w:sz="4" w:space="0"/>
            </w:tcBorders>
            <w:vAlign w:val="center"/>
          </w:tcPr>
          <w:p w14:paraId="3BF6BE80">
            <w:pPr>
              <w:pStyle w:val="3"/>
              <w:spacing w:line="320" w:lineRule="exact"/>
              <w:jc w:val="center"/>
            </w:pPr>
            <w:r>
              <w:rPr>
                <w:rFonts w:hint="eastAsia"/>
              </w:rPr>
              <w:t>0.965</w:t>
            </w:r>
          </w:p>
        </w:tc>
        <w:tc>
          <w:tcPr>
            <w:tcW w:w="1559" w:type="dxa"/>
            <w:tcBorders>
              <w:top w:val="single" w:color="auto" w:sz="4" w:space="0"/>
              <w:left w:val="single" w:color="auto" w:sz="4" w:space="0"/>
              <w:bottom w:val="single" w:color="auto" w:sz="4" w:space="0"/>
              <w:right w:val="single" w:color="auto" w:sz="4" w:space="0"/>
            </w:tcBorders>
            <w:vAlign w:val="center"/>
          </w:tcPr>
          <w:p w14:paraId="3D71CF48">
            <w:pPr>
              <w:pStyle w:val="3"/>
              <w:spacing w:line="320" w:lineRule="exact"/>
              <w:jc w:val="center"/>
              <w:rPr>
                <w:rFonts w:eastAsia="方正仿宋_GBK"/>
              </w:rPr>
            </w:pPr>
            <w:r>
              <w:rPr>
                <w:rFonts w:hint="eastAsia" w:eastAsia="方正仿宋_GBK"/>
              </w:rPr>
              <w:t>2022年开工</w:t>
            </w:r>
          </w:p>
        </w:tc>
      </w:tr>
      <w:tr w14:paraId="27F5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25ABF1F5">
            <w:pPr>
              <w:pStyle w:val="3"/>
              <w:spacing w:line="320" w:lineRule="exact"/>
              <w:jc w:val="center"/>
            </w:pPr>
            <w:r>
              <w:rPr>
                <w:rFonts w:hint="eastAsia"/>
              </w:rPr>
              <w:t>4</w:t>
            </w:r>
          </w:p>
        </w:tc>
        <w:tc>
          <w:tcPr>
            <w:tcW w:w="1535" w:type="dxa"/>
            <w:tcBorders>
              <w:top w:val="single" w:color="auto" w:sz="4" w:space="0"/>
              <w:left w:val="single" w:color="auto" w:sz="4" w:space="0"/>
              <w:bottom w:val="single" w:color="auto" w:sz="4" w:space="0"/>
              <w:right w:val="single" w:color="auto" w:sz="4" w:space="0"/>
            </w:tcBorders>
            <w:vAlign w:val="center"/>
          </w:tcPr>
          <w:p w14:paraId="637F3F69">
            <w:pPr>
              <w:widowControl/>
              <w:snapToGrid w:val="0"/>
              <w:spacing w:line="320" w:lineRule="exact"/>
              <w:ind w:right="-80" w:rightChars="-25"/>
              <w:jc w:val="center"/>
              <w:rPr>
                <w:rFonts w:asciiTheme="minorHAnsi" w:hAnsiTheme="minorHAnsi"/>
                <w:spacing w:val="-4"/>
                <w:sz w:val="24"/>
                <w:szCs w:val="24"/>
              </w:rPr>
            </w:pPr>
            <w:r>
              <w:rPr>
                <w:rFonts w:hint="eastAsia"/>
                <w:spacing w:val="-4"/>
                <w:sz w:val="24"/>
                <w:szCs w:val="24"/>
              </w:rPr>
              <w:t>区中医院建设项目</w:t>
            </w:r>
          </w:p>
        </w:tc>
        <w:tc>
          <w:tcPr>
            <w:tcW w:w="3966" w:type="dxa"/>
            <w:tcBorders>
              <w:top w:val="single" w:color="auto" w:sz="4" w:space="0"/>
              <w:left w:val="single" w:color="auto" w:sz="4" w:space="0"/>
              <w:bottom w:val="single" w:color="auto" w:sz="4" w:space="0"/>
              <w:right w:val="single" w:color="auto" w:sz="4" w:space="0"/>
            </w:tcBorders>
          </w:tcPr>
          <w:p w14:paraId="25C6D541">
            <w:pPr>
              <w:pStyle w:val="3"/>
              <w:spacing w:line="320" w:lineRule="exact"/>
              <w:rPr>
                <w:rFonts w:eastAsia="方正仿宋_GBK"/>
              </w:rPr>
            </w:pPr>
            <w:r>
              <w:rPr>
                <w:rFonts w:hint="eastAsia" w:eastAsia="方正仿宋_GBK"/>
              </w:rPr>
              <w:t>将区人民医院现址，改建为区中医院，实施三级中医院创建。</w:t>
            </w:r>
          </w:p>
        </w:tc>
        <w:tc>
          <w:tcPr>
            <w:tcW w:w="1416" w:type="dxa"/>
            <w:tcBorders>
              <w:top w:val="single" w:color="auto" w:sz="4" w:space="0"/>
              <w:left w:val="single" w:color="auto" w:sz="4" w:space="0"/>
              <w:bottom w:val="single" w:color="auto" w:sz="4" w:space="0"/>
              <w:right w:val="single" w:color="auto" w:sz="4" w:space="0"/>
            </w:tcBorders>
            <w:vAlign w:val="center"/>
          </w:tcPr>
          <w:p w14:paraId="3CDEDD07">
            <w:pPr>
              <w:pStyle w:val="3"/>
              <w:spacing w:line="320" w:lineRule="exact"/>
              <w:jc w:val="center"/>
            </w:pPr>
            <w:r>
              <w:rPr>
                <w:rFonts w:hint="eastAsia"/>
              </w:rPr>
              <w:t>0.4</w:t>
            </w:r>
          </w:p>
        </w:tc>
        <w:tc>
          <w:tcPr>
            <w:tcW w:w="1559" w:type="dxa"/>
            <w:tcBorders>
              <w:top w:val="single" w:color="auto" w:sz="4" w:space="0"/>
              <w:left w:val="single" w:color="auto" w:sz="4" w:space="0"/>
              <w:bottom w:val="single" w:color="auto" w:sz="4" w:space="0"/>
              <w:right w:val="single" w:color="auto" w:sz="4" w:space="0"/>
            </w:tcBorders>
            <w:vAlign w:val="center"/>
          </w:tcPr>
          <w:p w14:paraId="07356825">
            <w:pPr>
              <w:pStyle w:val="3"/>
              <w:spacing w:line="320" w:lineRule="exact"/>
              <w:jc w:val="center"/>
              <w:rPr>
                <w:rFonts w:eastAsia="方正仿宋_GBK"/>
              </w:rPr>
            </w:pPr>
            <w:r>
              <w:rPr>
                <w:rFonts w:hint="eastAsia" w:eastAsia="方正仿宋_GBK"/>
              </w:rPr>
              <w:t>2024年完工</w:t>
            </w:r>
          </w:p>
        </w:tc>
      </w:tr>
      <w:tr w14:paraId="2C02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2345CC7E">
            <w:pPr>
              <w:pStyle w:val="3"/>
              <w:spacing w:line="320" w:lineRule="exact"/>
              <w:jc w:val="center"/>
            </w:pPr>
            <w:r>
              <w:rPr>
                <w:rFonts w:hint="eastAsia"/>
              </w:rPr>
              <w:t>5</w:t>
            </w:r>
          </w:p>
        </w:tc>
        <w:tc>
          <w:tcPr>
            <w:tcW w:w="1535" w:type="dxa"/>
            <w:tcBorders>
              <w:top w:val="single" w:color="auto" w:sz="4" w:space="0"/>
              <w:left w:val="single" w:color="auto" w:sz="4" w:space="0"/>
              <w:bottom w:val="single" w:color="auto" w:sz="4" w:space="0"/>
              <w:right w:val="single" w:color="auto" w:sz="4" w:space="0"/>
            </w:tcBorders>
            <w:vAlign w:val="center"/>
          </w:tcPr>
          <w:p w14:paraId="6CB036FC">
            <w:pPr>
              <w:widowControl/>
              <w:snapToGrid w:val="0"/>
              <w:spacing w:line="320" w:lineRule="exact"/>
              <w:ind w:right="-80" w:rightChars="-25"/>
              <w:jc w:val="center"/>
              <w:rPr>
                <w:rFonts w:asciiTheme="minorHAnsi" w:hAnsiTheme="minorHAnsi"/>
                <w:spacing w:val="-4"/>
                <w:sz w:val="24"/>
                <w:szCs w:val="24"/>
              </w:rPr>
            </w:pPr>
            <w:r>
              <w:rPr>
                <w:rFonts w:hint="eastAsia"/>
                <w:spacing w:val="-4"/>
                <w:sz w:val="24"/>
                <w:szCs w:val="24"/>
              </w:rPr>
              <w:t>区妇幼保健院</w:t>
            </w:r>
          </w:p>
        </w:tc>
        <w:tc>
          <w:tcPr>
            <w:tcW w:w="3966" w:type="dxa"/>
            <w:tcBorders>
              <w:top w:val="single" w:color="auto" w:sz="4" w:space="0"/>
              <w:left w:val="single" w:color="auto" w:sz="4" w:space="0"/>
              <w:bottom w:val="single" w:color="auto" w:sz="4" w:space="0"/>
              <w:right w:val="single" w:color="auto" w:sz="4" w:space="0"/>
            </w:tcBorders>
          </w:tcPr>
          <w:p w14:paraId="03BD9034">
            <w:pPr>
              <w:pStyle w:val="3"/>
              <w:spacing w:line="320" w:lineRule="exact"/>
              <w:rPr>
                <w:rFonts w:eastAsia="方正仿宋_GBK"/>
              </w:rPr>
            </w:pPr>
            <w:r>
              <w:rPr>
                <w:rFonts w:hint="eastAsia" w:eastAsia="方正仿宋_GBK"/>
              </w:rPr>
              <w:t>拟选址L15-1/05地块，占地面积37.8亩，总建筑面积1.8万平方米。总投资18000万元。</w:t>
            </w:r>
          </w:p>
        </w:tc>
        <w:tc>
          <w:tcPr>
            <w:tcW w:w="1416" w:type="dxa"/>
            <w:tcBorders>
              <w:top w:val="single" w:color="auto" w:sz="4" w:space="0"/>
              <w:left w:val="single" w:color="auto" w:sz="4" w:space="0"/>
              <w:bottom w:val="single" w:color="auto" w:sz="4" w:space="0"/>
              <w:right w:val="single" w:color="auto" w:sz="4" w:space="0"/>
            </w:tcBorders>
            <w:vAlign w:val="center"/>
          </w:tcPr>
          <w:p w14:paraId="674A01F1">
            <w:pPr>
              <w:pStyle w:val="3"/>
              <w:spacing w:line="320" w:lineRule="exact"/>
              <w:jc w:val="center"/>
            </w:pPr>
            <w:r>
              <w:rPr>
                <w:rFonts w:hint="eastAsia"/>
              </w:rPr>
              <w:t>1.8</w:t>
            </w:r>
          </w:p>
        </w:tc>
        <w:tc>
          <w:tcPr>
            <w:tcW w:w="1559" w:type="dxa"/>
            <w:tcBorders>
              <w:top w:val="single" w:color="auto" w:sz="4" w:space="0"/>
              <w:left w:val="single" w:color="auto" w:sz="4" w:space="0"/>
              <w:bottom w:val="single" w:color="auto" w:sz="4" w:space="0"/>
              <w:right w:val="single" w:color="auto" w:sz="4" w:space="0"/>
            </w:tcBorders>
            <w:vAlign w:val="center"/>
          </w:tcPr>
          <w:p w14:paraId="39E75D67">
            <w:pPr>
              <w:pStyle w:val="3"/>
              <w:spacing w:line="320" w:lineRule="exact"/>
              <w:jc w:val="center"/>
              <w:rPr>
                <w:rFonts w:eastAsia="方正仿宋_GBK"/>
              </w:rPr>
            </w:pPr>
            <w:r>
              <w:rPr>
                <w:rFonts w:hint="eastAsia" w:eastAsia="方正仿宋_GBK"/>
              </w:rPr>
              <w:t>2023年开工</w:t>
            </w:r>
          </w:p>
        </w:tc>
      </w:tr>
      <w:tr w14:paraId="7537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168179F1">
            <w:pPr>
              <w:pStyle w:val="3"/>
              <w:spacing w:line="320" w:lineRule="exact"/>
              <w:jc w:val="center"/>
            </w:pPr>
            <w:r>
              <w:rPr>
                <w:rFonts w:hint="eastAsia"/>
              </w:rPr>
              <w:t>6</w:t>
            </w:r>
          </w:p>
        </w:tc>
        <w:tc>
          <w:tcPr>
            <w:tcW w:w="1535" w:type="dxa"/>
            <w:tcBorders>
              <w:top w:val="single" w:color="auto" w:sz="4" w:space="0"/>
              <w:left w:val="single" w:color="auto" w:sz="4" w:space="0"/>
              <w:bottom w:val="single" w:color="auto" w:sz="4" w:space="0"/>
              <w:right w:val="single" w:color="auto" w:sz="4" w:space="0"/>
            </w:tcBorders>
            <w:vAlign w:val="center"/>
          </w:tcPr>
          <w:p w14:paraId="577D2587">
            <w:pPr>
              <w:widowControl/>
              <w:snapToGrid w:val="0"/>
              <w:spacing w:line="320" w:lineRule="exact"/>
              <w:ind w:right="-80" w:rightChars="-25"/>
              <w:jc w:val="center"/>
              <w:rPr>
                <w:rFonts w:asciiTheme="minorHAnsi" w:hAnsiTheme="minorHAnsi"/>
                <w:spacing w:val="-4"/>
                <w:sz w:val="24"/>
                <w:szCs w:val="24"/>
              </w:rPr>
            </w:pPr>
            <w:r>
              <w:rPr>
                <w:rFonts w:hint="eastAsia"/>
                <w:spacing w:val="-4"/>
                <w:sz w:val="24"/>
                <w:szCs w:val="24"/>
              </w:rPr>
              <w:t>区精神康复中心</w:t>
            </w:r>
          </w:p>
        </w:tc>
        <w:tc>
          <w:tcPr>
            <w:tcW w:w="3966" w:type="dxa"/>
            <w:tcBorders>
              <w:top w:val="single" w:color="auto" w:sz="4" w:space="0"/>
              <w:left w:val="single" w:color="auto" w:sz="4" w:space="0"/>
              <w:bottom w:val="single" w:color="auto" w:sz="4" w:space="0"/>
              <w:right w:val="single" w:color="auto" w:sz="4" w:space="0"/>
            </w:tcBorders>
          </w:tcPr>
          <w:p w14:paraId="0C04C938">
            <w:pPr>
              <w:pStyle w:val="3"/>
              <w:spacing w:line="320" w:lineRule="exact"/>
              <w:rPr>
                <w:rFonts w:eastAsia="方正仿宋_GBK"/>
              </w:rPr>
            </w:pPr>
            <w:r>
              <w:rPr>
                <w:rFonts w:hint="eastAsia" w:eastAsia="方正仿宋_GBK"/>
              </w:rPr>
              <w:t>在区疾控中心现址改建，占地面积34亩，建筑面积7500平方米，设置床位80张。</w:t>
            </w:r>
          </w:p>
        </w:tc>
        <w:tc>
          <w:tcPr>
            <w:tcW w:w="1416" w:type="dxa"/>
            <w:tcBorders>
              <w:top w:val="single" w:color="auto" w:sz="4" w:space="0"/>
              <w:left w:val="single" w:color="auto" w:sz="4" w:space="0"/>
              <w:bottom w:val="single" w:color="auto" w:sz="4" w:space="0"/>
              <w:right w:val="single" w:color="auto" w:sz="4" w:space="0"/>
            </w:tcBorders>
            <w:vAlign w:val="center"/>
          </w:tcPr>
          <w:p w14:paraId="38E29C09">
            <w:pPr>
              <w:pStyle w:val="3"/>
              <w:spacing w:line="320" w:lineRule="exact"/>
              <w:jc w:val="center"/>
            </w:pPr>
            <w:r>
              <w:rPr>
                <w:rFonts w:hint="eastAsia"/>
              </w:rPr>
              <w:t>0.2</w:t>
            </w:r>
          </w:p>
        </w:tc>
        <w:tc>
          <w:tcPr>
            <w:tcW w:w="1559" w:type="dxa"/>
            <w:tcBorders>
              <w:top w:val="single" w:color="auto" w:sz="4" w:space="0"/>
              <w:left w:val="single" w:color="auto" w:sz="4" w:space="0"/>
              <w:bottom w:val="single" w:color="auto" w:sz="4" w:space="0"/>
              <w:right w:val="single" w:color="auto" w:sz="4" w:space="0"/>
            </w:tcBorders>
            <w:vAlign w:val="center"/>
          </w:tcPr>
          <w:p w14:paraId="329A9278">
            <w:pPr>
              <w:pStyle w:val="3"/>
              <w:spacing w:line="320" w:lineRule="exact"/>
              <w:jc w:val="center"/>
              <w:rPr>
                <w:rFonts w:eastAsia="方正仿宋_GBK"/>
              </w:rPr>
            </w:pPr>
            <w:r>
              <w:rPr>
                <w:rFonts w:hint="eastAsia" w:eastAsia="方正仿宋_GBK"/>
              </w:rPr>
              <w:t>2024年开工</w:t>
            </w:r>
          </w:p>
        </w:tc>
      </w:tr>
      <w:tr w14:paraId="4AAA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55193BBC">
            <w:pPr>
              <w:pStyle w:val="3"/>
              <w:spacing w:line="320" w:lineRule="exact"/>
              <w:jc w:val="center"/>
            </w:pPr>
            <w:r>
              <w:rPr>
                <w:rFonts w:hint="eastAsia"/>
              </w:rPr>
              <w:t>7</w:t>
            </w:r>
          </w:p>
        </w:tc>
        <w:tc>
          <w:tcPr>
            <w:tcW w:w="1535" w:type="dxa"/>
            <w:tcBorders>
              <w:top w:val="single" w:color="auto" w:sz="4" w:space="0"/>
              <w:left w:val="single" w:color="auto" w:sz="4" w:space="0"/>
              <w:bottom w:val="single" w:color="auto" w:sz="4" w:space="0"/>
              <w:right w:val="single" w:color="auto" w:sz="4" w:space="0"/>
            </w:tcBorders>
            <w:vAlign w:val="center"/>
          </w:tcPr>
          <w:p w14:paraId="4558B499">
            <w:pPr>
              <w:widowControl/>
              <w:snapToGrid w:val="0"/>
              <w:spacing w:line="320" w:lineRule="exact"/>
              <w:ind w:right="-80" w:rightChars="-25"/>
              <w:jc w:val="center"/>
              <w:rPr>
                <w:rFonts w:asciiTheme="minorHAnsi" w:hAnsiTheme="minorHAnsi"/>
                <w:spacing w:val="-4"/>
                <w:sz w:val="24"/>
                <w:szCs w:val="24"/>
              </w:rPr>
            </w:pPr>
            <w:r>
              <w:rPr>
                <w:rFonts w:hint="eastAsia"/>
                <w:spacing w:val="-4"/>
                <w:sz w:val="24"/>
                <w:szCs w:val="24"/>
              </w:rPr>
              <w:t>新山村社区卫生服务中心（华润）</w:t>
            </w:r>
          </w:p>
        </w:tc>
        <w:tc>
          <w:tcPr>
            <w:tcW w:w="3966" w:type="dxa"/>
            <w:tcBorders>
              <w:top w:val="single" w:color="auto" w:sz="4" w:space="0"/>
              <w:left w:val="single" w:color="auto" w:sz="4" w:space="0"/>
              <w:bottom w:val="single" w:color="auto" w:sz="4" w:space="0"/>
              <w:right w:val="single" w:color="auto" w:sz="4" w:space="0"/>
            </w:tcBorders>
          </w:tcPr>
          <w:p w14:paraId="13E32811">
            <w:pPr>
              <w:pStyle w:val="3"/>
              <w:spacing w:line="320" w:lineRule="exact"/>
              <w:rPr>
                <w:rFonts w:eastAsia="方正仿宋_GBK"/>
              </w:rPr>
            </w:pPr>
            <w:r>
              <w:rPr>
                <w:rFonts w:hint="eastAsia" w:eastAsia="方正仿宋_GBK"/>
              </w:rPr>
              <w:t>对华润凤凰城配建的2000平方米业务用房进行装修，预防接种门诊、口腔等科室。</w:t>
            </w:r>
          </w:p>
        </w:tc>
        <w:tc>
          <w:tcPr>
            <w:tcW w:w="1416" w:type="dxa"/>
            <w:tcBorders>
              <w:top w:val="single" w:color="auto" w:sz="4" w:space="0"/>
              <w:left w:val="single" w:color="auto" w:sz="4" w:space="0"/>
              <w:bottom w:val="single" w:color="auto" w:sz="4" w:space="0"/>
              <w:right w:val="single" w:color="auto" w:sz="4" w:space="0"/>
            </w:tcBorders>
            <w:vAlign w:val="center"/>
          </w:tcPr>
          <w:p w14:paraId="73976C0A">
            <w:pPr>
              <w:pStyle w:val="3"/>
              <w:spacing w:line="320" w:lineRule="exact"/>
              <w:jc w:val="center"/>
            </w:pPr>
            <w:r>
              <w:rPr>
                <w:rFonts w:hint="eastAsia"/>
              </w:rPr>
              <w:t>0.5</w:t>
            </w:r>
          </w:p>
        </w:tc>
        <w:tc>
          <w:tcPr>
            <w:tcW w:w="1559" w:type="dxa"/>
            <w:tcBorders>
              <w:top w:val="single" w:color="auto" w:sz="4" w:space="0"/>
              <w:left w:val="single" w:color="auto" w:sz="4" w:space="0"/>
              <w:bottom w:val="single" w:color="auto" w:sz="4" w:space="0"/>
              <w:right w:val="single" w:color="auto" w:sz="4" w:space="0"/>
            </w:tcBorders>
            <w:vAlign w:val="center"/>
          </w:tcPr>
          <w:p w14:paraId="0286D950">
            <w:pPr>
              <w:pStyle w:val="3"/>
              <w:spacing w:line="320" w:lineRule="exact"/>
              <w:jc w:val="center"/>
              <w:rPr>
                <w:rFonts w:eastAsia="方正仿宋_GBK"/>
              </w:rPr>
            </w:pPr>
            <w:r>
              <w:rPr>
                <w:rFonts w:hint="eastAsia" w:eastAsia="方正仿宋_GBK"/>
              </w:rPr>
              <w:t>2022年完工</w:t>
            </w:r>
          </w:p>
        </w:tc>
      </w:tr>
      <w:tr w14:paraId="3080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5D9FA812">
            <w:pPr>
              <w:pStyle w:val="3"/>
              <w:spacing w:line="320" w:lineRule="exact"/>
              <w:jc w:val="center"/>
            </w:pPr>
            <w:r>
              <w:rPr>
                <w:rFonts w:hint="eastAsia"/>
              </w:rPr>
              <w:t>8</w:t>
            </w:r>
          </w:p>
        </w:tc>
        <w:tc>
          <w:tcPr>
            <w:tcW w:w="1535" w:type="dxa"/>
            <w:tcBorders>
              <w:top w:val="single" w:color="auto" w:sz="4" w:space="0"/>
              <w:left w:val="single" w:color="auto" w:sz="4" w:space="0"/>
              <w:bottom w:val="single" w:color="auto" w:sz="4" w:space="0"/>
              <w:right w:val="single" w:color="auto" w:sz="4" w:space="0"/>
            </w:tcBorders>
            <w:vAlign w:val="center"/>
          </w:tcPr>
          <w:p w14:paraId="24DE5618">
            <w:pPr>
              <w:widowControl/>
              <w:snapToGrid w:val="0"/>
              <w:spacing w:line="320" w:lineRule="exact"/>
              <w:ind w:right="-80" w:rightChars="-25"/>
              <w:jc w:val="center"/>
              <w:rPr>
                <w:rFonts w:asciiTheme="minorHAnsi" w:hAnsiTheme="minorHAnsi"/>
                <w:spacing w:val="-4"/>
                <w:sz w:val="24"/>
                <w:szCs w:val="24"/>
              </w:rPr>
            </w:pPr>
            <w:r>
              <w:rPr>
                <w:rFonts w:hint="eastAsia"/>
                <w:spacing w:val="-4"/>
                <w:sz w:val="24"/>
                <w:szCs w:val="24"/>
              </w:rPr>
              <w:t>茄子溪社区卫生服务中心项目（</w:t>
            </w:r>
            <w:r>
              <w:rPr>
                <w:rFonts w:hint="eastAsia"/>
                <w:sz w:val="24"/>
                <w:szCs w:val="24"/>
              </w:rPr>
              <w:t>琅樾江山</w:t>
            </w:r>
            <w:r>
              <w:rPr>
                <w:rFonts w:hint="eastAsia"/>
                <w:spacing w:val="-4"/>
                <w:sz w:val="24"/>
                <w:szCs w:val="24"/>
              </w:rPr>
              <w:t>）</w:t>
            </w:r>
          </w:p>
        </w:tc>
        <w:tc>
          <w:tcPr>
            <w:tcW w:w="3966" w:type="dxa"/>
            <w:tcBorders>
              <w:top w:val="single" w:color="auto" w:sz="4" w:space="0"/>
              <w:left w:val="single" w:color="auto" w:sz="4" w:space="0"/>
              <w:bottom w:val="single" w:color="auto" w:sz="4" w:space="0"/>
              <w:right w:val="single" w:color="auto" w:sz="4" w:space="0"/>
            </w:tcBorders>
          </w:tcPr>
          <w:p w14:paraId="48A2B9DD">
            <w:pPr>
              <w:pStyle w:val="3"/>
              <w:spacing w:line="320" w:lineRule="exact"/>
              <w:rPr>
                <w:rFonts w:eastAsia="方正仿宋_GBK"/>
              </w:rPr>
            </w:pPr>
            <w:r>
              <w:rPr>
                <w:rFonts w:hint="eastAsia" w:eastAsia="方正仿宋_GBK"/>
              </w:rPr>
              <w:t>项目计划由琅樾江山项目配建，建筑面积1026平方米。</w:t>
            </w:r>
          </w:p>
        </w:tc>
        <w:tc>
          <w:tcPr>
            <w:tcW w:w="1416" w:type="dxa"/>
            <w:tcBorders>
              <w:top w:val="single" w:color="auto" w:sz="4" w:space="0"/>
              <w:left w:val="single" w:color="auto" w:sz="4" w:space="0"/>
              <w:bottom w:val="single" w:color="auto" w:sz="4" w:space="0"/>
              <w:right w:val="single" w:color="auto" w:sz="4" w:space="0"/>
            </w:tcBorders>
            <w:vAlign w:val="center"/>
          </w:tcPr>
          <w:p w14:paraId="354EB109">
            <w:pPr>
              <w:pStyle w:val="3"/>
              <w:spacing w:line="320" w:lineRule="exact"/>
              <w:jc w:val="center"/>
            </w:pPr>
            <w:r>
              <w:rPr>
                <w:rFonts w:hint="eastAsia"/>
              </w:rPr>
              <w:t>0.1</w:t>
            </w:r>
          </w:p>
        </w:tc>
        <w:tc>
          <w:tcPr>
            <w:tcW w:w="1559" w:type="dxa"/>
            <w:tcBorders>
              <w:top w:val="single" w:color="auto" w:sz="4" w:space="0"/>
              <w:left w:val="single" w:color="auto" w:sz="4" w:space="0"/>
              <w:bottom w:val="single" w:color="auto" w:sz="4" w:space="0"/>
              <w:right w:val="single" w:color="auto" w:sz="4" w:space="0"/>
            </w:tcBorders>
            <w:vAlign w:val="center"/>
          </w:tcPr>
          <w:p w14:paraId="0D4DC2A8">
            <w:pPr>
              <w:pStyle w:val="3"/>
              <w:spacing w:line="320" w:lineRule="exact"/>
              <w:jc w:val="center"/>
              <w:rPr>
                <w:rFonts w:eastAsia="方正仿宋_GBK"/>
              </w:rPr>
            </w:pPr>
            <w:r>
              <w:rPr>
                <w:rFonts w:hint="eastAsia" w:eastAsia="方正仿宋_GBK"/>
              </w:rPr>
              <w:t>2022年开工</w:t>
            </w:r>
          </w:p>
        </w:tc>
      </w:tr>
      <w:tr w14:paraId="58E7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4F4FB174">
            <w:pPr>
              <w:pStyle w:val="3"/>
              <w:spacing w:line="320" w:lineRule="exact"/>
              <w:jc w:val="center"/>
            </w:pPr>
            <w:r>
              <w:rPr>
                <w:rFonts w:hint="eastAsia"/>
              </w:rPr>
              <w:t>9</w:t>
            </w:r>
          </w:p>
        </w:tc>
        <w:tc>
          <w:tcPr>
            <w:tcW w:w="1535" w:type="dxa"/>
            <w:tcBorders>
              <w:top w:val="single" w:color="auto" w:sz="4" w:space="0"/>
              <w:left w:val="single" w:color="auto" w:sz="4" w:space="0"/>
              <w:bottom w:val="single" w:color="auto" w:sz="4" w:space="0"/>
              <w:right w:val="single" w:color="auto" w:sz="4" w:space="0"/>
            </w:tcBorders>
            <w:vAlign w:val="center"/>
          </w:tcPr>
          <w:p w14:paraId="299E8C22">
            <w:pPr>
              <w:widowControl/>
              <w:snapToGrid w:val="0"/>
              <w:spacing w:line="320" w:lineRule="exact"/>
              <w:ind w:right="-80" w:rightChars="-25"/>
              <w:jc w:val="center"/>
              <w:rPr>
                <w:rFonts w:asciiTheme="minorHAnsi" w:hAnsiTheme="minorHAnsi"/>
                <w:spacing w:val="-4"/>
                <w:sz w:val="24"/>
                <w:szCs w:val="24"/>
              </w:rPr>
            </w:pPr>
            <w:r>
              <w:rPr>
                <w:rFonts w:hint="eastAsia"/>
                <w:spacing w:val="-4"/>
                <w:sz w:val="24"/>
                <w:szCs w:val="24"/>
              </w:rPr>
              <w:t>八桥社区卫生服务中心（</w:t>
            </w:r>
            <w:r>
              <w:rPr>
                <w:rFonts w:hint="eastAsia"/>
                <w:sz w:val="24"/>
                <w:szCs w:val="24"/>
              </w:rPr>
              <w:t>荣盛城</w:t>
            </w:r>
            <w:r>
              <w:rPr>
                <w:rFonts w:hint="eastAsia"/>
                <w:spacing w:val="-4"/>
                <w:sz w:val="24"/>
                <w:szCs w:val="24"/>
              </w:rPr>
              <w:t>）</w:t>
            </w:r>
          </w:p>
        </w:tc>
        <w:tc>
          <w:tcPr>
            <w:tcW w:w="3966" w:type="dxa"/>
            <w:tcBorders>
              <w:top w:val="single" w:color="auto" w:sz="4" w:space="0"/>
              <w:left w:val="single" w:color="auto" w:sz="4" w:space="0"/>
              <w:bottom w:val="single" w:color="auto" w:sz="4" w:space="0"/>
              <w:right w:val="single" w:color="auto" w:sz="4" w:space="0"/>
            </w:tcBorders>
          </w:tcPr>
          <w:p w14:paraId="5EB5FD44">
            <w:pPr>
              <w:pStyle w:val="3"/>
              <w:spacing w:line="320" w:lineRule="exact"/>
              <w:rPr>
                <w:rFonts w:eastAsia="方正仿宋_GBK"/>
              </w:rPr>
            </w:pPr>
            <w:r>
              <w:rPr>
                <w:rFonts w:hint="eastAsia" w:eastAsia="方正仿宋_GBK"/>
              </w:rPr>
              <w:t>项目计划由荣盛城项目配建，建筑面积2000平方米。</w:t>
            </w:r>
          </w:p>
        </w:tc>
        <w:tc>
          <w:tcPr>
            <w:tcW w:w="1416" w:type="dxa"/>
            <w:tcBorders>
              <w:top w:val="single" w:color="auto" w:sz="4" w:space="0"/>
              <w:left w:val="single" w:color="auto" w:sz="4" w:space="0"/>
              <w:bottom w:val="single" w:color="auto" w:sz="4" w:space="0"/>
              <w:right w:val="single" w:color="auto" w:sz="4" w:space="0"/>
            </w:tcBorders>
            <w:vAlign w:val="center"/>
          </w:tcPr>
          <w:p w14:paraId="125562C4">
            <w:pPr>
              <w:pStyle w:val="3"/>
              <w:spacing w:line="320" w:lineRule="exact"/>
              <w:jc w:val="center"/>
            </w:pPr>
            <w:r>
              <w:rPr>
                <w:rFonts w:hint="eastAsia"/>
              </w:rPr>
              <w:t>0.1</w:t>
            </w:r>
          </w:p>
        </w:tc>
        <w:tc>
          <w:tcPr>
            <w:tcW w:w="1559" w:type="dxa"/>
            <w:tcBorders>
              <w:top w:val="single" w:color="auto" w:sz="4" w:space="0"/>
              <w:left w:val="single" w:color="auto" w:sz="4" w:space="0"/>
              <w:bottom w:val="single" w:color="auto" w:sz="4" w:space="0"/>
              <w:right w:val="single" w:color="auto" w:sz="4" w:space="0"/>
            </w:tcBorders>
            <w:vAlign w:val="center"/>
          </w:tcPr>
          <w:p w14:paraId="10B0CD34">
            <w:pPr>
              <w:pStyle w:val="3"/>
              <w:spacing w:line="320" w:lineRule="exact"/>
              <w:jc w:val="center"/>
              <w:rPr>
                <w:rFonts w:eastAsia="方正仿宋_GBK"/>
              </w:rPr>
            </w:pPr>
            <w:r>
              <w:rPr>
                <w:rFonts w:hint="eastAsia" w:eastAsia="方正仿宋_GBK"/>
              </w:rPr>
              <w:t>2022年开工</w:t>
            </w:r>
          </w:p>
        </w:tc>
      </w:tr>
      <w:tr w14:paraId="4341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auto" w:sz="4" w:space="0"/>
              <w:left w:val="single" w:color="auto" w:sz="4" w:space="0"/>
              <w:bottom w:val="single" w:color="auto" w:sz="4" w:space="0"/>
              <w:right w:val="single" w:color="auto" w:sz="4" w:space="0"/>
            </w:tcBorders>
            <w:vAlign w:val="center"/>
          </w:tcPr>
          <w:p w14:paraId="47A2D23C">
            <w:pPr>
              <w:pStyle w:val="3"/>
              <w:spacing w:line="320" w:lineRule="exact"/>
              <w:jc w:val="center"/>
            </w:pPr>
            <w:r>
              <w:rPr>
                <w:rFonts w:hint="eastAsia"/>
              </w:rPr>
              <w:t>10</w:t>
            </w:r>
          </w:p>
        </w:tc>
        <w:tc>
          <w:tcPr>
            <w:tcW w:w="1535" w:type="dxa"/>
            <w:tcBorders>
              <w:top w:val="single" w:color="auto" w:sz="4" w:space="0"/>
              <w:left w:val="single" w:color="auto" w:sz="4" w:space="0"/>
              <w:bottom w:val="single" w:color="auto" w:sz="4" w:space="0"/>
              <w:right w:val="single" w:color="auto" w:sz="4" w:space="0"/>
            </w:tcBorders>
            <w:vAlign w:val="center"/>
          </w:tcPr>
          <w:p w14:paraId="220ACC84">
            <w:pPr>
              <w:widowControl/>
              <w:snapToGrid w:val="0"/>
              <w:spacing w:line="320" w:lineRule="exact"/>
              <w:ind w:right="-80" w:rightChars="-25"/>
              <w:jc w:val="center"/>
              <w:rPr>
                <w:rFonts w:asciiTheme="minorHAnsi" w:hAnsiTheme="minorHAnsi"/>
                <w:spacing w:val="-4"/>
                <w:sz w:val="24"/>
                <w:szCs w:val="24"/>
              </w:rPr>
            </w:pPr>
            <w:r>
              <w:rPr>
                <w:rFonts w:hint="eastAsia"/>
                <w:spacing w:val="-4"/>
                <w:sz w:val="24"/>
                <w:szCs w:val="24"/>
              </w:rPr>
              <w:t>双山社区卫生服务中心</w:t>
            </w:r>
          </w:p>
        </w:tc>
        <w:tc>
          <w:tcPr>
            <w:tcW w:w="3966" w:type="dxa"/>
            <w:tcBorders>
              <w:top w:val="single" w:color="auto" w:sz="4" w:space="0"/>
              <w:left w:val="single" w:color="auto" w:sz="4" w:space="0"/>
              <w:bottom w:val="single" w:color="auto" w:sz="4" w:space="0"/>
              <w:right w:val="single" w:color="auto" w:sz="4" w:space="0"/>
            </w:tcBorders>
            <w:vAlign w:val="center"/>
          </w:tcPr>
          <w:p w14:paraId="78BE6F27">
            <w:pPr>
              <w:pStyle w:val="3"/>
              <w:spacing w:line="320" w:lineRule="exact"/>
              <w:jc w:val="both"/>
              <w:rPr>
                <w:rFonts w:eastAsia="方正仿宋_GBK"/>
              </w:rPr>
            </w:pPr>
            <w:r>
              <w:rPr>
                <w:rFonts w:hint="eastAsia" w:eastAsia="方正仿宋_GBK"/>
              </w:rPr>
              <w:t>项目与八桥文化活动中心合建，建筑面积3000平方米，按照甲级社区卫生服务中心建设。</w:t>
            </w:r>
          </w:p>
        </w:tc>
        <w:tc>
          <w:tcPr>
            <w:tcW w:w="1416" w:type="dxa"/>
            <w:tcBorders>
              <w:top w:val="single" w:color="auto" w:sz="4" w:space="0"/>
              <w:left w:val="single" w:color="auto" w:sz="4" w:space="0"/>
              <w:bottom w:val="single" w:color="auto" w:sz="4" w:space="0"/>
              <w:right w:val="single" w:color="auto" w:sz="4" w:space="0"/>
            </w:tcBorders>
            <w:vAlign w:val="center"/>
          </w:tcPr>
          <w:p w14:paraId="343B77B6">
            <w:pPr>
              <w:pStyle w:val="3"/>
              <w:spacing w:line="320" w:lineRule="exact"/>
              <w:jc w:val="center"/>
            </w:pPr>
            <w:r>
              <w:rPr>
                <w:rFonts w:hint="eastAsia"/>
              </w:rPr>
              <w:t>0.25</w:t>
            </w:r>
          </w:p>
        </w:tc>
        <w:tc>
          <w:tcPr>
            <w:tcW w:w="1559" w:type="dxa"/>
            <w:tcBorders>
              <w:top w:val="single" w:color="auto" w:sz="4" w:space="0"/>
              <w:left w:val="single" w:color="auto" w:sz="4" w:space="0"/>
              <w:bottom w:val="single" w:color="auto" w:sz="4" w:space="0"/>
              <w:right w:val="single" w:color="auto" w:sz="4" w:space="0"/>
            </w:tcBorders>
            <w:vAlign w:val="center"/>
          </w:tcPr>
          <w:p w14:paraId="0250FF5A">
            <w:pPr>
              <w:pStyle w:val="3"/>
              <w:spacing w:line="320" w:lineRule="exact"/>
              <w:jc w:val="center"/>
              <w:rPr>
                <w:rFonts w:eastAsia="方正仿宋_GBK"/>
              </w:rPr>
            </w:pPr>
            <w:r>
              <w:rPr>
                <w:rFonts w:hint="eastAsia" w:eastAsia="方正仿宋_GBK"/>
              </w:rPr>
              <w:t>2023年开工</w:t>
            </w:r>
          </w:p>
        </w:tc>
      </w:tr>
    </w:tbl>
    <w:p w14:paraId="615A6C1D">
      <w:pPr>
        <w:pStyle w:val="2"/>
        <w:spacing w:line="580" w:lineRule="exact"/>
        <w:sectPr>
          <w:footerReference r:id="rId5" w:type="default"/>
          <w:pgSz w:w="11906" w:h="16838"/>
          <w:pgMar w:top="2098" w:right="1474" w:bottom="1984" w:left="1587" w:header="851" w:footer="992" w:gutter="0"/>
          <w:cols w:space="720" w:num="1"/>
          <w:docGrid w:type="linesAndChars" w:linePitch="312" w:charSpace="0"/>
        </w:sectPr>
      </w:pPr>
    </w:p>
    <w:p w14:paraId="3EEDA19C">
      <w:pPr>
        <w:spacing w:line="580" w:lineRule="exact"/>
        <w:rPr>
          <w:rFonts w:eastAsia="方正黑体_GBK"/>
        </w:rPr>
      </w:pPr>
      <w:r>
        <w:rPr>
          <w:rFonts w:eastAsia="方正黑体_GBK"/>
        </w:rPr>
        <w:t xml:space="preserve">附录： </w:t>
      </w:r>
    </w:p>
    <w:p w14:paraId="33B9ACAE">
      <w:pPr>
        <w:spacing w:line="580" w:lineRule="exact"/>
        <w:jc w:val="center"/>
        <w:rPr>
          <w:rFonts w:eastAsia="方正黑体_GBK"/>
        </w:rPr>
      </w:pPr>
      <w:r>
        <w:rPr>
          <w:rFonts w:eastAsia="方正黑体_GBK"/>
        </w:rPr>
        <w:t>名词解释</w:t>
      </w:r>
    </w:p>
    <w:p w14:paraId="1F5989EA">
      <w:pPr>
        <w:pStyle w:val="3"/>
        <w:spacing w:line="580" w:lineRule="exact"/>
        <w:ind w:firstLine="422" w:firstLineChars="200"/>
        <w:jc w:val="both"/>
        <w:rPr>
          <w:rFonts w:ascii="Times New Roman" w:eastAsia="方正仿宋_GBK"/>
          <w:bCs/>
          <w:color w:val="auto"/>
          <w:sz w:val="21"/>
          <w:szCs w:val="21"/>
        </w:rPr>
      </w:pPr>
      <w:r>
        <w:rPr>
          <w:rFonts w:ascii="Times New Roman" w:eastAsia="方正仿宋_GBK"/>
          <w:b/>
          <w:color w:val="auto"/>
          <w:sz w:val="21"/>
          <w:szCs w:val="21"/>
        </w:rPr>
        <w:t>1.1355工作路径：</w:t>
      </w:r>
      <w:r>
        <w:rPr>
          <w:rFonts w:ascii="Times New Roman" w:eastAsia="方正仿宋_GBK"/>
          <w:bCs/>
          <w:color w:val="auto"/>
          <w:sz w:val="21"/>
          <w:szCs w:val="21"/>
        </w:rPr>
        <w:t>“1”指突出健康中国重庆行动的“一条主线”，“3”指围绕成渝地区双城经济圈建设、国家医学中心建设和“一区两群”协调发展“三个重点”，“5”指实施织密公共卫生“防护网”、完善医疗体系“大布局”、展现医疗服务“高质量”、满足群众需求“新服务”和实现健康管理“全周期”的“五大任务”，“5”指强化党建、法治、人才科技、信息化和宣传“五大保障”。</w:t>
      </w:r>
    </w:p>
    <w:p w14:paraId="6B8FE2FA">
      <w:pPr>
        <w:pStyle w:val="3"/>
        <w:spacing w:line="580" w:lineRule="exact"/>
        <w:ind w:firstLine="422" w:firstLineChars="200"/>
        <w:jc w:val="both"/>
        <w:rPr>
          <w:rFonts w:ascii="Times New Roman" w:eastAsia="方正仿宋_GBK"/>
          <w:bCs/>
          <w:color w:val="auto"/>
          <w:sz w:val="21"/>
          <w:szCs w:val="21"/>
        </w:rPr>
      </w:pPr>
      <w:r>
        <w:rPr>
          <w:rFonts w:ascii="Times New Roman" w:eastAsia="方正仿宋_GBK"/>
          <w:b/>
          <w:color w:val="auto"/>
          <w:sz w:val="21"/>
          <w:szCs w:val="21"/>
        </w:rPr>
        <w:t>2.婴儿死亡率：</w:t>
      </w:r>
      <w:r>
        <w:rPr>
          <w:rFonts w:ascii="Times New Roman" w:eastAsia="方正仿宋_GBK"/>
          <w:bCs/>
          <w:color w:val="auto"/>
          <w:sz w:val="21"/>
          <w:szCs w:val="21"/>
        </w:rPr>
        <w:t>辖区某年婴儿死亡数/某年活产数×1000‰，是指出生不满1周岁的活产婴儿死亡的概率。活产是指妊娠满28周，胎儿娩出后有心跳、呼吸、脐带搏动、随意肌收缩4项生命指标之一者，如孕周不清楚，可以出生体重（≥1000克）为参考标准。</w:t>
      </w:r>
    </w:p>
    <w:p w14:paraId="3823659B">
      <w:pPr>
        <w:pStyle w:val="3"/>
        <w:spacing w:line="580" w:lineRule="exact"/>
        <w:ind w:firstLine="422" w:firstLineChars="200"/>
        <w:jc w:val="both"/>
        <w:rPr>
          <w:rFonts w:ascii="Times New Roman" w:eastAsia="方正仿宋_GBK"/>
          <w:bCs/>
          <w:color w:val="auto"/>
          <w:sz w:val="21"/>
          <w:szCs w:val="21"/>
        </w:rPr>
      </w:pPr>
      <w:r>
        <w:rPr>
          <w:rFonts w:ascii="Times New Roman" w:eastAsia="方正仿宋_GBK"/>
          <w:b/>
          <w:color w:val="auto"/>
          <w:sz w:val="21"/>
          <w:szCs w:val="21"/>
        </w:rPr>
        <w:t>3.孕产妇死亡率：</w:t>
      </w:r>
      <w:r>
        <w:rPr>
          <w:rFonts w:ascii="Times New Roman" w:eastAsia="方正仿宋_GBK"/>
          <w:bCs/>
          <w:color w:val="auto"/>
          <w:sz w:val="21"/>
          <w:szCs w:val="21"/>
        </w:rPr>
        <w:t>辖区某年孕产妇死亡人数/某年活产数×10万/10万，是指妇女在妊娠期至妊娠结束后42天内，由于任何与妊娠或妊娠处理有关的或因此而加重了的原因导致的死亡概率。活产是指妊娠满28周，胎儿娩出后有心跳、呼吸、脐带搏动、随意肌收缩4项生命指标之一者，如孕周不清楚，可以出生体重（≥1000克）为参考标准。</w:t>
      </w:r>
    </w:p>
    <w:p w14:paraId="5D13DA96">
      <w:pPr>
        <w:pStyle w:val="3"/>
        <w:spacing w:line="580" w:lineRule="exact"/>
        <w:ind w:firstLine="422" w:firstLineChars="200"/>
        <w:jc w:val="both"/>
        <w:rPr>
          <w:rFonts w:ascii="Times New Roman" w:eastAsia="方正仿宋_GBK"/>
          <w:bCs/>
          <w:color w:val="auto"/>
          <w:sz w:val="21"/>
          <w:szCs w:val="21"/>
        </w:rPr>
      </w:pPr>
      <w:r>
        <w:rPr>
          <w:rFonts w:ascii="Times New Roman" w:eastAsia="方正仿宋_GBK"/>
          <w:b/>
          <w:color w:val="auto"/>
          <w:sz w:val="21"/>
          <w:szCs w:val="21"/>
        </w:rPr>
        <w:t>4.重大慢性病过早死亡率：</w:t>
      </w:r>
      <w:r>
        <w:rPr>
          <w:rFonts w:ascii="Times New Roman" w:eastAsia="方正仿宋_GBK"/>
          <w:bCs/>
          <w:color w:val="auto"/>
          <w:sz w:val="21"/>
          <w:szCs w:val="21"/>
        </w:rPr>
        <w:t>30-70岁（不包括70岁）人群因重大慢性病（心脑血管疾病、癌症、慢性呼吸系统疾病和糖尿病）导致的死亡概率。</w:t>
      </w:r>
    </w:p>
    <w:p w14:paraId="5D799079">
      <w:pPr>
        <w:pStyle w:val="3"/>
        <w:spacing w:line="580" w:lineRule="exact"/>
        <w:ind w:firstLine="422" w:firstLineChars="200"/>
        <w:jc w:val="both"/>
        <w:rPr>
          <w:rFonts w:ascii="Times New Roman" w:eastAsia="方正仿宋_GBK"/>
          <w:bCs/>
          <w:color w:val="auto"/>
          <w:sz w:val="21"/>
          <w:szCs w:val="21"/>
        </w:rPr>
      </w:pPr>
      <w:r>
        <w:rPr>
          <w:rFonts w:ascii="Times New Roman" w:eastAsia="方正仿宋_GBK"/>
          <w:b/>
          <w:color w:val="auto"/>
          <w:sz w:val="21"/>
          <w:szCs w:val="21"/>
        </w:rPr>
        <w:t>5.居民健康素养水平：</w:t>
      </w:r>
      <w:r>
        <w:rPr>
          <w:rFonts w:ascii="Times New Roman" w:eastAsia="方正仿宋_GBK"/>
          <w:bCs/>
          <w:color w:val="auto"/>
          <w:sz w:val="21"/>
          <w:szCs w:val="21"/>
        </w:rPr>
        <w:t>指该区域内具备基本健康素养的人在总人群中所占的比例。健康素养是指个人获取和理解基本健康信息和服务，并运用这些信息和服务做出正确决策，以维护和促进自身健康的能力。</w:t>
      </w:r>
    </w:p>
    <w:p w14:paraId="365DFE9D">
      <w:pPr>
        <w:pStyle w:val="3"/>
        <w:spacing w:line="580" w:lineRule="exact"/>
        <w:ind w:firstLine="422" w:firstLineChars="200"/>
        <w:rPr>
          <w:rFonts w:ascii="Times New Roman" w:eastAsia="方正仿宋_GBK"/>
          <w:bCs/>
          <w:color w:val="auto"/>
          <w:sz w:val="21"/>
          <w:szCs w:val="21"/>
        </w:rPr>
      </w:pPr>
      <w:r>
        <w:rPr>
          <w:rFonts w:hint="eastAsia" w:ascii="Times New Roman" w:eastAsia="方正仿宋_GBK"/>
          <w:b/>
          <w:color w:val="auto"/>
          <w:sz w:val="21"/>
          <w:szCs w:val="21"/>
        </w:rPr>
        <w:t>6</w:t>
      </w:r>
      <w:r>
        <w:rPr>
          <w:rFonts w:ascii="Times New Roman" w:eastAsia="方正仿宋_GBK"/>
          <w:b/>
          <w:color w:val="auto"/>
          <w:sz w:val="21"/>
          <w:szCs w:val="21"/>
        </w:rPr>
        <w:t>.两个允许：</w:t>
      </w:r>
      <w:r>
        <w:rPr>
          <w:rFonts w:ascii="Times New Roman" w:eastAsia="方正仿宋_GBK"/>
          <w:bCs/>
          <w:color w:val="auto"/>
          <w:sz w:val="21"/>
          <w:szCs w:val="21"/>
        </w:rPr>
        <w:t>即允许医疗卫生机构突破现行事业单位工资调控水平,允许医疗服务收入扣除成本并按规定提取各项基金后主要用于人员奖励。</w:t>
      </w:r>
    </w:p>
    <w:p w14:paraId="6BA94660">
      <w:pPr>
        <w:spacing w:line="580" w:lineRule="exact"/>
        <w:ind w:firstLine="422" w:firstLineChars="200"/>
      </w:pPr>
      <w:r>
        <w:rPr>
          <w:rFonts w:hint="eastAsia"/>
          <w:b/>
          <w:sz w:val="21"/>
          <w:szCs w:val="21"/>
        </w:rPr>
        <w:t>7</w:t>
      </w:r>
      <w:r>
        <w:rPr>
          <w:b/>
          <w:sz w:val="21"/>
          <w:szCs w:val="21"/>
        </w:rPr>
        <w:t>.“双岗”联系人制度</w:t>
      </w:r>
      <w:r>
        <w:rPr>
          <w:bCs/>
          <w:sz w:val="21"/>
          <w:szCs w:val="21"/>
        </w:rPr>
        <w:t>：为每一户计划生育特殊家庭确定一名镇领导干部和一名村委会干部作为帮扶“双岗”联系人，并确定1-2名计生协会会员、家庭医生或志愿者作为帮扶联系人。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方正楷体_GBK">
    <w:altName w:val="Arial Unicode MS"/>
    <w:panose1 w:val="00000000000000000000"/>
    <w:charset w:val="86"/>
    <w:family w:val="script"/>
    <w:pitch w:val="default"/>
    <w:sig w:usb0="00000000" w:usb1="0000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0740">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629E6">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8629E6">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730E4"/>
    <w:multiLevelType w:val="singleLevel"/>
    <w:tmpl w:val="35B730E4"/>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cía">
    <w15:presenceInfo w15:providerId="WPS Office" w15:userId="3366383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F6"/>
    <w:rsid w:val="00006412"/>
    <w:rsid w:val="00012A0E"/>
    <w:rsid w:val="00085337"/>
    <w:rsid w:val="00093EB2"/>
    <w:rsid w:val="000A1CAA"/>
    <w:rsid w:val="000A7F9C"/>
    <w:rsid w:val="000C1160"/>
    <w:rsid w:val="000C5E23"/>
    <w:rsid w:val="000C608A"/>
    <w:rsid w:val="00101832"/>
    <w:rsid w:val="001318D7"/>
    <w:rsid w:val="00154516"/>
    <w:rsid w:val="00172A27"/>
    <w:rsid w:val="00185CBA"/>
    <w:rsid w:val="00196B73"/>
    <w:rsid w:val="001A62CE"/>
    <w:rsid w:val="001C7337"/>
    <w:rsid w:val="001E2B27"/>
    <w:rsid w:val="001F2E64"/>
    <w:rsid w:val="00236C6A"/>
    <w:rsid w:val="00240E28"/>
    <w:rsid w:val="0027041A"/>
    <w:rsid w:val="00270DC8"/>
    <w:rsid w:val="0028183C"/>
    <w:rsid w:val="00294AB8"/>
    <w:rsid w:val="002B3BA5"/>
    <w:rsid w:val="002D08CE"/>
    <w:rsid w:val="002D608D"/>
    <w:rsid w:val="0031523A"/>
    <w:rsid w:val="00333084"/>
    <w:rsid w:val="003454F1"/>
    <w:rsid w:val="00347C55"/>
    <w:rsid w:val="00356752"/>
    <w:rsid w:val="00362467"/>
    <w:rsid w:val="003A3A08"/>
    <w:rsid w:val="003A686F"/>
    <w:rsid w:val="003C5D2A"/>
    <w:rsid w:val="003D2CF3"/>
    <w:rsid w:val="003D7C26"/>
    <w:rsid w:val="003E4935"/>
    <w:rsid w:val="003E7CDE"/>
    <w:rsid w:val="00493EDE"/>
    <w:rsid w:val="004D114A"/>
    <w:rsid w:val="00524359"/>
    <w:rsid w:val="00534F60"/>
    <w:rsid w:val="00540C02"/>
    <w:rsid w:val="005716FA"/>
    <w:rsid w:val="00594958"/>
    <w:rsid w:val="005B083E"/>
    <w:rsid w:val="005D346D"/>
    <w:rsid w:val="005E3E06"/>
    <w:rsid w:val="006643F5"/>
    <w:rsid w:val="006A3EEA"/>
    <w:rsid w:val="006A6991"/>
    <w:rsid w:val="006E3B52"/>
    <w:rsid w:val="00710CDF"/>
    <w:rsid w:val="007111AA"/>
    <w:rsid w:val="00724D74"/>
    <w:rsid w:val="007611C1"/>
    <w:rsid w:val="00766162"/>
    <w:rsid w:val="007850DB"/>
    <w:rsid w:val="007F52B4"/>
    <w:rsid w:val="007F5B0A"/>
    <w:rsid w:val="00836CF0"/>
    <w:rsid w:val="00850462"/>
    <w:rsid w:val="00870D37"/>
    <w:rsid w:val="008A6FA5"/>
    <w:rsid w:val="008B3502"/>
    <w:rsid w:val="008B4272"/>
    <w:rsid w:val="008D4A3B"/>
    <w:rsid w:val="0092506F"/>
    <w:rsid w:val="00946020"/>
    <w:rsid w:val="00973043"/>
    <w:rsid w:val="00A01716"/>
    <w:rsid w:val="00A36BFC"/>
    <w:rsid w:val="00A64938"/>
    <w:rsid w:val="00A7247E"/>
    <w:rsid w:val="00AA4C54"/>
    <w:rsid w:val="00AF481D"/>
    <w:rsid w:val="00AF7876"/>
    <w:rsid w:val="00B36317"/>
    <w:rsid w:val="00B45A07"/>
    <w:rsid w:val="00B47EE8"/>
    <w:rsid w:val="00B5259C"/>
    <w:rsid w:val="00B82FC5"/>
    <w:rsid w:val="00B9648D"/>
    <w:rsid w:val="00BB3EAA"/>
    <w:rsid w:val="00BE60F3"/>
    <w:rsid w:val="00BF5403"/>
    <w:rsid w:val="00C1585B"/>
    <w:rsid w:val="00C538E1"/>
    <w:rsid w:val="00C5520D"/>
    <w:rsid w:val="00C60DF2"/>
    <w:rsid w:val="00CF315D"/>
    <w:rsid w:val="00D03629"/>
    <w:rsid w:val="00D10C38"/>
    <w:rsid w:val="00D611E9"/>
    <w:rsid w:val="00D72A85"/>
    <w:rsid w:val="00D73659"/>
    <w:rsid w:val="00D822AC"/>
    <w:rsid w:val="00D837D7"/>
    <w:rsid w:val="00D84463"/>
    <w:rsid w:val="00D91A60"/>
    <w:rsid w:val="00D929F4"/>
    <w:rsid w:val="00DC03BF"/>
    <w:rsid w:val="00DC36AE"/>
    <w:rsid w:val="00DC3DD4"/>
    <w:rsid w:val="00DD302B"/>
    <w:rsid w:val="00DE5AAF"/>
    <w:rsid w:val="00E113E3"/>
    <w:rsid w:val="00E45BBB"/>
    <w:rsid w:val="00E65881"/>
    <w:rsid w:val="00EA62CB"/>
    <w:rsid w:val="00F72DCE"/>
    <w:rsid w:val="00F92E3E"/>
    <w:rsid w:val="01660C32"/>
    <w:rsid w:val="04E73F10"/>
    <w:rsid w:val="04FE0E90"/>
    <w:rsid w:val="05E91DB7"/>
    <w:rsid w:val="06333464"/>
    <w:rsid w:val="08550585"/>
    <w:rsid w:val="08926701"/>
    <w:rsid w:val="08C17460"/>
    <w:rsid w:val="095F7B0F"/>
    <w:rsid w:val="0A7210E4"/>
    <w:rsid w:val="0BBB769C"/>
    <w:rsid w:val="0BF2168F"/>
    <w:rsid w:val="0CFE3B22"/>
    <w:rsid w:val="0E0303ED"/>
    <w:rsid w:val="0E0E2F58"/>
    <w:rsid w:val="112431A0"/>
    <w:rsid w:val="131D034D"/>
    <w:rsid w:val="18700A96"/>
    <w:rsid w:val="18E328E3"/>
    <w:rsid w:val="19AE39E2"/>
    <w:rsid w:val="19C13D38"/>
    <w:rsid w:val="19D92FD3"/>
    <w:rsid w:val="1AE27335"/>
    <w:rsid w:val="1B292B84"/>
    <w:rsid w:val="1BD31BAF"/>
    <w:rsid w:val="1DCA3013"/>
    <w:rsid w:val="1EF3197B"/>
    <w:rsid w:val="1FA160F7"/>
    <w:rsid w:val="20D6171F"/>
    <w:rsid w:val="21A40EEB"/>
    <w:rsid w:val="23236348"/>
    <w:rsid w:val="25F970C7"/>
    <w:rsid w:val="26D31669"/>
    <w:rsid w:val="28E85C6B"/>
    <w:rsid w:val="2A651FB0"/>
    <w:rsid w:val="2C4A7E9E"/>
    <w:rsid w:val="2EE775F6"/>
    <w:rsid w:val="2FDD4C59"/>
    <w:rsid w:val="30C00BEC"/>
    <w:rsid w:val="31423670"/>
    <w:rsid w:val="32A47CEB"/>
    <w:rsid w:val="337647F5"/>
    <w:rsid w:val="33BD6CDA"/>
    <w:rsid w:val="358801DB"/>
    <w:rsid w:val="35BC11EA"/>
    <w:rsid w:val="365D66E6"/>
    <w:rsid w:val="37330FF1"/>
    <w:rsid w:val="37932C6D"/>
    <w:rsid w:val="391D27D5"/>
    <w:rsid w:val="3AC26402"/>
    <w:rsid w:val="3B0F7ED4"/>
    <w:rsid w:val="3C085A62"/>
    <w:rsid w:val="3E490EAE"/>
    <w:rsid w:val="40FD4496"/>
    <w:rsid w:val="42331A18"/>
    <w:rsid w:val="42C71643"/>
    <w:rsid w:val="43A47F64"/>
    <w:rsid w:val="43BA5256"/>
    <w:rsid w:val="443A0BB7"/>
    <w:rsid w:val="44F70DD7"/>
    <w:rsid w:val="4546487D"/>
    <w:rsid w:val="45BA365B"/>
    <w:rsid w:val="47E96ED4"/>
    <w:rsid w:val="48E53367"/>
    <w:rsid w:val="49C64DF3"/>
    <w:rsid w:val="4B34404D"/>
    <w:rsid w:val="4B686719"/>
    <w:rsid w:val="4CAA5A13"/>
    <w:rsid w:val="4DE438B7"/>
    <w:rsid w:val="4E1811CE"/>
    <w:rsid w:val="4E890725"/>
    <w:rsid w:val="529531F7"/>
    <w:rsid w:val="52C61D04"/>
    <w:rsid w:val="54E14B68"/>
    <w:rsid w:val="566C3B2D"/>
    <w:rsid w:val="58C50B9C"/>
    <w:rsid w:val="59BE1425"/>
    <w:rsid w:val="5A840A30"/>
    <w:rsid w:val="5B893F85"/>
    <w:rsid w:val="5BB645C8"/>
    <w:rsid w:val="5BEB59A6"/>
    <w:rsid w:val="5C375BA7"/>
    <w:rsid w:val="5EB92F7C"/>
    <w:rsid w:val="5EED22CD"/>
    <w:rsid w:val="60CB1B4B"/>
    <w:rsid w:val="61D8438B"/>
    <w:rsid w:val="62361E0C"/>
    <w:rsid w:val="68184FC9"/>
    <w:rsid w:val="6A8B5610"/>
    <w:rsid w:val="6BC15E59"/>
    <w:rsid w:val="6EC16E66"/>
    <w:rsid w:val="6ED4089A"/>
    <w:rsid w:val="6EF76024"/>
    <w:rsid w:val="725C121E"/>
    <w:rsid w:val="732C36C7"/>
    <w:rsid w:val="79760F8E"/>
    <w:rsid w:val="7A145771"/>
    <w:rsid w:val="7A3D4C21"/>
    <w:rsid w:val="7AA34148"/>
    <w:rsid w:val="7ABA37F6"/>
    <w:rsid w:val="7BE05B13"/>
    <w:rsid w:val="7C4203AC"/>
    <w:rsid w:val="7CD40A01"/>
    <w:rsid w:val="7D0F4F72"/>
    <w:rsid w:val="7E4364E3"/>
    <w:rsid w:val="7F1440B5"/>
    <w:rsid w:val="7F7605DE"/>
    <w:rsid w:val="7FFE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link w:val="14"/>
    <w:qFormat/>
    <w:uiPriority w:val="0"/>
    <w:pPr>
      <w:keepNext/>
      <w:keepLines/>
      <w:spacing w:before="340" w:after="330" w:line="578" w:lineRule="auto"/>
      <w:ind w:left="200" w:leftChars="200"/>
      <w:outlineLvl w:val="0"/>
    </w:pPr>
    <w:rPr>
      <w:rFonts w:eastAsia="方正小标宋_GBK"/>
      <w:bCs/>
      <w:kern w:val="44"/>
      <w:szCs w:val="44"/>
    </w:rPr>
  </w:style>
  <w:style w:type="paragraph" w:styleId="5">
    <w:name w:val="heading 2"/>
    <w:basedOn w:val="1"/>
    <w:next w:val="1"/>
    <w:link w:val="13"/>
    <w:semiHidden/>
    <w:unhideWhenUsed/>
    <w:qFormat/>
    <w:uiPriority w:val="0"/>
    <w:pPr>
      <w:keepNext/>
      <w:keepLines/>
      <w:spacing w:before="260" w:after="260" w:line="416" w:lineRule="auto"/>
      <w:outlineLvl w:val="1"/>
    </w:pPr>
    <w:rPr>
      <w:rFonts w:ascii="等线 Light" w:hAnsi="等线 Light" w:eastAsia="方正楷体_GBK"/>
      <w:bCs/>
    </w:rPr>
  </w:style>
  <w:style w:type="paragraph" w:styleId="6">
    <w:name w:val="heading 3"/>
    <w:basedOn w:val="1"/>
    <w:next w:val="1"/>
    <w:semiHidden/>
    <w:unhideWhenUsed/>
    <w:qFormat/>
    <w:uiPriority w:val="0"/>
    <w:pPr>
      <w:keepNext/>
      <w:keepLines/>
      <w:spacing w:before="260" w:after="260" w:line="594" w:lineRule="exact"/>
      <w:ind w:left="200" w:leftChars="200"/>
      <w:outlineLvl w:val="2"/>
    </w:pPr>
    <w:rPr>
      <w:rFonts w:ascii="宋体" w:hAnsi="宋体" w:eastAsia="方正书宋_GBK"/>
      <w:b/>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rPr>
  </w:style>
  <w:style w:type="paragraph" w:customStyle="1" w:styleId="3">
    <w:name w:val="UserStyle_0"/>
    <w:next w:val="1"/>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7">
    <w:name w:val="Body Text"/>
    <w:basedOn w:val="1"/>
    <w:qFormat/>
    <w:uiPriority w:val="0"/>
    <w:pPr>
      <w:spacing w:after="120"/>
    </w:pPr>
    <w:rPr>
      <w:rFonts w:ascii="宋体" w:hAnsi="宋体"/>
    </w:rPr>
  </w:style>
  <w:style w:type="paragraph" w:styleId="8">
    <w:name w:val="Balloon Text"/>
    <w:basedOn w:val="1"/>
    <w:link w:val="16"/>
    <w:qFormat/>
    <w:uiPriority w:val="0"/>
    <w:pPr>
      <w:spacing w:line="240" w:lineRule="auto"/>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11">
    <w:name w:val="Table Grid"/>
    <w:basedOn w:val="1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link w:val="5"/>
    <w:qFormat/>
    <w:uiPriority w:val="9"/>
    <w:rPr>
      <w:rFonts w:ascii="等线 Light" w:hAnsi="等线 Light" w:eastAsia="方正楷体_GBK" w:cs="Times New Roman"/>
      <w:bCs/>
      <w:kern w:val="2"/>
      <w:sz w:val="32"/>
      <w:szCs w:val="32"/>
    </w:rPr>
  </w:style>
  <w:style w:type="character" w:customStyle="1" w:styleId="14">
    <w:name w:val="标题 1 Char"/>
    <w:link w:val="4"/>
    <w:qFormat/>
    <w:uiPriority w:val="9"/>
    <w:rPr>
      <w:rFonts w:ascii="Times New Roman" w:hAnsi="Times New Roman" w:eastAsia="方正小标宋_GBK"/>
      <w:bCs/>
      <w:kern w:val="44"/>
      <w:sz w:val="32"/>
      <w:szCs w:val="44"/>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批注框文本 Char"/>
    <w:basedOn w:val="12"/>
    <w:link w:val="8"/>
    <w:uiPriority w:val="0"/>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42</Pages>
  <Words>21095</Words>
  <Characters>21996</Characters>
  <Lines>169</Lines>
  <Paragraphs>47</Paragraphs>
  <TotalTime>532</TotalTime>
  <ScaleCrop>false</ScaleCrop>
  <LinksUpToDate>false</LinksUpToDate>
  <CharactersWithSpaces>22102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☜疯子</cp:lastModifiedBy>
  <cp:lastPrinted>2021-12-17T08:01:00Z</cp:lastPrinted>
  <dcterms:modified xsi:type="dcterms:W3CDTF">2025-06-06T09:56:44Z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C181678E9BA54F52A085BFD374E06DB9</vt:lpwstr>
  </property>
  <property fmtid="{D5CDD505-2E9C-101B-9397-08002B2CF9AE}" pid="4" name="KSOTemplateDocerSaveRecord">
    <vt:lpwstr>eyJoZGlkIjoiN2U0N2Q2ZTM2ZDQ4MjgxNDVjNzFiNjJmOWEwODI3OGEiLCJ1c2VySWQiOiIyOTA1NzU3NDEifQ==</vt:lpwstr>
  </property>
</Properties>
</file>