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  <w:t>八桥镇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青年创业孵化基地培育成效初显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一是盘活辖区低效用房。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抓好辖区闲置土地资源盘活，盘活青年创业孵化基地相邻社区低效用房600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平米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作为二期扩容地，实现增效、增收“双赢”局面。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二是狠抓市场主体培育。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与运营管理公司建立月会商制度，实时跟进市场主体培育情况。成功注册企业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245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家，商贸服务业109家，制造业29家，建筑业28家；注册资金超千万的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16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家，超百万的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44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三是深耕培育载体建设。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以青年创业孵化基地为核心培育载体，围绕全区“5+2”产业布局，针对一期场地、工位不足等问题，升级打造孵化基地二期，新增工位50个、停车位20个，为青年创业孵化基地注入新动力，力争带动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年营收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新增长。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6FC1"/>
    <w:rsid w:val="29C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2023-11-29T03:20:00Z</dcterms:created>
  <dc:creator>NTKO</dc:creator>
  <cp:lastModifiedBy>NTKO</cp:lastModifiedBy>
  <dcterms:modified xsi:type="dcterms:W3CDTF">2023-11-29T03:21:05Z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13E9414D3E6A49E8A363F4A928CD6648</vt:lpwstr>
  </property>
</Properties>
</file>