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1Times New Roman" w:hAnsi="1Times New Roman" w:eastAsia="方正小标宋_GBK" w:cs="1Times New Roman"/>
          <w:sz w:val="44"/>
          <w:szCs w:val="44"/>
          <w:lang w:val="en-US" w:eastAsia="zh-CN"/>
        </w:rPr>
      </w:pPr>
      <w:r>
        <w:rPr>
          <w:rFonts w:hint="eastAsia" w:ascii="1Times New Roman" w:hAnsi="1Times New Roman" w:eastAsia="方正小标宋_GBK" w:cs="1Times New Roman"/>
          <w:sz w:val="44"/>
          <w:szCs w:val="44"/>
          <w:lang w:val="en-US" w:eastAsia="zh-CN"/>
        </w:rPr>
        <w:t>大渡口区春晖路街道</w:t>
      </w:r>
    </w:p>
    <w:p>
      <w:pPr>
        <w:jc w:val="center"/>
        <w:rPr>
          <w:rFonts w:hint="eastAsia" w:ascii="1Times New Roman" w:hAnsi="1Times New Roman" w:eastAsia="方正小标宋_GBK" w:cs="1Times New Roman"/>
          <w:spacing w:val="-2"/>
          <w:sz w:val="44"/>
          <w:szCs w:val="44"/>
          <w:lang w:val="en-US" w:eastAsia="zh-CN"/>
        </w:rPr>
      </w:pPr>
      <w:r>
        <w:rPr>
          <w:rFonts w:hint="default" w:ascii="1Times New Roman" w:hAnsi="1Times New Roman" w:eastAsia="方正小标宋_GBK" w:cs="1Times New Roman"/>
          <w:sz w:val="44"/>
          <w:szCs w:val="44"/>
          <w:lang w:val="en-US" w:eastAsia="zh-CN"/>
        </w:rPr>
        <w:t>小微景观项目建设</w:t>
      </w:r>
      <w:r>
        <w:rPr>
          <w:rFonts w:hint="eastAsia" w:ascii="1Times New Roman" w:hAnsi="1Times New Roman" w:eastAsia="方正小标宋_GBK" w:cs="1Times New Roman"/>
          <w:spacing w:val="-2"/>
          <w:sz w:val="44"/>
          <w:szCs w:val="44"/>
          <w:lang w:val="en-US" w:eastAsia="zh-CN"/>
        </w:rPr>
        <w:t>设计采购公告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right="0" w:rightChars="0"/>
        <w:jc w:val="both"/>
        <w:textAlignment w:val="auto"/>
        <w:outlineLvl w:val="9"/>
        <w:rPr>
          <w:rFonts w:hint="eastAsia" w:ascii="1Times New Roman" w:hAnsi="1Times New Roman" w:eastAsia="方正黑体_GBK" w:cs="1Times New Roman"/>
          <w:sz w:val="32"/>
          <w:szCs w:val="32"/>
          <w:lang w:val="en-US" w:eastAsia="zh-CN"/>
        </w:rPr>
      </w:pPr>
      <w:r>
        <w:rPr>
          <w:rFonts w:hint="eastAsia" w:ascii="1Times New Roman" w:hAnsi="1Times New Roman" w:eastAsia="方正黑体_GBK" w:cs="1Times New Roman"/>
          <w:sz w:val="32"/>
          <w:szCs w:val="32"/>
          <w:lang w:val="en-US" w:eastAsia="zh-CN"/>
        </w:rPr>
        <w:t>一、评标原则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594" w:lineRule="exact"/>
        <w:ind w:firstLine="640" w:firstLineChars="200"/>
        <w:textAlignment w:val="auto"/>
        <w:rPr>
          <w:rFonts w:hint="eastAsia" w:ascii="1Times New Roman" w:hAnsi="1Times New Roman" w:eastAsia="方正仿宋_GBK" w:cs="1Times New Roman"/>
          <w:kern w:val="0"/>
          <w:sz w:val="32"/>
          <w:szCs w:val="32"/>
          <w:lang w:val="en-US" w:eastAsia="zh-CN"/>
        </w:rPr>
      </w:pPr>
      <w:r>
        <w:rPr>
          <w:rFonts w:hint="eastAsia" w:ascii="1Times New Roman" w:hAnsi="1Times New Roman" w:eastAsia="方正仿宋_GBK" w:cs="1Times New Roman"/>
          <w:kern w:val="0"/>
          <w:sz w:val="32"/>
          <w:szCs w:val="32"/>
          <w:lang w:val="en-US" w:eastAsia="zh-CN"/>
        </w:rPr>
        <w:t>按照“公正、公平、科学、择优”的原则对待所有投标人。坚持按照招标文件的所有相关规定，公平评标。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right="0" w:rightChars="0"/>
        <w:jc w:val="both"/>
        <w:textAlignment w:val="auto"/>
        <w:outlineLvl w:val="9"/>
        <w:rPr>
          <w:rFonts w:hint="eastAsia" w:ascii="1Times New Roman" w:hAnsi="1Times New Roman" w:eastAsia="方正黑体_GBK" w:cs="1Times New Roman"/>
          <w:sz w:val="32"/>
          <w:szCs w:val="32"/>
          <w:lang w:val="en-US" w:eastAsia="zh-CN"/>
        </w:rPr>
      </w:pPr>
      <w:r>
        <w:rPr>
          <w:rFonts w:hint="eastAsia" w:ascii="1Times New Roman" w:hAnsi="1Times New Roman" w:eastAsia="方正黑体_GBK" w:cs="1Times New Roman"/>
          <w:sz w:val="32"/>
          <w:szCs w:val="32"/>
          <w:lang w:val="en-US" w:eastAsia="zh-CN"/>
        </w:rPr>
        <w:t>二、资格或资质要求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方正楷体_GBK" w:hAnsi="方正楷体_GBK" w:eastAsia="方正楷体_GBK" w:cs="方正楷体_GBK"/>
          <w:sz w:val="32"/>
          <w:szCs w:val="32"/>
          <w:lang w:val="en-US" w:eastAsia="zh-CN"/>
        </w:rPr>
        <w:t>（一）竞标文件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594" w:lineRule="exact"/>
        <w:ind w:firstLine="640" w:firstLineChars="200"/>
        <w:textAlignment w:val="auto"/>
        <w:rPr>
          <w:rFonts w:hint="default" w:ascii="1Times New Roman" w:hAnsi="1Times New Roman" w:eastAsia="方正仿宋_GBK" w:cs="1Times New Roman"/>
          <w:kern w:val="0"/>
          <w:sz w:val="32"/>
          <w:szCs w:val="32"/>
          <w:lang w:val="en-US" w:eastAsia="zh-CN"/>
        </w:rPr>
      </w:pPr>
      <w:r>
        <w:rPr>
          <w:rFonts w:hint="default" w:ascii="1Times New Roman" w:hAnsi="1Times New Roman" w:eastAsia="方正仿宋_GBK" w:cs="1Times New Roman"/>
          <w:kern w:val="0"/>
          <w:sz w:val="32"/>
          <w:szCs w:val="32"/>
          <w:lang w:val="en-US" w:eastAsia="zh-CN"/>
        </w:rPr>
        <w:t>竞标文件须</w:t>
      </w:r>
      <w:r>
        <w:rPr>
          <w:rFonts w:hint="eastAsia" w:ascii="1Times New Roman" w:hAnsi="1Times New Roman" w:eastAsia="方正仿宋_GBK" w:cs="1Times New Roman"/>
          <w:kern w:val="0"/>
          <w:sz w:val="32"/>
          <w:szCs w:val="32"/>
          <w:lang w:val="en-US" w:eastAsia="zh-CN"/>
        </w:rPr>
        <w:t>加盖</w:t>
      </w:r>
      <w:r>
        <w:rPr>
          <w:rFonts w:hint="default" w:ascii="1Times New Roman" w:hAnsi="1Times New Roman" w:eastAsia="方正仿宋_GBK" w:cs="1Times New Roman"/>
          <w:kern w:val="0"/>
          <w:sz w:val="32"/>
          <w:szCs w:val="32"/>
          <w:lang w:val="en-US" w:eastAsia="zh-CN"/>
        </w:rPr>
        <w:t>公司鲜章</w:t>
      </w:r>
      <w:r>
        <w:rPr>
          <w:rFonts w:hint="eastAsia" w:ascii="1Times New Roman" w:hAnsi="1Times New Roman" w:eastAsia="方正仿宋_GBK" w:cs="1Times New Roman"/>
          <w:kern w:val="0"/>
          <w:sz w:val="32"/>
          <w:szCs w:val="32"/>
          <w:lang w:val="en-US" w:eastAsia="zh-CN"/>
        </w:rPr>
        <w:t>和骑缝章</w:t>
      </w:r>
      <w:r>
        <w:rPr>
          <w:rFonts w:hint="default" w:ascii="1Times New Roman" w:hAnsi="1Times New Roman" w:eastAsia="方正仿宋_GBK" w:cs="1Times New Roman"/>
          <w:kern w:val="0"/>
          <w:sz w:val="32"/>
          <w:szCs w:val="32"/>
          <w:lang w:val="en-US" w:eastAsia="zh-CN"/>
        </w:rPr>
        <w:t>，提供复印件的原件备查，竞标文件需装袋并密封。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1Times New Roman" w:hAnsi="1Times New Roman" w:eastAsia="方正仿宋_GBK" w:cs="1Times New Roman"/>
          <w:b w:val="0"/>
          <w:bCs w:val="0"/>
          <w:kern w:val="0"/>
          <w:sz w:val="32"/>
          <w:szCs w:val="32"/>
          <w:lang w:val="en-US" w:eastAsia="zh-CN"/>
        </w:rPr>
        <w:t>1.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营业执照复印件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default" w:ascii="1Times New Roman" w:hAnsi="1Times New Roman" w:eastAsia="方正仿宋_GBK" w:cs="1Times New Roman"/>
          <w:b w:val="0"/>
          <w:bCs w:val="0"/>
          <w:kern w:val="0"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法定代表人授权书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法定代表人身份证明书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1Times New Roman" w:hAnsi="1Times New Roman" w:eastAsia="方正仿宋_GBK" w:cs="1Times New Roman"/>
          <w:b w:val="0"/>
          <w:bCs w:val="0"/>
          <w:kern w:val="0"/>
          <w:sz w:val="32"/>
          <w:szCs w:val="32"/>
          <w:lang w:val="en-US" w:eastAsia="zh-CN"/>
        </w:rPr>
        <w:t>3.</w:t>
      </w:r>
      <w:r>
        <w:rPr>
          <w:rFonts w:hint="default" w:ascii="1Times New Roman" w:hAnsi="1Times New Roman" w:eastAsia="方正仿宋_GBK" w:cs="1Times New Roman"/>
          <w:kern w:val="0"/>
          <w:sz w:val="32"/>
          <w:szCs w:val="32"/>
          <w:lang w:val="en-US" w:eastAsia="zh-CN"/>
        </w:rPr>
        <w:t>《报价表》及报价清单</w:t>
      </w:r>
      <w:r>
        <w:rPr>
          <w:rFonts w:hint="eastAsia" w:ascii="1Times New Roman" w:hAnsi="1Times New Roman" w:eastAsia="方正仿宋_GBK" w:cs="1Times New Roman"/>
          <w:kern w:val="0"/>
          <w:sz w:val="32"/>
          <w:szCs w:val="32"/>
          <w:lang w:val="en-US" w:eastAsia="zh-CN"/>
        </w:rPr>
        <w:t>（《报价表》需使用街道提供的统一格式文件，参与投标的公司请于</w:t>
      </w:r>
      <w:r>
        <w:rPr>
          <w:rFonts w:hint="eastAsia" w:ascii="1Times New Roman" w:hAnsi="1Times New Roman" w:eastAsia="方正仿宋_GBK" w:cs="1Times New Roman"/>
          <w:b w:val="0"/>
          <w:bCs w:val="0"/>
          <w:kern w:val="0"/>
          <w:sz w:val="32"/>
          <w:szCs w:val="32"/>
          <w:lang w:val="en-US" w:eastAsia="zh-CN"/>
        </w:rPr>
        <w:t>2025</w:t>
      </w:r>
      <w:r>
        <w:rPr>
          <w:rFonts w:hint="eastAsia" w:ascii="1Times New Roman" w:hAnsi="1Times New Roman" w:eastAsia="方正仿宋_GBK" w:cs="1Times New Roman"/>
          <w:kern w:val="0"/>
          <w:sz w:val="32"/>
          <w:szCs w:val="32"/>
          <w:lang w:val="en-US" w:eastAsia="zh-CN"/>
        </w:rPr>
        <w:t>年11月3日12：00前发送邮件到本采购公告联系方式内的邮箱获取《报价表》，同时附上公司名称、联系人姓名、联系电话和邮箱）；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设计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方案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left="0" w:leftChars="0" w:firstLine="640" w:firstLineChars="200"/>
        <w:textAlignment w:val="auto"/>
        <w:rPr>
          <w:rFonts w:hint="default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default" w:ascii="方正楷体_GBK" w:hAnsi="方正楷体_GBK" w:eastAsia="方正楷体_GBK" w:cs="方正楷体_GBK"/>
          <w:sz w:val="32"/>
          <w:szCs w:val="32"/>
          <w:lang w:val="en-US" w:eastAsia="zh-CN"/>
        </w:rPr>
        <w:t>（二）供应商资格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left="0" w:leftChars="0" w:firstLine="640" w:firstLineChars="200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1Times New Roman" w:hAnsi="1Times New Roman" w:eastAsia="方正仿宋_GBK" w:cs="1Times New Roman"/>
          <w:kern w:val="0"/>
          <w:sz w:val="32"/>
          <w:szCs w:val="32"/>
          <w:lang w:val="en-US" w:eastAsia="zh-CN"/>
        </w:rPr>
        <w:t>要求合格供应商应首先符合政府采购法相关规定条件，同时符合根据该项目特点设置的特定资格条件：</w:t>
      </w:r>
      <w:r>
        <w:rPr>
          <w:rFonts w:hint="default" w:ascii="1Times New Roman" w:hAnsi="1Times New Roman" w:eastAsia="方正仿宋_GBK" w:cs="1Times New Roman"/>
          <w:kern w:val="0"/>
          <w:sz w:val="32"/>
          <w:szCs w:val="32"/>
          <w:lang w:val="en-US" w:eastAsia="zh-CN"/>
        </w:rPr>
        <w:br w:type="textWrapping"/>
      </w:r>
      <w:r>
        <w:rPr>
          <w:rFonts w:hint="default" w:ascii="1Times New Roman" w:hAnsi="1Times New Roman" w:eastAsia="方正仿宋_GBK" w:cs="1Times New Roman"/>
          <w:kern w:val="0"/>
          <w:sz w:val="32"/>
          <w:szCs w:val="32"/>
          <w:lang w:val="en-US" w:eastAsia="zh-CN"/>
        </w:rPr>
        <w:t xml:space="preserve">    1.具有独立承担民事责任的能力</w:t>
      </w:r>
      <w:r>
        <w:rPr>
          <w:rFonts w:hint="eastAsia" w:ascii="1Times New Roman" w:hAnsi="1Times New Roman" w:eastAsia="方正仿宋_GBK" w:cs="1Times New Roman"/>
          <w:kern w:val="0"/>
          <w:sz w:val="32"/>
          <w:szCs w:val="32"/>
          <w:lang w:val="en-US" w:eastAsia="zh-CN"/>
        </w:rPr>
        <w:t>，</w:t>
      </w:r>
      <w:r>
        <w:rPr>
          <w:rFonts w:hint="default" w:ascii="1Times New Roman" w:hAnsi="1Times New Roman" w:eastAsia="方正仿宋_GBK" w:cs="1Times New Roman"/>
          <w:kern w:val="0"/>
          <w:sz w:val="32"/>
          <w:szCs w:val="32"/>
          <w:lang w:val="en-US" w:eastAsia="zh-CN"/>
        </w:rPr>
        <w:t>不接受联合体投标</w:t>
      </w:r>
      <w:r>
        <w:rPr>
          <w:rFonts w:hint="eastAsia" w:ascii="1Times New Roman" w:hAnsi="1Times New Roman" w:eastAsia="方正仿宋_GBK" w:cs="1Times New Roman"/>
          <w:kern w:val="0"/>
          <w:sz w:val="32"/>
          <w:szCs w:val="32"/>
          <w:lang w:val="en-US" w:eastAsia="zh-CN"/>
        </w:rPr>
        <w:t>；</w:t>
      </w:r>
      <w:r>
        <w:rPr>
          <w:rFonts w:hint="default" w:ascii="1Times New Roman" w:hAnsi="1Times New Roman" w:eastAsia="方正仿宋_GBK" w:cs="1Times New Roman"/>
          <w:kern w:val="0"/>
          <w:sz w:val="32"/>
          <w:szCs w:val="32"/>
          <w:lang w:val="en-US" w:eastAsia="zh-CN"/>
        </w:rPr>
        <w:t>具有履行合同所必需的设备和专业技术能力</w:t>
      </w:r>
      <w:r>
        <w:rPr>
          <w:rFonts w:hint="eastAsia" w:ascii="1Times New Roman" w:hAnsi="1Times New Roman" w:eastAsia="方正仿宋_GBK" w:cs="1Times New Roman"/>
          <w:kern w:val="0"/>
          <w:sz w:val="32"/>
          <w:szCs w:val="32"/>
          <w:lang w:val="en-US" w:eastAsia="zh-CN"/>
        </w:rPr>
        <w:t>。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br w:type="textWrapping"/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default" w:ascii="1Times New Roman" w:hAnsi="1Times New Roman" w:eastAsia="方正仿宋_GBK" w:cs="1Times New Roman"/>
          <w:kern w:val="0"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具有良好的商业信誉和健全的财务会计制度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有依法缴纳税收和社会保障资金的良好记录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br w:type="textWrapping"/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default" w:ascii="1Times New Roman" w:hAnsi="1Times New Roman" w:eastAsia="方正仿宋_GBK" w:cs="1Times New Roman"/>
          <w:kern w:val="0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参加政府采购活动前三年内，在经营活动中没有重大违法记录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1Times New Roman" w:hAnsi="1Times New Roman" w:eastAsia="方正仿宋_GBK" w:cs="1Times New Roman"/>
          <w:kern w:val="0"/>
          <w:sz w:val="32"/>
          <w:szCs w:val="32"/>
          <w:lang w:val="en-US" w:eastAsia="zh-CN"/>
        </w:rPr>
        <w:t>4.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现场投标人员带上身份证原件备查。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1Times New Roman" w:hAnsi="1Times New Roman" w:eastAsia="方正仿宋_GBK" w:cs="1Times New Roman"/>
          <w:kern w:val="0"/>
          <w:sz w:val="32"/>
          <w:szCs w:val="32"/>
          <w:lang w:val="en-US" w:eastAsia="zh-CN"/>
        </w:rPr>
        <w:t>5</w:t>
      </w:r>
      <w:r>
        <w:rPr>
          <w:rFonts w:hint="default" w:ascii="1Times New Roman" w:hAnsi="1Times New Roman" w:eastAsia="方正仿宋_GBK" w:cs="1Times New Roman"/>
          <w:kern w:val="0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法律、行政法规规定的其他条件。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方正楷体_GBK" w:hAnsi="方正楷体_GBK" w:eastAsia="方正楷体_GBK" w:cs="方正楷体_GBK"/>
          <w:sz w:val="32"/>
          <w:szCs w:val="32"/>
          <w:lang w:val="en-US" w:eastAsia="zh-CN"/>
        </w:rPr>
        <w:t>无效标的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left="0" w:leftChars="0" w:firstLine="640" w:firstLineChars="200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1Times New Roman" w:hAnsi="1Times New Roman" w:eastAsia="方正仿宋_GBK" w:cs="1Times New Roman"/>
          <w:kern w:val="0"/>
          <w:sz w:val="32"/>
          <w:szCs w:val="32"/>
          <w:lang w:val="en-US" w:eastAsia="zh-CN"/>
        </w:rPr>
        <w:t>1</w:t>
      </w:r>
      <w:r>
        <w:rPr>
          <w:rFonts w:hint="default" w:ascii="1Times New Roman" w:hAnsi="1Times New Roman" w:eastAsia="方正仿宋_GBK" w:cs="1Times New Roman"/>
          <w:kern w:val="0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投标函附录未加盖企业印章的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left="0" w:leftChars="0" w:firstLine="640" w:firstLineChars="200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1Times New Roman" w:hAnsi="1Times New Roman" w:eastAsia="方正仿宋_GBK" w:cs="1Times New Roman"/>
          <w:kern w:val="0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未装袋密封者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left="0" w:leftChars="0" w:firstLine="640" w:firstLineChars="200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1Times New Roman" w:hAnsi="1Times New Roman" w:eastAsia="方正仿宋_GBK" w:cs="1Times New Roman"/>
          <w:kern w:val="0"/>
          <w:sz w:val="32"/>
          <w:szCs w:val="32"/>
          <w:lang w:val="en-US" w:eastAsia="zh-CN"/>
        </w:rPr>
        <w:t>3</w:t>
      </w:r>
      <w:r>
        <w:rPr>
          <w:rFonts w:hint="default" w:ascii="1Times New Roman" w:hAnsi="1Times New Roman" w:eastAsia="方正仿宋_GBK" w:cs="1Times New Roman"/>
          <w:kern w:val="0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投标质量达不到要求等级的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left="0" w:leftChars="0" w:firstLine="640" w:firstLineChars="200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1Times New Roman" w:hAnsi="1Times New Roman" w:eastAsia="方正仿宋_GBK" w:cs="1Times New Roman"/>
          <w:kern w:val="0"/>
          <w:sz w:val="32"/>
          <w:szCs w:val="32"/>
          <w:lang w:val="en-US" w:eastAsia="zh-CN"/>
        </w:rPr>
        <w:t>4.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投标报价超过招标控制价的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1Times New Roman" w:hAnsi="1Times New Roman" w:eastAsia="方正仿宋_GBK" w:cs="1Times New Roman"/>
          <w:kern w:val="0"/>
          <w:sz w:val="32"/>
          <w:szCs w:val="32"/>
          <w:lang w:val="en-US" w:eastAsia="zh-CN"/>
        </w:rPr>
        <w:t>5</w:t>
      </w:r>
      <w:r>
        <w:rPr>
          <w:rFonts w:hint="default" w:ascii="1Times New Roman" w:hAnsi="1Times New Roman" w:eastAsia="方正仿宋_GBK" w:cs="1Times New Roman"/>
          <w:kern w:val="0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投标文件附有招标人不能接受的条件;不符合招标文件中规定的其他实质性要求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1Times New Roman" w:hAnsi="1Times New Roman" w:eastAsia="方正仿宋_GBK" w:cs="1Times New Roman"/>
          <w:kern w:val="0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投标文件中未附投标人廉洁自律承诺书的。</w:t>
      </w:r>
    </w:p>
    <w:p>
      <w:pPr>
        <w:pStyle w:val="9"/>
        <w:spacing w:line="544" w:lineRule="exact"/>
        <w:jc w:val="both"/>
        <w:rPr>
          <w:rFonts w:ascii="Times New Roman" w:hAnsi="Times New Roman" w:eastAsia="方正黑体_GBK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三、</w:t>
      </w:r>
      <w:r>
        <w:rPr>
          <w:rFonts w:ascii="Times New Roman" w:hAnsi="Times New Roman" w:eastAsia="方正黑体_GBK" w:cs="Times New Roman"/>
          <w:color w:val="auto"/>
          <w:sz w:val="32"/>
          <w:szCs w:val="32"/>
        </w:rPr>
        <w:t>采购主要内容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bCs/>
          <w:color w:val="auto"/>
          <w:kern w:val="2"/>
          <w:sz w:val="32"/>
          <w:szCs w:val="32"/>
          <w:lang w:eastAsia="zh-CN"/>
        </w:rPr>
        <w:t>项目</w:t>
      </w:r>
      <w:r>
        <w:rPr>
          <w:rFonts w:hint="eastAsia" w:ascii="Times New Roman" w:hAnsi="Times New Roman" w:eastAsia="方正仿宋_GBK" w:cs="Times New Roman"/>
          <w:bCs/>
          <w:color w:val="auto"/>
          <w:kern w:val="2"/>
          <w:sz w:val="32"/>
          <w:szCs w:val="32"/>
          <w:lang w:val="en-US" w:eastAsia="zh-CN"/>
        </w:rPr>
        <w:t>基本情况</w:t>
      </w:r>
      <w:r>
        <w:rPr>
          <w:rFonts w:hint="eastAsia" w:ascii="Times New Roman" w:hAnsi="Times New Roman" w:eastAsia="方正仿宋_GBK" w:cs="Times New Roman"/>
          <w:bCs/>
          <w:color w:val="auto"/>
          <w:kern w:val="2"/>
          <w:sz w:val="32"/>
          <w:szCs w:val="32"/>
          <w:lang w:eastAsia="zh-CN"/>
        </w:rPr>
        <w:t>：</w:t>
      </w:r>
      <w:r>
        <w:rPr>
          <w:rFonts w:hint="default" w:ascii="1Times New Roman" w:hAnsi="1Times New Roman" w:eastAsia="方正仿宋_GBK" w:cs="1Times New Roman"/>
          <w:sz w:val="32"/>
          <w:szCs w:val="32"/>
          <w:lang w:val="en-US" w:eastAsia="zh-CN"/>
        </w:rPr>
        <w:t>位于新城明珠</w:t>
      </w:r>
      <w:r>
        <w:rPr>
          <w:rFonts w:hint="default" w:ascii="1Times New Roman" w:hAnsi="1Times New Roman" w:eastAsia="方正仿宋_GBK" w:cs="1Times New Roman"/>
          <w:kern w:val="0"/>
          <w:sz w:val="32"/>
          <w:szCs w:val="32"/>
          <w:lang w:val="en-US" w:eastAsia="zh-CN"/>
        </w:rPr>
        <w:t>230</w:t>
      </w:r>
      <w:r>
        <w:rPr>
          <w:rFonts w:hint="default" w:ascii="1Times New Roman" w:hAnsi="1Times New Roman" w:eastAsia="方正仿宋_GBK" w:cs="1Times New Roman"/>
          <w:sz w:val="32"/>
          <w:szCs w:val="32"/>
          <w:lang w:val="en-US" w:eastAsia="zh-CN"/>
        </w:rPr>
        <w:t>公交车站四周（松青路社区网格驿站处），毗邻秀水农贸市场，是连接秀水丽苑与新城明珠的重要交通节点与人流聚集点</w:t>
      </w:r>
      <w:r>
        <w:rPr>
          <w:rFonts w:hint="eastAsia" w:ascii="1Times New Roman" w:hAnsi="1Times New Roman" w:eastAsia="方正仿宋_GBK" w:cs="1Times New Roman"/>
          <w:sz w:val="32"/>
          <w:szCs w:val="32"/>
          <w:lang w:val="en-US" w:eastAsia="zh-CN"/>
        </w:rPr>
        <w:t>，</w:t>
      </w:r>
      <w:r>
        <w:rPr>
          <w:rFonts w:hint="eastAsia" w:eastAsia="方正仿宋_GBK"/>
          <w:sz w:val="32"/>
          <w:szCs w:val="32"/>
          <w:lang w:val="en-US" w:eastAsia="zh-CN"/>
        </w:rPr>
        <w:t>面积约</w:t>
      </w:r>
      <w:r>
        <w:rPr>
          <w:rFonts w:hint="eastAsia" w:ascii="1Times New Roman" w:hAnsi="1Times New Roman" w:eastAsia="方正仿宋_GBK" w:cs="1Times New Roman"/>
          <w:kern w:val="0"/>
          <w:sz w:val="32"/>
          <w:szCs w:val="32"/>
          <w:lang w:val="en-US" w:eastAsia="zh-CN"/>
        </w:rPr>
        <w:t>1500</w:t>
      </w:r>
      <w:r>
        <w:rPr>
          <w:rFonts w:hint="eastAsia" w:eastAsia="方正仿宋_GBK"/>
          <w:sz w:val="32"/>
          <w:szCs w:val="32"/>
          <w:lang w:val="en-US" w:eastAsia="zh-CN"/>
        </w:rPr>
        <w:t>平方米。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合同金额限价</w:t>
      </w:r>
      <w:r>
        <w:rPr>
          <w:rFonts w:hint="eastAsia" w:ascii="1Times New Roman" w:hAnsi="1Times New Roman" w:eastAsia="方正仿宋_GBK" w:cs="1Times New Roman"/>
          <w:kern w:val="0"/>
          <w:sz w:val="32"/>
          <w:szCs w:val="32"/>
          <w:lang w:val="en-US" w:eastAsia="zh-CN"/>
        </w:rPr>
        <w:t>30</w:t>
      </w:r>
      <w:r>
        <w:rPr>
          <w:rFonts w:hint="default" w:ascii="1Times New Roman" w:hAnsi="1Times New Roman" w:eastAsia="方正仿宋_GBK" w:cs="1Times New Roman"/>
          <w:kern w:val="0"/>
          <w:sz w:val="32"/>
          <w:szCs w:val="32"/>
          <w:lang w:val="en-US" w:eastAsia="zh-CN"/>
        </w:rPr>
        <w:t>000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元（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叁万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元整）。</w:t>
      </w:r>
    </w:p>
    <w:p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464175" cy="3648075"/>
            <wp:effectExtent l="0" t="0" r="317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641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autoSpaceDE w:val="0"/>
        <w:spacing w:beforeAutospacing="0" w:afterAutospacing="0" w:line="544" w:lineRule="exact"/>
        <w:ind w:firstLine="640" w:firstLineChars="200"/>
        <w:jc w:val="both"/>
        <w:rPr>
          <w:rFonts w:hint="default" w:eastAsia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Cs/>
          <w:color w:val="auto"/>
          <w:kern w:val="2"/>
          <w:sz w:val="32"/>
          <w:szCs w:val="32"/>
          <w:lang w:eastAsia="zh-CN"/>
        </w:rPr>
        <w:t>本采购项目为：</w:t>
      </w:r>
      <w:r>
        <w:rPr>
          <w:rFonts w:hint="default" w:eastAsia="方正仿宋_GBK"/>
          <w:sz w:val="32"/>
          <w:szCs w:val="32"/>
          <w:lang w:val="en-US" w:eastAsia="zh-CN"/>
        </w:rPr>
        <w:t>秀水农贸市场路口品质提升工程</w:t>
      </w:r>
      <w:r>
        <w:rPr>
          <w:rFonts w:hint="eastAsia" w:eastAsia="方正仿宋_GBK"/>
          <w:sz w:val="32"/>
          <w:szCs w:val="32"/>
          <w:lang w:val="en-US" w:eastAsia="zh-CN"/>
        </w:rPr>
        <w:t>设计</w:t>
      </w:r>
      <w:r>
        <w:rPr>
          <w:rFonts w:hint="eastAsia" w:ascii="Times New Roman" w:hAnsi="Times New Roman" w:eastAsia="方正仿宋_GBK" w:cs="Times New Roman"/>
          <w:bCs/>
          <w:color w:val="auto"/>
          <w:kern w:val="2"/>
          <w:sz w:val="32"/>
          <w:szCs w:val="32"/>
          <w:lang w:val="en-US" w:eastAsia="zh-CN"/>
        </w:rPr>
        <w:t>方案，方案应</w:t>
      </w:r>
      <w:r>
        <w:rPr>
          <w:rFonts w:hint="eastAsia" w:eastAsia="方正仿宋_GBK"/>
          <w:sz w:val="32"/>
          <w:szCs w:val="32"/>
          <w:lang w:val="en-US" w:eastAsia="zh-CN"/>
        </w:rPr>
        <w:t>与</w:t>
      </w:r>
      <w:r>
        <w:rPr>
          <w:rFonts w:hint="eastAsia" w:ascii="Times New Roman" w:hAnsi="Times New Roman" w:eastAsia="方正仿宋_GBK" w:cs="Times New Roman"/>
          <w:snapToGrid/>
          <w:color w:val="0C0C0C"/>
          <w:kern w:val="2"/>
          <w:sz w:val="32"/>
          <w:szCs w:val="40"/>
          <w:lang w:val="en-US" w:eastAsia="zh-CN"/>
        </w:rPr>
        <w:t>“推窗见绿、转角遇美”</w:t>
      </w:r>
      <w:r>
        <w:rPr>
          <w:rFonts w:hint="eastAsia" w:eastAsia="方正仿宋_GBK"/>
          <w:sz w:val="32"/>
          <w:szCs w:val="32"/>
          <w:lang w:val="en-US" w:eastAsia="zh-CN"/>
        </w:rPr>
        <w:t>在理念、思路、体系和项目等方面相统一。</w:t>
      </w:r>
    </w:p>
    <w:p>
      <w:pPr>
        <w:pStyle w:val="9"/>
        <w:spacing w:line="544" w:lineRule="exact"/>
        <w:jc w:val="both"/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四、竞标时间和地点</w:t>
      </w:r>
    </w:p>
    <w:p>
      <w:pPr>
        <w:pStyle w:val="9"/>
        <w:spacing w:line="544" w:lineRule="exact"/>
        <w:ind w:firstLine="640"/>
        <w:jc w:val="both"/>
        <w:rPr>
          <w:rFonts w:hint="eastAsia" w:ascii="方正楷体_GBK" w:hAnsi="方正楷体_GBK" w:eastAsia="方正楷体_GBK" w:cs="方正楷体_GBK"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方正楷体_GBK" w:hAnsi="方正楷体_GBK" w:eastAsia="方正楷体_GBK" w:cs="方正楷体_GBK"/>
          <w:bCs/>
          <w:color w:val="auto"/>
          <w:kern w:val="2"/>
          <w:sz w:val="32"/>
          <w:szCs w:val="32"/>
          <w:lang w:val="en-US" w:eastAsia="zh-CN" w:bidi="ar-SA"/>
        </w:rPr>
        <w:t>（一）竞标时间</w:t>
      </w:r>
    </w:p>
    <w:p>
      <w:pPr>
        <w:pStyle w:val="9"/>
        <w:spacing w:line="544" w:lineRule="exact"/>
        <w:ind w:firstLine="640"/>
        <w:jc w:val="both"/>
        <w:rPr>
          <w:rFonts w:hint="default" w:ascii="Times New Roman" w:hAnsi="Times New Roman" w:eastAsia="方正仿宋_GBK" w:cs="Times New Roman"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1Times New Roman" w:hAnsi="1Times New Roman" w:eastAsia="方正仿宋_GBK" w:cs="1Times New Roman"/>
          <w:color w:val="auto"/>
          <w:kern w:val="0"/>
          <w:sz w:val="32"/>
          <w:szCs w:val="32"/>
          <w:lang w:val="en-US" w:eastAsia="zh-CN" w:bidi="ar-SA"/>
        </w:rPr>
        <w:t>2025</w:t>
      </w:r>
      <w:r>
        <w:rPr>
          <w:rFonts w:hint="eastAsia" w:ascii="Times New Roman" w:hAnsi="Times New Roman" w:eastAsia="方正仿宋_GBK" w:cs="Times New Roman"/>
          <w:bCs/>
          <w:color w:val="auto"/>
          <w:kern w:val="2"/>
          <w:sz w:val="32"/>
          <w:szCs w:val="32"/>
          <w:lang w:val="en-US" w:eastAsia="zh-CN" w:bidi="ar-SA"/>
        </w:rPr>
        <w:t>年</w:t>
      </w:r>
      <w:r>
        <w:rPr>
          <w:rFonts w:hint="default" w:ascii="1Times New Roman" w:hAnsi="1Times New Roman" w:eastAsia="方正仿宋_GBK" w:cs="1Times New Roman"/>
          <w:color w:val="auto"/>
          <w:kern w:val="0"/>
          <w:sz w:val="32"/>
          <w:szCs w:val="32"/>
          <w:lang w:val="en-US" w:eastAsia="zh-CN" w:bidi="ar-SA"/>
        </w:rPr>
        <w:t>11</w:t>
      </w:r>
      <w:r>
        <w:rPr>
          <w:rFonts w:hint="eastAsia" w:ascii="Times New Roman" w:hAnsi="Times New Roman" w:eastAsia="方正仿宋_GBK" w:cs="Times New Roman"/>
          <w:bCs/>
          <w:color w:val="auto"/>
          <w:kern w:val="2"/>
          <w:sz w:val="32"/>
          <w:szCs w:val="32"/>
          <w:lang w:val="en-US" w:eastAsia="zh-CN" w:bidi="ar-SA"/>
        </w:rPr>
        <w:t>月</w:t>
      </w:r>
      <w:r>
        <w:rPr>
          <w:rFonts w:hint="default" w:ascii="1Times New Roman" w:hAnsi="1Times New Roman" w:eastAsia="方正仿宋_GBK" w:cs="1Times New Roman"/>
          <w:color w:val="auto"/>
          <w:kern w:val="0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方正仿宋_GBK" w:cs="Times New Roman"/>
          <w:bCs/>
          <w:color w:val="auto"/>
          <w:kern w:val="2"/>
          <w:sz w:val="32"/>
          <w:szCs w:val="32"/>
          <w:lang w:val="en-US" w:eastAsia="zh-CN" w:bidi="ar-SA"/>
        </w:rPr>
        <w:t>日</w:t>
      </w:r>
      <w:r>
        <w:rPr>
          <w:rFonts w:hint="default" w:ascii="1Times New Roman" w:hAnsi="1Times New Roman" w:eastAsia="方正仿宋_GBK" w:cs="1Times New Roman"/>
          <w:color w:val="auto"/>
          <w:kern w:val="0"/>
          <w:sz w:val="32"/>
          <w:szCs w:val="32"/>
          <w:lang w:val="en-US" w:eastAsia="zh-CN" w:bidi="ar-SA"/>
        </w:rPr>
        <w:t>10：00</w:t>
      </w:r>
    </w:p>
    <w:p>
      <w:pPr>
        <w:pStyle w:val="9"/>
        <w:spacing w:line="544" w:lineRule="exact"/>
        <w:ind w:firstLine="640"/>
        <w:jc w:val="both"/>
        <w:rPr>
          <w:rFonts w:hint="eastAsia" w:ascii="方正楷体_GBK" w:hAnsi="方正楷体_GBK" w:eastAsia="方正楷体_GBK" w:cs="方正楷体_GBK"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方正楷体_GBK" w:hAnsi="方正楷体_GBK" w:eastAsia="方正楷体_GBK" w:cs="方正楷体_GBK"/>
          <w:bCs/>
          <w:color w:val="auto"/>
          <w:kern w:val="2"/>
          <w:sz w:val="32"/>
          <w:szCs w:val="32"/>
          <w:lang w:val="en-US" w:eastAsia="zh-CN" w:bidi="ar-SA"/>
        </w:rPr>
        <w:t>（二）竞标地点</w:t>
      </w:r>
    </w:p>
    <w:p>
      <w:pPr>
        <w:pStyle w:val="9"/>
        <w:spacing w:line="544" w:lineRule="exact"/>
        <w:ind w:firstLine="640"/>
        <w:jc w:val="both"/>
        <w:rPr>
          <w:rFonts w:hint="default" w:ascii="Times New Roman" w:hAnsi="Times New Roman" w:eastAsia="方正仿宋_GBK" w:cs="Times New Roman"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b/>
          <w:bCs/>
          <w:i w:val="0"/>
          <w:iCs w:val="0"/>
          <w:caps w:val="0"/>
          <w:color w:val="171A1D"/>
          <w:spacing w:val="0"/>
          <w:sz w:val="32"/>
          <w:szCs w:val="32"/>
          <w:shd w:val="clear" w:color="auto" w:fill="auto"/>
          <w:lang w:val="en-US" w:eastAsia="zh-CN"/>
        </w:rPr>
        <w:t>春晖路街道党工委会议室</w:t>
      </w:r>
      <w:r>
        <w:rPr>
          <w:rFonts w:hint="eastAsia" w:ascii="Times New Roman" w:hAnsi="Times New Roman" w:eastAsia="方正仿宋_GBK" w:cs="Times New Roman"/>
          <w:b/>
          <w:bCs/>
          <w:i w:val="0"/>
          <w:iCs w:val="0"/>
          <w:caps w:val="0"/>
          <w:color w:val="171A1D"/>
          <w:spacing w:val="0"/>
          <w:sz w:val="32"/>
          <w:szCs w:val="32"/>
          <w:shd w:val="clear" w:color="auto" w:fill="auto"/>
          <w:lang w:val="en-US" w:eastAsia="zh-CN"/>
        </w:rPr>
        <w:t>（</w:t>
      </w:r>
      <w:r>
        <w:rPr>
          <w:rFonts w:hint="default" w:ascii="1Times New Roman" w:hAnsi="1Times New Roman" w:eastAsia="方正仿宋_GBK" w:cs="1Times New Roman"/>
          <w:b/>
          <w:bCs/>
          <w:color w:val="auto"/>
          <w:kern w:val="0"/>
          <w:sz w:val="32"/>
          <w:szCs w:val="32"/>
          <w:lang w:val="en-US" w:eastAsia="zh-CN" w:bidi="ar-SA"/>
        </w:rPr>
        <w:t>111</w:t>
      </w:r>
      <w:r>
        <w:rPr>
          <w:rFonts w:hint="eastAsia" w:ascii="Times New Roman" w:hAnsi="Times New Roman" w:eastAsia="方正仿宋_GBK" w:cs="Times New Roman"/>
          <w:b/>
          <w:bCs/>
          <w:i w:val="0"/>
          <w:iCs w:val="0"/>
          <w:caps w:val="0"/>
          <w:color w:val="171A1D"/>
          <w:spacing w:val="0"/>
          <w:sz w:val="32"/>
          <w:szCs w:val="32"/>
          <w:shd w:val="clear" w:color="auto" w:fill="auto"/>
          <w:lang w:val="en-US" w:eastAsia="zh-CN"/>
        </w:rPr>
        <w:t>会议室）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textAlignment w:val="auto"/>
        <w:rPr>
          <w:rFonts w:hint="default" w:ascii="方正黑体_GBK" w:hAnsi="方正黑体_GBK" w:eastAsia="方正黑体_GBK" w:cs="方正黑体_GBK"/>
          <w:sz w:val="32"/>
          <w:szCs w:val="32"/>
          <w:lang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五、</w:t>
      </w:r>
      <w:r>
        <w:rPr>
          <w:rFonts w:hint="default" w:ascii="方正黑体_GBK" w:hAnsi="方正黑体_GBK" w:eastAsia="方正黑体_GBK" w:cs="方正黑体_GBK"/>
          <w:sz w:val="32"/>
          <w:szCs w:val="32"/>
          <w:lang w:eastAsia="zh-CN"/>
        </w:rPr>
        <w:t>评标方法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left="0" w:leftChars="0" w:firstLine="640" w:firstLineChars="200"/>
        <w:textAlignment w:val="auto"/>
        <w:rPr>
          <w:rFonts w:hint="default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default" w:ascii="方正楷体_GBK" w:hAnsi="方正楷体_GBK" w:eastAsia="方正楷体_GBK" w:cs="方正楷体_GBK"/>
          <w:sz w:val="32"/>
          <w:szCs w:val="32"/>
          <w:lang w:val="en-US" w:eastAsia="zh-CN"/>
        </w:rPr>
        <w:t>综合评分法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投标人的最终得分以全部评委打分的算术平均值为准，作为该投标人的最终得分。按最终得分由高至低排出各有效投标人的名次，出现最终得分并列时，按投标报价由低到高顺序排列。得分且投标报价相同的，按技术指标优劣顺序排列。按最终得分从高到低推荐两名中标候选人。计分过程精确到小数点后三位，总得分精确到小数点后两位，两位以后四舍五入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left="0" w:leftChars="0" w:firstLine="640" w:firstLineChars="200"/>
        <w:textAlignment w:val="auto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其他事项</w:t>
      </w:r>
    </w:p>
    <w:p>
      <w:pPr>
        <w:pStyle w:val="9"/>
        <w:spacing w:line="544" w:lineRule="exact"/>
        <w:ind w:firstLine="640"/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在评标过程中，凡遇到招标文件中无界定或界定不清、前后不一致使评委会成员意见有分歧且又难于协商一致的问题，均由评委会予以表决，获半数以上同意的即为通过，未获半数同意的即为否决。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left="0" w:leftChars="0" w:firstLine="0" w:firstLineChars="0"/>
        <w:textAlignment w:val="auto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eastAsia="zh-CN"/>
        </w:rPr>
        <w:t>六、</w:t>
      </w:r>
      <w:r>
        <w:rPr>
          <w:rFonts w:hint="eastAsia" w:ascii="方正黑体_GBK" w:hAnsi="方正黑体_GBK" w:eastAsia="方正黑体_GBK" w:cs="方正黑体_GBK"/>
          <w:sz w:val="32"/>
          <w:szCs w:val="32"/>
        </w:rPr>
        <w:t>评分细则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leftChars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评分标准(采用百分制综合评分法)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评标委员会按照《中华人民共和国政府采购法》和《评标委员会和评标办法暂行规定》，结合本项目具体情况，按下列标准打分: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 w:firstLineChars="200"/>
        <w:textAlignment w:val="auto"/>
        <w:rPr>
          <w:rFonts w:hint="default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default" w:ascii="方正楷体_GBK" w:hAnsi="方正楷体_GBK" w:eastAsia="方正楷体_GBK" w:cs="方正楷体_GBK"/>
          <w:sz w:val="32"/>
          <w:szCs w:val="32"/>
          <w:lang w:val="en-US" w:eastAsia="zh-CN"/>
        </w:rPr>
        <w:t>（一）报价评定</w:t>
      </w: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权重</w:t>
      </w:r>
      <w:r>
        <w:rPr>
          <w:rFonts w:hint="default" w:ascii="方正楷体_GBK" w:hAnsi="方正楷体_GBK" w:eastAsia="方正楷体_GBK" w:cs="方正楷体_GBK"/>
          <w:sz w:val="32"/>
          <w:szCs w:val="32"/>
          <w:lang w:val="en-US" w:eastAsia="zh-CN"/>
        </w:rPr>
        <w:t>值</w:t>
      </w: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为</w:t>
      </w:r>
      <w:r>
        <w:rPr>
          <w:rFonts w:hint="eastAsia" w:ascii="1Times New Roman" w:hAnsi="1Times New Roman" w:eastAsia="方正仿宋_GBK" w:cs="1Times New Roman"/>
          <w:color w:val="auto"/>
          <w:kern w:val="0"/>
          <w:sz w:val="32"/>
          <w:szCs w:val="32"/>
          <w:lang w:val="en-US" w:eastAsia="zh-CN" w:bidi="ar-SA"/>
        </w:rPr>
        <w:t>30</w:t>
      </w: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%，总分</w:t>
      </w:r>
      <w:r>
        <w:rPr>
          <w:rFonts w:hint="eastAsia" w:ascii="1Times New Roman" w:hAnsi="1Times New Roman" w:eastAsia="方正仿宋_GBK" w:cs="1Times New Roman"/>
          <w:color w:val="auto"/>
          <w:kern w:val="0"/>
          <w:sz w:val="32"/>
          <w:szCs w:val="32"/>
          <w:lang w:val="en-US" w:eastAsia="zh-CN" w:bidi="ar-SA"/>
        </w:rPr>
        <w:t>100</w:t>
      </w: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所有不超出“招标控制价”且符合招标文件规定的投标报价均为有效报价。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最低报价为基准价</w:t>
      </w: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，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其价格为满分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其他投标人的价格分统一按照下列公示计算：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投标报价得分=（评标基准价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/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投标报价）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×</w:t>
      </w:r>
      <w:r>
        <w:rPr>
          <w:rFonts w:hint="default" w:ascii="1Times New Roman" w:hAnsi="1Times New Roman" w:eastAsia="方正仿宋_GBK" w:cs="1Times New Roman"/>
          <w:color w:val="auto"/>
          <w:kern w:val="0"/>
          <w:sz w:val="32"/>
          <w:szCs w:val="32"/>
          <w:lang w:val="en-US" w:eastAsia="zh-CN" w:bidi="ar-SA"/>
        </w:rPr>
        <w:t>100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 w:firstLineChars="200"/>
        <w:textAlignment w:val="auto"/>
        <w:rPr>
          <w:rFonts w:hint="default" w:ascii="方正楷体_GBK" w:hAnsi="方正楷体_GBK" w:eastAsia="方正楷体_GBK" w:cs="方正楷体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 w:firstLineChars="200"/>
        <w:textAlignment w:val="auto"/>
        <w:rPr>
          <w:rFonts w:hint="default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default" w:ascii="方正楷体_GBK" w:hAnsi="方正楷体_GBK" w:eastAsia="方正楷体_GBK" w:cs="方正楷体_GBK"/>
          <w:sz w:val="32"/>
          <w:szCs w:val="32"/>
          <w:lang w:val="en-US" w:eastAsia="zh-CN"/>
        </w:rPr>
        <w:t>（二）</w:t>
      </w: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设计</w:t>
      </w:r>
      <w:r>
        <w:rPr>
          <w:rFonts w:hint="default" w:ascii="方正楷体_GBK" w:hAnsi="方正楷体_GBK" w:eastAsia="方正楷体_GBK" w:cs="方正楷体_GBK"/>
          <w:sz w:val="32"/>
          <w:szCs w:val="32"/>
          <w:lang w:val="en-US" w:eastAsia="zh-CN"/>
        </w:rPr>
        <w:t>方案</w:t>
      </w: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权重</w:t>
      </w:r>
      <w:r>
        <w:rPr>
          <w:rFonts w:hint="default" w:ascii="方正楷体_GBK" w:hAnsi="方正楷体_GBK" w:eastAsia="方正楷体_GBK" w:cs="方正楷体_GBK"/>
          <w:sz w:val="32"/>
          <w:szCs w:val="32"/>
          <w:lang w:val="en-US" w:eastAsia="zh-CN"/>
        </w:rPr>
        <w:t>值</w:t>
      </w: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为</w:t>
      </w:r>
      <w:r>
        <w:rPr>
          <w:rFonts w:hint="eastAsia" w:ascii="1Times New Roman" w:hAnsi="1Times New Roman" w:eastAsia="方正仿宋_GBK" w:cs="1Times New Roman"/>
          <w:color w:val="auto"/>
          <w:kern w:val="0"/>
          <w:sz w:val="32"/>
          <w:szCs w:val="32"/>
          <w:lang w:val="en-US" w:eastAsia="zh-CN" w:bidi="ar-SA"/>
        </w:rPr>
        <w:t>7</w:t>
      </w:r>
      <w:r>
        <w:rPr>
          <w:rFonts w:hint="default" w:ascii="1Times New Roman" w:hAnsi="1Times New Roman" w:eastAsia="方正仿宋_GBK" w:cs="1Times New Roman"/>
          <w:color w:val="auto"/>
          <w:kern w:val="0"/>
          <w:sz w:val="32"/>
          <w:szCs w:val="32"/>
          <w:lang w:val="en-US" w:eastAsia="zh-CN" w:bidi="ar-SA"/>
        </w:rPr>
        <w:t>0</w:t>
      </w: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%，总分</w:t>
      </w:r>
      <w:r>
        <w:rPr>
          <w:rFonts w:hint="eastAsia" w:ascii="1Times New Roman" w:hAnsi="1Times New Roman" w:eastAsia="方正仿宋_GBK" w:cs="1Times New Roman"/>
          <w:color w:val="auto"/>
          <w:kern w:val="0"/>
          <w:sz w:val="32"/>
          <w:szCs w:val="32"/>
          <w:lang w:val="en-US" w:eastAsia="zh-CN" w:bidi="ar-SA"/>
        </w:rPr>
        <w:t>100</w:t>
      </w: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leftChars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投标人针对本项目编制方案，按照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设计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方案的可操作性、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全面性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、安全性、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艺术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性、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主题鲜明性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、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与</w:t>
      </w:r>
      <w:r>
        <w:rPr>
          <w:rFonts w:hint="eastAsia" w:ascii="Times New Roman" w:hAnsi="Times New Roman" w:eastAsia="方正仿宋_GBK" w:cs="Times New Roman"/>
          <w:snapToGrid/>
          <w:color w:val="0C0C0C"/>
          <w:kern w:val="2"/>
          <w:sz w:val="32"/>
          <w:szCs w:val="40"/>
          <w:lang w:val="en-US" w:eastAsia="zh-CN"/>
        </w:rPr>
        <w:t>“推窗见绿、转角遇美”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建设协调一致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等进行评分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4"/>
        <w:gridCol w:w="3280"/>
        <w:gridCol w:w="2137"/>
        <w:gridCol w:w="21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30" w:type="dxa"/>
            <w:gridSpan w:val="4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32"/>
                <w:szCs w:val="32"/>
                <w:vertAlign w:val="baseline"/>
                <w:lang w:val="en-US" w:eastAsia="zh-CN"/>
              </w:rPr>
              <w:t>设计方案得分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eastAsia" w:ascii="方正楷体_GBK" w:hAnsi="方正楷体_GBK" w:eastAsia="方正楷体_GBK" w:cs="方正楷体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32"/>
                <w:szCs w:val="32"/>
                <w:vertAlign w:val="baseline"/>
                <w:lang w:val="en-US" w:eastAsia="zh-CN"/>
              </w:rPr>
              <w:t>序号</w:t>
            </w:r>
          </w:p>
        </w:tc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eastAsia" w:ascii="方正楷体_GBK" w:hAnsi="方正楷体_GBK" w:eastAsia="方正楷体_GBK" w:cs="方正楷体_GBK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32"/>
                <w:szCs w:val="32"/>
                <w:vertAlign w:val="baseline"/>
                <w:lang w:val="en-US" w:eastAsia="zh-CN"/>
              </w:rPr>
              <w:t>项目</w:t>
            </w:r>
          </w:p>
        </w:tc>
        <w:tc>
          <w:tcPr>
            <w:tcW w:w="230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ind w:left="0" w:leftChars="0" w:firstLine="0" w:firstLineChars="0"/>
              <w:jc w:val="center"/>
              <w:textAlignment w:val="auto"/>
              <w:rPr>
                <w:rFonts w:hint="eastAsia" w:ascii="方正楷体_GBK" w:hAnsi="方正楷体_GBK" w:eastAsia="方正楷体_GBK" w:cs="方正楷体_GBK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方正楷体_GBK" w:hAnsi="方正楷体_GBK" w:eastAsia="方正楷体_GBK" w:cs="方正楷体_GBK"/>
                <w:kern w:val="2"/>
                <w:sz w:val="32"/>
                <w:szCs w:val="32"/>
                <w:vertAlign w:val="baseline"/>
                <w:lang w:val="en-US" w:eastAsia="zh-CN" w:bidi="ar-SA"/>
              </w:rPr>
              <w:t>分值</w:t>
            </w:r>
          </w:p>
        </w:tc>
        <w:tc>
          <w:tcPr>
            <w:tcW w:w="230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ind w:left="0" w:leftChars="0" w:firstLine="0" w:firstLineChars="0"/>
              <w:jc w:val="center"/>
              <w:textAlignment w:val="auto"/>
              <w:rPr>
                <w:rFonts w:hint="eastAsia" w:ascii="方正楷体_GBK" w:hAnsi="方正楷体_GBK" w:eastAsia="方正楷体_GBK" w:cs="方正楷体_GBK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方正楷体_GBK" w:hAnsi="方正楷体_GBK" w:eastAsia="方正楷体_GBK" w:cs="方正楷体_GBK"/>
                <w:sz w:val="32"/>
                <w:szCs w:val="32"/>
                <w:vertAlign w:val="baseline"/>
                <w:lang w:val="en-US" w:eastAsia="zh-CN"/>
              </w:rPr>
              <w:t>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default" w:ascii="1Times New Roman" w:hAnsi="1Times New Roman" w:eastAsia="方正仿宋_GBK" w:cs="1Times New Roman"/>
                <w:color w:val="auto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1Times New Roman" w:hAnsi="1Times New Roman" w:eastAsia="方正仿宋_GBK" w:cs="1Times New Roman"/>
                <w:color w:val="auto"/>
                <w:kern w:val="0"/>
                <w:sz w:val="32"/>
                <w:szCs w:val="32"/>
                <w:lang w:val="en-US" w:eastAsia="zh-CN" w:bidi="ar-SA"/>
              </w:rPr>
              <w:t>1</w:t>
            </w:r>
          </w:p>
        </w:tc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  <w:vertAlign w:val="baseline"/>
                <w:lang w:val="en-US" w:eastAsia="zh-CN"/>
              </w:rPr>
              <w:t>设计方案可操作性</w:t>
            </w:r>
          </w:p>
        </w:tc>
        <w:tc>
          <w:tcPr>
            <w:tcW w:w="2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1Times New Roman" w:hAnsi="1Times New Roman" w:eastAsia="方正仿宋_GBK" w:cs="1Times New Roman"/>
                <w:color w:val="auto"/>
                <w:kern w:val="0"/>
                <w:sz w:val="32"/>
                <w:szCs w:val="32"/>
                <w:lang w:val="en-US" w:eastAsia="zh-CN" w:bidi="ar-SA"/>
              </w:rPr>
              <w:t>10</w:t>
            </w:r>
          </w:p>
        </w:tc>
        <w:tc>
          <w:tcPr>
            <w:tcW w:w="2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eastAsia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default" w:ascii="1Times New Roman" w:hAnsi="1Times New Roman" w:eastAsia="方正仿宋_GBK" w:cs="1Times New Roman"/>
                <w:color w:val="auto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1Times New Roman" w:hAnsi="1Times New Roman" w:eastAsia="方正仿宋_GBK" w:cs="1Times New Roman"/>
                <w:color w:val="auto"/>
                <w:kern w:val="0"/>
                <w:sz w:val="32"/>
                <w:szCs w:val="32"/>
                <w:lang w:val="en-US" w:eastAsia="zh-CN" w:bidi="ar-SA"/>
              </w:rPr>
              <w:t>2</w:t>
            </w:r>
          </w:p>
        </w:tc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  <w:vertAlign w:val="baseline"/>
                <w:lang w:val="en-US" w:eastAsia="zh-CN"/>
              </w:rPr>
              <w:t>设计方案</w:t>
            </w:r>
            <w:r>
              <w:rPr>
                <w:rFonts w:hint="eastAsia" w:ascii="Times New Roman" w:hAnsi="Times New Roman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全面</w:t>
            </w:r>
            <w:r>
              <w:rPr>
                <w:rFonts w:hint="eastAsia" w:ascii="Times New Roman" w:hAnsi="Times New Roman" w:cs="Times New Roman"/>
                <w:sz w:val="28"/>
                <w:szCs w:val="28"/>
                <w:vertAlign w:val="baseline"/>
                <w:lang w:val="en-US" w:eastAsia="zh-CN"/>
              </w:rPr>
              <w:t>性</w:t>
            </w:r>
          </w:p>
        </w:tc>
        <w:tc>
          <w:tcPr>
            <w:tcW w:w="2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default" w:ascii="1Times New Roman" w:hAnsi="1Times New Roman" w:eastAsia="方正仿宋_GBK" w:cs="1Times New Roman"/>
                <w:color w:val="auto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1Times New Roman" w:hAnsi="1Times New Roman" w:eastAsia="方正仿宋_GBK" w:cs="1Times New Roman"/>
                <w:color w:val="auto"/>
                <w:kern w:val="0"/>
                <w:sz w:val="32"/>
                <w:szCs w:val="32"/>
                <w:lang w:val="en-US" w:eastAsia="zh-CN" w:bidi="ar-SA"/>
              </w:rPr>
              <w:t>10</w:t>
            </w:r>
          </w:p>
        </w:tc>
        <w:tc>
          <w:tcPr>
            <w:tcW w:w="2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eastAsia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default" w:ascii="1Times New Roman" w:hAnsi="1Times New Roman" w:eastAsia="方正仿宋_GBK" w:cs="1Times New Roman"/>
                <w:color w:val="auto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1Times New Roman" w:hAnsi="1Times New Roman" w:eastAsia="方正仿宋_GBK" w:cs="1Times New Roman"/>
                <w:color w:val="auto"/>
                <w:kern w:val="0"/>
                <w:sz w:val="32"/>
                <w:szCs w:val="32"/>
                <w:lang w:val="en-US" w:eastAsia="zh-CN" w:bidi="ar-SA"/>
              </w:rPr>
              <w:t>3</w:t>
            </w:r>
          </w:p>
        </w:tc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  <w:vertAlign w:val="baseline"/>
                <w:lang w:val="en-US" w:eastAsia="zh-CN"/>
              </w:rPr>
              <w:t>设计方案安全性</w:t>
            </w:r>
          </w:p>
        </w:tc>
        <w:tc>
          <w:tcPr>
            <w:tcW w:w="2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default" w:ascii="1Times New Roman" w:hAnsi="1Times New Roman" w:eastAsia="方正仿宋_GBK" w:cs="1Times New Roman"/>
                <w:color w:val="auto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1Times New Roman" w:hAnsi="1Times New Roman" w:eastAsia="方正仿宋_GBK" w:cs="1Times New Roman"/>
                <w:color w:val="auto"/>
                <w:kern w:val="0"/>
                <w:sz w:val="32"/>
                <w:szCs w:val="32"/>
                <w:lang w:val="en-US" w:eastAsia="zh-CN" w:bidi="ar-SA"/>
              </w:rPr>
              <w:t>20</w:t>
            </w:r>
          </w:p>
        </w:tc>
        <w:tc>
          <w:tcPr>
            <w:tcW w:w="2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eastAsia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default" w:ascii="1Times New Roman" w:hAnsi="1Times New Roman" w:eastAsia="方正仿宋_GBK" w:cs="1Times New Roman"/>
                <w:color w:val="auto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1Times New Roman" w:hAnsi="1Times New Roman" w:eastAsia="方正仿宋_GBK" w:cs="1Times New Roman"/>
                <w:color w:val="auto"/>
                <w:kern w:val="0"/>
                <w:sz w:val="32"/>
                <w:szCs w:val="32"/>
                <w:lang w:val="en-US" w:eastAsia="zh-CN" w:bidi="ar-SA"/>
              </w:rPr>
              <w:t>4</w:t>
            </w:r>
          </w:p>
        </w:tc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  <w:vertAlign w:val="baseline"/>
                <w:lang w:val="en-US" w:eastAsia="zh-CN"/>
              </w:rPr>
              <w:t>设计方案艺术性</w:t>
            </w:r>
          </w:p>
        </w:tc>
        <w:tc>
          <w:tcPr>
            <w:tcW w:w="2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default" w:ascii="1Times New Roman" w:hAnsi="1Times New Roman" w:eastAsia="方正仿宋_GBK" w:cs="1Times New Roman"/>
                <w:color w:val="auto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1Times New Roman" w:hAnsi="1Times New Roman" w:eastAsia="方正仿宋_GBK" w:cs="1Times New Roman"/>
                <w:color w:val="auto"/>
                <w:kern w:val="0"/>
                <w:sz w:val="32"/>
                <w:szCs w:val="32"/>
                <w:lang w:val="en-US" w:eastAsia="zh-CN" w:bidi="ar-SA"/>
              </w:rPr>
              <w:t>20</w:t>
            </w:r>
          </w:p>
        </w:tc>
        <w:tc>
          <w:tcPr>
            <w:tcW w:w="2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eastAsia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default" w:ascii="1Times New Roman" w:hAnsi="1Times New Roman" w:eastAsia="方正仿宋_GBK" w:cs="1Times New Roman"/>
                <w:color w:val="auto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1Times New Roman" w:hAnsi="1Times New Roman" w:eastAsia="方正仿宋_GBK" w:cs="1Times New Roman"/>
                <w:color w:val="auto"/>
                <w:kern w:val="0"/>
                <w:sz w:val="32"/>
                <w:szCs w:val="32"/>
                <w:lang w:val="en-US" w:eastAsia="zh-CN" w:bidi="ar-SA"/>
              </w:rPr>
              <w:t>5</w:t>
            </w:r>
          </w:p>
        </w:tc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  <w:vertAlign w:val="baseline"/>
                <w:lang w:val="en-US" w:eastAsia="zh-CN"/>
              </w:rPr>
              <w:t>设计方案主题鲜明性</w:t>
            </w:r>
          </w:p>
        </w:tc>
        <w:tc>
          <w:tcPr>
            <w:tcW w:w="2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default" w:ascii="1Times New Roman" w:hAnsi="1Times New Roman" w:eastAsia="方正仿宋_GBK" w:cs="1Times New Roman"/>
                <w:color w:val="auto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1Times New Roman" w:hAnsi="1Times New Roman" w:eastAsia="方正仿宋_GBK" w:cs="1Times New Roman"/>
                <w:color w:val="auto"/>
                <w:kern w:val="0"/>
                <w:sz w:val="32"/>
                <w:szCs w:val="32"/>
                <w:lang w:val="en-US" w:eastAsia="zh-CN" w:bidi="ar-SA"/>
              </w:rPr>
              <w:t>20</w:t>
            </w:r>
          </w:p>
        </w:tc>
        <w:tc>
          <w:tcPr>
            <w:tcW w:w="2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eastAsia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default" w:ascii="1Times New Roman" w:hAnsi="1Times New Roman" w:eastAsia="方正仿宋_GBK" w:cs="1Times New Roman"/>
                <w:color w:val="auto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1Times New Roman" w:hAnsi="1Times New Roman" w:eastAsia="方正仿宋_GBK" w:cs="1Times New Roman"/>
                <w:color w:val="auto"/>
                <w:kern w:val="0"/>
                <w:sz w:val="32"/>
                <w:szCs w:val="32"/>
                <w:lang w:val="en-US" w:eastAsia="zh-CN" w:bidi="ar-SA"/>
              </w:rPr>
              <w:t>6</w:t>
            </w:r>
          </w:p>
        </w:tc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  <w:vertAlign w:val="baseline"/>
                <w:lang w:val="en-US" w:eastAsia="zh-CN"/>
              </w:rPr>
              <w:t>设计方案与“推窗见绿、转角遇美”建设协调一致</w:t>
            </w:r>
          </w:p>
        </w:tc>
        <w:tc>
          <w:tcPr>
            <w:tcW w:w="2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default" w:ascii="1Times New Roman" w:hAnsi="1Times New Roman" w:eastAsia="方正仿宋_GBK" w:cs="1Times New Roman"/>
                <w:color w:val="auto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1Times New Roman" w:hAnsi="1Times New Roman" w:eastAsia="方正仿宋_GBK" w:cs="1Times New Roman"/>
                <w:color w:val="auto"/>
                <w:kern w:val="0"/>
                <w:sz w:val="32"/>
                <w:szCs w:val="32"/>
                <w:lang w:val="en-US" w:eastAsia="zh-CN" w:bidi="ar-SA"/>
              </w:rPr>
              <w:t>20</w:t>
            </w:r>
          </w:p>
        </w:tc>
        <w:tc>
          <w:tcPr>
            <w:tcW w:w="2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eastAsia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default" w:ascii="1Times New Roman" w:hAnsi="1Times New Roman" w:eastAsia="方正仿宋_GBK" w:cs="1Times New Roman"/>
                <w:color w:val="auto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1Times New Roman" w:hAnsi="1Times New Roman" w:eastAsia="方正仿宋_GBK" w:cs="1Times New Roman"/>
                <w:color w:val="auto"/>
                <w:kern w:val="0"/>
                <w:sz w:val="32"/>
                <w:szCs w:val="32"/>
                <w:lang w:val="en-US" w:eastAsia="zh-CN" w:bidi="ar-SA"/>
              </w:rPr>
              <w:t>7</w:t>
            </w:r>
          </w:p>
        </w:tc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  <w:vertAlign w:val="baseline"/>
                <w:lang w:val="en-US" w:eastAsia="zh-CN"/>
              </w:rPr>
              <w:t>总分</w:t>
            </w:r>
          </w:p>
        </w:tc>
        <w:tc>
          <w:tcPr>
            <w:tcW w:w="2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default" w:ascii="1Times New Roman" w:hAnsi="1Times New Roman" w:eastAsia="方正仿宋_GBK" w:cs="1Times New Roman"/>
                <w:color w:val="auto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1Times New Roman" w:hAnsi="1Times New Roman" w:eastAsia="方正仿宋_GBK" w:cs="1Times New Roman"/>
                <w:color w:val="auto"/>
                <w:kern w:val="0"/>
                <w:sz w:val="32"/>
                <w:szCs w:val="32"/>
                <w:lang w:val="en-US" w:eastAsia="zh-CN" w:bidi="ar-SA"/>
              </w:rPr>
              <w:t>100</w:t>
            </w:r>
          </w:p>
        </w:tc>
        <w:tc>
          <w:tcPr>
            <w:tcW w:w="2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94" w:lineRule="exact"/>
              <w:jc w:val="center"/>
              <w:textAlignment w:val="auto"/>
              <w:rPr>
                <w:rFonts w:hint="eastAsia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 w:firstLineChars="200"/>
        <w:textAlignment w:val="auto"/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leftChars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评标总得分=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F</w:t>
      </w:r>
      <w:r>
        <w:rPr>
          <w:rFonts w:hint="default" w:ascii="1Times New Roman" w:hAnsi="1Times New Roman" w:eastAsia="方正仿宋_GBK" w:cs="1Times New Roman"/>
          <w:color w:val="auto"/>
          <w:kern w:val="0"/>
          <w:sz w:val="32"/>
          <w:szCs w:val="32"/>
          <w:lang w:val="en-US" w:eastAsia="zh-CN" w:bidi="ar-SA"/>
        </w:rPr>
        <w:t>1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×A</w:t>
      </w:r>
      <w:r>
        <w:rPr>
          <w:rFonts w:hint="default" w:ascii="1Times New Roman" w:hAnsi="1Times New Roman" w:eastAsia="方正仿宋_GBK" w:cs="1Times New Roman"/>
          <w:color w:val="auto"/>
          <w:kern w:val="0"/>
          <w:sz w:val="32"/>
          <w:szCs w:val="32"/>
          <w:lang w:val="en-US" w:eastAsia="zh-CN" w:bidi="ar-SA"/>
        </w:rPr>
        <w:t>1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+F</w:t>
      </w:r>
      <w:r>
        <w:rPr>
          <w:rFonts w:hint="default" w:ascii="1Times New Roman" w:hAnsi="1Times New Roman" w:eastAsia="方正仿宋_GBK" w:cs="1Times New Roman"/>
          <w:color w:val="auto"/>
          <w:kern w:val="0"/>
          <w:sz w:val="32"/>
          <w:szCs w:val="32"/>
          <w:lang w:val="en-US" w:eastAsia="zh-CN" w:bidi="ar-SA"/>
        </w:rPr>
        <w:t>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×A</w:t>
      </w:r>
      <w:r>
        <w:rPr>
          <w:rFonts w:hint="default" w:ascii="1Times New Roman" w:hAnsi="1Times New Roman" w:eastAsia="方正仿宋_GBK" w:cs="1Times New Roman"/>
          <w:color w:val="auto"/>
          <w:kern w:val="0"/>
          <w:sz w:val="32"/>
          <w:szCs w:val="32"/>
          <w:lang w:val="en-US" w:eastAsia="zh-CN" w:bidi="ar-SA"/>
        </w:rPr>
        <w:t>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+......Fn×An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leftChars="0" w:firstLine="640" w:firstLineChars="200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F</w:t>
      </w:r>
      <w:r>
        <w:rPr>
          <w:rFonts w:hint="default" w:ascii="1Times New Roman" w:hAnsi="1Times New Roman" w:eastAsia="方正仿宋_GBK" w:cs="1Times New Roman"/>
          <w:color w:val="auto"/>
          <w:kern w:val="0"/>
          <w:sz w:val="32"/>
          <w:szCs w:val="32"/>
          <w:lang w:val="en-US" w:eastAsia="zh-CN" w:bidi="ar-SA"/>
        </w:rPr>
        <w:t>1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、F</w:t>
      </w:r>
      <w:r>
        <w:rPr>
          <w:rFonts w:hint="default" w:ascii="1Times New Roman" w:hAnsi="1Times New Roman" w:eastAsia="方正仿宋_GBK" w:cs="1Times New Roman"/>
          <w:color w:val="auto"/>
          <w:kern w:val="0"/>
          <w:sz w:val="32"/>
          <w:szCs w:val="32"/>
          <w:lang w:val="en-US" w:eastAsia="zh-CN" w:bidi="ar-SA"/>
        </w:rPr>
        <w:t>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......Fn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分别为各项评价因素的得分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leftChars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A</w:t>
      </w:r>
      <w:r>
        <w:rPr>
          <w:rFonts w:hint="default" w:ascii="1Times New Roman" w:hAnsi="1Times New Roman" w:eastAsia="方正仿宋_GBK" w:cs="1Times New Roman"/>
          <w:color w:val="auto"/>
          <w:kern w:val="0"/>
          <w:sz w:val="32"/>
          <w:szCs w:val="32"/>
          <w:lang w:val="en-US" w:eastAsia="zh-CN" w:bidi="ar-SA"/>
        </w:rPr>
        <w:t>1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、A</w:t>
      </w:r>
      <w:r>
        <w:rPr>
          <w:rFonts w:hint="default" w:ascii="1Times New Roman" w:hAnsi="1Times New Roman" w:eastAsia="方正仿宋_GBK" w:cs="1Times New Roman"/>
          <w:color w:val="auto"/>
          <w:kern w:val="0"/>
          <w:sz w:val="32"/>
          <w:szCs w:val="32"/>
          <w:lang w:val="en-US" w:eastAsia="zh-CN" w:bidi="ar-SA"/>
        </w:rPr>
        <w:t>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、……An 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分别为各项评审因素所占的权重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(A</w:t>
      </w:r>
      <w:r>
        <w:rPr>
          <w:rFonts w:hint="default" w:ascii="1Times New Roman" w:hAnsi="1Times New Roman" w:eastAsia="方正仿宋_GBK" w:cs="1Times New Roman"/>
          <w:color w:val="auto"/>
          <w:kern w:val="0"/>
          <w:sz w:val="32"/>
          <w:szCs w:val="32"/>
          <w:lang w:val="en-US" w:eastAsia="zh-CN" w:bidi="ar-SA"/>
        </w:rPr>
        <w:t>1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＋A</w:t>
      </w:r>
      <w:r>
        <w:rPr>
          <w:rFonts w:hint="default" w:ascii="1Times New Roman" w:hAnsi="1Times New Roman" w:eastAsia="方正仿宋_GBK" w:cs="1Times New Roman"/>
          <w:color w:val="auto"/>
          <w:kern w:val="0"/>
          <w:sz w:val="32"/>
          <w:szCs w:val="32"/>
          <w:lang w:val="en-US" w:eastAsia="zh-CN" w:bidi="ar-SA"/>
        </w:rPr>
        <w:t>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＋……＋An＝1)。</w:t>
      </w:r>
    </w:p>
    <w:p>
      <w:pPr>
        <w:pStyle w:val="9"/>
        <w:spacing w:line="544" w:lineRule="exact"/>
        <w:jc w:val="both"/>
        <w:rPr>
          <w:rFonts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七、</w:t>
      </w:r>
      <w:r>
        <w:rPr>
          <w:rFonts w:ascii="Times New Roman" w:hAnsi="Times New Roman" w:eastAsia="方正黑体_GBK" w:cs="Times New Roman"/>
          <w:color w:val="auto"/>
          <w:sz w:val="32"/>
          <w:szCs w:val="32"/>
        </w:rPr>
        <w:t>联系方式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leftChars="0" w:firstLine="640" w:firstLineChars="200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联系人：许老师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leftChars="0" w:firstLine="640" w:firstLineChars="200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电  话：</w:t>
      </w:r>
      <w:r>
        <w:rPr>
          <w:rFonts w:hint="default" w:ascii="1Times New Roman" w:hAnsi="1Times New Roman" w:eastAsia="方正仿宋_GBK" w:cs="1Times New Roman"/>
          <w:color w:val="auto"/>
          <w:kern w:val="0"/>
          <w:sz w:val="32"/>
          <w:szCs w:val="32"/>
          <w:lang w:val="en-US" w:eastAsia="zh-CN" w:bidi="ar-SA"/>
        </w:rPr>
        <w:t>686424</w:t>
      </w:r>
      <w:r>
        <w:rPr>
          <w:rFonts w:hint="eastAsia" w:ascii="1Times New Roman" w:hAnsi="1Times New Roman" w:eastAsia="方正仿宋_GBK" w:cs="1Times New Roman"/>
          <w:color w:val="auto"/>
          <w:kern w:val="0"/>
          <w:sz w:val="32"/>
          <w:szCs w:val="32"/>
          <w:lang w:val="en-US" w:eastAsia="zh-CN" w:bidi="ar-SA"/>
        </w:rPr>
        <w:t xml:space="preserve">65 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leftChars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邮  箱：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fldChar w:fldCharType="begin"/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instrText xml:space="preserve"> HYPERLINK "mailto:349766501@qq.com" </w:instrTex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fldChar w:fldCharType="separate"/>
      </w:r>
      <w:r>
        <w:rPr>
          <w:rFonts w:hint="eastAsia" w:ascii="1Times New Roman" w:hAnsi="1Times New Roman" w:eastAsia="方正仿宋_GBK" w:cs="1Times New Roman"/>
          <w:color w:val="auto"/>
          <w:kern w:val="0"/>
          <w:sz w:val="32"/>
          <w:szCs w:val="32"/>
          <w:lang w:val="en-US" w:eastAsia="zh-CN" w:bidi="ar-SA"/>
        </w:rPr>
        <w:t>381833875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@qq.com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leftChars="0" w:firstLine="640" w:firstLineChars="200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地  址：重庆市大渡口区鑫康路</w:t>
      </w:r>
      <w:r>
        <w:rPr>
          <w:rFonts w:hint="default" w:ascii="1Times New Roman" w:hAnsi="1Times New Roman" w:eastAsia="方正仿宋_GBK" w:cs="1Times New Roman"/>
          <w:color w:val="auto"/>
          <w:kern w:val="0"/>
          <w:sz w:val="32"/>
          <w:szCs w:val="32"/>
          <w:lang w:val="en-US" w:eastAsia="zh-CN" w:bidi="ar-SA"/>
        </w:rPr>
        <w:t>16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号</w:t>
      </w:r>
      <w:r>
        <w:rPr>
          <w:rFonts w:hint="default" w:ascii="1Times New Roman" w:hAnsi="1Times New Roman" w:eastAsia="方正仿宋_GBK" w:cs="1Times New Roman"/>
          <w:color w:val="auto"/>
          <w:kern w:val="0"/>
          <w:sz w:val="32"/>
          <w:szCs w:val="32"/>
          <w:lang w:val="en-US" w:eastAsia="zh-CN" w:bidi="ar-SA"/>
        </w:rPr>
        <w:t>12</w:t>
      </w:r>
      <w:r>
        <w:rPr>
          <w:rFonts w:hint="eastAsia" w:ascii="1Times New Roman" w:hAnsi="1Times New Roman" w:eastAsia="方正仿宋_GBK" w:cs="1Times New Roman"/>
          <w:color w:val="auto"/>
          <w:kern w:val="0"/>
          <w:sz w:val="32"/>
          <w:szCs w:val="32"/>
          <w:lang w:val="en-US" w:eastAsia="zh-CN" w:bidi="ar-SA"/>
        </w:rPr>
        <w:t>6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号办公室</w:t>
      </w:r>
    </w:p>
    <w:p>
      <w:pPr>
        <w:pStyle w:val="2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pStyle w:val="3"/>
        <w:jc w:val="right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大渡口春晖路街道办事处</w:t>
      </w:r>
    </w:p>
    <w:p>
      <w:pPr>
        <w:jc w:val="right"/>
        <w:rPr>
          <w:rFonts w:hint="default"/>
          <w:lang w:val="en-US" w:eastAsia="zh-CN"/>
        </w:rPr>
      </w:pPr>
      <w:r>
        <w:rPr>
          <w:rFonts w:hint="eastAsia" w:ascii="1Times New Roman" w:hAnsi="1Times New Roman" w:eastAsia="方正仿宋_GBK" w:cs="1Times New Roman"/>
          <w:color w:val="auto"/>
          <w:kern w:val="0"/>
          <w:sz w:val="32"/>
          <w:szCs w:val="32"/>
          <w:lang w:val="en-US" w:eastAsia="zh-CN" w:bidi="ar-SA"/>
        </w:rPr>
        <w:t>2025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年</w:t>
      </w:r>
      <w:r>
        <w:rPr>
          <w:rFonts w:hint="eastAsia" w:ascii="1Times New Roman" w:hAnsi="1Times New Roman" w:eastAsia="方正仿宋_GBK" w:cs="1Times New Roman"/>
          <w:color w:val="auto"/>
          <w:kern w:val="0"/>
          <w:sz w:val="32"/>
          <w:szCs w:val="32"/>
          <w:lang w:val="en-US" w:eastAsia="zh-CN" w:bidi="ar-SA"/>
        </w:rPr>
        <w:t>10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月</w:t>
      </w:r>
      <w:r>
        <w:rPr>
          <w:rFonts w:hint="eastAsia" w:ascii="1Times New Roman" w:hAnsi="1Times New Roman" w:eastAsia="方正仿宋_GBK" w:cs="1Times New Roman"/>
          <w:color w:val="auto"/>
          <w:kern w:val="0"/>
          <w:sz w:val="32"/>
          <w:szCs w:val="32"/>
          <w:lang w:val="en-US" w:eastAsia="zh-CN" w:bidi="ar-SA"/>
        </w:rPr>
        <w:t>31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1Times New Roman">
    <w:altName w:val="Traditional Arabic"/>
    <w:panose1 w:val="02020603050405020304"/>
    <w:charset w:val="00"/>
    <w:family w:val="roman"/>
    <w:pitch w:val="default"/>
    <w:sig w:usb0="00000000" w:usb1="00000000" w:usb2="00000008" w:usb3="00000000" w:csb0="400001FF" w:csb1="FFFF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E250FB3"/>
    <w:multiLevelType w:val="singleLevel"/>
    <w:tmpl w:val="EE250FB3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2D38CCF9"/>
    <w:multiLevelType w:val="singleLevel"/>
    <w:tmpl w:val="2D38CCF9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F6190"/>
    <w:rsid w:val="06F406A4"/>
    <w:rsid w:val="1B7B145F"/>
    <w:rsid w:val="1BF060DF"/>
    <w:rsid w:val="343D3142"/>
    <w:rsid w:val="370E607B"/>
    <w:rsid w:val="39953834"/>
    <w:rsid w:val="3A281EF8"/>
    <w:rsid w:val="5FBB39D6"/>
    <w:rsid w:val="69B47144"/>
    <w:rsid w:val="6F560795"/>
    <w:rsid w:val="70CA0C1A"/>
    <w:rsid w:val="796B4A97"/>
    <w:rsid w:val="7E595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qFormat="1" w:uiPriority="99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ind w:left="100" w:leftChars="100" w:right="100" w:rightChars="100"/>
    </w:pPr>
    <w:rPr>
      <w:rFonts w:ascii="Times New Roman" w:hAnsi="Times New Roman" w:eastAsia="方正仿宋_GBK"/>
      <w:kern w:val="0"/>
      <w:sz w:val="32"/>
      <w:szCs w:val="32"/>
    </w:rPr>
  </w:style>
  <w:style w:type="paragraph" w:styleId="3">
    <w:name w:val="index 7"/>
    <w:basedOn w:val="1"/>
    <w:next w:val="1"/>
    <w:unhideWhenUsed/>
    <w:qFormat/>
    <w:uiPriority w:val="99"/>
    <w:pPr>
      <w:ind w:left="2520"/>
    </w:pPr>
  </w:style>
  <w:style w:type="paragraph" w:styleId="4">
    <w:name w:val="Normal (Web)"/>
    <w:basedOn w:val="1"/>
    <w:qFormat/>
    <w:uiPriority w:val="0"/>
    <w:pPr>
      <w:widowControl/>
      <w:spacing w:beforeAutospacing="1" w:afterAutospacing="1"/>
      <w:jc w:val="left"/>
    </w:pPr>
    <w:rPr>
      <w:rFonts w:ascii="Arial Unicode MS" w:hAnsi="Arial Unicode MS" w:eastAsia="Arial Unicode MS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paragraph" w:customStyle="1" w:styleId="9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1527</Words>
  <Characters>1647</Characters>
  <Lines>0</Lines>
  <Paragraphs>0</Paragraphs>
  <TotalTime>161</TotalTime>
  <ScaleCrop>false</ScaleCrop>
  <LinksUpToDate>false</LinksUpToDate>
  <CharactersWithSpaces>1673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2025-10-27T08:51:00Z</dcterms:created>
  <dc:creator>Administrator</dc:creator>
  <cp:lastModifiedBy>NTKO</cp:lastModifiedBy>
  <dcterms:modified xsi:type="dcterms:W3CDTF">2025-10-31T06:41:12Z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BEDF5F7913244503849AED755C143D60</vt:lpwstr>
  </property>
</Properties>
</file>