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重庆市大渡口区卫生健康委员会</w:t>
      </w:r>
    </w:p>
    <w:p>
      <w:pPr>
        <w:spacing w:line="560" w:lineRule="exact"/>
        <w:jc w:val="center"/>
        <w:rPr>
          <w:rFonts w:hint="eastAsia"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rPr>
        <w:t>关于</w:t>
      </w:r>
      <w:r>
        <w:rPr>
          <w:rFonts w:ascii="Times New Roman" w:hAnsi="Times New Roman" w:eastAsia="方正小标宋_GBK" w:cs="Times New Roman"/>
          <w:color w:val="auto"/>
          <w:sz w:val="44"/>
          <w:szCs w:val="44"/>
          <w:highlight w:val="none"/>
        </w:rPr>
        <w:t>《</w:t>
      </w:r>
      <w:r>
        <w:rPr>
          <w:rFonts w:hint="eastAsia" w:ascii="Times New Roman" w:hAnsi="Times New Roman" w:eastAsia="方正小标宋_GBK" w:cs="Times New Roman"/>
          <w:color w:val="auto"/>
          <w:sz w:val="44"/>
          <w:szCs w:val="44"/>
          <w:highlight w:val="none"/>
          <w:lang w:val="en-US" w:eastAsia="zh-CN"/>
        </w:rPr>
        <w:t>大渡口区关于</w:t>
      </w:r>
      <w:r>
        <w:rPr>
          <w:rFonts w:ascii="Times New Roman" w:hAnsi="Times New Roman" w:eastAsia="方正小标宋_GBK" w:cs="Times New Roman"/>
          <w:color w:val="auto"/>
          <w:sz w:val="44"/>
          <w:szCs w:val="44"/>
          <w:highlight w:val="none"/>
        </w:rPr>
        <w:t>加强新时代老龄工作的实施方案》</w:t>
      </w:r>
      <w:r>
        <w:rPr>
          <w:rFonts w:hint="eastAsia" w:ascii="Times New Roman" w:hAnsi="Times New Roman" w:eastAsia="方正小标宋_GBK" w:cs="Times New Roman"/>
          <w:color w:val="auto"/>
          <w:sz w:val="44"/>
          <w:szCs w:val="44"/>
          <w:highlight w:val="none"/>
          <w:lang w:eastAsia="zh-CN"/>
        </w:rPr>
        <w:t>（</w:t>
      </w:r>
      <w:r>
        <w:rPr>
          <w:rFonts w:hint="eastAsia" w:ascii="Times New Roman" w:hAnsi="Times New Roman" w:eastAsia="方正小标宋_GBK" w:cs="Times New Roman"/>
          <w:color w:val="auto"/>
          <w:sz w:val="44"/>
          <w:szCs w:val="44"/>
          <w:highlight w:val="none"/>
          <w:lang w:val="en-US" w:eastAsia="zh-CN"/>
        </w:rPr>
        <w:t>征求意见稿</w:t>
      </w:r>
      <w:r>
        <w:rPr>
          <w:rFonts w:hint="eastAsia" w:ascii="Times New Roman" w:hAnsi="Times New Roman" w:eastAsia="方正小标宋_GBK" w:cs="Times New Roman"/>
          <w:color w:val="auto"/>
          <w:sz w:val="44"/>
          <w:szCs w:val="44"/>
          <w:highlight w:val="none"/>
          <w:lang w:eastAsia="zh-CN"/>
        </w:rPr>
        <w:t>）</w:t>
      </w:r>
      <w:r>
        <w:rPr>
          <w:rFonts w:hint="eastAsia" w:ascii="Times New Roman" w:hAnsi="Times New Roman" w:eastAsia="方正小标宋_GBK" w:cs="Times New Roman"/>
          <w:color w:val="auto"/>
          <w:sz w:val="44"/>
          <w:szCs w:val="44"/>
          <w:highlight w:val="none"/>
          <w:lang w:val="en-US" w:eastAsia="zh-CN"/>
        </w:rPr>
        <w:t>征求意见</w:t>
      </w:r>
      <w:r>
        <w:rPr>
          <w:rFonts w:ascii="Times New Roman" w:hAnsi="Times New Roman" w:eastAsia="方正小标宋_GBK" w:cs="Times New Roman"/>
          <w:color w:val="auto"/>
          <w:sz w:val="44"/>
          <w:szCs w:val="44"/>
          <w:highlight w:val="none"/>
        </w:rPr>
        <w:t>的</w:t>
      </w:r>
      <w:r>
        <w:rPr>
          <w:rFonts w:hint="eastAsia" w:ascii="Times New Roman" w:hAnsi="Times New Roman" w:eastAsia="方正小标宋_GBK" w:cs="Times New Roman"/>
          <w:color w:val="auto"/>
          <w:sz w:val="44"/>
          <w:szCs w:val="44"/>
          <w:highlight w:val="none"/>
          <w:lang w:val="en-US" w:eastAsia="zh-CN"/>
        </w:rPr>
        <w:t>公告</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eastAsia="方正仿宋_GBK"/>
          <w:szCs w:val="32"/>
        </w:rPr>
        <w:t>为</w:t>
      </w:r>
      <w:r>
        <w:rPr>
          <w:szCs w:val="32"/>
        </w:rPr>
        <w:t>进一步</w:t>
      </w:r>
      <w:r>
        <w:rPr>
          <w:rFonts w:hint="eastAsia"/>
          <w:szCs w:val="32"/>
          <w:lang w:val="en-US" w:eastAsia="zh-CN"/>
        </w:rPr>
        <w:t>推进医养结合发展</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提升辖区医养结合服务能力，</w:t>
      </w:r>
      <w:r>
        <w:rPr>
          <w:rFonts w:hint="eastAsia" w:ascii="方正仿宋_GBK" w:eastAsia="方正仿宋_GBK"/>
          <w:szCs w:val="32"/>
        </w:rPr>
        <w:t>我委结合大渡口区</w:t>
      </w:r>
      <w:r>
        <w:rPr>
          <w:rFonts w:ascii="方正仿宋_GBK" w:eastAsia="方正仿宋_GBK"/>
          <w:szCs w:val="32"/>
        </w:rPr>
        <w:t>实际，</w:t>
      </w:r>
      <w:r>
        <w:rPr>
          <w:rFonts w:hint="eastAsia" w:ascii="方正仿宋_GBK" w:eastAsia="方正仿宋_GBK"/>
          <w:szCs w:val="32"/>
        </w:rPr>
        <w:t>草拟了</w:t>
      </w:r>
      <w:r>
        <w:rPr>
          <w:rFonts w:hint="eastAsia" w:ascii="Times New Roman" w:hAnsi="Times New Roman" w:eastAsia="方正仿宋_GBK"/>
          <w:szCs w:val="32"/>
        </w:rPr>
        <w:t>《大渡口区</w:t>
      </w:r>
      <w:r>
        <w:rPr>
          <w:rFonts w:hint="eastAsia" w:ascii="Times New Roman" w:hAnsi="Times New Roman" w:eastAsia="方正仿宋_GBK" w:cs="Times New Roman"/>
          <w:color w:val="auto"/>
          <w:sz w:val="32"/>
          <w:szCs w:val="32"/>
          <w:lang w:val="en-US" w:eastAsia="zh-CN"/>
        </w:rPr>
        <w:t>深入推进医养结合发展</w:t>
      </w:r>
      <w:r>
        <w:rPr>
          <w:rFonts w:hint="default" w:ascii="Times New Roman" w:hAnsi="Times New Roman" w:eastAsia="方正仿宋_GBK" w:cs="Times New Roman"/>
          <w:color w:val="auto"/>
          <w:sz w:val="32"/>
          <w:szCs w:val="32"/>
        </w:rPr>
        <w:t>的实施方案</w:t>
      </w:r>
      <w:r>
        <w:rPr>
          <w:rFonts w:hint="eastAsia" w:ascii="Times New Roman" w:hAnsi="Times New Roman" w:eastAsia="方正仿宋_GBK"/>
          <w:szCs w:val="32"/>
        </w:rPr>
        <w:t>》（征求意见稿）。</w:t>
      </w:r>
      <w:r>
        <w:rPr>
          <w:rFonts w:hint="eastAsia" w:ascii="Times New Roman" w:hAnsi="Times New Roman" w:eastAsia="方正仿宋_GBK" w:cs="Times New Roman"/>
          <w:color w:val="auto"/>
          <w:sz w:val="32"/>
          <w:szCs w:val="32"/>
          <w:highlight w:val="none"/>
          <w:lang w:val="en-US" w:eastAsia="zh-CN"/>
        </w:rPr>
        <w:t>根据行政规范性文件制定程序，经征得相关部门意见建议，现将</w:t>
      </w:r>
      <w:r>
        <w:rPr>
          <w:rFonts w:hint="eastAsia" w:ascii="Times New Roman" w:hAnsi="Times New Roman" w:eastAsia="方正仿宋_GBK"/>
          <w:szCs w:val="32"/>
        </w:rPr>
        <w:t>《大渡口区</w:t>
      </w:r>
      <w:r>
        <w:rPr>
          <w:rFonts w:hint="eastAsia" w:ascii="Times New Roman" w:hAnsi="Times New Roman" w:eastAsia="方正仿宋_GBK" w:cs="Times New Roman"/>
          <w:color w:val="auto"/>
          <w:sz w:val="32"/>
          <w:szCs w:val="32"/>
          <w:lang w:val="en-US" w:eastAsia="zh-CN"/>
        </w:rPr>
        <w:t>深入推进医养结合发展</w:t>
      </w:r>
      <w:r>
        <w:rPr>
          <w:rFonts w:hint="default" w:ascii="Times New Roman" w:hAnsi="Times New Roman" w:eastAsia="方正仿宋_GBK" w:cs="Times New Roman"/>
          <w:color w:val="auto"/>
          <w:sz w:val="32"/>
          <w:szCs w:val="32"/>
        </w:rPr>
        <w:t>的实施方案</w:t>
      </w:r>
      <w:r>
        <w:rPr>
          <w:rFonts w:hint="eastAsia" w:ascii="Times New Roman" w:hAnsi="Times New Roman" w:eastAsia="方正仿宋_GBK"/>
          <w:szCs w:val="32"/>
        </w:rPr>
        <w:t>》（征求意见稿）</w:t>
      </w:r>
      <w:r>
        <w:rPr>
          <w:rFonts w:hint="eastAsia" w:ascii="Times New Roman" w:hAnsi="Times New Roman" w:eastAsia="方正仿宋_GBK" w:cs="Times New Roman"/>
          <w:color w:val="auto"/>
          <w:sz w:val="32"/>
          <w:szCs w:val="32"/>
          <w:highlight w:val="none"/>
          <w:lang w:val="en-US" w:eastAsia="zh-CN"/>
        </w:rPr>
        <w:t>予以公布，公开征求社会各界的意见，欢迎社会各界人士提出意见建议。征求意见截止时间：2023年7月22日。电子邮箱：</w:t>
      </w:r>
      <w:r>
        <w:rPr>
          <w:rFonts w:hint="eastAsia" w:ascii="Times New Roman" w:hAnsi="Times New Roman" w:eastAsia="方正仿宋_GBK" w:cs="Times New Roman"/>
          <w:color w:val="auto"/>
          <w:sz w:val="32"/>
          <w:szCs w:val="32"/>
          <w:highlight w:val="none"/>
          <w:lang w:val="en-US" w:eastAsia="zh-CN"/>
        </w:rPr>
        <w:fldChar w:fldCharType="begin"/>
      </w:r>
      <w:r>
        <w:rPr>
          <w:rFonts w:hint="eastAsia" w:ascii="Times New Roman" w:hAnsi="Times New Roman" w:eastAsia="方正仿宋_GBK" w:cs="Times New Roman"/>
          <w:color w:val="auto"/>
          <w:sz w:val="32"/>
          <w:szCs w:val="32"/>
          <w:highlight w:val="none"/>
          <w:lang w:val="en-US" w:eastAsia="zh-CN"/>
        </w:rPr>
        <w:instrText xml:space="preserve"> HYPERLINK "mailto:476386739@qq.com。" </w:instrText>
      </w:r>
      <w:r>
        <w:rPr>
          <w:rFonts w:hint="eastAsia" w:ascii="Times New Roman" w:hAnsi="Times New Roman" w:eastAsia="方正仿宋_GBK" w:cs="Times New Roman"/>
          <w:color w:val="auto"/>
          <w:sz w:val="32"/>
          <w:szCs w:val="32"/>
          <w:highlight w:val="none"/>
          <w:lang w:val="en-US" w:eastAsia="zh-CN"/>
        </w:rPr>
        <w:fldChar w:fldCharType="separate"/>
      </w:r>
      <w:r>
        <w:rPr>
          <w:rStyle w:val="7"/>
          <w:rFonts w:hint="eastAsia" w:ascii="Times New Roman" w:hAnsi="Times New Roman" w:eastAsia="方正仿宋_GBK" w:cs="Times New Roman"/>
          <w:sz w:val="32"/>
          <w:szCs w:val="32"/>
          <w:highlight w:val="none"/>
          <w:lang w:val="en-US" w:eastAsia="zh-CN"/>
        </w:rPr>
        <w:t>476386739@qq.com。</w:t>
      </w:r>
      <w:r>
        <w:rPr>
          <w:rFonts w:hint="eastAsia" w:ascii="Times New Roman" w:hAnsi="Times New Roman" w:eastAsia="方正仿宋_GBK" w:cs="Times New Roman"/>
          <w:color w:val="auto"/>
          <w:sz w:val="32"/>
          <w:szCs w:val="32"/>
          <w:highlight w:val="none"/>
          <w:lang w:val="en-US" w:eastAsia="zh-CN"/>
        </w:rPr>
        <w:fldChar w:fldCharType="end"/>
      </w:r>
      <w:r>
        <w:rPr>
          <w:rFonts w:hint="eastAsia" w:ascii="Times New Roman" w:hAnsi="Times New Roman" w:eastAsia="方正仿宋_GBK" w:cs="Times New Roman"/>
          <w:color w:val="auto"/>
          <w:sz w:val="32"/>
          <w:szCs w:val="32"/>
          <w:highlight w:val="none"/>
          <w:lang w:val="en-US" w:eastAsia="zh-CN"/>
        </w:rPr>
        <w:t>联系人：龚玉兰，联系电话：68910024。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w:t>
      </w:r>
      <w:r>
        <w:rPr>
          <w:rFonts w:hint="eastAsia" w:ascii="Times New Roman" w:hAnsi="Times New Roman" w:eastAsia="方正仿宋_GBK"/>
          <w:szCs w:val="32"/>
        </w:rPr>
        <w:t>大渡口区</w:t>
      </w:r>
      <w:r>
        <w:rPr>
          <w:rFonts w:hint="eastAsia" w:ascii="Times New Roman" w:hAnsi="Times New Roman" w:eastAsia="方正仿宋_GBK" w:cs="Times New Roman"/>
          <w:color w:val="auto"/>
          <w:sz w:val="32"/>
          <w:szCs w:val="32"/>
          <w:lang w:val="en-US" w:eastAsia="zh-CN"/>
        </w:rPr>
        <w:t>深入推进医养结合发展的</w:t>
      </w:r>
      <w:r>
        <w:rPr>
          <w:rFonts w:hint="default" w:ascii="Times New Roman" w:hAnsi="Times New Roman" w:eastAsia="方正仿宋_GBK" w:cs="Times New Roman"/>
          <w:color w:val="auto"/>
          <w:sz w:val="32"/>
          <w:szCs w:val="32"/>
        </w:rPr>
        <w:t>实施方案</w:t>
      </w:r>
      <w:r>
        <w:rPr>
          <w:rFonts w:hint="eastAsia" w:ascii="Times New Roman" w:hAnsi="Times New Roman" w:eastAsia="方正仿宋_GBK"/>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 xml:space="preserve">                            大渡口区卫生健康委员会</w:t>
      </w:r>
      <w:r>
        <w:rPr>
          <w:rFonts w:hint="eastAsia" w:ascii="Times New Roman" w:hAnsi="Times New Roman" w:eastAsia="方正仿宋_GBK"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 xml:space="preserve"> </w:t>
      </w:r>
      <w:r>
        <w:rPr>
          <w:rFonts w:ascii="Times New Roman" w:hAnsi="Times New Roman" w:eastAsia="方正仿宋_GBK" w:cs="Times New Roman"/>
          <w:color w:val="auto"/>
          <w:sz w:val="32"/>
          <w:szCs w:val="32"/>
          <w:highlight w:val="none"/>
        </w:rPr>
        <w:t>2023年</w:t>
      </w:r>
      <w:r>
        <w:rPr>
          <w:rFonts w:hint="eastAsia" w:ascii="Times New Roman" w:hAnsi="Times New Roman"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13</w:t>
      </w:r>
      <w:r>
        <w:rPr>
          <w:rFonts w:ascii="Times New Roman" w:hAnsi="Times New Roman" w:eastAsia="方正仿宋_GBK" w:cs="Times New Roman"/>
          <w:color w:val="auto"/>
          <w:sz w:val="32"/>
          <w:szCs w:val="32"/>
          <w:highlight w:val="none"/>
        </w:rPr>
        <w:t>日</w:t>
      </w:r>
    </w:p>
    <w:p>
      <w:pPr>
        <w:spacing w:line="600" w:lineRule="exact"/>
        <w:rPr>
          <w:rFonts w:hint="default" w:ascii="Times New Roman" w:hAnsi="Times New Roman" w:cs="Times New Roman"/>
          <w:color w:val="auto"/>
          <w:highlight w:val="none"/>
        </w:rPr>
      </w:pPr>
    </w:p>
    <w:p>
      <w:pPr>
        <w:spacing w:line="600" w:lineRule="exact"/>
        <w:rPr>
          <w:rFonts w:hint="default" w:ascii="Times New Roman" w:hAnsi="Times New Roman" w:cs="Times New Roman"/>
          <w:color w:val="auto"/>
          <w:highlight w:val="none"/>
        </w:rPr>
      </w:pPr>
    </w:p>
    <w:p>
      <w:pPr>
        <w:tabs>
          <w:tab w:val="left" w:pos="630"/>
        </w:tabs>
        <w:spacing w:line="600" w:lineRule="exact"/>
        <w:rPr>
          <w:color w:val="auto"/>
          <w:highlight w:val="none"/>
        </w:rPr>
      </w:pPr>
    </w:p>
    <w:p>
      <w:pPr>
        <w:spacing w:line="570" w:lineRule="exact"/>
        <w:jc w:val="center"/>
        <w:rPr>
          <w:rFonts w:hint="eastAsia" w:ascii="方正小标宋_GBK" w:eastAsia="方正小标宋_GBK"/>
          <w:color w:val="auto"/>
          <w:sz w:val="44"/>
          <w:szCs w:val="44"/>
          <w:highlight w:val="none"/>
          <w:lang w:eastAsia="zh-CN"/>
        </w:rPr>
      </w:pPr>
      <w:r>
        <w:rPr>
          <w:rFonts w:hint="eastAsia" w:ascii="方正小标宋_GBK" w:eastAsia="方正小标宋_GBK"/>
          <w:color w:val="auto"/>
          <w:sz w:val="44"/>
          <w:szCs w:val="44"/>
          <w:highlight w:val="none"/>
        </w:rPr>
        <w:t>大渡口区深入推进医养结合发展的实施</w:t>
      </w:r>
      <w:r>
        <w:rPr>
          <w:rFonts w:hint="eastAsia" w:ascii="方正小标宋_GBK" w:eastAsia="方正小标宋_GBK"/>
          <w:color w:val="auto"/>
          <w:sz w:val="44"/>
          <w:szCs w:val="44"/>
          <w:highlight w:val="none"/>
          <w:lang w:val="en-US" w:eastAsia="zh-CN"/>
        </w:rPr>
        <w:t>方案</w:t>
      </w:r>
    </w:p>
    <w:p>
      <w:pPr>
        <w:spacing w:line="570" w:lineRule="exact"/>
        <w:ind w:firstLine="3960" w:firstLineChars="1100"/>
        <w:rPr>
          <w:rFonts w:hint="eastAsia" w:ascii="方正楷体_GBK" w:hAnsi="方正楷体_GBK" w:eastAsia="方正楷体_GBK" w:cs="方正楷体_GBK"/>
          <w:color w:val="auto"/>
          <w:sz w:val="36"/>
          <w:szCs w:val="36"/>
          <w:highlight w:val="none"/>
          <w:lang w:eastAsia="zh-CN"/>
        </w:rPr>
      </w:pPr>
      <w:r>
        <w:rPr>
          <w:rFonts w:hint="eastAsia" w:ascii="方正楷体_GBK" w:hAnsi="方正楷体_GBK" w:eastAsia="方正楷体_GBK" w:cs="方正楷体_GBK"/>
          <w:color w:val="auto"/>
          <w:sz w:val="36"/>
          <w:szCs w:val="36"/>
          <w:highlight w:val="none"/>
          <w:lang w:eastAsia="zh-CN"/>
        </w:rPr>
        <w:t>（</w:t>
      </w:r>
      <w:r>
        <w:rPr>
          <w:rFonts w:hint="eastAsia" w:ascii="方正楷体_GBK" w:hAnsi="方正楷体_GBK" w:eastAsia="方正楷体_GBK" w:cs="方正楷体_GBK"/>
          <w:color w:val="auto"/>
          <w:sz w:val="36"/>
          <w:szCs w:val="36"/>
          <w:highlight w:val="none"/>
          <w:lang w:val="en-US" w:eastAsia="zh-CN"/>
        </w:rPr>
        <w:t>征求意见稿</w:t>
      </w:r>
      <w:r>
        <w:rPr>
          <w:rFonts w:hint="eastAsia" w:ascii="方正楷体_GBK" w:hAnsi="方正楷体_GBK" w:eastAsia="方正楷体_GBK" w:cs="方正楷体_GBK"/>
          <w:color w:val="auto"/>
          <w:sz w:val="36"/>
          <w:szCs w:val="36"/>
          <w:highlight w:val="none"/>
          <w:lang w:eastAsia="zh-CN"/>
        </w:rPr>
        <w:t>）</w:t>
      </w:r>
    </w:p>
    <w:p>
      <w:pPr>
        <w:spacing w:line="570" w:lineRule="exact"/>
        <w:ind w:firstLine="640" w:firstLineChars="200"/>
        <w:rPr>
          <w:rFonts w:eastAsia="方正黑体_GBK"/>
          <w:color w:val="auto"/>
          <w:szCs w:val="32"/>
          <w:highlight w:val="none"/>
        </w:rPr>
      </w:pPr>
    </w:p>
    <w:p>
      <w:pPr>
        <w:spacing w:line="570" w:lineRule="exact"/>
        <w:ind w:firstLine="640" w:firstLineChars="200"/>
        <w:rPr>
          <w:rFonts w:eastAsia="方正黑体_GBK"/>
          <w:color w:val="auto"/>
          <w:szCs w:val="32"/>
          <w:highlight w:val="none"/>
        </w:rPr>
      </w:pPr>
      <w:r>
        <w:rPr>
          <w:rFonts w:eastAsia="方正黑体_GBK"/>
          <w:color w:val="auto"/>
          <w:szCs w:val="32"/>
          <w:highlight w:val="none"/>
        </w:rPr>
        <w:t>一、目标要求</w:t>
      </w:r>
    </w:p>
    <w:p>
      <w:pPr>
        <w:spacing w:line="570" w:lineRule="exact"/>
        <w:ind w:firstLine="640" w:firstLineChars="200"/>
        <w:rPr>
          <w:color w:val="auto"/>
          <w:szCs w:val="32"/>
          <w:highlight w:val="none"/>
        </w:rPr>
      </w:pPr>
      <w:r>
        <w:rPr>
          <w:color w:val="auto"/>
          <w:szCs w:val="32"/>
          <w:highlight w:val="none"/>
        </w:rPr>
        <w:t>以健康中国大渡口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w:t>
      </w:r>
      <w:bookmarkStart w:id="0" w:name="_GoBack"/>
      <w:r>
        <w:rPr>
          <w:color w:val="auto"/>
          <w:szCs w:val="32"/>
          <w:highlight w:val="none"/>
        </w:rPr>
        <w:t>医</w:t>
      </w:r>
      <w:bookmarkEnd w:id="0"/>
      <w:r>
        <w:rPr>
          <w:color w:val="auto"/>
          <w:szCs w:val="32"/>
          <w:highlight w:val="none"/>
        </w:rPr>
        <w:t>养结合服务不断完善。到2025年，全区所有医疗机构为老年人开通就诊绿色通道。全区二级以上综合医院开设老年医学科不低于60%。建设1所及以上独立的老年护理院或依托区级医院附设的老年护理院。全区社区医养结合型机构不少于10个。65岁以上老年人健康管理率60%以上。人均预期寿命达78.5岁。</w:t>
      </w:r>
    </w:p>
    <w:p>
      <w:pPr>
        <w:spacing w:line="570" w:lineRule="exact"/>
        <w:ind w:firstLine="640" w:firstLineChars="200"/>
        <w:rPr>
          <w:rFonts w:eastAsia="方正黑体_GBK"/>
          <w:color w:val="auto"/>
          <w:szCs w:val="32"/>
          <w:highlight w:val="none"/>
        </w:rPr>
      </w:pPr>
      <w:r>
        <w:rPr>
          <w:rFonts w:eastAsia="方正黑体_GBK"/>
          <w:color w:val="auto"/>
          <w:szCs w:val="32"/>
          <w:highlight w:val="none"/>
        </w:rPr>
        <w:t>二、主要任务</w:t>
      </w:r>
    </w:p>
    <w:p>
      <w:pPr>
        <w:spacing w:line="570" w:lineRule="exact"/>
        <w:ind w:firstLine="640" w:firstLineChars="200"/>
        <w:rPr>
          <w:color w:val="auto"/>
          <w:szCs w:val="32"/>
          <w:highlight w:val="none"/>
        </w:rPr>
      </w:pPr>
      <w:r>
        <w:rPr>
          <w:rFonts w:eastAsia="方正楷体_GBK"/>
          <w:color w:val="auto"/>
          <w:szCs w:val="32"/>
          <w:highlight w:val="none"/>
        </w:rPr>
        <w:t>（一）拓展医疗卫生机构老年健康服务功能。</w:t>
      </w:r>
      <w:r>
        <w:rPr>
          <w:color w:val="auto"/>
          <w:szCs w:val="32"/>
          <w:highlight w:val="none"/>
        </w:rPr>
        <w:t>将老年病科医院、康复医院、护理院、安宁疗护机构作为区域卫生规划重点，加大建设力度。鼓励二级以上综合医院开设老年医学科，增设老年康复、护理床位，开展老年慢性病防治和康复护理等工作。</w:t>
      </w:r>
      <w:r>
        <w:rPr>
          <w:rFonts w:hint="eastAsia"/>
          <w:color w:val="auto"/>
          <w:szCs w:val="32"/>
          <w:highlight w:val="none"/>
        </w:rPr>
        <w:t>在</w:t>
      </w:r>
      <w:r>
        <w:rPr>
          <w:color w:val="auto"/>
          <w:szCs w:val="32"/>
          <w:highlight w:val="none"/>
        </w:rPr>
        <w:t>公立医院资源</w:t>
      </w:r>
      <w:r>
        <w:rPr>
          <w:rFonts w:hint="eastAsia"/>
          <w:color w:val="auto"/>
          <w:szCs w:val="32"/>
          <w:highlight w:val="none"/>
        </w:rPr>
        <w:t>充足情况下，</w:t>
      </w:r>
      <w:r>
        <w:rPr>
          <w:color w:val="auto"/>
          <w:szCs w:val="32"/>
          <w:highlight w:val="none"/>
        </w:rPr>
        <w:t>积极稳妥将部分医院转型为康复、护理、安宁疗护等接续性医疗机构。引导部分二级及以下医院转型发展成为收治重病、失能、半失能老年人的医养结合机构。（区卫生健康委、区民政局）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（二）加强医疗卫生机构与养老机构签约合作。</w:t>
      </w:r>
      <w:r>
        <w:rPr>
          <w:color w:val="auto"/>
          <w:szCs w:val="32"/>
          <w:highlight w:val="none"/>
        </w:rPr>
        <w:t>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（三）推动养老机构开展医疗卫生服务。</w:t>
      </w:r>
      <w:r>
        <w:rPr>
          <w:color w:val="auto"/>
          <w:szCs w:val="32"/>
          <w:highlight w:val="none"/>
        </w:rPr>
        <w:t>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（四）提升社区医养结合服务能力。</w:t>
      </w:r>
      <w:r>
        <w:rPr>
          <w:color w:val="auto"/>
          <w:szCs w:val="32"/>
          <w:highlight w:val="none"/>
        </w:rPr>
        <w:t>按照全区社区居家养老全覆盖计划，实施社区医养结合能力提升工程，社区卫生服务机构、镇卫生院或社区养老服务中心、敬老院利用现有资源，内部改扩建一批社区（镇）医养结合服务设施，重点为社区（镇）失能（含失智，下同）老年人提供集中或居家医养结合服务。支持新建社区卫生服务机构与街道养老服务中心，镇卫生院与镇养老服务中心，村卫生室与农村幸福院一体或毗邻建设。有条件的基层医疗卫生机构可设置康复、护理、安宁疗护病床和养老床位，因地制宜开展家庭病床服务。支持有条件的镇（街道）养老服务中心开办诊所、护理院等医疗卫生服务机构，逐步提高护理型养老床位比例。（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（五）推进医疗卫生服务向家庭延伸。</w:t>
      </w:r>
      <w:r>
        <w:rPr>
          <w:color w:val="auto"/>
          <w:szCs w:val="32"/>
          <w:highlight w:val="none"/>
        </w:rPr>
        <w:t>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w:t>
      </w:r>
    </w:p>
    <w:p>
      <w:pPr>
        <w:spacing w:line="570" w:lineRule="exact"/>
        <w:ind w:firstLine="640" w:firstLineChars="200"/>
        <w:rPr>
          <w:color w:val="auto"/>
          <w:szCs w:val="32"/>
          <w:highlight w:val="none"/>
        </w:rPr>
      </w:pPr>
      <w:r>
        <w:rPr>
          <w:rFonts w:eastAsia="方正楷体_GBK"/>
          <w:color w:val="auto"/>
          <w:szCs w:val="32"/>
          <w:highlight w:val="none"/>
        </w:rPr>
        <w:t>（六）发展中医药健康养老服务。</w:t>
      </w:r>
      <w:r>
        <w:rPr>
          <w:color w:val="auto"/>
          <w:szCs w:val="32"/>
          <w:highlight w:val="none"/>
        </w:rPr>
        <w:t>推动中医药与养老服务融合发展，充分发挥中医药在治未病、慢性病管理、疾病治疗和康复中的独特作用，推广中医药适宜技术，增强中医药医养结合服务能力。</w:t>
      </w:r>
      <w:r>
        <w:rPr>
          <w:rFonts w:hint="eastAsia"/>
          <w:color w:val="auto"/>
          <w:szCs w:val="32"/>
          <w:highlight w:val="none"/>
        </w:rPr>
        <w:t>支持</w:t>
      </w:r>
      <w:r>
        <w:rPr>
          <w:color w:val="auto"/>
          <w:szCs w:val="32"/>
          <w:highlight w:val="none"/>
        </w:rPr>
        <w:t>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支持公立中医医院通过特许经营等方式，以品牌、技术、人才、管理等优势资源与养老机构开展合作。</w:t>
      </w:r>
      <w:r>
        <w:rPr>
          <w:rFonts w:hint="eastAsia"/>
          <w:color w:val="auto"/>
          <w:szCs w:val="32"/>
          <w:highlight w:val="none"/>
        </w:rPr>
        <w:t>支持</w:t>
      </w:r>
      <w:r>
        <w:rPr>
          <w:color w:val="auto"/>
          <w:szCs w:val="32"/>
          <w:highlight w:val="none"/>
        </w:rPr>
        <w:t>中医医院、社区卫生服务中心、镇卫生院与养老机构、镇街养老服务中心、社区养老服务站、村级互助养老点等合作，推广针灸、推拿、中医康复等中医药适宜技术，推动优质中医药资源进社区、进农村、进家庭。建立中医药养老服务实训基地，加强养老照护人员的中医药技能培训，</w:t>
      </w:r>
      <w:r>
        <w:rPr>
          <w:rFonts w:hint="eastAsia"/>
          <w:color w:val="auto"/>
          <w:szCs w:val="32"/>
          <w:highlight w:val="none"/>
        </w:rPr>
        <w:t>支持</w:t>
      </w:r>
      <w:r>
        <w:rPr>
          <w:color w:val="auto"/>
          <w:szCs w:val="32"/>
          <w:highlight w:val="none"/>
        </w:rPr>
        <w:t>中医医师在完成所在医疗机构工作任务的前提下，为养老机构工作人员提供中医保健和调理知识技能培训。（区卫生健康委、区民政局）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（七）加强医养结合信息化支撑。</w:t>
      </w:r>
      <w:r>
        <w:rPr>
          <w:color w:val="auto"/>
          <w:szCs w:val="32"/>
          <w:highlight w:val="none"/>
        </w:rPr>
        <w:t>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w:t>
      </w:r>
      <w:r>
        <w:rPr>
          <w:rFonts w:hint="eastAsia"/>
          <w:color w:val="auto"/>
          <w:szCs w:val="32"/>
          <w:highlight w:val="none"/>
        </w:rPr>
        <w:t>支持</w:t>
      </w:r>
      <w:r>
        <w:rPr>
          <w:color w:val="auto"/>
          <w:szCs w:val="32"/>
          <w:highlight w:val="none"/>
        </w:rPr>
        <w:t>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w:t>
      </w:r>
      <w:r>
        <w:rPr>
          <w:rFonts w:hint="eastAsia"/>
          <w:color w:val="auto"/>
          <w:szCs w:val="32"/>
          <w:highlight w:val="none"/>
        </w:rPr>
        <w:t>支持</w:t>
      </w:r>
      <w:r>
        <w:rPr>
          <w:color w:val="auto"/>
          <w:szCs w:val="32"/>
          <w:highlight w:val="none"/>
        </w:rPr>
        <w:t>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w:t>
      </w:r>
    </w:p>
    <w:p>
      <w:pPr>
        <w:spacing w:line="570" w:lineRule="exact"/>
        <w:ind w:firstLine="640" w:firstLineChars="200"/>
        <w:rPr>
          <w:color w:val="auto"/>
          <w:szCs w:val="32"/>
          <w:highlight w:val="none"/>
        </w:rPr>
      </w:pPr>
      <w:r>
        <w:rPr>
          <w:rFonts w:eastAsia="方正楷体_GBK"/>
          <w:color w:val="auto"/>
          <w:szCs w:val="32"/>
          <w:highlight w:val="none"/>
        </w:rPr>
        <w:t>（八）大力发展医养康养产品。</w:t>
      </w:r>
      <w:r>
        <w:rPr>
          <w:color w:val="auto"/>
          <w:szCs w:val="32"/>
          <w:highlight w:val="none"/>
        </w:rPr>
        <w:t>支持各地立足实际，合理定位，科学规划，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血糖仪、助听器、呼吸机等家庭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w:t>
      </w:r>
    </w:p>
    <w:p>
      <w:pPr>
        <w:spacing w:line="570" w:lineRule="exact"/>
        <w:ind w:firstLine="640" w:firstLineChars="200"/>
        <w:rPr>
          <w:color w:val="auto"/>
          <w:szCs w:val="32"/>
          <w:highlight w:val="none"/>
        </w:rPr>
      </w:pPr>
      <w:r>
        <w:rPr>
          <w:rFonts w:eastAsia="方正楷体_GBK"/>
          <w:color w:val="auto"/>
          <w:szCs w:val="32"/>
          <w:highlight w:val="none"/>
        </w:rPr>
        <w:t>（九）鼓励社会力量举办医养结合机构。</w:t>
      </w:r>
      <w:r>
        <w:rPr>
          <w:color w:val="auto"/>
          <w:szCs w:val="32"/>
          <w:highlight w:val="none"/>
        </w:rPr>
        <w:t>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区卫生健康委、区发展改革委、区民政局、区财政局、区规划自然资源局、区住房城乡建委、区税务局、区市场监管局、区</w:t>
      </w:r>
      <w:r>
        <w:rPr>
          <w:rFonts w:hint="eastAsia"/>
          <w:color w:val="auto"/>
          <w:szCs w:val="32"/>
          <w:highlight w:val="none"/>
        </w:rPr>
        <w:t>金融发展中心</w:t>
      </w:r>
      <w:r>
        <w:rPr>
          <w:color w:val="auto"/>
          <w:szCs w:val="32"/>
          <w:highlight w:val="none"/>
        </w:rPr>
        <w:t>）</w:t>
      </w:r>
    </w:p>
    <w:p>
      <w:pPr>
        <w:spacing w:line="570" w:lineRule="exact"/>
        <w:ind w:firstLine="640" w:firstLineChars="200"/>
        <w:rPr>
          <w:color w:val="auto"/>
          <w:szCs w:val="32"/>
          <w:highlight w:val="none"/>
        </w:rPr>
      </w:pPr>
      <w:r>
        <w:rPr>
          <w:rFonts w:eastAsia="方正楷体_GBK"/>
          <w:color w:val="auto"/>
          <w:szCs w:val="32"/>
          <w:highlight w:val="none"/>
        </w:rPr>
        <w:t>（十）加强医养结合服务监管。</w:t>
      </w:r>
      <w:r>
        <w:rPr>
          <w:color w:val="auto"/>
          <w:szCs w:val="32"/>
          <w:highlight w:val="none"/>
        </w:rPr>
        <w:t>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局、区消防救援支队）</w:t>
      </w:r>
    </w:p>
    <w:p>
      <w:pPr>
        <w:spacing w:line="570" w:lineRule="exact"/>
        <w:ind w:firstLine="640" w:firstLineChars="200"/>
        <w:rPr>
          <w:rFonts w:eastAsia="方正黑体_GBK"/>
          <w:color w:val="auto"/>
          <w:szCs w:val="32"/>
          <w:highlight w:val="none"/>
        </w:rPr>
      </w:pPr>
      <w:r>
        <w:rPr>
          <w:rFonts w:eastAsia="方正黑体_GBK"/>
          <w:color w:val="auto"/>
          <w:szCs w:val="32"/>
          <w:highlight w:val="none"/>
        </w:rPr>
        <w:t>三、保障措施</w:t>
      </w:r>
    </w:p>
    <w:p>
      <w:pPr>
        <w:spacing w:line="570" w:lineRule="exact"/>
        <w:ind w:firstLine="640" w:firstLineChars="200"/>
        <w:rPr>
          <w:color w:val="auto"/>
          <w:szCs w:val="32"/>
          <w:highlight w:val="none"/>
        </w:rPr>
      </w:pPr>
      <w:r>
        <w:rPr>
          <w:rFonts w:eastAsia="方正楷体_GBK"/>
          <w:color w:val="auto"/>
          <w:szCs w:val="32"/>
          <w:highlight w:val="none"/>
        </w:rPr>
        <w:t>（十一）简化审批登记。</w:t>
      </w:r>
      <w:r>
        <w:rPr>
          <w:color w:val="auto"/>
          <w:szCs w:val="32"/>
          <w:highlight w:val="none"/>
        </w:rPr>
        <w:t>认真贯彻落实市卫生健康委等部门《关于进一步做好医养结合机构审批登记工作的通知》（渝卫发〔2019〕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w:t>
      </w:r>
    </w:p>
    <w:p>
      <w:pPr>
        <w:spacing w:line="570" w:lineRule="exact"/>
        <w:ind w:firstLine="640" w:firstLineChars="200"/>
        <w:rPr>
          <w:color w:val="auto"/>
          <w:szCs w:val="32"/>
          <w:highlight w:val="none"/>
        </w:rPr>
      </w:pPr>
      <w:r>
        <w:rPr>
          <w:rFonts w:eastAsia="方正楷体_GBK"/>
          <w:color w:val="auto"/>
          <w:szCs w:val="32"/>
          <w:highlight w:val="none"/>
        </w:rPr>
        <w:t>（十二）加强土地保障。</w:t>
      </w:r>
      <w:r>
        <w:rPr>
          <w:color w:val="auto"/>
          <w:szCs w:val="32"/>
          <w:highlight w:val="none"/>
        </w:rPr>
        <w:t>按照有关要求，编制本地区医疗、养老服务设施专项规划。区卫生健康委、区民政局分别配合市卫生健康委、市民政局编制完善中心城区医疗和养老服务设施专项规划，经批准后按程序纳入相关国土空间规划，切实保障医养结合机构建设发展用地。非营利性医养结合机构可依法使用国有划拨土地，营利性医养结合机构应当以有偿方式用地。鼓励完善社区综合服务设施运维长效机制，对使用综合服务设施开展医养结合服务的，予以无偿或低偿使用。鼓励符合规划用途的农村集体建设用地依法用于医养结合机构建设。</w:t>
      </w:r>
    </w:p>
    <w:p>
      <w:pPr>
        <w:spacing w:line="570" w:lineRule="exact"/>
        <w:ind w:firstLine="640" w:firstLineChars="200"/>
        <w:rPr>
          <w:color w:val="auto"/>
          <w:szCs w:val="32"/>
          <w:highlight w:val="none"/>
        </w:rPr>
      </w:pPr>
      <w:r>
        <w:rPr>
          <w:color w:val="auto"/>
          <w:szCs w:val="32"/>
          <w:highlight w:val="none"/>
        </w:rPr>
        <w:t>符合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w:t>
      </w:r>
    </w:p>
    <w:p>
      <w:pPr>
        <w:spacing w:line="570" w:lineRule="exact"/>
        <w:ind w:firstLine="640" w:firstLineChars="200"/>
        <w:rPr>
          <w:color w:val="auto"/>
          <w:szCs w:val="32"/>
          <w:highlight w:val="none"/>
        </w:rPr>
      </w:pPr>
      <w:r>
        <w:rPr>
          <w:rFonts w:eastAsia="方正楷体_GBK"/>
          <w:color w:val="auto"/>
          <w:szCs w:val="32"/>
          <w:highlight w:val="none"/>
        </w:rPr>
        <w:t>（十三）减轻税费负担。</w:t>
      </w:r>
      <w:r>
        <w:rPr>
          <w:color w:val="auto"/>
          <w:szCs w:val="32"/>
          <w:highlight w:val="none"/>
        </w:rPr>
        <w:t>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价格优惠等扶持。对医养结合机构按规定实行行政事业性收费优惠政策。（区财政局、区税务局、区发展改革委、区经济信息委、区城管局）</w:t>
      </w:r>
    </w:p>
    <w:p>
      <w:pPr>
        <w:spacing w:line="570" w:lineRule="exact"/>
        <w:ind w:firstLine="640" w:firstLineChars="200"/>
        <w:rPr>
          <w:color w:val="auto"/>
          <w:szCs w:val="32"/>
          <w:highlight w:val="none"/>
        </w:rPr>
      </w:pPr>
      <w:r>
        <w:rPr>
          <w:rFonts w:eastAsia="方正楷体_GBK"/>
          <w:color w:val="auto"/>
          <w:szCs w:val="32"/>
          <w:highlight w:val="none"/>
        </w:rPr>
        <w:t>（十四）拓宽投融资渠道。</w:t>
      </w:r>
      <w:r>
        <w:rPr>
          <w:rFonts w:hint="eastAsia" w:ascii="方正仿宋_GBK" w:hAnsi="方正仿宋_GBK" w:cs="方正仿宋_GBK"/>
          <w:color w:val="auto"/>
          <w:szCs w:val="32"/>
          <w:highlight w:val="none"/>
        </w:rPr>
        <w:t>支持</w:t>
      </w:r>
      <w:r>
        <w:rPr>
          <w:rFonts w:ascii="方正仿宋_GBK" w:hAnsi="方正仿宋_GBK" w:cs="方正仿宋_GBK"/>
          <w:color w:val="auto"/>
          <w:szCs w:val="32"/>
          <w:highlight w:val="none"/>
        </w:rPr>
        <w:t>社会办医养结合机构中的养老机构以股权融资、项目融资等方式筹集开办资金和发展资金。</w:t>
      </w:r>
      <w:r>
        <w:rPr>
          <w:rFonts w:hint="eastAsia" w:ascii="方正仿宋_GBK" w:hAnsi="方正仿宋_GBK" w:cs="方正仿宋_GBK"/>
          <w:color w:val="auto"/>
          <w:szCs w:val="32"/>
          <w:highlight w:val="none"/>
        </w:rPr>
        <w:t>引导辖区</w:t>
      </w:r>
      <w:r>
        <w:rPr>
          <w:rFonts w:ascii="方正仿宋_GBK" w:hAnsi="方正仿宋_GBK" w:cs="方正仿宋_GBK"/>
          <w:color w:val="auto"/>
          <w:szCs w:val="32"/>
          <w:highlight w:val="none"/>
        </w:rPr>
        <w:t>金融机构根据医养结合特点，创新金融产品和金融服务，探索完善抵押贷款政策，拓宽信贷担保物范围贷担保物范围</w:t>
      </w:r>
      <w:r>
        <w:rPr>
          <w:rFonts w:hint="eastAsia" w:ascii="方正仿宋_GBK" w:hAnsi="方正仿宋_GBK" w:cs="方正仿宋_GBK"/>
          <w:color w:val="auto"/>
          <w:szCs w:val="32"/>
          <w:highlight w:val="none"/>
        </w:rPr>
        <w:t>，</w:t>
      </w:r>
      <w:r>
        <w:rPr>
          <w:rFonts w:ascii="方正仿宋_GBK" w:hAnsi="方正仿宋_GBK" w:cs="方正仿宋_GBK"/>
          <w:color w:val="auto"/>
          <w:szCs w:val="32"/>
          <w:highlight w:val="none"/>
        </w:rPr>
        <w:t>加大金融对医养结合领域的支持力度</w:t>
      </w:r>
      <w:r>
        <w:rPr>
          <w:color w:val="auto"/>
          <w:szCs w:val="32"/>
          <w:highlight w:val="none"/>
        </w:rPr>
        <w:t>。（区</w:t>
      </w:r>
      <w:r>
        <w:rPr>
          <w:rFonts w:hint="eastAsia"/>
          <w:color w:val="auto"/>
          <w:szCs w:val="32"/>
          <w:highlight w:val="none"/>
        </w:rPr>
        <w:t>金融发展中心</w:t>
      </w:r>
      <w:r>
        <w:rPr>
          <w:color w:val="auto"/>
          <w:szCs w:val="32"/>
          <w:highlight w:val="none"/>
        </w:rPr>
        <w:t>、区发展改革委、区规划自然资源局、区卫生健康委、区民政局）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（十五）强化投入支持。</w:t>
      </w:r>
      <w:r>
        <w:rPr>
          <w:color w:val="auto"/>
          <w:szCs w:val="32"/>
          <w:highlight w:val="none"/>
        </w:rPr>
        <w:t>加大政府购买服务力度，支持符合条件的社会办医养结合机构承接当地公共卫生、基本医疗和基本养老等服务。用于社会福利事业的彩票公益金要适当支持开展医养结合服务。（区财政局、区发展改革委、区卫生健康委、区民政局）</w:t>
      </w:r>
    </w:p>
    <w:p>
      <w:pPr>
        <w:spacing w:line="570" w:lineRule="exact"/>
        <w:ind w:firstLine="640" w:firstLineChars="200"/>
        <w:rPr>
          <w:color w:val="auto"/>
          <w:szCs w:val="32"/>
          <w:highlight w:val="none"/>
        </w:rPr>
      </w:pPr>
      <w:r>
        <w:rPr>
          <w:rFonts w:eastAsia="方正楷体_GBK"/>
          <w:color w:val="auto"/>
          <w:szCs w:val="32"/>
          <w:highlight w:val="none"/>
        </w:rPr>
        <w:t>（十六）强化保险支持。</w:t>
      </w:r>
      <w:r>
        <w:rPr>
          <w:rFonts w:hint="eastAsia" w:ascii="方正仿宋_GBK" w:hAnsi="方正仿宋_GBK" w:eastAsia="方正仿宋_GBK" w:cs="方正仿宋_GBK"/>
          <w:sz w:val="32"/>
          <w:szCs w:val="32"/>
          <w:highlight w:val="none"/>
          <w:lang w:eastAsia="zh-CN"/>
        </w:rPr>
        <w:t>将符合条件的养老机构内设医疗机构按规定及时纳入医保定点范围</w:t>
      </w:r>
      <w:r>
        <w:rPr>
          <w:color w:val="auto"/>
          <w:szCs w:val="32"/>
          <w:highlight w:val="none"/>
        </w:rPr>
        <w:t>。对符合规定的转诊住院患者可以连续计算医保起付线，积极推进按病种、按疾病诊断相关分组（DRG）、按床日等多元复合的医保支付方式。</w:t>
      </w:r>
    </w:p>
    <w:p>
      <w:pPr>
        <w:spacing w:line="570" w:lineRule="exact"/>
        <w:ind w:firstLine="640" w:firstLineChars="200"/>
        <w:rPr>
          <w:color w:val="auto"/>
          <w:szCs w:val="32"/>
          <w:highlight w:val="none"/>
        </w:rPr>
      </w:pPr>
      <w:r>
        <w:rPr>
          <w:color w:val="auto"/>
          <w:szCs w:val="32"/>
          <w:highlight w:val="none"/>
        </w:rPr>
        <w:t>厘清医疗卫生服务和养老服务的支付边界，基本医疗保险基金只能用于支付符合基本医疗保障范围的疾病诊治、医疗护理、医疗康复等医疗卫生服务费用。</w:t>
      </w:r>
    </w:p>
    <w:p>
      <w:pPr>
        <w:spacing w:line="570" w:lineRule="exact"/>
        <w:ind w:firstLine="640" w:firstLineChars="200"/>
        <w:rPr>
          <w:color w:val="auto"/>
          <w:szCs w:val="32"/>
          <w:highlight w:val="none"/>
        </w:rPr>
      </w:pPr>
      <w:r>
        <w:rPr>
          <w:rFonts w:hint="eastAsia" w:ascii="方正仿宋_GBK" w:hAnsi="方正仿宋_GBK" w:cs="方正仿宋_GBK"/>
          <w:color w:val="auto"/>
          <w:szCs w:val="32"/>
          <w:highlight w:val="none"/>
        </w:rPr>
        <w:t>配合支持辖区保险机构按照银保监及上级机构要求推进医养保险，</w:t>
      </w:r>
      <w:r>
        <w:rPr>
          <w:rFonts w:ascii="方正仿宋_GBK" w:hAnsi="方正仿宋_GBK" w:cs="方正仿宋_GBK"/>
          <w:color w:val="auto"/>
          <w:szCs w:val="32"/>
          <w:highlight w:val="none"/>
        </w:rPr>
        <w:t>针对老年人风险特征和需求特点，开发专属产品，重点发展老年人疾病保险、医疗保险和意外伤害保险</w:t>
      </w:r>
      <w:r>
        <w:rPr>
          <w:rFonts w:hint="eastAsia" w:ascii="方正仿宋_GBK" w:hAnsi="方正仿宋_GBK" w:cs="方正仿宋_GBK"/>
          <w:color w:val="auto"/>
          <w:szCs w:val="32"/>
          <w:highlight w:val="none"/>
        </w:rPr>
        <w:t>。协调辖区保险机构</w:t>
      </w:r>
      <w:r>
        <w:rPr>
          <w:rFonts w:ascii="方正仿宋_GBK" w:hAnsi="方正仿宋_GBK" w:cs="方正仿宋_GBK"/>
          <w:color w:val="auto"/>
          <w:szCs w:val="32"/>
          <w:highlight w:val="none"/>
        </w:rPr>
        <w:t>为老年人购买商业保险提供</w:t>
      </w:r>
      <w:r>
        <w:rPr>
          <w:rFonts w:hint="eastAsia" w:ascii="方正仿宋_GBK" w:hAnsi="方正仿宋_GBK" w:cs="方正仿宋_GBK"/>
          <w:color w:val="auto"/>
          <w:szCs w:val="32"/>
          <w:highlight w:val="none"/>
        </w:rPr>
        <w:t>便利</w:t>
      </w:r>
      <w:r>
        <w:rPr>
          <w:rFonts w:ascii="方正仿宋_GBK" w:hAnsi="方正仿宋_GBK" w:cs="方正仿宋_GBK"/>
          <w:color w:val="auto"/>
          <w:szCs w:val="32"/>
          <w:highlight w:val="none"/>
        </w:rPr>
        <w:t>服务</w:t>
      </w:r>
      <w:r>
        <w:rPr>
          <w:rFonts w:hint="eastAsia" w:ascii="方正仿宋_GBK" w:hAnsi="方正仿宋_GBK" w:cs="方正仿宋_GBK"/>
          <w:color w:val="auto"/>
          <w:szCs w:val="32"/>
          <w:highlight w:val="none"/>
        </w:rPr>
        <w:t>。引导辖区保险机构按照银保监及上级机构要求</w:t>
      </w:r>
      <w:r>
        <w:rPr>
          <w:rFonts w:ascii="方正仿宋_GBK" w:hAnsi="方正仿宋_GBK" w:cs="方正仿宋_GBK"/>
          <w:color w:val="auto"/>
          <w:szCs w:val="32"/>
          <w:highlight w:val="none"/>
        </w:rPr>
        <w:t>发展包括商业长期护理保险在内的多种老年护理保险产品，满足老年人护理保障需求</w:t>
      </w:r>
      <w:r>
        <w:rPr>
          <w:color w:val="auto"/>
          <w:szCs w:val="32"/>
          <w:highlight w:val="none"/>
        </w:rPr>
        <w:t>。（区医保局、区发展改革委、区</w:t>
      </w:r>
      <w:r>
        <w:rPr>
          <w:rFonts w:hint="eastAsia"/>
          <w:color w:val="auto"/>
          <w:szCs w:val="32"/>
          <w:highlight w:val="none"/>
        </w:rPr>
        <w:t>金融发展中心</w:t>
      </w:r>
      <w:r>
        <w:rPr>
          <w:color w:val="auto"/>
          <w:szCs w:val="32"/>
          <w:highlight w:val="none"/>
        </w:rPr>
        <w:t>）</w:t>
      </w:r>
    </w:p>
    <w:p>
      <w:pPr>
        <w:spacing w:line="570" w:lineRule="exact"/>
        <w:ind w:firstLine="640" w:firstLineChars="200"/>
        <w:rPr>
          <w:color w:val="auto"/>
          <w:szCs w:val="32"/>
          <w:highlight w:val="none"/>
        </w:rPr>
      </w:pPr>
      <w:r>
        <w:rPr>
          <w:rFonts w:eastAsia="方正楷体_GBK"/>
          <w:color w:val="auto"/>
          <w:szCs w:val="32"/>
          <w:highlight w:val="none"/>
        </w:rPr>
        <w:t>（十七）建立健全长期照护服务体系。</w:t>
      </w:r>
      <w:r>
        <w:rPr>
          <w:color w:val="auto"/>
          <w:szCs w:val="32"/>
          <w:highlight w:val="none"/>
        </w:rPr>
        <w:t>按照全市统一部署健全适合全区的长期护理保险制度，为长期失能的参保老年人提供更加精准的生活照料和与生活照料密切相关的护理服务，减轻家庭照护压力，提升专业照护水平。</w:t>
      </w:r>
      <w:r>
        <w:rPr>
          <w:rFonts w:hint="eastAsia" w:ascii="Times New Roman" w:hAnsi="Times New Roman" w:eastAsia="方正仿宋_GBK" w:cs="Times New Roman"/>
          <w:sz w:val="32"/>
          <w:szCs w:val="32"/>
          <w:highlight w:val="none"/>
          <w:u w:val="none"/>
          <w:lang w:eastAsia="zh-CN"/>
        </w:rPr>
        <w:t>严格执行国家医保局制定的失能评估标准，将评估结果作为是否享受长期护理保险待遇的依据</w:t>
      </w:r>
      <w:r>
        <w:rPr>
          <w:rFonts w:hint="eastAsia" w:cs="Times New Roman"/>
          <w:sz w:val="32"/>
          <w:szCs w:val="32"/>
          <w:highlight w:val="none"/>
          <w:u w:val="none"/>
          <w:lang w:eastAsia="zh-CN"/>
        </w:rPr>
        <w:t>。</w:t>
      </w:r>
      <w:r>
        <w:rPr>
          <w:color w:val="auto"/>
          <w:szCs w:val="32"/>
          <w:highlight w:val="none"/>
        </w:rPr>
        <w:t>以居家照护为重点，贯彻落实全市建立的与居家、社区、机构和住院护理等相适宜的长护险服务内容和支付标准。（区医保局、区民政局、区财政局、区卫生健康委、区</w:t>
      </w:r>
      <w:r>
        <w:rPr>
          <w:rFonts w:hint="eastAsia"/>
          <w:color w:val="auto"/>
          <w:szCs w:val="32"/>
          <w:highlight w:val="none"/>
        </w:rPr>
        <w:t>金融发展中心</w:t>
      </w:r>
      <w:r>
        <w:rPr>
          <w:color w:val="auto"/>
          <w:szCs w:val="32"/>
          <w:highlight w:val="none"/>
        </w:rPr>
        <w:t>）</w:t>
      </w:r>
    </w:p>
    <w:p>
      <w:pPr>
        <w:spacing w:line="570" w:lineRule="exact"/>
        <w:ind w:firstLine="640" w:firstLineChars="200"/>
        <w:rPr>
          <w:color w:val="auto"/>
          <w:szCs w:val="32"/>
          <w:highlight w:val="none"/>
        </w:rPr>
      </w:pPr>
      <w:r>
        <w:rPr>
          <w:rFonts w:eastAsia="方正楷体_GBK"/>
          <w:color w:val="auto"/>
          <w:szCs w:val="32"/>
          <w:highlight w:val="none"/>
        </w:rPr>
        <w:t>（十八）完善医疗服务支持制度。</w:t>
      </w:r>
      <w:r>
        <w:rPr>
          <w:color w:val="auto"/>
          <w:szCs w:val="32"/>
          <w:highlight w:val="none"/>
        </w:rPr>
        <w:t>医疗机构设置的医养结合、老年病、安宁疗护等床位不列入平均住院日统计指标。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w:t>
      </w:r>
    </w:p>
    <w:p>
      <w:pPr>
        <w:spacing w:line="570" w:lineRule="exact"/>
        <w:ind w:firstLine="640" w:firstLineChars="200"/>
        <w:rPr>
          <w:color w:val="auto"/>
          <w:szCs w:val="32"/>
          <w:highlight w:val="none"/>
        </w:rPr>
      </w:pPr>
      <w:r>
        <w:rPr>
          <w:color w:val="auto"/>
          <w:szCs w:val="32"/>
          <w:highlight w:val="none"/>
        </w:rPr>
        <w:t>支持开展上门服务。完善家庭医生签约服务保障激励机制，</w:t>
      </w:r>
      <w:r>
        <w:rPr>
          <w:rFonts w:ascii="Times New Roman" w:hAnsi="Times New Roman" w:eastAsia="方正仿宋_GBK" w:cs="Times New Roman"/>
          <w:b w:val="0"/>
          <w:bCs w:val="0"/>
          <w:kern w:val="0"/>
          <w:sz w:val="32"/>
          <w:szCs w:val="32"/>
          <w:highlight w:val="none"/>
        </w:rPr>
        <w:t>基层医疗卫生机构在分配绩效工资时重点</w:t>
      </w:r>
      <w:r>
        <w:rPr>
          <w:rFonts w:ascii="Times New Roman" w:hAnsi="Times New Roman" w:eastAsia="方正仿宋_GBK" w:cs="Times New Roman"/>
          <w:b w:val="0"/>
          <w:bCs w:val="0"/>
          <w:kern w:val="0"/>
          <w:sz w:val="32"/>
          <w:szCs w:val="32"/>
          <w:highlight w:val="none"/>
          <w:lang w:val="zh-CN"/>
        </w:rPr>
        <w:t>向医务水平强、医德医风好、患者满意度高的家庭医生或医务团队适当倾斜</w:t>
      </w:r>
      <w:r>
        <w:rPr>
          <w:color w:val="auto"/>
          <w:szCs w:val="32"/>
          <w:highlight w:val="none"/>
        </w:rPr>
        <w:t>。提供上门服务的机构要投保责任险、医疗意外险、人身意外险等，防范应对执业风险和人身安全风险。落实老年慢性病用药长期处方制度。（区卫生健康委、区财政局、区医保局、区人力社保局、区</w:t>
      </w:r>
      <w:r>
        <w:rPr>
          <w:rFonts w:hint="eastAsia"/>
          <w:color w:val="auto"/>
          <w:szCs w:val="32"/>
          <w:highlight w:val="none"/>
        </w:rPr>
        <w:t>金融发展中心</w:t>
      </w:r>
      <w:r>
        <w:rPr>
          <w:color w:val="auto"/>
          <w:szCs w:val="32"/>
          <w:highlight w:val="none"/>
        </w:rPr>
        <w:t>）</w:t>
      </w:r>
    </w:p>
    <w:p>
      <w:pPr>
        <w:spacing w:line="570" w:lineRule="exact"/>
        <w:ind w:firstLine="640" w:firstLineChars="200"/>
        <w:rPr>
          <w:color w:val="auto"/>
          <w:szCs w:val="32"/>
          <w:highlight w:val="none"/>
        </w:rPr>
      </w:pPr>
      <w:r>
        <w:rPr>
          <w:rFonts w:eastAsia="方正楷体_GBK"/>
          <w:color w:val="auto"/>
          <w:szCs w:val="32"/>
          <w:highlight w:val="none"/>
        </w:rPr>
        <w:t>（十九）加强人才队伍建设。</w:t>
      </w:r>
      <w:r>
        <w:rPr>
          <w:color w:val="auto"/>
          <w:szCs w:val="32"/>
          <w:highlight w:val="none"/>
        </w:rPr>
        <w:t>扩大医养结合服务队伍，将医养结合人才队伍建设分别纳入卫生健康和养老服务发展规划，</w:t>
      </w:r>
      <w:r>
        <w:rPr>
          <w:rFonts w:hint="eastAsia" w:ascii="方正仿宋_GBK" w:hAnsi="方正仿宋_GBK" w:cs="方正仿宋_GBK"/>
          <w:color w:val="auto"/>
          <w:szCs w:val="32"/>
          <w:highlight w:val="none"/>
        </w:rPr>
        <w:t>支持引导中等职业学校提供助力提升老年人现代生活品质的社会性短期培训，为企业提供从职人员短期培训支持</w:t>
      </w:r>
      <w:r>
        <w:rPr>
          <w:color w:val="auto"/>
          <w:szCs w:val="32"/>
          <w:highlight w:val="none"/>
        </w:rPr>
        <w:t>。统筹现有资源，设立医养结合培训基地、康复护理培训基地、安宁疗护病区或床位，探索职业院校、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spacing w:line="570" w:lineRule="exact"/>
        <w:ind w:firstLine="640" w:firstLineChars="200"/>
        <w:rPr>
          <w:color w:val="auto"/>
          <w:szCs w:val="32"/>
          <w:highlight w:val="none"/>
        </w:rPr>
      </w:pPr>
      <w:r>
        <w:rPr>
          <w:color w:val="auto"/>
          <w:szCs w:val="32"/>
          <w:highlight w:val="none"/>
        </w:rPr>
        <w:t>支持医务人员从事医养结合服务，实施医师执业地点区域注册制度，支持医务人员到医养结合机构执业。医养结合机构中的医务人员享有与其他医疗卫生机构同等的职称评定、专业技术人员继续教育等待遇。建立医养结合机构医务人员进修轮训机制，提高其服务能力和水平。建立基层医疗卫生机构参与健康养老服务的激励机制，鼓励退休医务人员到医养结合机构执业。</w:t>
      </w:r>
    </w:p>
    <w:p>
      <w:pPr>
        <w:spacing w:line="570" w:lineRule="exact"/>
        <w:ind w:firstLine="640" w:firstLineChars="200"/>
        <w:rPr>
          <w:color w:val="auto"/>
          <w:szCs w:val="32"/>
          <w:highlight w:val="none"/>
        </w:rPr>
      </w:pPr>
      <w:r>
        <w:rPr>
          <w:color w:val="auto"/>
          <w:szCs w:val="32"/>
          <w:highlight w:val="none"/>
        </w:rPr>
        <w:t>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w:t>
      </w:r>
    </w:p>
    <w:p>
      <w:pPr>
        <w:spacing w:line="570" w:lineRule="exact"/>
        <w:ind w:firstLine="640" w:firstLineChars="200"/>
        <w:rPr>
          <w:rFonts w:eastAsia="方正黑体_GBK"/>
          <w:color w:val="auto"/>
          <w:szCs w:val="32"/>
          <w:highlight w:val="none"/>
        </w:rPr>
      </w:pPr>
      <w:r>
        <w:rPr>
          <w:rFonts w:eastAsia="方正黑体_GBK"/>
          <w:color w:val="auto"/>
          <w:szCs w:val="32"/>
          <w:highlight w:val="none"/>
        </w:rPr>
        <w:t>四、组织实施</w:t>
      </w:r>
    </w:p>
    <w:p>
      <w:pPr>
        <w:spacing w:line="570" w:lineRule="exact"/>
        <w:ind w:firstLine="640" w:firstLineChars="200"/>
        <w:rPr>
          <w:color w:val="auto"/>
          <w:szCs w:val="32"/>
          <w:highlight w:val="none"/>
        </w:rPr>
      </w:pPr>
      <w:r>
        <w:rPr>
          <w:rFonts w:eastAsia="方正楷体_GBK"/>
          <w:color w:val="auto"/>
          <w:szCs w:val="32"/>
          <w:highlight w:val="none"/>
        </w:rPr>
        <w:t>（二十）加强组织领导。</w:t>
      </w:r>
      <w:r>
        <w:rPr>
          <w:color w:val="auto"/>
          <w:szCs w:val="32"/>
          <w:highlight w:val="none"/>
        </w:rPr>
        <w:t>强化医养结合领导机制，健全政府主导、部门联动、社会参与、协同推进的工作机制，确保各项工作措施落到实处。各有关部门（单位）要各司其职，进一步加强协调配合，形成合力，推进医养结合发展。</w:t>
      </w:r>
    </w:p>
    <w:p>
      <w:pPr>
        <w:spacing w:line="570" w:lineRule="exact"/>
        <w:ind w:firstLine="640" w:firstLineChars="200"/>
        <w:rPr>
          <w:color w:val="auto"/>
          <w:szCs w:val="32"/>
          <w:highlight w:val="none"/>
        </w:rPr>
      </w:pPr>
      <w:r>
        <w:rPr>
          <w:rFonts w:eastAsia="方正楷体_GBK"/>
          <w:color w:val="auto"/>
          <w:szCs w:val="32"/>
          <w:highlight w:val="none"/>
        </w:rPr>
        <w:t>（二十一）加强督促指导。</w:t>
      </w:r>
      <w:r>
        <w:rPr>
          <w:color w:val="auto"/>
          <w:szCs w:val="32"/>
          <w:highlight w:val="none"/>
        </w:rPr>
        <w:t>卫生健康、民政等有关部门要按照本方案，结合部门职责，将医养结合纳入本部门年度工作重点，加强对医养结合工作的日常监督管理，密切跟踪各单位工作进展，适时开展工作督导，推动解决工作中的重大问题，及时总结推广好的经验和做法，不断完善相关政策，促进医养结合健康发展。</w:t>
      </w:r>
    </w:p>
    <w:p>
      <w:pPr>
        <w:spacing w:line="570" w:lineRule="exact"/>
        <w:ind w:firstLine="640" w:firstLineChars="200"/>
        <w:rPr>
          <w:color w:val="auto"/>
          <w:szCs w:val="32"/>
          <w:highlight w:val="none"/>
        </w:rPr>
      </w:pPr>
      <w:r>
        <w:rPr>
          <w:rFonts w:eastAsia="方正楷体_GBK"/>
          <w:color w:val="auto"/>
          <w:szCs w:val="32"/>
          <w:highlight w:val="none"/>
        </w:rPr>
        <w:t>（二十二）实施试点示范。</w:t>
      </w:r>
      <w:r>
        <w:rPr>
          <w:color w:val="auto"/>
          <w:szCs w:val="32"/>
          <w:highlight w:val="none"/>
        </w:rPr>
        <w:t>根据市、区相关要求开展医养结合试点示范区县和机构创建，对落实政策积极主动、成绩突出的单位，在项目立项、资金安排等方面予以倾斜支持，发挥其示范带动作用，推动全区医养结合工作深入健康发展。</w:t>
      </w: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spacing w:line="380" w:lineRule="exact"/>
        <w:ind w:firstLine="640" w:firstLineChars="200"/>
        <w:rPr>
          <w:color w:val="auto"/>
          <w:highlight w:val="none"/>
        </w:rPr>
      </w:pPr>
    </w:p>
    <w:p>
      <w:pPr>
        <w:rPr>
          <w:color w:val="auto"/>
          <w:highlight w:val="none"/>
        </w:rPr>
      </w:pPr>
    </w:p>
    <w:sectPr>
      <w:headerReference r:id="rId3" w:type="default"/>
      <w:footerReference r:id="rId5" w:type="default"/>
      <w:headerReference r:id="rId4" w:type="even"/>
      <w:footerReference r:id="rId6" w:type="even"/>
      <w:pgSz w:w="11906" w:h="16838"/>
      <w:pgMar w:top="2098" w:right="1474" w:bottom="1985" w:left="1588"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eastAsia="宋体"/>
        <w:sz w:val="28"/>
        <w:szCs w:val="28"/>
      </w:rPr>
    </w:pPr>
    <w:r>
      <w:rPr>
        <w:rFonts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16</w:t>
    </w:r>
    <w:r>
      <w:rPr>
        <w:rFonts w:ascii="宋体" w:hAnsi="宋体" w:eastAsia="宋体"/>
        <w:sz w:val="28"/>
        <w:szCs w:val="28"/>
      </w:rPr>
      <w:fldChar w:fldCharType="end"/>
    </w:r>
    <w:r>
      <w:rPr>
        <w:sz w:val="28"/>
        <w:szCs w:val="28"/>
      </w:rPr>
      <w:t xml:space="preserve"> —</w:t>
    </w:r>
  </w:p>
  <w:p>
    <w:pPr>
      <w:pStyle w:val="2"/>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jg3ZDk1YzgxMmUyZGJmM2U1NDk0NzU3MjU0NTEifQ=="/>
    <w:docVar w:name="KSO_WPS_MARK_KEY" w:val="2415b73c-3128-4b2b-b317-1e2c0d007f79"/>
  </w:docVars>
  <w:rsids>
    <w:rsidRoot w:val="28A90863"/>
    <w:rsid w:val="000124BD"/>
    <w:rsid w:val="00095C18"/>
    <w:rsid w:val="000C1BEF"/>
    <w:rsid w:val="000F65A2"/>
    <w:rsid w:val="00103A31"/>
    <w:rsid w:val="003320BB"/>
    <w:rsid w:val="003D70E6"/>
    <w:rsid w:val="004B4485"/>
    <w:rsid w:val="0057158E"/>
    <w:rsid w:val="00650E13"/>
    <w:rsid w:val="006D65C9"/>
    <w:rsid w:val="006E1A3F"/>
    <w:rsid w:val="007F1316"/>
    <w:rsid w:val="008167CD"/>
    <w:rsid w:val="00845E5A"/>
    <w:rsid w:val="00865252"/>
    <w:rsid w:val="009905F8"/>
    <w:rsid w:val="009D281D"/>
    <w:rsid w:val="009E16BB"/>
    <w:rsid w:val="00A72318"/>
    <w:rsid w:val="00AC0FF6"/>
    <w:rsid w:val="00C15B24"/>
    <w:rsid w:val="00C30950"/>
    <w:rsid w:val="00CB1EED"/>
    <w:rsid w:val="00CB6826"/>
    <w:rsid w:val="00D35CBC"/>
    <w:rsid w:val="00EA494A"/>
    <w:rsid w:val="00F11A9E"/>
    <w:rsid w:val="02294529"/>
    <w:rsid w:val="02F2197A"/>
    <w:rsid w:val="04036671"/>
    <w:rsid w:val="0450696F"/>
    <w:rsid w:val="06277B8D"/>
    <w:rsid w:val="07FC7C87"/>
    <w:rsid w:val="0A3C15A6"/>
    <w:rsid w:val="0A895C08"/>
    <w:rsid w:val="10A32505"/>
    <w:rsid w:val="125C0BBE"/>
    <w:rsid w:val="15763D45"/>
    <w:rsid w:val="157D50D3"/>
    <w:rsid w:val="15A24B3A"/>
    <w:rsid w:val="15A9236C"/>
    <w:rsid w:val="15C251DC"/>
    <w:rsid w:val="15CA5E3E"/>
    <w:rsid w:val="18385ABC"/>
    <w:rsid w:val="188E2E5F"/>
    <w:rsid w:val="1AA17AB6"/>
    <w:rsid w:val="1B812FB9"/>
    <w:rsid w:val="1E812C55"/>
    <w:rsid w:val="1FFF42BC"/>
    <w:rsid w:val="20880DD0"/>
    <w:rsid w:val="22F62969"/>
    <w:rsid w:val="23024E6A"/>
    <w:rsid w:val="23253DBD"/>
    <w:rsid w:val="232B7F13"/>
    <w:rsid w:val="282E04AF"/>
    <w:rsid w:val="28A90863"/>
    <w:rsid w:val="2B7D7783"/>
    <w:rsid w:val="2BB313F7"/>
    <w:rsid w:val="2E5844D8"/>
    <w:rsid w:val="309B68D7"/>
    <w:rsid w:val="30F83C67"/>
    <w:rsid w:val="39C14A1C"/>
    <w:rsid w:val="3A175247"/>
    <w:rsid w:val="3ED7329D"/>
    <w:rsid w:val="42B23A97"/>
    <w:rsid w:val="46C46E93"/>
    <w:rsid w:val="4C1A4EDA"/>
    <w:rsid w:val="4C7D362F"/>
    <w:rsid w:val="4CEC4160"/>
    <w:rsid w:val="4E0B6A19"/>
    <w:rsid w:val="4FE82F87"/>
    <w:rsid w:val="50B742C9"/>
    <w:rsid w:val="51B4132A"/>
    <w:rsid w:val="52483D98"/>
    <w:rsid w:val="5C6222B9"/>
    <w:rsid w:val="5E3039D9"/>
    <w:rsid w:val="5E79352B"/>
    <w:rsid w:val="5EEB0F12"/>
    <w:rsid w:val="60063D1C"/>
    <w:rsid w:val="603D6DF3"/>
    <w:rsid w:val="68923D73"/>
    <w:rsid w:val="6F194230"/>
    <w:rsid w:val="77334767"/>
    <w:rsid w:val="78397B5B"/>
    <w:rsid w:val="78601357"/>
    <w:rsid w:val="797B6815"/>
    <w:rsid w:val="79A27982"/>
    <w:rsid w:val="7D866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54CF-AC52-4B40-BE9D-887F234644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6586</Words>
  <Characters>6608</Characters>
  <Lines>50</Lines>
  <Paragraphs>14</Paragraphs>
  <TotalTime>0</TotalTime>
  <ScaleCrop>false</ScaleCrop>
  <LinksUpToDate>false</LinksUpToDate>
  <CharactersWithSpaces>6638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2023-02-03T07:18:00Z</dcterms:created>
  <dc:creator>WPS_1008852282</dc:creator>
  <cp:lastModifiedBy>WPS_1008852282</cp:lastModifiedBy>
  <dcterms:modified xsi:type="dcterms:W3CDTF">2023-07-13T07:39:52Z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8228B4D832DA4EC6A88E2D82F2B5E97B_13</vt:lpwstr>
  </property>
</Properties>
</file>