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1"/>
          <w:w w:val="96"/>
          <w:kern w:val="0"/>
          <w:sz w:val="36"/>
          <w:szCs w:val="36"/>
          <w:highlight w:val="none"/>
          <w:fitText w:val="6228" w:id="424308988"/>
        </w:rPr>
        <w:t>大渡口区医保局</w:t>
      </w:r>
      <w:r>
        <w:rPr>
          <w:rFonts w:hint="eastAsia" w:ascii="方正黑体_GBK" w:hAnsi="方正黑体_GBK" w:eastAsia="方正黑体_GBK" w:cs="方正黑体_GBK"/>
          <w:b w:val="0"/>
          <w:bCs w:val="0"/>
          <w:color w:val="auto"/>
          <w:spacing w:val="1"/>
          <w:w w:val="96"/>
          <w:kern w:val="0"/>
          <w:sz w:val="36"/>
          <w:szCs w:val="36"/>
          <w:highlight w:val="none"/>
          <w:fitText w:val="6228" w:id="424308988"/>
          <w:lang w:val="en-US" w:eastAsia="zh-CN"/>
        </w:rPr>
        <w:t>办公区玻璃隔断</w:t>
      </w:r>
      <w:r>
        <w:rPr>
          <w:rFonts w:hint="eastAsia" w:ascii="方正黑体_GBK" w:hAnsi="方正黑体_GBK" w:eastAsia="方正黑体_GBK" w:cs="方正黑体_GBK"/>
          <w:b w:val="0"/>
          <w:bCs w:val="0"/>
          <w:color w:val="auto"/>
          <w:spacing w:val="1"/>
          <w:w w:val="96"/>
          <w:kern w:val="0"/>
          <w:sz w:val="36"/>
          <w:szCs w:val="36"/>
          <w:highlight w:val="none"/>
          <w:fitText w:val="6228" w:id="424308988"/>
        </w:rPr>
        <w:t>采购文</w:t>
      </w:r>
      <w:r>
        <w:rPr>
          <w:rFonts w:hint="eastAsia" w:ascii="方正黑体_GBK" w:hAnsi="方正黑体_GBK" w:eastAsia="方正黑体_GBK" w:cs="方正黑体_GBK"/>
          <w:b w:val="0"/>
          <w:bCs w:val="0"/>
          <w:color w:val="auto"/>
          <w:spacing w:val="9"/>
          <w:w w:val="96"/>
          <w:kern w:val="0"/>
          <w:sz w:val="36"/>
          <w:szCs w:val="36"/>
          <w:highlight w:val="none"/>
          <w:fitText w:val="6228" w:id="424308988"/>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lang w:val="en-US" w:eastAsia="zh-CN"/>
        </w:rPr>
        <w:t>询价文件</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18159"/>
      <w:bookmarkStart w:id="1" w:name="_Toc313893526"/>
      <w:bookmarkStart w:id="2" w:name="_Toc317775175"/>
      <w:bookmarkStart w:id="3" w:name="_Toc7625"/>
      <w:bookmarkStart w:id="4" w:name="_Toc18881"/>
      <w:bookmarkStart w:id="5" w:name="_Toc3463"/>
      <w:bookmarkStart w:id="6" w:name="_Toc26820"/>
      <w:bookmarkStart w:id="7" w:name="_Toc25458"/>
      <w:bookmarkStart w:id="8" w:name="_Toc12808"/>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212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2127"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422"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eastAsia="宋体" w:cs="宋体"/>
                <w:color w:val="auto"/>
                <w:sz w:val="24"/>
                <w:szCs w:val="24"/>
                <w:highlight w:val="none"/>
                <w:lang w:val="en-US" w:eastAsia="zh-CN"/>
              </w:rPr>
              <w:t>办公区玻璃隔断采购</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w:t>
            </w:r>
          </w:p>
        </w:tc>
        <w:tc>
          <w:tcPr>
            <w:tcW w:w="2127"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办公场所设施设备购置</w:t>
            </w:r>
          </w:p>
        </w:tc>
        <w:tc>
          <w:tcPr>
            <w:tcW w:w="1422"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p>
        </w:tc>
      </w:tr>
      <w:bookmarkEnd w:id="9"/>
    </w:tbl>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6462"/>
      <w:bookmarkStart w:id="11" w:name="_Toc15727"/>
      <w:bookmarkStart w:id="12" w:name="_Toc25190"/>
      <w:bookmarkStart w:id="13" w:name="_Toc1790"/>
      <w:bookmarkStart w:id="14" w:name="_Toc19437"/>
      <w:bookmarkStart w:id="15" w:name="_Toc22399"/>
      <w:bookmarkStart w:id="16" w:name="_Toc15576"/>
      <w:bookmarkStart w:id="17" w:name="_Toc373860293"/>
      <w:bookmarkStart w:id="18" w:name="_Toc317775178"/>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资格</w:t>
      </w:r>
      <w:bookmarkEnd w:id="10"/>
      <w:bookmarkEnd w:id="11"/>
      <w:bookmarkEnd w:id="12"/>
      <w:bookmarkEnd w:id="13"/>
      <w:bookmarkEnd w:id="14"/>
      <w:bookmarkEnd w:id="15"/>
      <w:bookmarkEnd w:id="16"/>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三、采购需求及</w:t>
      </w:r>
      <w:r>
        <w:rPr>
          <w:rFonts w:hint="eastAsia" w:ascii="宋体" w:hAnsi="宋体" w:eastAsia="宋体" w:cs="宋体"/>
          <w:color w:val="auto"/>
          <w:sz w:val="24"/>
          <w:szCs w:val="24"/>
          <w:highlight w:val="none"/>
          <w:lang w:val="en-US" w:eastAsia="zh-CN"/>
        </w:rPr>
        <w:t>参数</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在3个办公用房内安装玻璃隔断，并将木门安装至隔断及原有门框恢复等，</w:t>
      </w:r>
      <w:r>
        <w:rPr>
          <w:rFonts w:hint="eastAsia" w:ascii="宋体" w:hAnsi="宋体" w:eastAsia="宋体" w:cs="宋体"/>
          <w:color w:val="auto"/>
          <w:sz w:val="24"/>
          <w:szCs w:val="24"/>
          <w:highlight w:val="none"/>
          <w:lang w:val="en-US" w:eastAsia="zh-CN"/>
        </w:rPr>
        <w:t>包含所有主辅材材料费及损耗、</w:t>
      </w:r>
      <w:r>
        <w:rPr>
          <w:rFonts w:hint="eastAsia" w:ascii="宋体" w:hAnsi="宋体" w:cs="宋体"/>
          <w:color w:val="auto"/>
          <w:sz w:val="24"/>
          <w:szCs w:val="24"/>
          <w:highlight w:val="none"/>
          <w:lang w:val="en-US" w:eastAsia="zh-CN"/>
        </w:rPr>
        <w:t>安装、</w:t>
      </w:r>
      <w:r>
        <w:rPr>
          <w:rFonts w:hint="eastAsia" w:ascii="宋体" w:hAnsi="宋体" w:eastAsia="宋体" w:cs="宋体"/>
          <w:color w:val="auto"/>
          <w:sz w:val="24"/>
          <w:szCs w:val="24"/>
          <w:highlight w:val="none"/>
          <w:lang w:val="en-US" w:eastAsia="zh-CN"/>
        </w:rPr>
        <w:t>运输、出渣、人工费等。</w:t>
      </w:r>
    </w:p>
    <w:tbl>
      <w:tblPr>
        <w:tblStyle w:val="14"/>
        <w:tblW w:w="9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1"/>
        <w:gridCol w:w="3730"/>
        <w:gridCol w:w="691"/>
        <w:gridCol w:w="967"/>
        <w:gridCol w:w="2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11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b/>
                <w:i w:val="0"/>
                <w:color w:val="000000"/>
                <w:sz w:val="24"/>
                <w:szCs w:val="24"/>
                <w:u w:val="none"/>
                <w:lang w:val="en-US" w:eastAsia="zh-CN"/>
              </w:rPr>
            </w:pPr>
            <w:r>
              <w:rPr>
                <w:rFonts w:hint="eastAsia" w:ascii="宋体" w:hAnsi="宋体" w:cs="宋体"/>
                <w:b/>
                <w:i w:val="0"/>
                <w:color w:val="000000"/>
                <w:sz w:val="24"/>
                <w:szCs w:val="24"/>
                <w:u w:val="none"/>
                <w:lang w:val="en-US" w:eastAsia="zh-CN"/>
              </w:rPr>
              <w:t>采购</w:t>
            </w:r>
          </w:p>
          <w:p>
            <w:pPr>
              <w:keepNext w:val="0"/>
              <w:keepLines w:val="0"/>
              <w:widowControl/>
              <w:suppressLineNumbers w:val="0"/>
              <w:jc w:val="center"/>
              <w:textAlignment w:val="bottom"/>
              <w:rPr>
                <w:rFonts w:hint="default"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名称</w:t>
            </w:r>
          </w:p>
        </w:tc>
        <w:tc>
          <w:tcPr>
            <w:tcW w:w="37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参数要求</w:t>
            </w:r>
          </w:p>
        </w:tc>
        <w:tc>
          <w:tcPr>
            <w:tcW w:w="6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9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284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 w:hRule="atLeast"/>
        </w:trPr>
        <w:tc>
          <w:tcPr>
            <w:tcW w:w="118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玻璃隔断</w:t>
            </w:r>
          </w:p>
        </w:tc>
        <w:tc>
          <w:tcPr>
            <w:tcW w:w="373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3.4*2.8m/3.4*2.85m/3.4*2.85m（1.0cm钢化磨砂玻璃）</w:t>
            </w:r>
          </w:p>
        </w:tc>
        <w:tc>
          <w:tcPr>
            <w:tcW w:w="6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9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2842" w:type="dxa"/>
            <w:vMerge w:val="restart"/>
            <w:tcBorders>
              <w:top w:val="nil"/>
              <w:left w:val="nil"/>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Times New Roman"/>
                <w:kern w:val="2"/>
                <w:sz w:val="24"/>
                <w:szCs w:val="24"/>
                <w:lang w:val="en-US" w:eastAsia="zh-CN" w:bidi="ar-SA"/>
              </w:rPr>
              <w:t>主材</w:t>
            </w:r>
            <w:r>
              <w:rPr>
                <w:rFonts w:hint="eastAsia" w:ascii="宋体" w:hAnsi="宋体" w:eastAsia="宋体" w:cs="Times New Roman"/>
                <w:kern w:val="2"/>
                <w:sz w:val="24"/>
                <w:szCs w:val="24"/>
                <w:lang w:val="en-US" w:eastAsia="zh-CN" w:bidi="ar-SA"/>
              </w:rPr>
              <w:t>提供第三方机构的检测报告复印件并加盖厂家鲜章，检测内容须满足参数（原件备查）</w:t>
            </w:r>
            <w:r>
              <w:rPr>
                <w:rFonts w:hint="eastAsia" w:ascii="宋体" w:hAnsi="宋体" w:eastAsia="宋体" w:cs="宋体"/>
                <w:i w:val="0"/>
                <w:color w:val="000000"/>
                <w:kern w:val="0"/>
                <w:sz w:val="24"/>
                <w:szCs w:val="24"/>
                <w:u w:val="none"/>
                <w:lang w:val="en-US" w:eastAsia="zh-CN" w:bidi="ar"/>
              </w:rPr>
              <w:t>在签合同前采购人有权对本次采购物品进行检验，中标人应提供样品配合采购人检验。若无法满足本次招标要求，虚假应标。中标人须承担废标的相关一切责任。</w:t>
            </w:r>
            <w:r>
              <w:rPr>
                <w:rFonts w:hint="eastAsia" w:ascii="宋体" w:hAnsi="宋体" w:cs="Times New Roman"/>
                <w:kern w:val="2"/>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181" w:type="dxa"/>
            <w:tcBorders>
              <w:top w:val="nil"/>
              <w:left w:val="single" w:color="000000" w:sz="8" w:space="0"/>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门洞恢复</w:t>
            </w:r>
          </w:p>
        </w:tc>
        <w:tc>
          <w:tcPr>
            <w:tcW w:w="37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宽920cm*高2080cm(含白色门套及扣条）</w:t>
            </w:r>
          </w:p>
        </w:tc>
        <w:tc>
          <w:tcPr>
            <w:tcW w:w="6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9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副</w:t>
            </w:r>
          </w:p>
        </w:tc>
        <w:tc>
          <w:tcPr>
            <w:tcW w:w="2842"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18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p>
        </w:tc>
        <w:tc>
          <w:tcPr>
            <w:tcW w:w="37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42"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118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铝合金型材</w:t>
            </w:r>
          </w:p>
        </w:tc>
        <w:tc>
          <w:tcPr>
            <w:tcW w:w="373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厚度</w:t>
            </w:r>
            <w:bookmarkStart w:id="48" w:name="_GoBack"/>
            <w:bookmarkEnd w:id="48"/>
            <w:r>
              <w:rPr>
                <w:rFonts w:hint="eastAsia" w:ascii="宋体" w:hAnsi="宋体" w:eastAsia="宋体" w:cs="宋体"/>
                <w:i w:val="0"/>
                <w:color w:val="000000"/>
                <w:sz w:val="24"/>
                <w:szCs w:val="24"/>
                <w:u w:val="none"/>
                <w:lang w:val="en-US" w:eastAsia="zh-CN"/>
              </w:rPr>
              <w:t>20mm及以上</w:t>
            </w:r>
          </w:p>
          <w:p>
            <w:pPr>
              <w:jc w:val="center"/>
              <w:rPr>
                <w:rFonts w:hint="default" w:ascii="宋体" w:hAnsi="宋体" w:eastAsia="宋体" w:cs="宋体"/>
                <w:i w:val="0"/>
                <w:color w:val="000000"/>
                <w:sz w:val="24"/>
                <w:szCs w:val="24"/>
                <w:u w:val="none"/>
                <w:lang w:val="en-US" w:eastAsia="zh-CN"/>
              </w:rPr>
            </w:pPr>
          </w:p>
        </w:tc>
        <w:tc>
          <w:tcPr>
            <w:tcW w:w="6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9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2842"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118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w:t>
            </w:r>
          </w:p>
        </w:tc>
        <w:tc>
          <w:tcPr>
            <w:tcW w:w="373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color w:val="auto"/>
                <w:sz w:val="24"/>
                <w:szCs w:val="24"/>
                <w:highlight w:val="none"/>
                <w:lang w:val="en-US" w:eastAsia="zh-CN"/>
              </w:rPr>
              <w:t>原有</w:t>
            </w:r>
            <w:r>
              <w:rPr>
                <w:rFonts w:hint="eastAsia" w:ascii="宋体" w:hAnsi="宋体" w:cs="宋体"/>
                <w:color w:val="auto"/>
                <w:sz w:val="24"/>
                <w:szCs w:val="24"/>
                <w:highlight w:val="none"/>
                <w:lang w:val="en-US" w:eastAsia="zh-CN"/>
              </w:rPr>
              <w:t>木门安装至玻璃隔断及原有门框恢复等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主辅材材料费及损耗、</w:t>
            </w:r>
            <w:r>
              <w:rPr>
                <w:rFonts w:hint="eastAsia" w:ascii="宋体" w:hAnsi="宋体" w:cs="宋体"/>
                <w:color w:val="auto"/>
                <w:sz w:val="24"/>
                <w:szCs w:val="24"/>
                <w:highlight w:val="none"/>
                <w:lang w:val="en-US" w:eastAsia="zh-CN"/>
              </w:rPr>
              <w:t>安装、</w:t>
            </w:r>
            <w:r>
              <w:rPr>
                <w:rFonts w:hint="eastAsia" w:ascii="宋体" w:hAnsi="宋体" w:eastAsia="宋体" w:cs="宋体"/>
                <w:color w:val="auto"/>
                <w:sz w:val="24"/>
                <w:szCs w:val="24"/>
                <w:highlight w:val="none"/>
                <w:lang w:val="en-US" w:eastAsia="zh-CN"/>
              </w:rPr>
              <w:t>运输、出渣、人工费等</w:t>
            </w:r>
          </w:p>
        </w:tc>
        <w:tc>
          <w:tcPr>
            <w:tcW w:w="6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9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批</w:t>
            </w:r>
          </w:p>
        </w:tc>
        <w:tc>
          <w:tcPr>
            <w:tcW w:w="2842"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ageBreakBefore w:val="0"/>
        <w:kinsoku/>
        <w:overflowPunct/>
        <w:topLinePunct w:val="0"/>
        <w:bidi w:val="0"/>
        <w:snapToGrid w:val="0"/>
        <w:spacing w:line="240" w:lineRule="auto"/>
        <w:ind w:firstLine="482"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483557553"/>
      <w:bookmarkStart w:id="20" w:name="_Toc15148"/>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采购人在符合审查的供应商中，报价最低的成为成交供应商。</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报价为一次性报价，投标报价包括生产产品的原材料、运输费、安装、售后服务费、税费、搬运</w:t>
      </w:r>
      <w:r>
        <w:rPr>
          <w:rFonts w:hint="eastAsia" w:ascii="宋体" w:hAnsi="宋体" w:cs="宋体"/>
          <w:b w:val="0"/>
          <w:color w:val="auto"/>
          <w:kern w:val="2"/>
          <w:sz w:val="24"/>
          <w:szCs w:val="24"/>
          <w:highlight w:val="none"/>
          <w:lang w:val="en-US" w:eastAsia="zh-CN" w:bidi="ar-SA"/>
        </w:rPr>
        <w:t>、出渣</w:t>
      </w:r>
      <w:r>
        <w:rPr>
          <w:rFonts w:hint="eastAsia" w:ascii="宋体" w:hAnsi="宋体" w:eastAsia="宋体" w:cs="宋体"/>
          <w:b w:val="0"/>
          <w:color w:val="auto"/>
          <w:kern w:val="2"/>
          <w:sz w:val="24"/>
          <w:szCs w:val="24"/>
          <w:highlight w:val="none"/>
          <w:lang w:val="en-US" w:eastAsia="zh-CN" w:bidi="ar-SA"/>
        </w:rPr>
        <w:t>费等一切其它费用。</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b w:val="0"/>
          <w:color w:val="auto"/>
          <w:kern w:val="2"/>
          <w:sz w:val="24"/>
          <w:szCs w:val="24"/>
          <w:highlight w:val="none"/>
          <w:lang w:val="en-US" w:eastAsia="zh-CN" w:bidi="ar-SA"/>
        </w:rPr>
        <w:t>如出现相同最低价供应商，则按照供应商专业资质</w:t>
      </w:r>
      <w:r>
        <w:rPr>
          <w:rFonts w:hint="eastAsia" w:hAnsi="宋体" w:cs="宋体"/>
          <w:b w:val="0"/>
          <w:color w:val="auto"/>
          <w:kern w:val="2"/>
          <w:sz w:val="24"/>
          <w:szCs w:val="24"/>
          <w:highlight w:val="none"/>
          <w:lang w:val="en-US" w:eastAsia="zh-CN" w:bidi="ar-SA"/>
        </w:rPr>
        <w:t>及材料优越性</w:t>
      </w:r>
      <w:r>
        <w:rPr>
          <w:rFonts w:hint="eastAsia" w:ascii="宋体" w:hAnsi="宋体" w:eastAsia="宋体" w:cs="宋体"/>
          <w:b w:val="0"/>
          <w:color w:val="auto"/>
          <w:kern w:val="2"/>
          <w:sz w:val="24"/>
          <w:szCs w:val="24"/>
          <w:highlight w:val="none"/>
          <w:lang w:val="en-US" w:eastAsia="zh-CN" w:bidi="ar-SA"/>
        </w:rPr>
        <w:t>由采购人自行选择成交供应商。</w:t>
      </w:r>
    </w:p>
    <w:p>
      <w:pPr>
        <w:pStyle w:val="4"/>
        <w:spacing w:before="0" w:after="0"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五、成交规则</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评标采取“最低评标价法”。最低评标价法是指投标文件满足采购文件全部实质性要求且投标报价最低的供应商为成交候选人的评标方法。即在全部满足采购文件实质性要求前提下，依据统一的价格要素评定最低报价，以提出最低报价的投标供应商作为成交候选供应商或者成交供应商的评标方法。</w:t>
      </w:r>
    </w:p>
    <w:p>
      <w:pPr>
        <w:pageBreakBefore w:val="0"/>
        <w:kinsoku/>
        <w:wordWrap w:val="0"/>
        <w:overflowPunct/>
        <w:topLinePunct w:val="0"/>
        <w:autoSpaceDE/>
        <w:autoSpaceDN/>
        <w:bidi w:val="0"/>
        <w:spacing w:line="240" w:lineRule="auto"/>
        <w:ind w:firstLine="482" w:firstLineChars="200"/>
        <w:outlineLvl w:val="0"/>
        <w:rPr>
          <w:rFonts w:hint="default" w:ascii="宋体" w:hAnsi="宋体" w:eastAsia="宋体" w:cs="宋体"/>
          <w:b/>
          <w:bCs/>
          <w:color w:val="000000"/>
          <w:sz w:val="24"/>
          <w:szCs w:val="24"/>
          <w:highlight w:val="none"/>
          <w:lang w:val="en-US" w:eastAsia="zh-CN"/>
        </w:rPr>
      </w:pP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w:t>
      </w:r>
      <w:bookmarkStart w:id="21" w:name="_Toc26079"/>
      <w:bookmarkStart w:id="22" w:name="_Toc8777"/>
      <w:bookmarkStart w:id="23" w:name="_Toc28828"/>
      <w:bookmarkStart w:id="24" w:name="_Toc11843"/>
      <w:bookmarkStart w:id="25" w:name="_Toc9608"/>
      <w:bookmarkStart w:id="26" w:name="_Toc12729"/>
      <w:bookmarkStart w:id="27" w:name="_Toc466546914"/>
      <w:bookmarkStart w:id="28" w:name="_Toc344475121"/>
      <w:r>
        <w:rPr>
          <w:rFonts w:hint="eastAsia" w:ascii="宋体" w:hAnsi="宋体" w:eastAsia="宋体" w:cs="宋体"/>
          <w:b/>
          <w:bCs/>
          <w:color w:val="000000"/>
          <w:sz w:val="24"/>
          <w:szCs w:val="24"/>
          <w:highlight w:val="none"/>
          <w:lang w:val="en-US" w:eastAsia="zh-CN"/>
        </w:rPr>
        <w:t>项目</w:t>
      </w:r>
      <w:bookmarkEnd w:id="21"/>
      <w:bookmarkEnd w:id="22"/>
      <w:bookmarkEnd w:id="23"/>
      <w:bookmarkEnd w:id="24"/>
      <w:bookmarkEnd w:id="25"/>
      <w:r>
        <w:rPr>
          <w:rFonts w:hint="eastAsia" w:ascii="宋体" w:hAnsi="宋体" w:cs="宋体"/>
          <w:b/>
          <w:bCs/>
          <w:color w:val="000000"/>
          <w:sz w:val="24"/>
          <w:szCs w:val="24"/>
          <w:highlight w:val="none"/>
          <w:lang w:val="en-US" w:eastAsia="zh-CN"/>
        </w:rPr>
        <w:t>服务期、地点、验收方式</w:t>
      </w:r>
      <w:bookmarkEnd w:id="26"/>
    </w:p>
    <w:p>
      <w:pPr>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（一）服务期</w:t>
      </w:r>
      <w:r>
        <w:rPr>
          <w:rFonts w:hint="eastAsia" w:ascii="宋体" w:hAnsi="宋体" w:eastAsia="宋体" w:cs="宋体"/>
          <w:color w:val="auto"/>
          <w:sz w:val="24"/>
          <w:szCs w:val="24"/>
          <w:highlight w:val="none"/>
          <w:lang w:eastAsia="zh-CN"/>
        </w:rPr>
        <w:t>：</w:t>
      </w:r>
      <w:r>
        <w:rPr>
          <w:rFonts w:hint="eastAsia" w:ascii="宋体" w:hAnsi="宋体" w:eastAsia="宋体" w:cs="宋体"/>
          <w:b w:val="0"/>
          <w:bCs/>
          <w:kern w:val="0"/>
          <w:sz w:val="24"/>
          <w:szCs w:val="24"/>
          <w:highlight w:val="none"/>
          <w:lang w:val="en-US" w:eastAsia="zh-CN" w:bidi="ar-SA"/>
        </w:rPr>
        <w:t>工期15个工作日（以签订合同时规定的日期为准）</w:t>
      </w:r>
      <w:r>
        <w:rPr>
          <w:rFonts w:hint="eastAsia" w:ascii="宋体" w:hAnsi="宋体" w:eastAsia="宋体" w:cs="宋体"/>
          <w:color w:val="auto"/>
          <w:sz w:val="24"/>
          <w:szCs w:val="24"/>
          <w:highlight w:val="none"/>
          <w:lang w:val="en-US" w:eastAsia="zh-CN"/>
        </w:rPr>
        <w:t>。</w:t>
      </w:r>
    </w:p>
    <w:p>
      <w:pPr>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项目地点：重庆市大渡口区松青路80号三楼</w:t>
      </w:r>
      <w:r>
        <w:rPr>
          <w:rFonts w:hint="eastAsia" w:ascii="宋体" w:hAnsi="宋体" w:eastAsia="宋体" w:cs="宋体"/>
          <w:color w:val="000000"/>
          <w:sz w:val="24"/>
          <w:szCs w:val="24"/>
          <w:highlight w:val="none"/>
        </w:rPr>
        <w:t>。</w:t>
      </w:r>
    </w:p>
    <w:p>
      <w:pPr>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验收方式：</w:t>
      </w:r>
      <w:r>
        <w:rPr>
          <w:rFonts w:hint="eastAsia" w:ascii="宋体" w:hAnsi="宋体" w:eastAsia="宋体" w:cs="宋体"/>
          <w:color w:val="auto"/>
          <w:sz w:val="24"/>
          <w:szCs w:val="24"/>
          <w:highlight w:val="none"/>
        </w:rPr>
        <w:t>工程完工后，按国家相关标准验收程序和规程进行验收</w:t>
      </w:r>
      <w:r>
        <w:rPr>
          <w:rFonts w:hint="eastAsia" w:ascii="宋体" w:hAnsi="宋体" w:eastAsia="宋体" w:cs="宋体"/>
          <w:color w:val="000000"/>
          <w:sz w:val="24"/>
          <w:szCs w:val="24"/>
          <w:highlight w:val="none"/>
        </w:rPr>
        <w:t>。</w:t>
      </w:r>
    </w:p>
    <w:bookmarkEnd w:id="27"/>
    <w:bookmarkEnd w:id="28"/>
    <w:p>
      <w:pPr>
        <w:pStyle w:val="12"/>
        <w:rPr>
          <w:sz w:val="21"/>
        </w:rPr>
      </w:pPr>
    </w:p>
    <w:p>
      <w:pPr>
        <w:pageBreakBefore w:val="0"/>
        <w:kinsoku/>
        <w:wordWrap w:val="0"/>
        <w:overflowPunct/>
        <w:topLinePunct w:val="0"/>
        <w:autoSpaceDE/>
        <w:autoSpaceDN/>
        <w:bidi w:val="0"/>
        <w:spacing w:line="240" w:lineRule="auto"/>
        <w:ind w:firstLine="482" w:firstLineChars="200"/>
        <w:outlineLvl w:val="0"/>
        <w:rPr>
          <w:rFonts w:hint="eastAsia" w:ascii="宋体" w:hAnsi="宋体" w:eastAsia="宋体" w:cs="宋体"/>
          <w:b/>
          <w:sz w:val="24"/>
          <w:highlight w:val="none"/>
        </w:rPr>
      </w:pPr>
      <w:bookmarkStart w:id="29" w:name="_Toc20023"/>
      <w:bookmarkStart w:id="30" w:name="_Toc27495"/>
      <w:bookmarkStart w:id="31" w:name="_Toc24286"/>
      <w:r>
        <w:rPr>
          <w:rFonts w:hint="eastAsia" w:ascii="宋体" w:hAnsi="宋体" w:eastAsia="宋体" w:cs="宋体"/>
          <w:b/>
          <w:sz w:val="24"/>
          <w:highlight w:val="none"/>
          <w:lang w:val="en-US" w:eastAsia="zh-CN"/>
        </w:rPr>
        <w:t>七</w:t>
      </w:r>
      <w:r>
        <w:rPr>
          <w:rFonts w:hint="eastAsia" w:ascii="宋体" w:hAnsi="宋体" w:eastAsia="宋体" w:cs="宋体"/>
          <w:b/>
          <w:sz w:val="24"/>
          <w:highlight w:val="none"/>
        </w:rPr>
        <w:t>、其他要求</w:t>
      </w:r>
      <w:bookmarkEnd w:id="29"/>
      <w:bookmarkEnd w:id="30"/>
      <w:bookmarkEnd w:id="31"/>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color w:val="auto"/>
          <w:sz w:val="24"/>
          <w:szCs w:val="18"/>
          <w:highlight w:val="none"/>
          <w:lang w:val="en-US" w:eastAsia="zh-CN"/>
        </w:rPr>
      </w:pPr>
      <w:r>
        <w:rPr>
          <w:rFonts w:hint="eastAsia" w:ascii="宋体" w:hAnsi="宋体" w:eastAsia="宋体" w:cs="宋体"/>
          <w:b w:val="0"/>
          <w:bCs/>
          <w:color w:val="auto"/>
          <w:sz w:val="24"/>
          <w:szCs w:val="18"/>
          <w:highlight w:val="none"/>
          <w:lang w:val="en-US" w:eastAsia="zh-CN"/>
        </w:rPr>
        <w:t>1.其他未尽事宜由供需双方在采购合同中详细约定。</w:t>
      </w:r>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color w:val="auto"/>
          <w:sz w:val="24"/>
          <w:szCs w:val="18"/>
          <w:highlight w:val="none"/>
          <w:lang w:val="en-US" w:eastAsia="zh-CN"/>
        </w:rPr>
      </w:pPr>
      <w:r>
        <w:rPr>
          <w:rFonts w:hint="eastAsia" w:ascii="宋体" w:hAnsi="宋体" w:eastAsia="宋体" w:cs="宋体"/>
          <w:b w:val="0"/>
          <w:bCs/>
          <w:color w:val="auto"/>
          <w:sz w:val="24"/>
          <w:szCs w:val="18"/>
          <w:highlight w:val="none"/>
          <w:lang w:val="en-US" w:eastAsia="zh-CN"/>
        </w:rPr>
        <w:t>2.所有基材质量性能符合国家及行业标准，</w:t>
      </w:r>
      <w:r>
        <w:rPr>
          <w:rFonts w:hint="eastAsia" w:ascii="宋体" w:hAnsi="宋体" w:cs="宋体"/>
          <w:b w:val="0"/>
          <w:bCs/>
          <w:color w:val="auto"/>
          <w:sz w:val="24"/>
          <w:szCs w:val="18"/>
          <w:highlight w:val="none"/>
          <w:lang w:val="en-US" w:eastAsia="zh-CN"/>
        </w:rPr>
        <w:t>成交供应商在签订合同前提供</w:t>
      </w:r>
      <w:r>
        <w:rPr>
          <w:rFonts w:hint="eastAsia" w:ascii="宋体" w:hAnsi="宋体" w:eastAsia="宋体" w:cs="宋体"/>
          <w:b w:val="0"/>
          <w:bCs/>
          <w:color w:val="auto"/>
          <w:sz w:val="24"/>
          <w:szCs w:val="18"/>
          <w:highlight w:val="none"/>
          <w:lang w:val="en-US" w:eastAsia="zh-CN"/>
        </w:rPr>
        <w:t>第三方机构检测报告</w:t>
      </w:r>
      <w:r>
        <w:rPr>
          <w:rFonts w:hint="eastAsia" w:ascii="宋体" w:hAnsi="宋体" w:cs="宋体"/>
          <w:b w:val="0"/>
          <w:bCs/>
          <w:color w:val="auto"/>
          <w:sz w:val="24"/>
          <w:szCs w:val="18"/>
          <w:highlight w:val="none"/>
          <w:lang w:val="en-US" w:eastAsia="zh-CN"/>
        </w:rPr>
        <w:t>复印件供采购人核查</w:t>
      </w:r>
      <w:r>
        <w:rPr>
          <w:rFonts w:hint="eastAsia" w:ascii="宋体" w:hAnsi="宋体" w:eastAsia="宋体" w:cs="宋体"/>
          <w:b w:val="0"/>
          <w:bCs/>
          <w:color w:val="auto"/>
          <w:sz w:val="24"/>
          <w:szCs w:val="18"/>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color w:val="auto"/>
          <w:sz w:val="24"/>
          <w:szCs w:val="18"/>
          <w:highlight w:val="none"/>
          <w:lang w:val="en-US" w:eastAsia="zh-CN"/>
        </w:rPr>
      </w:pPr>
      <w:r>
        <w:rPr>
          <w:rFonts w:hint="eastAsia" w:ascii="宋体" w:hAnsi="宋体" w:eastAsia="宋体" w:cs="宋体"/>
          <w:b w:val="0"/>
          <w:bCs/>
          <w:color w:val="auto"/>
          <w:sz w:val="24"/>
          <w:szCs w:val="18"/>
          <w:highlight w:val="none"/>
          <w:lang w:val="en-US" w:eastAsia="zh-CN"/>
        </w:rPr>
        <w:t>3</w:t>
      </w:r>
      <w:r>
        <w:rPr>
          <w:rFonts w:hint="eastAsia" w:ascii="宋体" w:hAnsi="宋体" w:cs="宋体"/>
          <w:b w:val="0"/>
          <w:bCs/>
          <w:color w:val="auto"/>
          <w:sz w:val="24"/>
          <w:szCs w:val="18"/>
          <w:highlight w:val="none"/>
          <w:lang w:val="en-US" w:eastAsia="zh-CN"/>
        </w:rPr>
        <w:t>.</w:t>
      </w:r>
      <w:r>
        <w:rPr>
          <w:rFonts w:hint="eastAsia" w:ascii="宋体" w:hAnsi="宋体" w:eastAsia="宋体" w:cs="宋体"/>
          <w:b w:val="0"/>
          <w:bCs/>
          <w:color w:val="auto"/>
          <w:sz w:val="24"/>
          <w:szCs w:val="18"/>
          <w:highlight w:val="none"/>
          <w:lang w:val="en-US" w:eastAsia="zh-CN"/>
        </w:rPr>
        <w:t>质量符合国家和重庆市现行有关施工质量验收规范要求，并达到合格标准。</w:t>
      </w:r>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color w:val="auto"/>
          <w:sz w:val="24"/>
          <w:szCs w:val="18"/>
          <w:highlight w:val="none"/>
          <w:lang w:val="en-US" w:eastAsia="zh-CN"/>
        </w:rPr>
      </w:pPr>
      <w:r>
        <w:rPr>
          <w:rFonts w:hint="eastAsia" w:ascii="宋体" w:hAnsi="宋体" w:eastAsia="宋体" w:cs="宋体"/>
          <w:b w:val="0"/>
          <w:bCs/>
          <w:color w:val="auto"/>
          <w:sz w:val="24"/>
          <w:szCs w:val="18"/>
          <w:highlight w:val="none"/>
          <w:lang w:val="en-US" w:eastAsia="zh-CN"/>
        </w:rPr>
        <w:t>4.保修期内，施工质量缺陷维修均为现场服务，由此产生的费用均不再收取。</w:t>
      </w:r>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outlineLvl w:val="9"/>
        <w:rPr>
          <w:rFonts w:hint="default"/>
          <w:highlight w:val="none"/>
          <w:lang w:val="en-US" w:eastAsia="zh-CN"/>
        </w:rPr>
      </w:pPr>
      <w:r>
        <w:rPr>
          <w:rFonts w:hint="eastAsia" w:ascii="宋体" w:hAnsi="宋体" w:eastAsia="宋体" w:cs="宋体"/>
          <w:b w:val="0"/>
          <w:bCs/>
          <w:color w:val="auto"/>
          <w:sz w:val="24"/>
          <w:szCs w:val="18"/>
          <w:highlight w:val="none"/>
          <w:lang w:val="en-US" w:eastAsia="zh-CN"/>
        </w:rPr>
        <w:t>5.质保期期为24个月，自工程通过竣工验收之日起计算。</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、付款方式</w:t>
      </w:r>
      <w:bookmarkEnd w:id="19"/>
      <w:bookmarkEnd w:id="20"/>
    </w:p>
    <w:p>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32" w:name="_Toc487204792"/>
      <w:bookmarkStart w:id="33" w:name="_Toc8739"/>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32"/>
    <w:bookmarkEnd w:id="33"/>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34" w:name="_Toc25886"/>
      <w:bookmarkStart w:id="35" w:name="_Toc20778"/>
      <w:bookmarkStart w:id="36" w:name="_Toc27955"/>
      <w:bookmarkStart w:id="37" w:name="_Toc11828"/>
      <w:bookmarkStart w:id="38" w:name="_Toc5085"/>
      <w:bookmarkStart w:id="39" w:name="_Toc9654"/>
      <w:bookmarkStart w:id="40" w:name="_Toc3475"/>
      <w:bookmarkStart w:id="41" w:name="_Toc15478"/>
      <w:bookmarkStart w:id="42" w:name="_Toc25516"/>
      <w:bookmarkStart w:id="43" w:name="_Toc31315"/>
      <w:bookmarkStart w:id="44" w:name="_Toc13969"/>
      <w:bookmarkStart w:id="45" w:name="_Toc9027"/>
      <w:bookmarkStart w:id="46" w:name="_Toc14778"/>
      <w:bookmarkStart w:id="47" w:name="_Toc19730"/>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、联系方式</w:t>
      </w:r>
      <w:bookmarkEnd w:id="34"/>
      <w:bookmarkEnd w:id="35"/>
      <w:bookmarkEnd w:id="36"/>
      <w:bookmarkEnd w:id="37"/>
      <w:bookmarkEnd w:id="38"/>
      <w:bookmarkEnd w:id="39"/>
      <w:bookmarkEnd w:id="40"/>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卢老师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68871609</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w:t>
      </w:r>
      <w:r>
        <w:rPr>
          <w:rFonts w:hint="eastAsia" w:ascii="宋体" w:hAnsi="宋体" w:eastAsia="宋体" w:cs="宋体"/>
          <w:b w:val="0"/>
          <w:bCs/>
          <w:color w:val="auto"/>
          <w:sz w:val="24"/>
          <w:szCs w:val="18"/>
          <w:highlight w:val="none"/>
          <w:lang w:val="en-US" w:eastAsia="zh-CN"/>
        </w:rPr>
        <w:t>路80号三楼医保局301办公室</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rPr>
        <w:t>、</w:t>
      </w:r>
      <w:bookmarkEnd w:id="41"/>
      <w:bookmarkEnd w:id="42"/>
      <w:bookmarkEnd w:id="43"/>
      <w:bookmarkEnd w:id="44"/>
      <w:bookmarkEnd w:id="45"/>
      <w:bookmarkEnd w:id="46"/>
      <w:bookmarkEnd w:id="47"/>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如需现场测量请于7月3日上午12:00前联系采购人</w:t>
      </w:r>
      <w:r>
        <w:rPr>
          <w:rFonts w:hint="eastAsia" w:ascii="宋体" w:hAnsi="宋体" w:cs="宋体"/>
          <w:color w:val="auto"/>
          <w:sz w:val="24"/>
          <w:szCs w:val="24"/>
          <w:highlight w:val="none"/>
          <w:lang w:eastAsia="zh-CN"/>
        </w:rPr>
        <w:t>）</w:t>
      </w:r>
    </w:p>
    <w:p>
      <w:pPr>
        <w:snapToGrid w:val="0"/>
        <w:spacing w:line="440" w:lineRule="exact"/>
        <w:ind w:firstLine="540"/>
        <w:rPr>
          <w:rFonts w:ascii="方正仿宋_GBK" w:hAnsi="方正仿宋_GBK" w:eastAsia="方正仿宋_GBK" w:cs="方正仿宋_GBK"/>
          <w:sz w:val="32"/>
          <w:szCs w:val="32"/>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报名时间：2024年7月4日10:00-12:00之间到大渡口区松青路80号三楼医保局301办公室线下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w:t>
      </w:r>
      <w:r>
        <w:rPr>
          <w:rFonts w:hint="eastAsia" w:ascii="宋体" w:hAnsi="宋体" w:cs="宋体"/>
          <w:color w:val="auto"/>
          <w:sz w:val="24"/>
          <w:szCs w:val="24"/>
          <w:highlight w:val="none"/>
          <w:lang w:val="en-US" w:eastAsia="zh-CN"/>
        </w:rPr>
        <w:t>提交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评审时间：2024年7月4日下午16点。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结果如何，供应商参与本项目的所有费用均由自行承担。</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供应商必须对以上条款和服务承诺明确列出，承诺内容必须达到要求。供应商</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响应文件须字迹清晰按照规定签字、盖章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未按要求制作响应文件的作废标处理。</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snapToGrid w:val="0"/>
        <w:spacing w:line="360" w:lineRule="auto"/>
        <w:jc w:val="both"/>
        <w:rPr>
          <w:rFonts w:hint="eastAsia" w:ascii="方正小标宋_GBK" w:eastAsia="方正小标宋_GBK"/>
          <w:sz w:val="44"/>
          <w:szCs w:val="44"/>
        </w:rPr>
      </w:pPr>
    </w:p>
    <w:p>
      <w:pPr>
        <w:pStyle w:val="2"/>
        <w:rPr>
          <w:rFonts w:hint="eastAsia" w:ascii="方正小标宋_GBK" w:eastAsia="方正小标宋_GBK"/>
          <w:sz w:val="44"/>
          <w:szCs w:val="44"/>
        </w:rPr>
      </w:pPr>
    </w:p>
    <w:p>
      <w:pPr>
        <w:pStyle w:val="3"/>
        <w:rPr>
          <w:rFonts w:hint="eastAsia"/>
        </w:rPr>
      </w:pPr>
    </w:p>
    <w:p>
      <w:pPr>
        <w:snapToGrid w:val="0"/>
        <w:spacing w:line="360" w:lineRule="auto"/>
        <w:jc w:val="center"/>
      </w:pPr>
      <w:r>
        <w:rPr>
          <w:rFonts w:hint="eastAsia" w:ascii="方正小标宋_GBK" w:eastAsia="方正小标宋_GBK"/>
          <w:sz w:val="44"/>
          <w:szCs w:val="44"/>
        </w:rPr>
        <w:t>供应商编制响应文件要求</w:t>
      </w:r>
    </w:p>
    <w:p>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p/>
    <w:p>
      <w:pPr>
        <w:spacing w:line="360" w:lineRule="auto"/>
        <w:rPr>
          <w:rStyle w:val="18"/>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18"/>
          <w:rFonts w:hint="eastAsia" w:ascii="仿宋_GB2312" w:hAnsi="仿宋_GB2312" w:eastAsia="仿宋_GB2312" w:cs="仿宋_GB2312"/>
          <w:color w:val="auto"/>
          <w:sz w:val="32"/>
          <w:szCs w:val="32"/>
        </w:rPr>
        <w:t>（采购单位名称）：</w:t>
      </w:r>
    </w:p>
    <w:p>
      <w:pPr>
        <w:spacing w:line="360" w:lineRule="auto"/>
        <w:ind w:firstLine="640" w:firstLineChars="200"/>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我方收到</w:t>
      </w:r>
      <w:r>
        <w:rPr>
          <w:rStyle w:val="18"/>
          <w:rFonts w:ascii="仿宋_GB2312" w:hAnsi="仿宋_GB2312" w:eastAsia="仿宋_GB2312" w:cs="仿宋_GB2312"/>
          <w:sz w:val="32"/>
          <w:szCs w:val="32"/>
          <w:u w:val="single"/>
        </w:rPr>
        <w:t xml:space="preserve">                         </w:t>
      </w:r>
      <w:r>
        <w:rPr>
          <w:rStyle w:val="18"/>
          <w:rFonts w:hint="eastAsia" w:ascii="仿宋_GB2312" w:hAnsi="仿宋_GB2312" w:eastAsia="仿宋_GB2312" w:cs="仿宋_GB2312"/>
          <w:sz w:val="32"/>
          <w:szCs w:val="32"/>
        </w:rPr>
        <w:t>（项目名称）的竞采文件，经详细研究，决定参加该项目。</w:t>
      </w:r>
    </w:p>
    <w:p>
      <w:pPr>
        <w:spacing w:line="360" w:lineRule="auto"/>
        <w:ind w:firstLine="640" w:firstLineChars="200"/>
        <w:rPr>
          <w:rStyle w:val="18"/>
          <w:rFonts w:ascii="仿宋_GB2312" w:hAnsi="仿宋_GB2312" w:eastAsia="仿宋_GB2312" w:cs="仿宋_GB2312"/>
          <w:sz w:val="32"/>
          <w:szCs w:val="32"/>
        </w:rPr>
      </w:pPr>
      <w:r>
        <w:rPr>
          <w:rStyle w:val="18"/>
          <w:rFonts w:ascii="仿宋_GB2312" w:hAnsi="仿宋_GB2312" w:eastAsia="仿宋_GB2312" w:cs="仿宋_GB2312"/>
          <w:sz w:val="32"/>
          <w:szCs w:val="32"/>
        </w:rPr>
        <w:t>1</w:t>
      </w:r>
      <w:r>
        <w:rPr>
          <w:rStyle w:val="18"/>
          <w:rFonts w:hint="eastAsia" w:ascii="仿宋_GB2312" w:hAnsi="仿宋_GB2312" w:eastAsia="仿宋_GB2312" w:cs="仿宋_GB2312"/>
          <w:sz w:val="32"/>
          <w:szCs w:val="32"/>
        </w:rPr>
        <w:t>.愿意按照竞采文件中的一切要求，提供本项目的商品、及服务，报价为人民币大写：</w:t>
      </w:r>
      <w:r>
        <w:rPr>
          <w:rStyle w:val="18"/>
          <w:rFonts w:ascii="仿宋_GB2312" w:hAnsi="仿宋_GB2312" w:eastAsia="仿宋_GB2312" w:cs="仿宋_GB2312"/>
          <w:sz w:val="32"/>
          <w:szCs w:val="32"/>
          <w:u w:val="single"/>
        </w:rPr>
        <w:t xml:space="preserve">          </w:t>
      </w:r>
      <w:r>
        <w:rPr>
          <w:rStyle w:val="18"/>
          <w:rFonts w:hint="eastAsia" w:ascii="仿宋_GB2312" w:hAnsi="仿宋_GB2312" w:eastAsia="仿宋_GB2312" w:cs="仿宋_GB2312"/>
          <w:sz w:val="32"/>
          <w:szCs w:val="32"/>
        </w:rPr>
        <w:t>元整；人民币小写</w:t>
      </w:r>
      <w:r>
        <w:rPr>
          <w:rStyle w:val="18"/>
          <w:rFonts w:ascii="仿宋_GB2312" w:hAnsi="仿宋_GB2312" w:eastAsia="仿宋_GB2312" w:cs="仿宋_GB2312"/>
          <w:sz w:val="32"/>
          <w:szCs w:val="32"/>
          <w:u w:val="single"/>
        </w:rPr>
        <w:t xml:space="preserve">          </w:t>
      </w:r>
      <w:r>
        <w:rPr>
          <w:rStyle w:val="18"/>
          <w:rFonts w:hint="eastAsia" w:ascii="仿宋_GB2312" w:hAnsi="仿宋_GB2312" w:eastAsia="仿宋_GB2312" w:cs="仿宋_GB2312"/>
          <w:sz w:val="32"/>
          <w:szCs w:val="32"/>
        </w:rPr>
        <w:t>元。</w:t>
      </w:r>
    </w:p>
    <w:p>
      <w:pPr>
        <w:spacing w:line="360" w:lineRule="auto"/>
        <w:ind w:firstLine="640" w:firstLineChars="200"/>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2</w:t>
      </w:r>
      <w:r>
        <w:rPr>
          <w:rStyle w:val="18"/>
          <w:rFonts w:ascii="仿宋_GB2312" w:hAnsi="仿宋_GB2312" w:eastAsia="仿宋_GB2312" w:cs="仿宋_GB2312"/>
          <w:sz w:val="32"/>
          <w:szCs w:val="32"/>
        </w:rPr>
        <w:t>.</w:t>
      </w:r>
      <w:r>
        <w:rPr>
          <w:rStyle w:val="18"/>
          <w:rFonts w:hint="eastAsia" w:ascii="仿宋_GB2312" w:hAnsi="仿宋_GB2312" w:eastAsia="仿宋_GB2312" w:cs="仿宋_GB2312"/>
          <w:sz w:val="32"/>
          <w:szCs w:val="32"/>
        </w:rPr>
        <w:t>我方现提交的响应文件为：响应文件正本壹份。</w:t>
      </w:r>
    </w:p>
    <w:p>
      <w:pPr>
        <w:spacing w:line="360" w:lineRule="auto"/>
        <w:ind w:firstLine="640" w:firstLineChars="200"/>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3</w:t>
      </w:r>
      <w:r>
        <w:rPr>
          <w:rStyle w:val="18"/>
          <w:rFonts w:ascii="仿宋_GB2312" w:hAnsi="仿宋_GB2312" w:eastAsia="仿宋_GB2312" w:cs="仿宋_GB2312"/>
          <w:sz w:val="32"/>
          <w:szCs w:val="32"/>
        </w:rPr>
        <w:t>.</w:t>
      </w:r>
      <w:r>
        <w:rPr>
          <w:rStyle w:val="18"/>
          <w:rFonts w:hint="eastAsia" w:ascii="仿宋_GB2312" w:hAnsi="仿宋_GB2312" w:eastAsia="仿宋_GB2312" w:cs="仿宋_GB2312"/>
          <w:sz w:val="32"/>
          <w:szCs w:val="32"/>
        </w:rPr>
        <w:t>我方承诺：本次报价的有效期为90天。</w:t>
      </w:r>
    </w:p>
    <w:p>
      <w:pPr>
        <w:spacing w:line="360" w:lineRule="auto"/>
        <w:ind w:firstLine="640" w:firstLineChars="200"/>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4</w:t>
      </w:r>
      <w:r>
        <w:rPr>
          <w:rStyle w:val="18"/>
          <w:rFonts w:ascii="仿宋_GB2312" w:hAnsi="仿宋_GB2312" w:eastAsia="仿宋_GB2312" w:cs="仿宋_GB2312"/>
          <w:sz w:val="32"/>
          <w:szCs w:val="32"/>
        </w:rPr>
        <w:t>.</w:t>
      </w:r>
      <w:r>
        <w:rPr>
          <w:rStyle w:val="18"/>
          <w:rFonts w:hint="eastAsia" w:ascii="仿宋_GB2312" w:hAnsi="仿宋_GB2312" w:eastAsia="仿宋_GB2312" w:cs="仿宋_GB2312"/>
          <w:sz w:val="32"/>
          <w:szCs w:val="32"/>
        </w:rPr>
        <w:t>我方完全理解和接受竞采文件的一切规定、要求和评审办法。</w:t>
      </w:r>
    </w:p>
    <w:p>
      <w:pPr>
        <w:spacing w:line="360" w:lineRule="auto"/>
        <w:ind w:firstLine="640" w:firstLineChars="200"/>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5</w:t>
      </w:r>
      <w:r>
        <w:rPr>
          <w:rStyle w:val="18"/>
          <w:rFonts w:ascii="仿宋_GB2312" w:hAnsi="仿宋_GB2312" w:eastAsia="仿宋_GB2312" w:cs="仿宋_GB2312"/>
          <w:sz w:val="32"/>
          <w:szCs w:val="32"/>
        </w:rPr>
        <w:t>.</w:t>
      </w:r>
      <w:r>
        <w:rPr>
          <w:rStyle w:val="18"/>
          <w:rFonts w:hint="eastAsia" w:ascii="仿宋_GB2312" w:hAnsi="仿宋_GB2312" w:eastAsia="仿宋_GB2312" w:cs="仿宋_GB2312"/>
          <w:sz w:val="32"/>
          <w:szCs w:val="32"/>
        </w:rPr>
        <w:t>在整个采购过程中，我方若有违规行为，愿意接受重庆市政府采购云平台相关管理方的处罚。</w:t>
      </w:r>
    </w:p>
    <w:p>
      <w:pPr>
        <w:spacing w:line="360" w:lineRule="auto"/>
        <w:ind w:firstLine="640" w:firstLineChars="200"/>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6</w:t>
      </w:r>
      <w:r>
        <w:rPr>
          <w:rStyle w:val="18"/>
          <w:rFonts w:ascii="仿宋_GB2312" w:hAnsi="仿宋_GB2312" w:eastAsia="仿宋_GB2312" w:cs="仿宋_GB2312"/>
          <w:sz w:val="32"/>
          <w:szCs w:val="32"/>
        </w:rPr>
        <w:t>.</w:t>
      </w:r>
      <w:r>
        <w:rPr>
          <w:rStyle w:val="18"/>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pPr>
        <w:spacing w:line="360" w:lineRule="auto"/>
        <w:ind w:firstLine="640" w:firstLineChars="200"/>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7</w:t>
      </w:r>
      <w:r>
        <w:rPr>
          <w:rStyle w:val="18"/>
          <w:rFonts w:ascii="仿宋_GB2312" w:hAnsi="仿宋_GB2312" w:eastAsia="仿宋_GB2312" w:cs="仿宋_GB2312"/>
          <w:sz w:val="32"/>
          <w:szCs w:val="32"/>
        </w:rPr>
        <w:t>.</w:t>
      </w:r>
      <w:r>
        <w:rPr>
          <w:rStyle w:val="18"/>
          <w:rFonts w:hint="eastAsia" w:ascii="仿宋_GB2312" w:hAnsi="仿宋_GB2312" w:eastAsia="仿宋_GB2312" w:cs="仿宋_GB2312"/>
          <w:sz w:val="32"/>
          <w:szCs w:val="32"/>
        </w:rPr>
        <w:t>我方理解，最低报价不是成交的唯一条件。</w:t>
      </w:r>
    </w:p>
    <w:p>
      <w:pPr>
        <w:pStyle w:val="20"/>
        <w:spacing w:line="360" w:lineRule="auto"/>
      </w:pPr>
    </w:p>
    <w:p>
      <w:pPr>
        <w:ind w:firstLine="640" w:firstLineChars="200"/>
        <w:jc w:val="right"/>
        <w:rPr>
          <w:rStyle w:val="18"/>
          <w:rFonts w:ascii="仿宋_GB2312" w:hAnsi="仿宋_GB2312" w:eastAsia="仿宋_GB2312" w:cs="仿宋_GB2312"/>
          <w:sz w:val="32"/>
          <w:szCs w:val="32"/>
        </w:rPr>
      </w:pPr>
      <w:r>
        <w:rPr>
          <w:rStyle w:val="18"/>
          <w:rFonts w:hint="eastAsia" w:ascii="仿宋_GB2312" w:hAnsi="仿宋_GB2312" w:eastAsia="仿宋_GB2312" w:cs="仿宋_GB2312"/>
          <w:sz w:val="32"/>
          <w:szCs w:val="32"/>
        </w:rPr>
        <w:t>供应商名称（公章）：</w:t>
      </w:r>
    </w:p>
    <w:p>
      <w:pPr>
        <w:ind w:firstLine="64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18"/>
          <w:rFonts w:ascii="仿宋_GB2312" w:hAnsi="仿宋_GB2312" w:eastAsia="仿宋_GB2312" w:cs="仿宋_GB2312"/>
          <w:sz w:val="32"/>
          <w:szCs w:val="32"/>
        </w:rPr>
        <w:t xml:space="preserve">                                  </w:t>
      </w:r>
      <w:r>
        <w:rPr>
          <w:rStyle w:val="18"/>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pStyle w:val="4"/>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r>
        <w:rPr>
          <w:rFonts w:hint="eastAsia" w:ascii="仿宋_GB2312" w:hAnsi="仿宋_GB2312" w:eastAsia="仿宋_GB2312" w:cs="仿宋_GB2312"/>
          <w:i/>
          <w:iCs/>
          <w:color w:val="FF0000"/>
          <w:szCs w:val="32"/>
          <w:u w:val="single"/>
        </w:rPr>
        <w:t xml:space="preserve">（请采购人自行修改本表） </w:t>
      </w:r>
    </w:p>
    <w:p>
      <w:pPr>
        <w:pStyle w:val="4"/>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4"/>
        <w:tblW w:w="9640" w:type="dxa"/>
        <w:tblInd w:w="-318" w:type="dxa"/>
        <w:tblLayout w:type="fixed"/>
        <w:tblCellMar>
          <w:top w:w="0" w:type="dxa"/>
          <w:left w:w="108" w:type="dxa"/>
          <w:bottom w:w="0" w:type="dxa"/>
          <w:right w:w="108" w:type="dxa"/>
        </w:tblCellMar>
      </w:tblPr>
      <w:tblGrid>
        <w:gridCol w:w="710"/>
        <w:gridCol w:w="5670"/>
        <w:gridCol w:w="709"/>
        <w:gridCol w:w="708"/>
        <w:gridCol w:w="851"/>
        <w:gridCol w:w="992"/>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序号</w:t>
            </w:r>
          </w:p>
        </w:tc>
        <w:tc>
          <w:tcPr>
            <w:tcW w:w="567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方正仿宋_GBK" w:cs="仿宋_GB2312"/>
                <w:b/>
                <w:bCs/>
                <w:kern w:val="0"/>
                <w:sz w:val="24"/>
                <w:szCs w:val="24"/>
              </w:rPr>
            </w:pPr>
            <w:r>
              <w:rPr>
                <w:rFonts w:hint="eastAsia" w:ascii="方正仿宋_GBK" w:hAnsi="宋体" w:eastAsia="方正仿宋_GBK" w:cs="宋体"/>
                <w:b/>
                <w:bCs/>
                <w:kern w:val="0"/>
                <w:sz w:val="24"/>
                <w:szCs w:val="24"/>
              </w:rPr>
              <w:t>产品名称及详细规格</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数量</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pStyle w:val="8"/>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单价</w:t>
            </w:r>
          </w:p>
          <w:p>
            <w:pPr>
              <w:pStyle w:val="8"/>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合计</w:t>
            </w:r>
          </w:p>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6"/>
              <w:spacing w:line="240" w:lineRule="atLeast"/>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6"/>
              <w:spacing w:line="240" w:lineRule="atLeast"/>
              <w:ind w:firstLine="0"/>
              <w:rPr>
                <w:sz w:val="28"/>
                <w:szCs w:val="28"/>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6"/>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6"/>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6"/>
              <w:spacing w:line="240" w:lineRule="atLeast"/>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6"/>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bl>
    <w:p>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 xml:space="preserve">填写要求：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pStyle w:val="21"/>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pPr>
        <w:pStyle w:val="6"/>
      </w:pPr>
    </w:p>
    <w:p>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pPr>
        <w:tabs>
          <w:tab w:val="left" w:pos="6300"/>
        </w:tabs>
        <w:snapToGrid w:val="0"/>
        <w:spacing w:line="360" w:lineRule="auto"/>
        <w:jc w:val="center"/>
        <w:rPr>
          <w:rFonts w:ascii="宋体" w:hAnsi="宋体" w:cs="宋体"/>
          <w:b/>
          <w:bCs/>
          <w:sz w:val="24"/>
          <w:szCs w:val="24"/>
        </w:rPr>
      </w:pP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20"/>
        <w:spacing w:line="360" w:lineRule="auto"/>
      </w:pPr>
    </w:p>
    <w:p>
      <w:pPr>
        <w:tabs>
          <w:tab w:val="left" w:pos="6300"/>
        </w:tabs>
        <w:snapToGrid w:val="0"/>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pPr>
        <w:rPr>
          <w:rFonts w:hint="eastAsia" w:ascii="宋体" w:hAnsi="宋体" w:cs="宋体"/>
          <w:sz w:val="24"/>
          <w:szCs w:val="24"/>
        </w:rPr>
      </w:pPr>
      <w:r>
        <w:rPr>
          <w:rFonts w:ascii="宋体" w:hAnsi="宋体" w:cs="宋体"/>
          <w:sz w:val="24"/>
          <w:szCs w:val="24"/>
        </w:rPr>
        <w:br w:type="page"/>
      </w: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4"/>
        <w:spacing w:line="360" w:lineRule="auto"/>
      </w:pPr>
      <w:r>
        <w:br w:type="page"/>
      </w:r>
    </w:p>
    <w:p>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pPr>
        <w:pStyle w:val="20"/>
      </w:pPr>
    </w:p>
    <w:p>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20"/>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spacing w:line="360" w:lineRule="auto"/>
        <w:jc w:val="right"/>
      </w:pPr>
      <w:r>
        <w:rPr>
          <w:rFonts w:hint="eastAsia" w:ascii="仿宋_GB2312" w:hAnsi="仿宋_GB2312" w:eastAsia="仿宋_GB2312" w:cs="仿宋_GB2312"/>
          <w:sz w:val="32"/>
          <w:szCs w:val="32"/>
        </w:rPr>
        <w:br w:type="page"/>
      </w:r>
    </w:p>
    <w:p>
      <w:pPr>
        <w:tabs>
          <w:tab w:val="left" w:pos="6300"/>
        </w:tabs>
        <w:snapToGrid w:val="0"/>
        <w:spacing w:line="360" w:lineRule="auto"/>
        <w:ind w:right="480" w:firstLine="570"/>
        <w:jc w:val="right"/>
        <w:rPr>
          <w:rFonts w:ascii="宋体" w:hAnsi="宋体" w:cs="宋体"/>
          <w:sz w:val="24"/>
          <w:szCs w:val="24"/>
        </w:rPr>
      </w:pPr>
    </w:p>
    <w:p>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四、特定资格条件证书或证明文件</w:t>
      </w:r>
    </w:p>
    <w:p>
      <w:pPr>
        <w:pStyle w:val="6"/>
        <w:rPr>
          <w:rFonts w:hint="eastAsia"/>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color w:val="auto"/>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rPr>
          <w:color w:val="auto"/>
          <w:highlight w:val="none"/>
        </w:rPr>
      </w:pP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9bn7TRAAAAAwEAAA8AAAAAAAAA&#10;AQAgAAAAIgAAAGRycy9kb3ducmV2LnhtbFBLAQIUABQAAAAIAIdO4kD9JKdjGAIAABMEAAAOAAAA&#10;AAAAAAEAIAAAACABAABkcnMvZTJvRG9jLnhtbFBLBQYAAAAABgAGAFkBAACq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K7FzxrsAQAAtQ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FFGfwfmSyu4cFYbxJYyxNs7q3S3IT55Z&#10;uO6EbdUVIgydEjXxSy+zB08nHB9BNsMbqKmR2AZIQGODJgKSHIzQaU/7027UGJiMLV/kFzllJKWK&#10;p8X5+UXklolyfuzQh1cKDItBxZFWn8DF7taHqXQuib0srHXfp/X39rcLwow3iXzkOzEP42Y8irGB&#10;ek9jIExuIvdT0AF+5mwgJ1XcktU5619bEiKabg5wDjZzIKykhxUPnE3hdZjMuXWo245wZ6mvSKy1&#10;ToNEVScOR5bkjSTF0cfRfA+/U9Wvv23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kUuzQAAAA&#10;AwEAAA8AAAAAAAAAAQAgAAAAIgAAAGRycy9kb3ducmV2LnhtbFBLAQIUABQAAAAIAIdO4kCuxc8a&#10;7AEAALU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08798A"/>
    <w:rsid w:val="006951CE"/>
    <w:rsid w:val="00C400A1"/>
    <w:rsid w:val="00F476E2"/>
    <w:rsid w:val="01791910"/>
    <w:rsid w:val="01822D64"/>
    <w:rsid w:val="01D408F4"/>
    <w:rsid w:val="027D3449"/>
    <w:rsid w:val="0281396C"/>
    <w:rsid w:val="02BB01B7"/>
    <w:rsid w:val="0343146E"/>
    <w:rsid w:val="037E2E51"/>
    <w:rsid w:val="03976FFF"/>
    <w:rsid w:val="039D55F6"/>
    <w:rsid w:val="04532201"/>
    <w:rsid w:val="054D10C0"/>
    <w:rsid w:val="05934538"/>
    <w:rsid w:val="05CD48F9"/>
    <w:rsid w:val="060379C8"/>
    <w:rsid w:val="06EA584A"/>
    <w:rsid w:val="080F5BCA"/>
    <w:rsid w:val="08832305"/>
    <w:rsid w:val="09876F08"/>
    <w:rsid w:val="099F1709"/>
    <w:rsid w:val="0A1D4625"/>
    <w:rsid w:val="0ABE0A9C"/>
    <w:rsid w:val="0AD46A9B"/>
    <w:rsid w:val="0B09683D"/>
    <w:rsid w:val="0B5F3925"/>
    <w:rsid w:val="0BA01C71"/>
    <w:rsid w:val="0BA12222"/>
    <w:rsid w:val="0C1C07A0"/>
    <w:rsid w:val="0C2114A1"/>
    <w:rsid w:val="0CAF5026"/>
    <w:rsid w:val="0CE24FE0"/>
    <w:rsid w:val="0CF4322A"/>
    <w:rsid w:val="0D1623A6"/>
    <w:rsid w:val="0E1377ED"/>
    <w:rsid w:val="0E342E47"/>
    <w:rsid w:val="0EA23611"/>
    <w:rsid w:val="0EA92C58"/>
    <w:rsid w:val="0ED17F49"/>
    <w:rsid w:val="0EE72EF1"/>
    <w:rsid w:val="0F0A4E5E"/>
    <w:rsid w:val="0F9740BA"/>
    <w:rsid w:val="0FF6140D"/>
    <w:rsid w:val="10AC73CE"/>
    <w:rsid w:val="10D0547A"/>
    <w:rsid w:val="117665D8"/>
    <w:rsid w:val="122D527E"/>
    <w:rsid w:val="1273243E"/>
    <w:rsid w:val="13137F2A"/>
    <w:rsid w:val="13872236"/>
    <w:rsid w:val="13CA0DED"/>
    <w:rsid w:val="144B717A"/>
    <w:rsid w:val="14903713"/>
    <w:rsid w:val="15A10682"/>
    <w:rsid w:val="15B676EB"/>
    <w:rsid w:val="15C27729"/>
    <w:rsid w:val="15FA6F2A"/>
    <w:rsid w:val="16AD0244"/>
    <w:rsid w:val="16D3569E"/>
    <w:rsid w:val="177D585E"/>
    <w:rsid w:val="17C65735"/>
    <w:rsid w:val="17E52942"/>
    <w:rsid w:val="17F001BC"/>
    <w:rsid w:val="17F61B9F"/>
    <w:rsid w:val="182B64CD"/>
    <w:rsid w:val="18452495"/>
    <w:rsid w:val="1866622B"/>
    <w:rsid w:val="196E7E2F"/>
    <w:rsid w:val="19C10BCE"/>
    <w:rsid w:val="19CF4BC1"/>
    <w:rsid w:val="1A2F4FD4"/>
    <w:rsid w:val="1A4A7D19"/>
    <w:rsid w:val="1A5465C4"/>
    <w:rsid w:val="1A720D6D"/>
    <w:rsid w:val="1A7D4CB1"/>
    <w:rsid w:val="1AE07BFA"/>
    <w:rsid w:val="1AE80423"/>
    <w:rsid w:val="1C772968"/>
    <w:rsid w:val="1C7D62C6"/>
    <w:rsid w:val="1D372D62"/>
    <w:rsid w:val="1DD400FF"/>
    <w:rsid w:val="1DD93C14"/>
    <w:rsid w:val="1E8C072C"/>
    <w:rsid w:val="1EAC1325"/>
    <w:rsid w:val="1F0426EC"/>
    <w:rsid w:val="200E1226"/>
    <w:rsid w:val="2012571E"/>
    <w:rsid w:val="204C20F6"/>
    <w:rsid w:val="21692022"/>
    <w:rsid w:val="220001D9"/>
    <w:rsid w:val="228B669A"/>
    <w:rsid w:val="22F35816"/>
    <w:rsid w:val="23427BCD"/>
    <w:rsid w:val="23BF7A82"/>
    <w:rsid w:val="24520FC6"/>
    <w:rsid w:val="24F414B1"/>
    <w:rsid w:val="25E55424"/>
    <w:rsid w:val="25FC3BC2"/>
    <w:rsid w:val="26195B2D"/>
    <w:rsid w:val="2624159B"/>
    <w:rsid w:val="26617E4F"/>
    <w:rsid w:val="267140B3"/>
    <w:rsid w:val="26BA76BD"/>
    <w:rsid w:val="27280C17"/>
    <w:rsid w:val="27BB5E5F"/>
    <w:rsid w:val="281F6039"/>
    <w:rsid w:val="28AD5878"/>
    <w:rsid w:val="28FF2A5D"/>
    <w:rsid w:val="298732F4"/>
    <w:rsid w:val="29FD1593"/>
    <w:rsid w:val="2A177349"/>
    <w:rsid w:val="2A2B283C"/>
    <w:rsid w:val="2A303663"/>
    <w:rsid w:val="2A93224C"/>
    <w:rsid w:val="2B1C3D55"/>
    <w:rsid w:val="2B1D654F"/>
    <w:rsid w:val="2B812460"/>
    <w:rsid w:val="2BA80292"/>
    <w:rsid w:val="2BAF7CFB"/>
    <w:rsid w:val="2C2475FA"/>
    <w:rsid w:val="2C280C3B"/>
    <w:rsid w:val="2C572156"/>
    <w:rsid w:val="2CB679ED"/>
    <w:rsid w:val="2D0B7011"/>
    <w:rsid w:val="2D21295A"/>
    <w:rsid w:val="2D5F3DE4"/>
    <w:rsid w:val="2D630BFB"/>
    <w:rsid w:val="2DEC1DF4"/>
    <w:rsid w:val="2E234D82"/>
    <w:rsid w:val="2E375631"/>
    <w:rsid w:val="2EF6509D"/>
    <w:rsid w:val="2F1502AD"/>
    <w:rsid w:val="30F37206"/>
    <w:rsid w:val="30F960DF"/>
    <w:rsid w:val="311B14D9"/>
    <w:rsid w:val="3175714F"/>
    <w:rsid w:val="31A434DC"/>
    <w:rsid w:val="3207424B"/>
    <w:rsid w:val="325B0A2E"/>
    <w:rsid w:val="32E4768D"/>
    <w:rsid w:val="33231A83"/>
    <w:rsid w:val="34160A21"/>
    <w:rsid w:val="34686E85"/>
    <w:rsid w:val="347842CB"/>
    <w:rsid w:val="34C316B3"/>
    <w:rsid w:val="353B7FC1"/>
    <w:rsid w:val="35585D0D"/>
    <w:rsid w:val="35EF4B61"/>
    <w:rsid w:val="362A6907"/>
    <w:rsid w:val="366476CB"/>
    <w:rsid w:val="36713175"/>
    <w:rsid w:val="368C0654"/>
    <w:rsid w:val="37482D30"/>
    <w:rsid w:val="37C16903"/>
    <w:rsid w:val="37C311A3"/>
    <w:rsid w:val="38DD5D05"/>
    <w:rsid w:val="39475A48"/>
    <w:rsid w:val="39B63041"/>
    <w:rsid w:val="3A171688"/>
    <w:rsid w:val="3B8C4421"/>
    <w:rsid w:val="3BF770DE"/>
    <w:rsid w:val="3C0108D7"/>
    <w:rsid w:val="3CDE0749"/>
    <w:rsid w:val="3D3C482B"/>
    <w:rsid w:val="3D3F4383"/>
    <w:rsid w:val="3D460348"/>
    <w:rsid w:val="3D7244C1"/>
    <w:rsid w:val="3DBC3F19"/>
    <w:rsid w:val="3EAF3CA0"/>
    <w:rsid w:val="3EF2771E"/>
    <w:rsid w:val="3F071A76"/>
    <w:rsid w:val="3F0D1E11"/>
    <w:rsid w:val="3F2168EE"/>
    <w:rsid w:val="3F507826"/>
    <w:rsid w:val="3FEA1470"/>
    <w:rsid w:val="40FA0154"/>
    <w:rsid w:val="415F71CF"/>
    <w:rsid w:val="41AC280D"/>
    <w:rsid w:val="4221675F"/>
    <w:rsid w:val="43195C08"/>
    <w:rsid w:val="43875D58"/>
    <w:rsid w:val="43A5310A"/>
    <w:rsid w:val="44543425"/>
    <w:rsid w:val="4484172B"/>
    <w:rsid w:val="449A6B3A"/>
    <w:rsid w:val="44EC33B6"/>
    <w:rsid w:val="450D5AD5"/>
    <w:rsid w:val="45380C3F"/>
    <w:rsid w:val="457A1DC3"/>
    <w:rsid w:val="45A02594"/>
    <w:rsid w:val="45DC708C"/>
    <w:rsid w:val="46040CFF"/>
    <w:rsid w:val="461B52D7"/>
    <w:rsid w:val="471E2976"/>
    <w:rsid w:val="475126AB"/>
    <w:rsid w:val="47653A95"/>
    <w:rsid w:val="47ED46F9"/>
    <w:rsid w:val="48381405"/>
    <w:rsid w:val="484D6811"/>
    <w:rsid w:val="487C1419"/>
    <w:rsid w:val="48C82477"/>
    <w:rsid w:val="48F6341B"/>
    <w:rsid w:val="49247E79"/>
    <w:rsid w:val="492E435B"/>
    <w:rsid w:val="4946457E"/>
    <w:rsid w:val="49504959"/>
    <w:rsid w:val="498963F6"/>
    <w:rsid w:val="49B16DC9"/>
    <w:rsid w:val="4A0E29D3"/>
    <w:rsid w:val="4A3B4077"/>
    <w:rsid w:val="4A780593"/>
    <w:rsid w:val="4A8A50CD"/>
    <w:rsid w:val="4AA8710A"/>
    <w:rsid w:val="4AEB778B"/>
    <w:rsid w:val="4B570F98"/>
    <w:rsid w:val="4B68089D"/>
    <w:rsid w:val="4C577258"/>
    <w:rsid w:val="4CBB6738"/>
    <w:rsid w:val="4CDE5637"/>
    <w:rsid w:val="4CF451B4"/>
    <w:rsid w:val="4D6C68AA"/>
    <w:rsid w:val="4E7C475B"/>
    <w:rsid w:val="4F346A3E"/>
    <w:rsid w:val="4F8265F7"/>
    <w:rsid w:val="4FD56148"/>
    <w:rsid w:val="5036518A"/>
    <w:rsid w:val="50A84B61"/>
    <w:rsid w:val="50A928B5"/>
    <w:rsid w:val="513444D8"/>
    <w:rsid w:val="513957AC"/>
    <w:rsid w:val="51F1047E"/>
    <w:rsid w:val="52E2125E"/>
    <w:rsid w:val="530F62CC"/>
    <w:rsid w:val="5443314E"/>
    <w:rsid w:val="544C294D"/>
    <w:rsid w:val="54504772"/>
    <w:rsid w:val="54BD00A8"/>
    <w:rsid w:val="54E65839"/>
    <w:rsid w:val="551A6DB2"/>
    <w:rsid w:val="55322ADD"/>
    <w:rsid w:val="553E1E6A"/>
    <w:rsid w:val="55E61CEE"/>
    <w:rsid w:val="56143D1E"/>
    <w:rsid w:val="564229D6"/>
    <w:rsid w:val="56994A44"/>
    <w:rsid w:val="56A33C36"/>
    <w:rsid w:val="56D02B61"/>
    <w:rsid w:val="570C7EC6"/>
    <w:rsid w:val="573516D7"/>
    <w:rsid w:val="576B1AC7"/>
    <w:rsid w:val="580703F1"/>
    <w:rsid w:val="5811760C"/>
    <w:rsid w:val="582146E8"/>
    <w:rsid w:val="585611E5"/>
    <w:rsid w:val="586B1893"/>
    <w:rsid w:val="58DB54BE"/>
    <w:rsid w:val="591B7986"/>
    <w:rsid w:val="596411B7"/>
    <w:rsid w:val="59674AFC"/>
    <w:rsid w:val="5A7A082C"/>
    <w:rsid w:val="5A9C32F9"/>
    <w:rsid w:val="5A9F7EF2"/>
    <w:rsid w:val="5AE03F27"/>
    <w:rsid w:val="5B2116D9"/>
    <w:rsid w:val="5B8E6DFF"/>
    <w:rsid w:val="5BDE576D"/>
    <w:rsid w:val="5C44570A"/>
    <w:rsid w:val="5C6338A6"/>
    <w:rsid w:val="5C771040"/>
    <w:rsid w:val="5CA85CD2"/>
    <w:rsid w:val="5D41460D"/>
    <w:rsid w:val="5DCC43B8"/>
    <w:rsid w:val="5E021DB5"/>
    <w:rsid w:val="5E0D1752"/>
    <w:rsid w:val="5E8C2C72"/>
    <w:rsid w:val="5E93547C"/>
    <w:rsid w:val="5E9A0042"/>
    <w:rsid w:val="5F20072A"/>
    <w:rsid w:val="5F6B1243"/>
    <w:rsid w:val="5F831114"/>
    <w:rsid w:val="5FDB4A56"/>
    <w:rsid w:val="600F5EF5"/>
    <w:rsid w:val="604F767B"/>
    <w:rsid w:val="6060792C"/>
    <w:rsid w:val="61836B70"/>
    <w:rsid w:val="61CB270F"/>
    <w:rsid w:val="61E91EFB"/>
    <w:rsid w:val="626822B5"/>
    <w:rsid w:val="630069FC"/>
    <w:rsid w:val="63151451"/>
    <w:rsid w:val="632E258D"/>
    <w:rsid w:val="63986AFF"/>
    <w:rsid w:val="63B17F6E"/>
    <w:rsid w:val="642F29A9"/>
    <w:rsid w:val="64300B2F"/>
    <w:rsid w:val="646003B3"/>
    <w:rsid w:val="655F0592"/>
    <w:rsid w:val="656C10BC"/>
    <w:rsid w:val="65B12294"/>
    <w:rsid w:val="65BE4DE5"/>
    <w:rsid w:val="66DF7EB7"/>
    <w:rsid w:val="6715402C"/>
    <w:rsid w:val="6787253C"/>
    <w:rsid w:val="682D1824"/>
    <w:rsid w:val="683E0928"/>
    <w:rsid w:val="69414D62"/>
    <w:rsid w:val="699C37A1"/>
    <w:rsid w:val="6AA22266"/>
    <w:rsid w:val="6B5F2321"/>
    <w:rsid w:val="6CEB32D8"/>
    <w:rsid w:val="6D124A59"/>
    <w:rsid w:val="6EEB6642"/>
    <w:rsid w:val="6EF24801"/>
    <w:rsid w:val="6F1843FB"/>
    <w:rsid w:val="6F50569C"/>
    <w:rsid w:val="6F5D2896"/>
    <w:rsid w:val="700A5CC1"/>
    <w:rsid w:val="70BB250A"/>
    <w:rsid w:val="713E7A6F"/>
    <w:rsid w:val="7141437C"/>
    <w:rsid w:val="71CD20B4"/>
    <w:rsid w:val="71DD5031"/>
    <w:rsid w:val="71EC41F4"/>
    <w:rsid w:val="722D120D"/>
    <w:rsid w:val="7243789E"/>
    <w:rsid w:val="729063C4"/>
    <w:rsid w:val="73234EF6"/>
    <w:rsid w:val="732A4FC0"/>
    <w:rsid w:val="739A5FC5"/>
    <w:rsid w:val="750E239F"/>
    <w:rsid w:val="759A3D02"/>
    <w:rsid w:val="75E531ED"/>
    <w:rsid w:val="76073553"/>
    <w:rsid w:val="76244A43"/>
    <w:rsid w:val="76822DB6"/>
    <w:rsid w:val="77735807"/>
    <w:rsid w:val="778077A8"/>
    <w:rsid w:val="77F36EBE"/>
    <w:rsid w:val="77FF6013"/>
    <w:rsid w:val="782E4957"/>
    <w:rsid w:val="785F63B9"/>
    <w:rsid w:val="78764346"/>
    <w:rsid w:val="7887498B"/>
    <w:rsid w:val="78AD6BDE"/>
    <w:rsid w:val="790E2FE4"/>
    <w:rsid w:val="79A66AE2"/>
    <w:rsid w:val="79CF368F"/>
    <w:rsid w:val="7ACC2F08"/>
    <w:rsid w:val="7BBB7348"/>
    <w:rsid w:val="7C10384C"/>
    <w:rsid w:val="7C3C7C1A"/>
    <w:rsid w:val="7C8236DE"/>
    <w:rsid w:val="7D336618"/>
    <w:rsid w:val="7D495845"/>
    <w:rsid w:val="7D535924"/>
    <w:rsid w:val="7D6B057D"/>
    <w:rsid w:val="7D935485"/>
    <w:rsid w:val="7DFA5FA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List 3"/>
    <w:basedOn w:val="1"/>
    <w:next w:val="1"/>
    <w:qFormat/>
    <w:uiPriority w:val="0"/>
    <w:pPr>
      <w:adjustRightInd w:val="0"/>
      <w:snapToGrid w:val="0"/>
      <w:spacing w:line="360" w:lineRule="auto"/>
      <w:ind w:left="100" w:leftChars="400" w:hanging="200" w:hangingChars="200"/>
    </w:pPr>
    <w:rPr>
      <w:sz w:val="24"/>
    </w:rPr>
  </w:style>
  <w:style w:type="paragraph" w:styleId="6">
    <w:name w:val="Normal Indent"/>
    <w:basedOn w:val="1"/>
    <w:next w:val="2"/>
    <w:qFormat/>
    <w:uiPriority w:val="99"/>
    <w:pPr>
      <w:adjustRightInd w:val="0"/>
      <w:snapToGrid w:val="0"/>
      <w:spacing w:line="360" w:lineRule="auto"/>
      <w:ind w:firstLine="420"/>
    </w:pPr>
    <w:rPr>
      <w:sz w:val="24"/>
    </w:rPr>
  </w:style>
  <w:style w:type="paragraph" w:styleId="7">
    <w:name w:val="Body Text Indent"/>
    <w:basedOn w:val="1"/>
    <w:qFormat/>
    <w:uiPriority w:val="0"/>
    <w:pPr>
      <w:spacing w:line="700" w:lineRule="exact"/>
      <w:ind w:left="960"/>
    </w:pPr>
    <w:rPr>
      <w:sz w:val="44"/>
    </w:rPr>
  </w:style>
  <w:style w:type="paragraph" w:styleId="8">
    <w:name w:val="Date"/>
    <w:basedOn w:val="1"/>
    <w:next w:val="1"/>
    <w:qFormat/>
    <w:uiPriority w:val="99"/>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Body Text First Indent"/>
    <w:basedOn w:val="2"/>
    <w:next w:val="5"/>
    <w:qFormat/>
    <w:uiPriority w:val="0"/>
    <w:pPr>
      <w:spacing w:line="360" w:lineRule="auto"/>
      <w:ind w:firstLine="420"/>
    </w:pPr>
    <w:rPr>
      <w:rFonts w:ascii="宋体" w:hAnsi="宋体"/>
      <w:sz w:val="24"/>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99"/>
    <w:rPr>
      <w:color w:val="333333"/>
      <w:u w:val="none"/>
    </w:rPr>
  </w:style>
  <w:style w:type="paragraph" w:customStyle="1" w:styleId="19">
    <w:name w:val="图例"/>
    <w:basedOn w:val="1"/>
    <w:qFormat/>
    <w:uiPriority w:val="0"/>
    <w:pPr>
      <w:spacing w:before="120" w:after="120" w:line="360" w:lineRule="auto"/>
      <w:jc w:val="center"/>
    </w:pPr>
    <w:rPr>
      <w:rFonts w:eastAsia="仿宋_GB2312"/>
      <w:b/>
      <w:sz w:val="24"/>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
    <w:name w:val="目录 11"/>
    <w:basedOn w:val="1"/>
    <w:next w:val="1"/>
    <w:qFormat/>
    <w:uiPriority w:val="0"/>
    <w:pPr>
      <w:jc w:val="center"/>
    </w:pPr>
    <w:rPr>
      <w:sz w:val="30"/>
      <w:szCs w:val="30"/>
    </w:rPr>
  </w:style>
  <w:style w:type="character" w:customStyle="1" w:styleId="22">
    <w:name w:val="font2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2629</Characters>
  <Lines>0</Lines>
  <Paragraphs>0</Paragraphs>
  <TotalTime>3</TotalTime>
  <ScaleCrop>false</ScaleCrop>
  <LinksUpToDate>false</LinksUpToDate>
  <CharactersWithSpaces>3009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WPS_1681200974</cp:lastModifiedBy>
  <cp:lastPrinted>2024-07-01T07:22:24Z</cp:lastPrinted>
  <dcterms:modified xsi:type="dcterms:W3CDTF">2024-07-01T07:41:12Z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A14A49090EAD4BCEB8247947604599A1_12</vt:lpwstr>
  </property>
</Properties>
</file>