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D76B33">
      <w:pPr>
        <w:spacing w:line="600" w:lineRule="exact"/>
        <w:ind w:firstLine="1040"/>
        <w:rPr>
          <w:rFonts w:hint="eastAsia" w:ascii="文鼎粗魏碑体" w:hAnsi="文鼎粗魏碑体" w:eastAsia="文鼎粗魏碑体" w:cs="文鼎粗魏碑体"/>
          <w:sz w:val="52"/>
          <w:highlight w:val="none"/>
        </w:rPr>
      </w:pPr>
    </w:p>
    <w:p w14:paraId="2BC38758">
      <w:pPr>
        <w:spacing w:line="1600" w:lineRule="exact"/>
        <w:ind w:firstLine="0" w:firstLineChars="0"/>
        <w:jc w:val="center"/>
        <w:outlineLvl w:val="0"/>
        <w:rPr>
          <w:rFonts w:hint="eastAsia" w:ascii="宋体" w:hAnsi="宋体" w:cs="宋体"/>
          <w:b/>
          <w:sz w:val="100"/>
          <w:highlight w:val="none"/>
          <w:lang w:eastAsia="zh-CN"/>
        </w:rPr>
      </w:pPr>
      <w:r>
        <w:rPr>
          <w:rFonts w:hint="eastAsia" w:ascii="宋体" w:hAnsi="宋体" w:cs="宋体"/>
          <w:b/>
          <w:sz w:val="100"/>
          <w:highlight w:val="none"/>
          <w:lang w:eastAsia="zh-CN"/>
        </w:rPr>
        <w:t>政府采购</w:t>
      </w:r>
    </w:p>
    <w:p w14:paraId="265E35E3">
      <w:pPr>
        <w:spacing w:line="1600" w:lineRule="exact"/>
        <w:ind w:firstLine="0" w:firstLineChars="0"/>
        <w:jc w:val="center"/>
        <w:outlineLvl w:val="0"/>
        <w:rPr>
          <w:rFonts w:hint="eastAsia" w:asciiTheme="majorEastAsia" w:hAnsiTheme="majorEastAsia" w:eastAsiaTheme="majorEastAsia" w:cstheme="majorEastAsia"/>
          <w:b/>
          <w:sz w:val="130"/>
          <w:szCs w:val="130"/>
          <w:highlight w:val="none"/>
          <w:lang w:eastAsia="zh-CN"/>
        </w:rPr>
      </w:pPr>
      <w:r>
        <w:rPr>
          <w:rFonts w:hint="eastAsia" w:asciiTheme="majorEastAsia" w:hAnsiTheme="majorEastAsia" w:eastAsiaTheme="majorEastAsia" w:cstheme="majorEastAsia"/>
          <w:b/>
          <w:sz w:val="130"/>
          <w:szCs w:val="130"/>
          <w:highlight w:val="none"/>
          <w:lang w:eastAsia="zh-CN"/>
        </w:rPr>
        <w:t>招 标 文 件</w:t>
      </w:r>
    </w:p>
    <w:p w14:paraId="373A2CFE">
      <w:pPr>
        <w:spacing w:line="500" w:lineRule="exact"/>
        <w:ind w:firstLine="643"/>
        <w:jc w:val="center"/>
        <w:rPr>
          <w:rFonts w:hint="eastAsia" w:ascii="宋体" w:hAnsi="宋体" w:cs="宋体"/>
          <w:b/>
          <w:highlight w:val="none"/>
          <w:lang w:eastAsia="zh-CN"/>
        </w:rPr>
      </w:pPr>
    </w:p>
    <w:p w14:paraId="6583C1A0">
      <w:pPr>
        <w:spacing w:line="500" w:lineRule="exact"/>
        <w:ind w:firstLine="643"/>
        <w:jc w:val="center"/>
        <w:rPr>
          <w:rFonts w:hint="eastAsia" w:ascii="宋体" w:hAnsi="宋体" w:cs="宋体"/>
          <w:b/>
          <w:highlight w:val="none"/>
          <w:lang w:eastAsia="zh-CN"/>
        </w:rPr>
      </w:pPr>
    </w:p>
    <w:p w14:paraId="570BFC66">
      <w:pPr>
        <w:spacing w:line="500" w:lineRule="exact"/>
        <w:ind w:firstLine="643"/>
        <w:jc w:val="center"/>
        <w:rPr>
          <w:rFonts w:hint="eastAsia" w:ascii="宋体" w:hAnsi="宋体" w:cs="宋体"/>
          <w:b/>
          <w:highlight w:val="none"/>
          <w:lang w:eastAsia="zh-CN"/>
        </w:rPr>
      </w:pPr>
    </w:p>
    <w:p w14:paraId="72725FE2">
      <w:pPr>
        <w:spacing w:line="500" w:lineRule="exact"/>
        <w:ind w:firstLine="643"/>
        <w:rPr>
          <w:rFonts w:hint="eastAsia" w:ascii="宋体" w:hAnsi="宋体" w:cs="宋体"/>
          <w:b/>
          <w:highlight w:val="none"/>
          <w:lang w:eastAsia="zh-CN"/>
        </w:rPr>
      </w:pPr>
    </w:p>
    <w:p w14:paraId="306921B8">
      <w:pPr>
        <w:spacing w:line="500" w:lineRule="exact"/>
        <w:ind w:firstLine="643"/>
        <w:rPr>
          <w:rFonts w:hint="eastAsia" w:ascii="宋体" w:hAnsi="宋体" w:cs="宋体"/>
          <w:b/>
          <w:highlight w:val="none"/>
          <w:lang w:eastAsia="zh-CN"/>
        </w:rPr>
      </w:pPr>
    </w:p>
    <w:p w14:paraId="6C16FEDC">
      <w:pPr>
        <w:spacing w:line="500" w:lineRule="exact"/>
        <w:ind w:firstLine="643"/>
        <w:rPr>
          <w:rFonts w:hint="eastAsia" w:ascii="宋体" w:hAnsi="宋体" w:cs="宋体"/>
          <w:b/>
          <w:highlight w:val="none"/>
          <w:lang w:eastAsia="zh-CN"/>
        </w:rPr>
      </w:pPr>
    </w:p>
    <w:p w14:paraId="34A9BB26">
      <w:pPr>
        <w:spacing w:line="500" w:lineRule="exact"/>
        <w:ind w:firstLine="643"/>
        <w:rPr>
          <w:rFonts w:hint="eastAsia" w:ascii="宋体" w:hAnsi="宋体" w:cs="宋体"/>
          <w:b/>
          <w:highlight w:val="none"/>
          <w:lang w:eastAsia="zh-CN"/>
        </w:rPr>
      </w:pPr>
    </w:p>
    <w:p w14:paraId="4B9DDCB0">
      <w:pPr>
        <w:ind w:firstLine="1446" w:firstLineChars="400"/>
        <w:jc w:val="both"/>
        <w:outlineLvl w:val="0"/>
        <w:rPr>
          <w:rFonts w:hint="default" w:ascii="宋体" w:hAnsi="宋体" w:eastAsia="宋体" w:cs="宋体"/>
          <w:b/>
          <w:sz w:val="36"/>
          <w:szCs w:val="36"/>
          <w:highlight w:val="none"/>
          <w:lang w:val="en-US" w:eastAsia="zh-CN"/>
        </w:rPr>
      </w:pPr>
      <w:r>
        <w:rPr>
          <w:rFonts w:hint="eastAsia" w:ascii="宋体" w:hAnsi="宋体" w:eastAsia="宋体" w:cs="宋体"/>
          <w:b/>
          <w:sz w:val="36"/>
          <w:szCs w:val="36"/>
          <w:highlight w:val="none"/>
          <w:lang w:eastAsia="zh-CN"/>
        </w:rPr>
        <w:t>项目号：DDK25C00196</w:t>
      </w:r>
    </w:p>
    <w:p w14:paraId="2F16586E">
      <w:pPr>
        <w:ind w:firstLine="1446" w:firstLineChars="400"/>
        <w:jc w:val="both"/>
        <w:outlineLvl w:val="0"/>
        <w:rPr>
          <w:rFonts w:hint="default" w:ascii="宋体" w:hAnsi="宋体" w:eastAsia="宋体" w:cs="宋体"/>
          <w:b/>
          <w:sz w:val="36"/>
          <w:szCs w:val="36"/>
          <w:highlight w:val="none"/>
          <w:lang w:val="en-US" w:eastAsia="zh-CN"/>
        </w:rPr>
      </w:pPr>
      <w:r>
        <w:rPr>
          <w:rFonts w:hint="eastAsia" w:ascii="宋体" w:hAnsi="宋体" w:eastAsia="宋体" w:cs="宋体"/>
          <w:b/>
          <w:sz w:val="36"/>
          <w:szCs w:val="36"/>
          <w:highlight w:val="none"/>
          <w:lang w:val="en-US" w:eastAsia="zh-CN"/>
        </w:rPr>
        <w:t>采购执行号：ZHZB25-0046</w:t>
      </w:r>
    </w:p>
    <w:p w14:paraId="68299B10">
      <w:pPr>
        <w:ind w:firstLine="0" w:firstLineChars="0"/>
        <w:jc w:val="center"/>
        <w:outlineLvl w:val="0"/>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val="en-US" w:eastAsia="zh-CN"/>
        </w:rPr>
        <w:t xml:space="preserve">        </w:t>
      </w:r>
      <w:r>
        <w:rPr>
          <w:rFonts w:hint="eastAsia" w:ascii="宋体" w:hAnsi="宋体" w:eastAsia="宋体" w:cs="宋体"/>
          <w:b/>
          <w:sz w:val="36"/>
          <w:szCs w:val="36"/>
          <w:highlight w:val="none"/>
          <w:lang w:eastAsia="zh-CN"/>
        </w:rPr>
        <w:t>招标项目名称:新就业群体之家一件事数字化应用服务</w:t>
      </w:r>
    </w:p>
    <w:p w14:paraId="21E212E2">
      <w:pPr>
        <w:ind w:firstLine="0" w:firstLineChars="0"/>
        <w:rPr>
          <w:rFonts w:hint="eastAsia" w:ascii="宋体" w:hAnsi="宋体" w:eastAsia="宋体" w:cs="宋体"/>
          <w:b/>
          <w:sz w:val="36"/>
          <w:szCs w:val="36"/>
          <w:highlight w:val="none"/>
          <w:lang w:eastAsia="zh-CN"/>
        </w:rPr>
      </w:pPr>
    </w:p>
    <w:p w14:paraId="054058F8">
      <w:pPr>
        <w:ind w:firstLine="0" w:firstLineChars="0"/>
        <w:rPr>
          <w:rFonts w:hint="eastAsia" w:ascii="宋体" w:hAnsi="宋体" w:eastAsia="宋体" w:cs="宋体"/>
          <w:sz w:val="36"/>
          <w:szCs w:val="36"/>
          <w:highlight w:val="none"/>
          <w:lang w:eastAsia="zh-CN"/>
        </w:rPr>
      </w:pPr>
    </w:p>
    <w:p w14:paraId="4E203A45">
      <w:pPr>
        <w:ind w:firstLine="0" w:firstLineChars="0"/>
        <w:jc w:val="center"/>
        <w:outlineLvl w:val="0"/>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eastAsia="zh-CN"/>
        </w:rPr>
        <w:t>采购人：重庆市大渡口区总工会</w:t>
      </w:r>
    </w:p>
    <w:p w14:paraId="31E0D6E7">
      <w:pPr>
        <w:ind w:firstLine="0" w:firstLineChars="0"/>
        <w:jc w:val="center"/>
        <w:outlineLvl w:val="0"/>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eastAsia="zh-CN"/>
        </w:rPr>
        <w:t>采购代理机构：</w:t>
      </w:r>
      <w:r>
        <w:rPr>
          <w:rFonts w:hint="eastAsia" w:ascii="宋体" w:hAnsi="宋体" w:eastAsia="宋体" w:cs="宋体"/>
          <w:b/>
          <w:sz w:val="36"/>
          <w:szCs w:val="36"/>
          <w:highlight w:val="none"/>
          <w:lang w:val="en-US" w:eastAsia="zh-CN"/>
        </w:rPr>
        <w:t>重庆正华工程管理咨询有限公司</w:t>
      </w:r>
    </w:p>
    <w:p w14:paraId="1232BF8B">
      <w:pPr>
        <w:ind w:firstLine="0" w:firstLineChars="0"/>
        <w:jc w:val="center"/>
        <w:rPr>
          <w:rFonts w:hint="eastAsia" w:ascii="宋体" w:hAnsi="宋体" w:eastAsia="宋体" w:cs="宋体"/>
          <w:b/>
          <w:sz w:val="36"/>
          <w:szCs w:val="36"/>
          <w:highlight w:val="none"/>
          <w:lang w:eastAsia="zh-CN"/>
        </w:rPr>
      </w:pPr>
    </w:p>
    <w:p w14:paraId="1F0D77B5">
      <w:pPr>
        <w:ind w:firstLine="0" w:firstLineChars="0"/>
        <w:jc w:val="center"/>
        <w:outlineLvl w:val="0"/>
        <w:rPr>
          <w:rFonts w:hint="eastAsia" w:ascii="宋体" w:hAnsi="宋体" w:eastAsia="宋体" w:cs="宋体"/>
          <w:sz w:val="36"/>
          <w:szCs w:val="36"/>
          <w:highlight w:val="none"/>
          <w:lang w:eastAsia="zh-CN"/>
        </w:rPr>
      </w:pPr>
      <w:r>
        <w:rPr>
          <w:rFonts w:hint="eastAsia" w:ascii="宋体" w:hAnsi="宋体" w:eastAsia="宋体" w:cs="宋体"/>
          <w:b/>
          <w:sz w:val="36"/>
          <w:szCs w:val="36"/>
          <w:highlight w:val="none"/>
          <w:lang w:eastAsia="zh-CN"/>
        </w:rPr>
        <w:t>2025年</w:t>
      </w:r>
      <w:r>
        <w:rPr>
          <w:rFonts w:hint="eastAsia" w:ascii="宋体" w:hAnsi="宋体" w:eastAsia="宋体" w:cs="宋体"/>
          <w:b/>
          <w:sz w:val="36"/>
          <w:szCs w:val="36"/>
          <w:highlight w:val="none"/>
          <w:lang w:val="en-US" w:eastAsia="zh-CN"/>
        </w:rPr>
        <w:t>11</w:t>
      </w:r>
      <w:r>
        <w:rPr>
          <w:rFonts w:hint="eastAsia" w:ascii="宋体" w:hAnsi="宋体" w:eastAsia="宋体" w:cs="宋体"/>
          <w:b/>
          <w:sz w:val="36"/>
          <w:szCs w:val="36"/>
          <w:highlight w:val="none"/>
          <w:lang w:eastAsia="zh-CN"/>
        </w:rPr>
        <w:t>月</w:t>
      </w:r>
    </w:p>
    <w:p w14:paraId="68D945A0">
      <w:pPr>
        <w:spacing w:line="500" w:lineRule="exact"/>
        <w:ind w:firstLine="880"/>
        <w:rPr>
          <w:rFonts w:hint="eastAsia" w:ascii="宋体" w:hAnsi="宋体" w:eastAsia="宋体" w:cs="宋体"/>
          <w:sz w:val="36"/>
          <w:szCs w:val="36"/>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1134" w:right="1191" w:bottom="1134" w:left="1304" w:header="964" w:footer="992" w:gutter="0"/>
          <w:pgNumType w:fmt="decimal" w:start="1"/>
          <w:cols w:space="720" w:num="1"/>
          <w:titlePg/>
          <w:docGrid w:linePitch="312" w:charSpace="0"/>
        </w:sectPr>
      </w:pPr>
    </w:p>
    <w:p w14:paraId="736F681E">
      <w:pPr>
        <w:snapToGrid w:val="0"/>
        <w:spacing w:line="500" w:lineRule="exact"/>
        <w:jc w:val="center"/>
        <w:rPr>
          <w:rFonts w:hint="eastAsia" w:ascii="方正仿宋_GBK" w:eastAsia="方正仿宋_GBK"/>
          <w:sz w:val="44"/>
          <w:highlight w:val="none"/>
        </w:rPr>
      </w:pPr>
      <w:bookmarkStart w:id="0" w:name="_Toc26796"/>
      <w:bookmarkStart w:id="1" w:name="_Toc15728"/>
      <w:r>
        <w:rPr>
          <w:rFonts w:hint="eastAsia" w:ascii="方正仿宋_GBK" w:eastAsia="方正仿宋_GBK"/>
          <w:sz w:val="44"/>
          <w:highlight w:val="none"/>
        </w:rPr>
        <w:t>目  录</w:t>
      </w:r>
    </w:p>
    <w:p w14:paraId="45247397">
      <w:pPr>
        <w:pStyle w:val="17"/>
        <w:tabs>
          <w:tab w:val="right" w:leader="dot" w:pos="9412"/>
          <w:tab w:val="clear" w:pos="1260"/>
          <w:tab w:val="clear" w:pos="1685"/>
          <w:tab w:val="clear" w:pos="8400"/>
        </w:tabs>
        <w:rPr>
          <w:highlight w:val="none"/>
        </w:rPr>
      </w:pPr>
      <w:r>
        <w:rPr>
          <w:rFonts w:hint="eastAsia" w:ascii="宋体" w:hAnsi="宋体" w:eastAsia="宋体" w:cs="宋体"/>
          <w:sz w:val="30"/>
          <w:szCs w:val="30"/>
          <w:highlight w:val="none"/>
        </w:rPr>
        <w:fldChar w:fldCharType="begin"/>
      </w:r>
      <w:r>
        <w:rPr>
          <w:rFonts w:hint="eastAsia" w:ascii="宋体" w:hAnsi="宋体" w:eastAsia="宋体" w:cs="宋体"/>
          <w:sz w:val="30"/>
          <w:szCs w:val="30"/>
          <w:highlight w:val="none"/>
        </w:rPr>
        <w:instrText xml:space="preserve"> TOC \o "1-2" \h \z </w:instrText>
      </w:r>
      <w:r>
        <w:rPr>
          <w:rFonts w:hint="eastAsia" w:ascii="宋体" w:hAnsi="宋体" w:eastAsia="宋体" w:cs="宋体"/>
          <w:sz w:val="30"/>
          <w:szCs w:val="30"/>
          <w:highlight w:val="none"/>
        </w:rPr>
        <w:fldChar w:fldCharType="separate"/>
      </w: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_Toc8138 </w:instrText>
      </w:r>
      <w:r>
        <w:rPr>
          <w:rFonts w:hint="eastAsia" w:ascii="宋体" w:hAnsi="宋体" w:eastAsia="宋体" w:cs="宋体"/>
          <w:szCs w:val="30"/>
          <w:highlight w:val="none"/>
        </w:rPr>
        <w:fldChar w:fldCharType="separate"/>
      </w:r>
      <w:r>
        <w:rPr>
          <w:rFonts w:hint="eastAsia"/>
          <w:highlight w:val="none"/>
          <w:lang w:eastAsia="zh-CN"/>
        </w:rPr>
        <w:t>第一篇 投标邀请书</w:t>
      </w:r>
      <w:r>
        <w:rPr>
          <w:highlight w:val="none"/>
        </w:rPr>
        <w:tab/>
      </w:r>
      <w:r>
        <w:rPr>
          <w:highlight w:val="none"/>
        </w:rPr>
        <w:fldChar w:fldCharType="begin"/>
      </w:r>
      <w:r>
        <w:rPr>
          <w:highlight w:val="none"/>
        </w:rPr>
        <w:instrText xml:space="preserve"> PAGEREF _Toc8138 \h </w:instrText>
      </w:r>
      <w:r>
        <w:rPr>
          <w:highlight w:val="none"/>
        </w:rPr>
        <w:fldChar w:fldCharType="separate"/>
      </w:r>
      <w:r>
        <w:rPr>
          <w:highlight w:val="none"/>
        </w:rPr>
        <w:t>1</w:t>
      </w:r>
      <w:r>
        <w:rPr>
          <w:highlight w:val="none"/>
        </w:rPr>
        <w:fldChar w:fldCharType="end"/>
      </w:r>
      <w:r>
        <w:rPr>
          <w:rFonts w:hint="eastAsia" w:ascii="宋体" w:hAnsi="宋体" w:eastAsia="宋体" w:cs="宋体"/>
          <w:szCs w:val="30"/>
          <w:highlight w:val="none"/>
        </w:rPr>
        <w:fldChar w:fldCharType="end"/>
      </w:r>
    </w:p>
    <w:p w14:paraId="3718E25B">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_Toc20268 </w:instrText>
      </w:r>
      <w:r>
        <w:rPr>
          <w:rFonts w:hint="eastAsia" w:ascii="宋体" w:hAnsi="宋体" w:eastAsia="宋体" w:cs="宋体"/>
          <w:szCs w:val="30"/>
          <w:highlight w:val="none"/>
        </w:rPr>
        <w:fldChar w:fldCharType="separate"/>
      </w:r>
      <w:r>
        <w:rPr>
          <w:rFonts w:hint="eastAsia"/>
          <w:highlight w:val="none"/>
          <w:lang w:eastAsia="zh-CN"/>
        </w:rPr>
        <w:t>第二篇 项目技术（服务）需求</w:t>
      </w:r>
      <w:r>
        <w:rPr>
          <w:highlight w:val="none"/>
        </w:rPr>
        <w:tab/>
      </w:r>
      <w:r>
        <w:rPr>
          <w:highlight w:val="none"/>
        </w:rPr>
        <w:fldChar w:fldCharType="begin"/>
      </w:r>
      <w:r>
        <w:rPr>
          <w:highlight w:val="none"/>
        </w:rPr>
        <w:instrText xml:space="preserve"> PAGEREF _Toc20268 \h </w:instrText>
      </w:r>
      <w:r>
        <w:rPr>
          <w:highlight w:val="none"/>
        </w:rPr>
        <w:fldChar w:fldCharType="separate"/>
      </w:r>
      <w:r>
        <w:rPr>
          <w:highlight w:val="none"/>
        </w:rPr>
        <w:t>9</w:t>
      </w:r>
      <w:r>
        <w:rPr>
          <w:highlight w:val="none"/>
        </w:rPr>
        <w:fldChar w:fldCharType="end"/>
      </w:r>
      <w:r>
        <w:rPr>
          <w:rFonts w:hint="eastAsia" w:ascii="宋体" w:hAnsi="宋体" w:eastAsia="宋体" w:cs="宋体"/>
          <w:szCs w:val="30"/>
          <w:highlight w:val="none"/>
        </w:rPr>
        <w:fldChar w:fldCharType="end"/>
      </w:r>
    </w:p>
    <w:p w14:paraId="6B89A563">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_Toc20877 </w:instrText>
      </w:r>
      <w:r>
        <w:rPr>
          <w:rFonts w:hint="eastAsia" w:ascii="宋体" w:hAnsi="宋体" w:eastAsia="宋体" w:cs="宋体"/>
          <w:szCs w:val="30"/>
          <w:highlight w:val="none"/>
        </w:rPr>
        <w:fldChar w:fldCharType="separate"/>
      </w:r>
      <w:r>
        <w:rPr>
          <w:rFonts w:hint="eastAsia"/>
          <w:highlight w:val="none"/>
          <w:lang w:eastAsia="zh-CN"/>
        </w:rPr>
        <w:t>第三篇  项目商务需求</w:t>
      </w:r>
      <w:r>
        <w:rPr>
          <w:highlight w:val="none"/>
        </w:rPr>
        <w:tab/>
      </w:r>
      <w:r>
        <w:rPr>
          <w:highlight w:val="none"/>
        </w:rPr>
        <w:fldChar w:fldCharType="begin"/>
      </w:r>
      <w:r>
        <w:rPr>
          <w:highlight w:val="none"/>
        </w:rPr>
        <w:instrText xml:space="preserve"> PAGEREF _Toc20877 \h </w:instrText>
      </w:r>
      <w:r>
        <w:rPr>
          <w:highlight w:val="none"/>
        </w:rPr>
        <w:fldChar w:fldCharType="separate"/>
      </w:r>
      <w:r>
        <w:rPr>
          <w:highlight w:val="none"/>
        </w:rPr>
        <w:t>24</w:t>
      </w:r>
      <w:r>
        <w:rPr>
          <w:highlight w:val="none"/>
        </w:rPr>
        <w:fldChar w:fldCharType="end"/>
      </w:r>
      <w:r>
        <w:rPr>
          <w:rFonts w:hint="eastAsia" w:ascii="宋体" w:hAnsi="宋体" w:eastAsia="宋体" w:cs="宋体"/>
          <w:szCs w:val="30"/>
          <w:highlight w:val="none"/>
        </w:rPr>
        <w:fldChar w:fldCharType="end"/>
      </w:r>
    </w:p>
    <w:p w14:paraId="07A64FFF">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_Toc9702 </w:instrText>
      </w:r>
      <w:r>
        <w:rPr>
          <w:rFonts w:hint="eastAsia" w:ascii="宋体" w:hAnsi="宋体" w:eastAsia="宋体" w:cs="宋体"/>
          <w:szCs w:val="30"/>
          <w:highlight w:val="none"/>
        </w:rPr>
        <w:fldChar w:fldCharType="separate"/>
      </w:r>
      <w:r>
        <w:rPr>
          <w:rFonts w:hint="eastAsia"/>
          <w:highlight w:val="none"/>
          <w:lang w:eastAsia="zh-CN"/>
        </w:rPr>
        <w:t>第四篇  资格审查及评标办法</w:t>
      </w:r>
      <w:r>
        <w:rPr>
          <w:highlight w:val="none"/>
        </w:rPr>
        <w:tab/>
      </w:r>
      <w:r>
        <w:rPr>
          <w:highlight w:val="none"/>
        </w:rPr>
        <w:fldChar w:fldCharType="begin"/>
      </w:r>
      <w:r>
        <w:rPr>
          <w:highlight w:val="none"/>
        </w:rPr>
        <w:instrText xml:space="preserve"> PAGEREF _Toc9702 \h </w:instrText>
      </w:r>
      <w:r>
        <w:rPr>
          <w:highlight w:val="none"/>
        </w:rPr>
        <w:fldChar w:fldCharType="separate"/>
      </w:r>
      <w:r>
        <w:rPr>
          <w:highlight w:val="none"/>
        </w:rPr>
        <w:t>30</w:t>
      </w:r>
      <w:r>
        <w:rPr>
          <w:highlight w:val="none"/>
        </w:rPr>
        <w:fldChar w:fldCharType="end"/>
      </w:r>
      <w:r>
        <w:rPr>
          <w:rFonts w:hint="eastAsia" w:ascii="宋体" w:hAnsi="宋体" w:eastAsia="宋体" w:cs="宋体"/>
          <w:szCs w:val="30"/>
          <w:highlight w:val="none"/>
        </w:rPr>
        <w:fldChar w:fldCharType="end"/>
      </w:r>
    </w:p>
    <w:p w14:paraId="3A8FD570">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_Toc2129 </w:instrText>
      </w:r>
      <w:r>
        <w:rPr>
          <w:rFonts w:hint="eastAsia" w:ascii="宋体" w:hAnsi="宋体" w:eastAsia="宋体" w:cs="宋体"/>
          <w:szCs w:val="30"/>
          <w:highlight w:val="none"/>
        </w:rPr>
        <w:fldChar w:fldCharType="separate"/>
      </w:r>
      <w:r>
        <w:rPr>
          <w:rFonts w:hint="eastAsia"/>
          <w:highlight w:val="none"/>
          <w:lang w:eastAsia="zh-CN"/>
        </w:rPr>
        <w:t>第五篇  投标人须知</w:t>
      </w:r>
      <w:r>
        <w:rPr>
          <w:highlight w:val="none"/>
        </w:rPr>
        <w:tab/>
      </w:r>
      <w:r>
        <w:rPr>
          <w:highlight w:val="none"/>
        </w:rPr>
        <w:fldChar w:fldCharType="begin"/>
      </w:r>
      <w:r>
        <w:rPr>
          <w:highlight w:val="none"/>
        </w:rPr>
        <w:instrText xml:space="preserve"> PAGEREF _Toc2129 \h </w:instrText>
      </w:r>
      <w:r>
        <w:rPr>
          <w:highlight w:val="none"/>
        </w:rPr>
        <w:fldChar w:fldCharType="separate"/>
      </w:r>
      <w:r>
        <w:rPr>
          <w:highlight w:val="none"/>
        </w:rPr>
        <w:t>41</w:t>
      </w:r>
      <w:r>
        <w:rPr>
          <w:highlight w:val="none"/>
        </w:rPr>
        <w:fldChar w:fldCharType="end"/>
      </w:r>
      <w:r>
        <w:rPr>
          <w:rFonts w:hint="eastAsia" w:ascii="宋体" w:hAnsi="宋体" w:eastAsia="宋体" w:cs="宋体"/>
          <w:szCs w:val="30"/>
          <w:highlight w:val="none"/>
        </w:rPr>
        <w:fldChar w:fldCharType="end"/>
      </w:r>
    </w:p>
    <w:p w14:paraId="6E0CC09F">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_Toc28771 </w:instrText>
      </w:r>
      <w:r>
        <w:rPr>
          <w:rFonts w:hint="eastAsia" w:ascii="宋体" w:hAnsi="宋体" w:eastAsia="宋体" w:cs="宋体"/>
          <w:szCs w:val="30"/>
          <w:highlight w:val="none"/>
        </w:rPr>
        <w:fldChar w:fldCharType="separate"/>
      </w:r>
      <w:r>
        <w:rPr>
          <w:rFonts w:hint="eastAsia"/>
          <w:highlight w:val="none"/>
          <w:lang w:eastAsia="zh-CN"/>
        </w:rPr>
        <w:t>第六篇  合同主要条款和格式合同（样本）</w:t>
      </w:r>
      <w:r>
        <w:rPr>
          <w:highlight w:val="none"/>
        </w:rPr>
        <w:tab/>
      </w:r>
      <w:r>
        <w:rPr>
          <w:highlight w:val="none"/>
        </w:rPr>
        <w:fldChar w:fldCharType="begin"/>
      </w:r>
      <w:r>
        <w:rPr>
          <w:highlight w:val="none"/>
        </w:rPr>
        <w:instrText xml:space="preserve"> PAGEREF _Toc28771 \h </w:instrText>
      </w:r>
      <w:r>
        <w:rPr>
          <w:highlight w:val="none"/>
        </w:rPr>
        <w:fldChar w:fldCharType="separate"/>
      </w:r>
      <w:r>
        <w:rPr>
          <w:highlight w:val="none"/>
        </w:rPr>
        <w:t>51</w:t>
      </w:r>
      <w:r>
        <w:rPr>
          <w:highlight w:val="none"/>
        </w:rPr>
        <w:fldChar w:fldCharType="end"/>
      </w:r>
      <w:r>
        <w:rPr>
          <w:rFonts w:hint="eastAsia" w:ascii="宋体" w:hAnsi="宋体" w:eastAsia="宋体" w:cs="宋体"/>
          <w:szCs w:val="30"/>
          <w:highlight w:val="none"/>
        </w:rPr>
        <w:fldChar w:fldCharType="end"/>
      </w:r>
    </w:p>
    <w:p w14:paraId="5D29D2D3">
      <w:pPr>
        <w:pStyle w:val="17"/>
        <w:tabs>
          <w:tab w:val="right" w:leader="dot" w:pos="9412"/>
          <w:tab w:val="clear" w:pos="1260"/>
          <w:tab w:val="clear" w:pos="1685"/>
          <w:tab w:val="clear" w:pos="8400"/>
        </w:tabs>
        <w:rPr>
          <w:highlight w:val="none"/>
        </w:rPr>
      </w:pPr>
      <w:r>
        <w:rPr>
          <w:rFonts w:hint="eastAsia" w:ascii="宋体" w:hAnsi="宋体" w:eastAsia="宋体" w:cs="宋体"/>
          <w:szCs w:val="30"/>
          <w:highlight w:val="none"/>
        </w:rPr>
        <w:fldChar w:fldCharType="begin"/>
      </w:r>
      <w:r>
        <w:rPr>
          <w:rFonts w:hint="eastAsia" w:ascii="宋体" w:hAnsi="宋体" w:eastAsia="宋体" w:cs="宋体"/>
          <w:szCs w:val="30"/>
          <w:highlight w:val="none"/>
        </w:rPr>
        <w:instrText xml:space="preserve"> HYPERLINK \l _Toc7546 </w:instrText>
      </w:r>
      <w:r>
        <w:rPr>
          <w:rFonts w:hint="eastAsia" w:ascii="宋体" w:hAnsi="宋体" w:eastAsia="宋体" w:cs="宋体"/>
          <w:szCs w:val="30"/>
          <w:highlight w:val="none"/>
        </w:rPr>
        <w:fldChar w:fldCharType="separate"/>
      </w:r>
      <w:r>
        <w:rPr>
          <w:rFonts w:hint="eastAsia"/>
          <w:highlight w:val="none"/>
          <w:lang w:eastAsia="zh-CN"/>
        </w:rPr>
        <w:t>第七篇  电子投标文件格式</w:t>
      </w:r>
      <w:r>
        <w:rPr>
          <w:highlight w:val="none"/>
        </w:rPr>
        <w:tab/>
      </w:r>
      <w:r>
        <w:rPr>
          <w:highlight w:val="none"/>
        </w:rPr>
        <w:fldChar w:fldCharType="begin"/>
      </w:r>
      <w:r>
        <w:rPr>
          <w:highlight w:val="none"/>
        </w:rPr>
        <w:instrText xml:space="preserve"> PAGEREF _Toc7546 \h </w:instrText>
      </w:r>
      <w:r>
        <w:rPr>
          <w:highlight w:val="none"/>
        </w:rPr>
        <w:fldChar w:fldCharType="separate"/>
      </w:r>
      <w:r>
        <w:rPr>
          <w:highlight w:val="none"/>
        </w:rPr>
        <w:t>55</w:t>
      </w:r>
      <w:r>
        <w:rPr>
          <w:highlight w:val="none"/>
        </w:rPr>
        <w:fldChar w:fldCharType="end"/>
      </w:r>
      <w:r>
        <w:rPr>
          <w:rFonts w:hint="eastAsia" w:ascii="宋体" w:hAnsi="宋体" w:eastAsia="宋体" w:cs="宋体"/>
          <w:szCs w:val="30"/>
          <w:highlight w:val="none"/>
        </w:rPr>
        <w:fldChar w:fldCharType="end"/>
      </w:r>
    </w:p>
    <w:p w14:paraId="36189F58">
      <w:pPr>
        <w:pStyle w:val="17"/>
        <w:ind w:firstLine="0" w:firstLineChars="0"/>
        <w:rPr>
          <w:rFonts w:hint="eastAsia" w:ascii="方正仿宋_GBK" w:eastAsia="方正仿宋_GBK"/>
          <w:sz w:val="32"/>
          <w:highlight w:val="none"/>
        </w:rPr>
        <w:sectPr>
          <w:footerReference r:id="rId11" w:type="default"/>
          <w:pgSz w:w="11907" w:h="16840"/>
          <w:pgMar w:top="1134" w:right="1191" w:bottom="1134" w:left="1304" w:header="964" w:footer="992" w:gutter="0"/>
          <w:pgNumType w:fmt="decimal" w:start="1"/>
          <w:cols w:space="720" w:num="1"/>
          <w:docGrid w:linePitch="312" w:charSpace="0"/>
        </w:sectPr>
      </w:pPr>
      <w:r>
        <w:rPr>
          <w:rFonts w:hint="eastAsia" w:ascii="宋体" w:hAnsi="宋体" w:eastAsia="宋体" w:cs="宋体"/>
          <w:szCs w:val="30"/>
          <w:highlight w:val="none"/>
        </w:rPr>
        <w:fldChar w:fldCharType="end"/>
      </w:r>
    </w:p>
    <w:p w14:paraId="1CCB1AA7">
      <w:pPr>
        <w:pStyle w:val="2"/>
        <w:rPr>
          <w:highlight w:val="none"/>
          <w:lang w:eastAsia="zh-CN"/>
        </w:rPr>
      </w:pPr>
      <w:bookmarkStart w:id="2" w:name="_Toc8138"/>
      <w:r>
        <w:rPr>
          <w:rFonts w:hint="eastAsia"/>
          <w:highlight w:val="none"/>
          <w:lang w:eastAsia="zh-CN"/>
        </w:rPr>
        <w:t>第一篇 投标邀请书</w:t>
      </w:r>
      <w:bookmarkEnd w:id="0"/>
      <w:bookmarkEnd w:id="1"/>
      <w:bookmarkEnd w:id="2"/>
    </w:p>
    <w:p w14:paraId="5F27036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重庆正华工程管理咨询有限公司</w:t>
      </w:r>
      <w:r>
        <w:rPr>
          <w:rFonts w:hint="eastAsia" w:ascii="宋体" w:hAnsi="宋体" w:eastAsia="宋体" w:cs="宋体"/>
          <w:sz w:val="24"/>
          <w:szCs w:val="24"/>
          <w:highlight w:val="none"/>
          <w:lang w:eastAsia="zh-CN"/>
        </w:rPr>
        <w:t>受</w:t>
      </w:r>
      <w:r>
        <w:rPr>
          <w:rFonts w:hint="eastAsia" w:ascii="宋体" w:hAnsi="宋体" w:eastAsia="宋体" w:cs="宋体"/>
          <w:sz w:val="24"/>
          <w:szCs w:val="24"/>
          <w:highlight w:val="none"/>
          <w:u w:val="single"/>
          <w:lang w:eastAsia="zh-CN"/>
        </w:rPr>
        <w:t>重庆市大渡口区总工会</w:t>
      </w:r>
      <w:r>
        <w:rPr>
          <w:rFonts w:hint="eastAsia" w:ascii="宋体" w:hAnsi="宋体" w:eastAsia="宋体" w:cs="宋体"/>
          <w:sz w:val="24"/>
          <w:szCs w:val="24"/>
          <w:highlight w:val="none"/>
          <w:lang w:eastAsia="zh-CN"/>
        </w:rPr>
        <w:t>的委托，对</w:t>
      </w:r>
      <w:r>
        <w:rPr>
          <w:rFonts w:hint="eastAsia" w:ascii="宋体" w:hAnsi="宋体" w:eastAsia="宋体" w:cs="宋体"/>
          <w:sz w:val="24"/>
          <w:szCs w:val="24"/>
          <w:highlight w:val="none"/>
          <w:u w:val="single"/>
          <w:lang w:eastAsia="zh-CN"/>
        </w:rPr>
        <w:t>新就业群体之家一件事数字化应用服务</w:t>
      </w:r>
      <w:r>
        <w:rPr>
          <w:rFonts w:hint="eastAsia" w:ascii="宋体" w:hAnsi="宋体" w:eastAsia="宋体" w:cs="宋体"/>
          <w:sz w:val="24"/>
          <w:szCs w:val="24"/>
          <w:highlight w:val="none"/>
          <w:lang w:eastAsia="zh-CN"/>
        </w:rPr>
        <w:t>进行公开招标，欢迎有资格的投标人参加投标。</w:t>
      </w:r>
    </w:p>
    <w:p w14:paraId="6C4596F1">
      <w:pPr>
        <w:pStyle w:val="3"/>
        <w:ind w:firstLine="640"/>
        <w:rPr>
          <w:highlight w:val="none"/>
        </w:rPr>
      </w:pPr>
      <w:bookmarkStart w:id="3" w:name="_Toc26260"/>
      <w:bookmarkStart w:id="4" w:name="_Toc6664"/>
      <w:bookmarkStart w:id="5" w:name="_Toc27511"/>
      <w:r>
        <w:rPr>
          <w:rFonts w:hint="eastAsia"/>
          <w:highlight w:val="none"/>
        </w:rPr>
        <w:t>一、招标项目内容</w:t>
      </w:r>
      <w:bookmarkEnd w:id="3"/>
      <w:bookmarkEnd w:id="4"/>
      <w:bookmarkEnd w:id="5"/>
    </w:p>
    <w:tbl>
      <w:tblPr>
        <w:tblStyle w:val="19"/>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2"/>
        <w:gridCol w:w="1515"/>
        <w:gridCol w:w="1481"/>
        <w:gridCol w:w="2550"/>
      </w:tblGrid>
      <w:tr w14:paraId="31A9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532" w:type="dxa"/>
            <w:vAlign w:val="center"/>
          </w:tcPr>
          <w:p w14:paraId="63E1139A">
            <w:pPr>
              <w:spacing w:line="240" w:lineRule="atLeast"/>
              <w:ind w:firstLine="0" w:firstLineChars="0"/>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项目名称</w:t>
            </w:r>
          </w:p>
        </w:tc>
        <w:tc>
          <w:tcPr>
            <w:tcW w:w="1515" w:type="dxa"/>
            <w:vAlign w:val="center"/>
          </w:tcPr>
          <w:p w14:paraId="396733B7">
            <w:pPr>
              <w:spacing w:line="240" w:lineRule="atLeast"/>
              <w:ind w:firstLine="0" w:firstLineChars="0"/>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最高限价    </w:t>
            </w:r>
          </w:p>
          <w:p w14:paraId="1C280933">
            <w:pPr>
              <w:spacing w:line="240" w:lineRule="atLeast"/>
              <w:ind w:firstLine="0" w:firstLineChars="0"/>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（万元）</w:t>
            </w:r>
          </w:p>
        </w:tc>
        <w:tc>
          <w:tcPr>
            <w:tcW w:w="1481" w:type="dxa"/>
            <w:vAlign w:val="center"/>
          </w:tcPr>
          <w:p w14:paraId="278D33AB">
            <w:pPr>
              <w:spacing w:line="240" w:lineRule="atLeast"/>
              <w:ind w:firstLine="0" w:firstLineChars="0"/>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中标人数量</w:t>
            </w:r>
          </w:p>
          <w:p w14:paraId="67E7DFEE">
            <w:pPr>
              <w:spacing w:line="240" w:lineRule="atLeast"/>
              <w:ind w:firstLine="0" w:firstLineChars="0"/>
              <w:jc w:val="center"/>
              <w:outlineLvl w:val="0"/>
              <w:rPr>
                <w:rFonts w:hint="eastAsia" w:ascii="宋体" w:hAnsi="宋体" w:eastAsia="宋体" w:cs="宋体"/>
                <w:b/>
                <w:sz w:val="24"/>
                <w:szCs w:val="24"/>
                <w:highlight w:val="none"/>
              </w:rPr>
            </w:pPr>
            <w:r>
              <w:rPr>
                <w:rFonts w:hint="eastAsia" w:ascii="宋体" w:hAnsi="宋体" w:eastAsia="宋体" w:cs="宋体"/>
                <w:b/>
                <w:sz w:val="24"/>
                <w:szCs w:val="24"/>
                <w:highlight w:val="none"/>
              </w:rPr>
              <w:t>（名）</w:t>
            </w:r>
          </w:p>
        </w:tc>
        <w:tc>
          <w:tcPr>
            <w:tcW w:w="2550" w:type="dxa"/>
            <w:vAlign w:val="center"/>
          </w:tcPr>
          <w:p w14:paraId="02BEE2B1">
            <w:pPr>
              <w:spacing w:line="240" w:lineRule="atLeast"/>
              <w:ind w:firstLine="0" w:firstLineChars="0"/>
              <w:jc w:val="center"/>
              <w:outlineLvl w:val="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采购标的对应的中小企业划分标准所属行业</w:t>
            </w:r>
          </w:p>
        </w:tc>
      </w:tr>
      <w:tr w14:paraId="4DDE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3532" w:type="dxa"/>
            <w:vAlign w:val="center"/>
          </w:tcPr>
          <w:p w14:paraId="0A99C1E6">
            <w:pPr>
              <w:spacing w:line="240" w:lineRule="atLeast"/>
              <w:ind w:firstLine="0" w:firstLineChars="0"/>
              <w:jc w:val="center"/>
              <w:outlineLvl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新就业群体之家一件事数字化应用服务</w:t>
            </w:r>
          </w:p>
        </w:tc>
        <w:tc>
          <w:tcPr>
            <w:tcW w:w="1515" w:type="dxa"/>
            <w:vAlign w:val="center"/>
          </w:tcPr>
          <w:p w14:paraId="285B87C7">
            <w:pPr>
              <w:spacing w:line="240" w:lineRule="atLeast"/>
              <w:ind w:firstLine="0" w:firstLineChars="0"/>
              <w:jc w:val="center"/>
              <w:outlineLvl w:val="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225.161597</w:t>
            </w:r>
          </w:p>
        </w:tc>
        <w:tc>
          <w:tcPr>
            <w:tcW w:w="1481" w:type="dxa"/>
            <w:vAlign w:val="center"/>
          </w:tcPr>
          <w:p w14:paraId="3B0ACBCB">
            <w:pPr>
              <w:spacing w:line="240" w:lineRule="atLeas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550" w:type="dxa"/>
            <w:vAlign w:val="center"/>
          </w:tcPr>
          <w:p w14:paraId="35870015">
            <w:pPr>
              <w:spacing w:line="240" w:lineRule="atLeast"/>
              <w:ind w:firstLine="0" w:firstLineChars="0"/>
              <w:jc w:val="center"/>
              <w:outlineLvl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软件和信息技术服务业</w:t>
            </w:r>
          </w:p>
        </w:tc>
      </w:tr>
    </w:tbl>
    <w:p w14:paraId="72D9588A">
      <w:pPr>
        <w:pStyle w:val="3"/>
        <w:ind w:firstLine="640"/>
        <w:rPr>
          <w:highlight w:val="none"/>
          <w:lang w:eastAsia="zh-CN"/>
        </w:rPr>
      </w:pPr>
      <w:bookmarkStart w:id="6" w:name="_Toc29835"/>
      <w:bookmarkStart w:id="7" w:name="_Toc10490"/>
      <w:bookmarkStart w:id="8" w:name="_Toc23428"/>
      <w:r>
        <w:rPr>
          <w:rFonts w:hint="eastAsia"/>
          <w:highlight w:val="none"/>
          <w:lang w:eastAsia="zh-CN"/>
        </w:rPr>
        <w:t>二、资金来源</w:t>
      </w:r>
      <w:bookmarkEnd w:id="6"/>
      <w:bookmarkEnd w:id="7"/>
      <w:bookmarkEnd w:id="8"/>
    </w:p>
    <w:p w14:paraId="5582497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财政预算资金,预算金额为225.161597万元。</w:t>
      </w:r>
    </w:p>
    <w:p w14:paraId="6A08F30B">
      <w:pPr>
        <w:pStyle w:val="3"/>
        <w:ind w:firstLine="640"/>
        <w:rPr>
          <w:highlight w:val="none"/>
          <w:lang w:eastAsia="zh-CN"/>
        </w:rPr>
      </w:pPr>
      <w:bookmarkStart w:id="9" w:name="_Toc16626"/>
      <w:bookmarkStart w:id="10" w:name="_Toc32468"/>
      <w:bookmarkStart w:id="11" w:name="_Toc27773"/>
      <w:r>
        <w:rPr>
          <w:rFonts w:hint="eastAsia"/>
          <w:highlight w:val="none"/>
          <w:lang w:eastAsia="zh-CN"/>
        </w:rPr>
        <w:t>三、投标人资格要求</w:t>
      </w:r>
      <w:bookmarkEnd w:id="9"/>
      <w:bookmarkEnd w:id="10"/>
      <w:bookmarkEnd w:id="11"/>
    </w:p>
    <w:p w14:paraId="5C809BB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（一）满足《中华人民共和国政府采购法》第二十二条规定。</w:t>
      </w:r>
    </w:p>
    <w:p w14:paraId="5D8A98A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（二）落实政府采购政策需满足的资格要求：本项目采购项目预算总额的30%以上</w:t>
      </w:r>
      <w:r>
        <w:rPr>
          <w:rFonts w:hint="eastAsia" w:ascii="宋体" w:hAnsi="宋体" w:eastAsia="宋体" w:cs="宋体"/>
          <w:sz w:val="24"/>
          <w:szCs w:val="24"/>
          <w:highlight w:val="none"/>
          <w:lang w:val="en-US" w:eastAsia="zh-CN"/>
        </w:rPr>
        <w:t>需</w:t>
      </w:r>
      <w:r>
        <w:rPr>
          <w:rFonts w:hint="eastAsia" w:ascii="宋体" w:hAnsi="宋体" w:eastAsia="宋体" w:cs="宋体"/>
          <w:sz w:val="24"/>
          <w:szCs w:val="24"/>
          <w:highlight w:val="none"/>
          <w:lang w:eastAsia="zh-CN"/>
        </w:rPr>
        <w:t>面向中小企业采购，其中预留给小微企业的比例不低于60%。</w:t>
      </w:r>
    </w:p>
    <w:p w14:paraId="7756174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1.服务承接单位为小微企业的，投标人提供中小企业声明函或监狱企业证明文件或残疾人福利性单位声明函。</w:t>
      </w:r>
    </w:p>
    <w:p w14:paraId="27C5DEE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服务承接单位为中型企业的，应将合同金额的18%以上分包给小微企业，投标人应出具中小企业声明函或监狱企业证明文件或残疾人福利性单位声明函，并提供分包意向承诺（分包意向承诺中应明确小微企业的合同份额占合同总金额的比例）。</w:t>
      </w:r>
    </w:p>
    <w:p w14:paraId="253F31F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3.服务承接单位为大型企业的，应将合同金额的30%以上分包给中小企业，</w:t>
      </w:r>
      <w:r>
        <w:rPr>
          <w:rFonts w:hint="eastAsia" w:ascii="宋体" w:hAnsi="宋体" w:eastAsia="宋体" w:cs="宋体"/>
          <w:sz w:val="24"/>
          <w:szCs w:val="24"/>
          <w:highlight w:val="none"/>
          <w:lang w:val="en-US" w:eastAsia="zh-CN"/>
        </w:rPr>
        <w:t>其中</w:t>
      </w:r>
      <w:r>
        <w:rPr>
          <w:rFonts w:hint="eastAsia" w:ascii="宋体" w:hAnsi="宋体" w:eastAsia="宋体" w:cs="宋体"/>
          <w:sz w:val="24"/>
          <w:szCs w:val="24"/>
          <w:highlight w:val="none"/>
          <w:lang w:eastAsia="zh-CN"/>
        </w:rPr>
        <w:t>应将合同金额的18%以上分包给小微企业，投标人应出具中小企业声明函或监狱企业证明文件或残疾人福利性单位声明函，并提供分包意向承诺（分包意向承诺中应明确中小微企业的合同份额占合同总金额的比例）。</w:t>
      </w:r>
    </w:p>
    <w:p w14:paraId="1A9FEB2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（三）本项目的特定资格条件：无。</w:t>
      </w:r>
    </w:p>
    <w:p w14:paraId="1DA6E552">
      <w:pPr>
        <w:pStyle w:val="3"/>
        <w:ind w:firstLine="640"/>
        <w:rPr>
          <w:highlight w:val="none"/>
          <w:lang w:eastAsia="zh-CN"/>
        </w:rPr>
      </w:pPr>
      <w:bookmarkStart w:id="12" w:name="_Toc1177"/>
      <w:bookmarkStart w:id="13" w:name="_Toc13426"/>
      <w:bookmarkStart w:id="14" w:name="_Toc397"/>
      <w:r>
        <w:rPr>
          <w:rFonts w:hint="eastAsia"/>
          <w:highlight w:val="none"/>
          <w:lang w:eastAsia="zh-CN"/>
        </w:rPr>
        <w:t>四、投标、开标有关说明</w:t>
      </w:r>
      <w:bookmarkEnd w:id="12"/>
      <w:bookmarkEnd w:id="13"/>
      <w:bookmarkEnd w:id="14"/>
    </w:p>
    <w:p w14:paraId="3D52F8D0">
      <w:pPr>
        <w:ind w:firstLine="640"/>
        <w:rPr>
          <w:rFonts w:hint="eastAsia" w:ascii="宋体" w:hAnsi="宋体" w:eastAsia="宋体" w:cs="宋体"/>
          <w:sz w:val="24"/>
          <w:szCs w:val="24"/>
          <w:highlight w:val="none"/>
        </w:rPr>
      </w:pPr>
      <w:bookmarkStart w:id="15" w:name="_Hlk148295165"/>
      <w:r>
        <w:rPr>
          <w:rFonts w:hint="eastAsia" w:ascii="宋体" w:hAnsi="宋体" w:eastAsia="宋体" w:cs="宋体"/>
          <w:sz w:val="24"/>
          <w:szCs w:val="24"/>
          <w:highlight w:val="none"/>
        </w:rPr>
        <w:t>（一）投标人应通过重庆市政府采购网（www.ccgp-chongqing.gov.cn）登记加入“重庆市政府采购供应商库”。</w:t>
      </w:r>
    </w:p>
    <w:p w14:paraId="22EAAEF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凡有意参加投标的投标人，请在规定的采购文件提供期限内登陆“重庆市政府采购网”→进入“个人中心”→“在线开评标”→“电子标书在线获取”处→搜索该项目，并在项目信息右侧点击“在线获取”按钮。完成本项目招标文件以及图纸、澄清等开标前公布的所有项目资料（本次招标不提供纸质版招标文件）的获取和下载，无论投标人下载或获取与否，均视为已知晓所有招标内容。</w:t>
      </w:r>
    </w:p>
    <w:p w14:paraId="6B515DE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注：登陆“重庆市政府采购网”获取电子标书无须CA证书，CA证书仅用于制作电子投标文件、开标解密。</w:t>
      </w:r>
    </w:p>
    <w:p w14:paraId="13430BA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招标公告所附招标文件仅供阅览使用，投标人只有在规定的采购文件提供期限内登陆“重庆市政府采购网”→进入“个人中心”→“在线开评标”→“电子标书在线获取”处→搜索该项目，并在项目信息右侧点击“在线获取”按钮，完成网上获取采购文件，投标人才被视为合法获取了采购文件，否则其投标将被拒绝。</w:t>
      </w:r>
    </w:p>
    <w:p w14:paraId="5270BA0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即：若投标人未通过以上获取采购文件流程完成采购文件的下载、获取，投标人将无法在电子招投标系统中上传电子投标文件。</w:t>
      </w:r>
    </w:p>
    <w:p w14:paraId="0AC09B9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意事项：本项目为重庆市政府采购电子招投标项目，首次参与电子招投标的投标人须申请重庆市政府采购网账号密码、办理CA证书（办理CA证书费用由供应商自行承担）并下载电子投标文件制作系统，制作电子投标文件进行互联网在线投标，具体操作流程请下载项目公告附件《采购公告附件（投标人必看手册）》进行查看。因未注册重庆市政府采购网账号、未办理CA证书、操作不当等原因造成无法投标或投标失败的后果由投标人自行承担。</w:t>
      </w:r>
    </w:p>
    <w:p w14:paraId="6880B98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CA证书的办理流程：登录“重庆市政府采购网”→“个人中心”→“在线开评标”→“电子招投标中心”→“相关下载”栏目，下载附件《重庆市全流程电子招投标项目投标人办理正式CA签章流程手册》，并按照其中要求操作。</w:t>
      </w:r>
    </w:p>
    <w:p w14:paraId="04AD7BC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2.电子投标文件制作：登录“重庆市政府采购网”→“个人中心”→“在线开评标”→“电子招投标中心”→“相关下载”栏目，下载“投标文件制作工具下载_64(含32位)”、“统一签章客户端（正式版）” 安装包，并按照《政府采购全程电子化采购系统供应商操作手册（CA证书签章版）》、《【供应商必看】政府采购（CA版）供应商投标前软件安装手册》要求操作。</w:t>
      </w:r>
    </w:p>
    <w:bookmarkEnd w:id="15"/>
    <w:p w14:paraId="7A0B693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（四）招标文件公告期限：自采购公告发布之日起五个工作日。</w:t>
      </w:r>
    </w:p>
    <w:p w14:paraId="5B73F72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（五）招标文件获取期限及招标文件售价</w:t>
      </w:r>
    </w:p>
    <w:p w14:paraId="7A7FD58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1.招标文件获取期限：2025年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eastAsia="zh-CN"/>
        </w:rPr>
        <w:t>日至2025年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lang w:eastAsia="zh-CN"/>
        </w:rPr>
        <w:t>日。</w:t>
      </w:r>
    </w:p>
    <w:p w14:paraId="2C87336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2.招标文件阅览：详见本项目招标公告的附件。</w:t>
      </w:r>
    </w:p>
    <w:p w14:paraId="485017D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3.招标文件售价：人民币0.00元/包。</w:t>
      </w:r>
    </w:p>
    <w:p w14:paraId="22EED94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（六）电子投标文件递交</w:t>
      </w:r>
    </w:p>
    <w:p w14:paraId="6510FA6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电子投标文件递交方式：本项目采用网上递交方式，投标人于投标截止时间前，登录“重庆市政府采购网”，进入“在线开评标”栏目，在“我的投标项目”→“在线投标”板块内找到对应投标项目，进行电子投标文件递交。</w:t>
      </w:r>
    </w:p>
    <w:p w14:paraId="0F2F966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2.投标截止时间：2025年</w:t>
      </w:r>
      <w:r>
        <w:rPr>
          <w:rFonts w:hint="eastAsia" w:ascii="宋体" w:hAnsi="宋体" w:eastAsia="宋体" w:cs="宋体"/>
          <w:sz w:val="24"/>
          <w:szCs w:val="24"/>
          <w:highlight w:val="none"/>
          <w:lang w:val="en-US" w:eastAsia="zh-CN"/>
        </w:rPr>
        <w:t>12月5</w:t>
      </w:r>
      <w:r>
        <w:rPr>
          <w:rFonts w:hint="eastAsia" w:ascii="宋体" w:hAnsi="宋体" w:eastAsia="宋体" w:cs="宋体"/>
          <w:sz w:val="24"/>
          <w:szCs w:val="24"/>
          <w:highlight w:val="none"/>
          <w:lang w:eastAsia="zh-CN"/>
        </w:rPr>
        <w:t>日北京时间</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lang w:eastAsia="zh-CN"/>
        </w:rPr>
        <w:t>0（以电子招投标平台显示的时间为准，其他时间不接受任何形式的送达）。</w:t>
      </w:r>
    </w:p>
    <w:p w14:paraId="53F28C7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（七）开标信息</w:t>
      </w:r>
    </w:p>
    <w:p w14:paraId="7D7EA6D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1.开标时间：</w:t>
      </w:r>
      <w:bookmarkStart w:id="16" w:name="_Hlk148296032"/>
      <w:r>
        <w:rPr>
          <w:rFonts w:hint="eastAsia" w:ascii="宋体" w:hAnsi="宋体" w:eastAsia="宋体" w:cs="宋体"/>
          <w:sz w:val="24"/>
          <w:szCs w:val="24"/>
          <w:highlight w:val="none"/>
          <w:lang w:eastAsia="zh-CN"/>
        </w:rPr>
        <w:t>2025年</w:t>
      </w:r>
      <w:r>
        <w:rPr>
          <w:rFonts w:hint="eastAsia" w:ascii="宋体" w:hAnsi="宋体" w:eastAsia="宋体" w:cs="宋体"/>
          <w:sz w:val="24"/>
          <w:szCs w:val="24"/>
          <w:highlight w:val="none"/>
          <w:lang w:val="en-US" w:eastAsia="zh-CN"/>
        </w:rPr>
        <w:t>12月5</w:t>
      </w:r>
      <w:r>
        <w:rPr>
          <w:rFonts w:hint="eastAsia" w:ascii="宋体" w:hAnsi="宋体" w:eastAsia="宋体" w:cs="宋体"/>
          <w:sz w:val="24"/>
          <w:szCs w:val="24"/>
          <w:highlight w:val="none"/>
          <w:lang w:eastAsia="zh-CN"/>
        </w:rPr>
        <w:t>日北京时间</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lang w:eastAsia="zh-CN"/>
        </w:rPr>
        <w:t>0</w:t>
      </w:r>
      <w:bookmarkStart w:id="317" w:name="_GoBack"/>
      <w:bookmarkEnd w:id="317"/>
    </w:p>
    <w:p w14:paraId="7E83234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2.开标方式：</w:t>
      </w:r>
      <w:r>
        <w:rPr>
          <w:rFonts w:hint="eastAsia" w:ascii="宋体" w:hAnsi="宋体" w:eastAsia="宋体" w:cs="宋体"/>
          <w:b/>
          <w:bCs/>
          <w:sz w:val="24"/>
          <w:szCs w:val="24"/>
          <w:highlight w:val="none"/>
          <w:lang w:eastAsia="zh-CN"/>
        </w:rPr>
        <w:t>本项目采用网上在线开标方式</w:t>
      </w:r>
      <w:r>
        <w:rPr>
          <w:rFonts w:hint="eastAsia" w:ascii="宋体" w:hAnsi="宋体" w:eastAsia="宋体" w:cs="宋体"/>
          <w:sz w:val="24"/>
          <w:szCs w:val="24"/>
          <w:highlight w:val="none"/>
          <w:lang w:eastAsia="zh-CN"/>
        </w:rPr>
        <w:t>，投标人的法定代表人或其授权代表须持CA证书和可以上网的电脑（用于在线开标的电脑必须带有摄像头和麦克风、声卡等功能），于规定的开标时间前30分钟登录“重庆市政府采购网”→“个人中心”→“在线开评标”→“ 开评标大厅”，进入电子开标室完成在线准备。开标开始后投标人须根据采购代理机构引导在电子开标室完成电子投标文件解密、查看开标一览汇总表等工作。</w:t>
      </w:r>
    </w:p>
    <w:p w14:paraId="1D3BB7F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的法定代表人或其授权代表也可以持CA证书和可以无线上网的笔记本电脑（用于在线开标的笔记本电脑必须带有摄像头和麦克风、声卡、等功能）、无线网卡于开标时间前，到达线下指定开标地点（地址：重庆市公共资源交易中心开标厅（地址：重庆市渝北区青枫北路6号渝兴广场B10栋2层）参加在线开标。投标人线下持对应设备到线下指定开标地点参与在线开标都是由投标人主观自行决定。</w:t>
      </w:r>
      <w:r>
        <w:rPr>
          <w:rFonts w:hint="eastAsia" w:ascii="宋体" w:hAnsi="宋体" w:eastAsia="宋体" w:cs="宋体"/>
          <w:b/>
          <w:bCs/>
          <w:sz w:val="24"/>
          <w:szCs w:val="24"/>
          <w:highlight w:val="none"/>
          <w:lang w:eastAsia="zh-CN"/>
        </w:rPr>
        <w:t>因投标人自身原因导致未能在规定时间内解密电子投标文件或参与在线开标的，其后果由投标人自行承担。</w:t>
      </w:r>
    </w:p>
    <w:p w14:paraId="307A51E4">
      <w:pPr>
        <w:ind w:firstLine="640"/>
        <w:rPr>
          <w:rFonts w:hint="eastAsia" w:ascii="宋体" w:hAnsi="宋体" w:eastAsia="宋体" w:cs="宋体"/>
          <w:b/>
          <w:bCs/>
          <w:sz w:val="24"/>
          <w:szCs w:val="24"/>
          <w:highlight w:val="none"/>
          <w:lang w:eastAsia="zh-CN"/>
        </w:rPr>
      </w:pPr>
      <w:r>
        <w:rPr>
          <w:rFonts w:hint="eastAsia" w:ascii="宋体" w:hAnsi="宋体" w:eastAsia="宋体" w:cs="宋体"/>
          <w:sz w:val="24"/>
          <w:szCs w:val="24"/>
          <w:highlight w:val="none"/>
          <w:lang w:eastAsia="zh-CN"/>
        </w:rPr>
        <w:t>3.</w:t>
      </w:r>
      <w:r>
        <w:rPr>
          <w:rFonts w:hint="eastAsia" w:ascii="宋体" w:hAnsi="宋体" w:eastAsia="宋体" w:cs="宋体"/>
          <w:b/>
          <w:bCs/>
          <w:sz w:val="24"/>
          <w:szCs w:val="24"/>
          <w:highlight w:val="none"/>
          <w:lang w:eastAsia="zh-CN"/>
        </w:rPr>
        <w:t>线下指定开标地点：重庆市公共资源交易中心开标厅（地址：重庆市渝北区青枫北路6号渝兴广场B10栋2层。</w:t>
      </w:r>
    </w:p>
    <w:bookmarkEnd w:id="16"/>
    <w:p w14:paraId="4D9294E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电子招投标系统开标时间前30分钟是供应商自主在线准备环节时间（是否在线准备由供应商主观决定，在线准备环节意义在于提前测试CA证书与当前电脑设备运行环境是否正常），在线准备环节不具备签到意义，特此声明。</w:t>
      </w:r>
    </w:p>
    <w:p w14:paraId="279B29E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（八）其他补充事宜</w:t>
      </w:r>
    </w:p>
    <w:p w14:paraId="3FC245F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1.投标人如未在规定解密时长（系统默认30分钟解密时长，采购人/采购代理机构可根据现场投标情况进行延长/变更解密时长）内解密电子投标文件的情形约定：</w:t>
      </w:r>
    </w:p>
    <w:p w14:paraId="5B13B80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因政府采购全程电子化系统客观原因影响解密时长的，采购人/采购代理机构可根据现场实际情况延长解密时长。投标人在仍不能正常解密的情况下，投标人可向采购人/采购代理机构申请，启用上传不加密的电子备份投标文件的方法作为补救措施；在规定的解密时长内，投标人既不解密，也未提供不加密的电子备份投标文件作为补救措施的，视为投标人主动放弃对该项目的投标资格。</w:t>
      </w:r>
    </w:p>
    <w:p w14:paraId="0F05BA8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因投标人主观原因未在规定解密时长内完成解密工作的，且未在规定解密时长内向采购人/采购代理机构申请启用上传不加密的电子备份投标文件的方法作为补救措施或者已申请启用电子备份投标文件后仍不在规定解密时长内提供有效不加密的电子备份投标文件的情况，都视为投标人在递交电子投标文件截止时间后撤销电子投标文件，投标无效且投标人不得再参与本项目后续采购活动。</w:t>
      </w:r>
    </w:p>
    <w:p w14:paraId="078020B9">
      <w:pPr>
        <w:ind w:firstLine="640"/>
        <w:rPr>
          <w:rFonts w:hint="eastAsia" w:ascii="宋体" w:hAnsi="宋体" w:eastAsia="宋体" w:cs="宋体"/>
          <w:sz w:val="24"/>
          <w:szCs w:val="24"/>
          <w:highlight w:val="none"/>
          <w:lang w:eastAsia="zh-CN"/>
        </w:rPr>
      </w:pPr>
      <w:bookmarkStart w:id="17" w:name="_Toc6251"/>
      <w:r>
        <w:rPr>
          <w:rFonts w:hint="eastAsia" w:ascii="宋体" w:hAnsi="宋体" w:eastAsia="宋体" w:cs="宋体"/>
          <w:sz w:val="24"/>
          <w:szCs w:val="24"/>
          <w:highlight w:val="none"/>
          <w:lang w:eastAsia="zh-CN"/>
        </w:rPr>
        <w:t>2.本项目采用全流程电子招投标。各投标人需熟悉了解整个政府采购电子化开评标全过程。具体电子化采购规则以及操作指南请下载项目公告附件《采购公告附件（投标人必看手册）》（《重庆市全流程电子招投标项目投标人办理正式CA签章流程手册》和《政府采购全程电子化采购系统供应商操作手册（CA证书签章版）》、《【供应商必看】政府采购（CA版）供应商投标前软件安装手册》），并按其对应手册要求完成操作。</w:t>
      </w:r>
      <w:bookmarkEnd w:id="17"/>
    </w:p>
    <w:p w14:paraId="52980EDA">
      <w:pPr>
        <w:pStyle w:val="3"/>
        <w:ind w:firstLine="640"/>
        <w:rPr>
          <w:highlight w:val="none"/>
          <w:lang w:eastAsia="zh-CN"/>
        </w:rPr>
      </w:pPr>
      <w:bookmarkStart w:id="18" w:name="_Toc29755"/>
      <w:bookmarkStart w:id="19" w:name="_Toc1818"/>
      <w:bookmarkStart w:id="20" w:name="_Toc14665"/>
      <w:r>
        <w:rPr>
          <w:rFonts w:hint="eastAsia"/>
          <w:highlight w:val="none"/>
          <w:lang w:eastAsia="zh-CN"/>
        </w:rPr>
        <w:t>五、投标保证金</w:t>
      </w:r>
      <w:bookmarkEnd w:id="18"/>
      <w:bookmarkEnd w:id="19"/>
      <w:bookmarkEnd w:id="20"/>
    </w:p>
    <w:p w14:paraId="67B18FDB">
      <w:pPr>
        <w:ind w:firstLine="640"/>
        <w:rPr>
          <w:highlight w:val="none"/>
          <w:lang w:eastAsia="zh-CN"/>
        </w:rPr>
      </w:pPr>
      <w:r>
        <w:rPr>
          <w:rFonts w:hint="eastAsia" w:ascii="宋体" w:hAnsi="宋体" w:eastAsia="宋体" w:cs="宋体"/>
          <w:sz w:val="24"/>
          <w:szCs w:val="24"/>
          <w:highlight w:val="none"/>
          <w:lang w:eastAsia="zh-CN"/>
        </w:rPr>
        <w:t>为响应国家政策，优化营商环境，减轻企业负担，本项目不收取投标保证金。</w:t>
      </w:r>
    </w:p>
    <w:p w14:paraId="1269AC99">
      <w:pPr>
        <w:pStyle w:val="3"/>
        <w:ind w:firstLine="640"/>
        <w:rPr>
          <w:highlight w:val="none"/>
          <w:lang w:eastAsia="zh-CN"/>
        </w:rPr>
      </w:pPr>
      <w:bookmarkStart w:id="21" w:name="_Toc19687"/>
      <w:bookmarkStart w:id="22" w:name="_Toc30049"/>
      <w:bookmarkStart w:id="23" w:name="_Toc32263"/>
      <w:r>
        <w:rPr>
          <w:rFonts w:hint="eastAsia"/>
          <w:highlight w:val="none"/>
          <w:lang w:eastAsia="zh-CN"/>
        </w:rPr>
        <w:t>六、采购项目需落实的政府采购政策</w:t>
      </w:r>
      <w:bookmarkEnd w:id="21"/>
      <w:bookmarkEnd w:id="22"/>
      <w:bookmarkEnd w:id="23"/>
    </w:p>
    <w:p w14:paraId="2E5F54C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25C8492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（二）按照《财政部 工业和信息化部关于印发&lt;政府采购促进中小企业发展管理办法&gt;的通知》（财库〔2020〕46号）的规定，落实促进中小企业发展政策。</w:t>
      </w:r>
    </w:p>
    <w:p w14:paraId="3ACBE44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（三）按照《财政部、司法部关于政府采购支持监狱企业发展有关问题的通知》（财库〔2014〕68号）的规定，落实支持监狱企业发展政策。</w:t>
      </w:r>
    </w:p>
    <w:p w14:paraId="4BF8853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（四）按照《三部门联合发布关于促进残疾人就业政府采购政策的通知》（财库〔2017〕 141号）的规定，落实支持残疾人福利性单位发展政策。</w:t>
      </w:r>
    </w:p>
    <w:p w14:paraId="628836B9">
      <w:pPr>
        <w:pStyle w:val="3"/>
        <w:ind w:firstLine="640"/>
        <w:rPr>
          <w:highlight w:val="none"/>
          <w:lang w:eastAsia="zh-CN"/>
        </w:rPr>
      </w:pPr>
      <w:bookmarkStart w:id="24" w:name="_Toc1582"/>
      <w:bookmarkStart w:id="25" w:name="_Toc12354"/>
      <w:bookmarkStart w:id="26" w:name="_Toc32529"/>
      <w:r>
        <w:rPr>
          <w:rFonts w:hint="eastAsia"/>
          <w:highlight w:val="none"/>
          <w:lang w:eastAsia="zh-CN"/>
        </w:rPr>
        <w:t>七、投标有关规定</w:t>
      </w:r>
      <w:bookmarkEnd w:id="24"/>
      <w:bookmarkEnd w:id="25"/>
      <w:bookmarkEnd w:id="26"/>
    </w:p>
    <w:p w14:paraId="62ECCCA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（一）单位负责人为同一人或者存在直接控股、管理关系的不同投标人，不得参加同一合同项（包）下的政府采购活动。</w:t>
      </w:r>
    </w:p>
    <w:p w14:paraId="52230A7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（二）为采购项目提供整体设计、规范编制或者项目管理、监理、检测等服务的投标人，不得再参加该采购项目的其他采购活动。</w:t>
      </w:r>
    </w:p>
    <w:p w14:paraId="5C103A0E">
      <w:pPr>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三）本项目若有补遗文件（如果有）一律在重庆市政府采购网（ccgp-chongqing.gov.cn）和重庆市公共资源交易网（渝北区）（https://www.cqggzy.com/yubeiweb/）上发布，请各投标人注意下载；无论投标人下载与否，均视同投标人已知晓本项目补遗文件（如果有）的内容。</w:t>
      </w:r>
    </w:p>
    <w:p w14:paraId="0F6DAFB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w:t>
      </w:r>
      <w:bookmarkStart w:id="27" w:name="_Hlk148216246"/>
      <w:r>
        <w:rPr>
          <w:rFonts w:hint="eastAsia" w:ascii="宋体" w:hAnsi="宋体" w:eastAsia="宋体" w:cs="宋体"/>
          <w:sz w:val="24"/>
          <w:szCs w:val="24"/>
          <w:highlight w:val="none"/>
          <w:lang w:eastAsia="zh-CN"/>
        </w:rPr>
        <w:t>超过投标截止时间递交的电子投标文件，恕不接收</w:t>
      </w:r>
      <w:bookmarkEnd w:id="27"/>
      <w:r>
        <w:rPr>
          <w:rFonts w:hint="eastAsia" w:ascii="宋体" w:hAnsi="宋体" w:eastAsia="宋体" w:cs="宋体"/>
          <w:sz w:val="24"/>
          <w:szCs w:val="24"/>
          <w:highlight w:val="none"/>
          <w:lang w:eastAsia="zh-CN"/>
        </w:rPr>
        <w:t>。</w:t>
      </w:r>
    </w:p>
    <w:p w14:paraId="4396B1D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（五）投标费用：无论投标结果如何，投标人参与本项目投标的所有费用均应由投标人自行承担。</w:t>
      </w:r>
    </w:p>
    <w:p w14:paraId="774823CE">
      <w:pPr>
        <w:ind w:firstLine="643"/>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（六）本项目不接受联合体投标。</w:t>
      </w:r>
    </w:p>
    <w:p w14:paraId="2DA24DE3">
      <w:pPr>
        <w:ind w:firstLine="643"/>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（七）</w:t>
      </w:r>
      <w:r>
        <w:rPr>
          <w:rFonts w:hint="eastAsia" w:ascii="宋体" w:hAnsi="宋体" w:eastAsia="宋体" w:cs="宋体"/>
          <w:b/>
          <w:bCs/>
          <w:color w:val="auto"/>
          <w:sz w:val="24"/>
          <w:szCs w:val="24"/>
          <w:highlight w:val="none"/>
        </w:rPr>
        <w:t>本项目接受合同分包(本项目投标人按照“第一篇</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投标邀请书</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三、投标人资格要求</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(二)落实政府采购政策需满足的资格要求”进行合同分包)。</w:t>
      </w:r>
    </w:p>
    <w:p w14:paraId="6BD49C5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w:t>
      </w:r>
      <w:bookmarkStart w:id="28" w:name="OLE_LINK1"/>
      <w:bookmarkStart w:id="29" w:name="OLE_LINK2"/>
      <w:r>
        <w:rPr>
          <w:rFonts w:hint="eastAsia" w:ascii="宋体" w:hAnsi="宋体" w:eastAsia="宋体" w:cs="宋体"/>
          <w:sz w:val="24"/>
          <w:szCs w:val="24"/>
          <w:highlight w:val="none"/>
          <w:lang w:eastAsia="zh-CN"/>
        </w:rPr>
        <w:t>按照《财政部关于在政府采购活动中查询及使用信用记录有关问题的通知》财库〔2016〕125号，投标人列入失信被执行人、重大税收违法案件当事人名单、政府采购严重违法失信行为记录名单及其他不符合《中华人民共和国政府采购法》第二十二条规定条件的</w:t>
      </w:r>
      <w:bookmarkEnd w:id="28"/>
      <w:bookmarkEnd w:id="29"/>
      <w:r>
        <w:rPr>
          <w:rFonts w:hint="eastAsia" w:ascii="宋体" w:hAnsi="宋体" w:eastAsia="宋体" w:cs="宋体"/>
          <w:sz w:val="24"/>
          <w:szCs w:val="24"/>
          <w:highlight w:val="none"/>
          <w:lang w:eastAsia="zh-CN"/>
        </w:rPr>
        <w:t>投标人，将拒绝其参与政府采购活动。</w:t>
      </w:r>
    </w:p>
    <w:p w14:paraId="07C17CB3">
      <w:pPr>
        <w:pStyle w:val="3"/>
        <w:ind w:firstLine="640"/>
        <w:rPr>
          <w:highlight w:val="none"/>
          <w:lang w:eastAsia="zh-CN"/>
        </w:rPr>
      </w:pPr>
      <w:bookmarkStart w:id="30" w:name="_Toc27007"/>
      <w:bookmarkStart w:id="31" w:name="_Toc714"/>
      <w:bookmarkStart w:id="32" w:name="_Toc20515"/>
      <w:r>
        <w:rPr>
          <w:rFonts w:hint="eastAsia"/>
          <w:highlight w:val="none"/>
          <w:lang w:eastAsia="zh-CN"/>
        </w:rPr>
        <w:t>八、联系方式</w:t>
      </w:r>
      <w:bookmarkEnd w:id="30"/>
      <w:bookmarkEnd w:id="31"/>
      <w:bookmarkEnd w:id="32"/>
    </w:p>
    <w:p w14:paraId="0A652B6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（一）采购人：重庆市大渡口区总工会</w:t>
      </w:r>
    </w:p>
    <w:p w14:paraId="2F33C06C">
      <w:pPr>
        <w:numPr>
          <w:ilvl w:val="0"/>
          <w:numId w:val="0"/>
        </w:num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lang w:val="en-US" w:eastAsia="zh-CN"/>
        </w:rPr>
        <w:t>徐老师</w:t>
      </w:r>
    </w:p>
    <w:p w14:paraId="593E56D4">
      <w:pPr>
        <w:numPr>
          <w:ilvl w:val="0"/>
          <w:numId w:val="0"/>
        </w:num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电  话：</w:t>
      </w:r>
      <w:r>
        <w:rPr>
          <w:rFonts w:hint="eastAsia" w:ascii="宋体" w:hAnsi="宋体" w:eastAsia="宋体" w:cs="宋体"/>
          <w:sz w:val="24"/>
          <w:szCs w:val="24"/>
          <w:highlight w:val="none"/>
          <w:lang w:val="en-US" w:eastAsia="zh-CN"/>
        </w:rPr>
        <w:t>13983255716</w:t>
      </w:r>
    </w:p>
    <w:p w14:paraId="07320FC7">
      <w:pPr>
        <w:numPr>
          <w:ilvl w:val="0"/>
          <w:numId w:val="0"/>
        </w:numPr>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地  址：重庆市大渡口区文体路89号</w:t>
      </w:r>
    </w:p>
    <w:p w14:paraId="223633EC">
      <w:pPr>
        <w:numPr>
          <w:ilvl w:val="0"/>
          <w:numId w:val="1"/>
        </w:numPr>
        <w:ind w:firstLine="64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lang w:val="en-US" w:eastAsia="zh-CN"/>
        </w:rPr>
        <w:t>重庆正华工程管理咨询有限公司</w:t>
      </w:r>
    </w:p>
    <w:p w14:paraId="2E8D0E94">
      <w:pPr>
        <w:numPr>
          <w:ilvl w:val="0"/>
          <w:numId w:val="0"/>
        </w:numPr>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lang w:val="en-US" w:eastAsia="zh-CN"/>
        </w:rPr>
        <w:t>陈老师</w:t>
      </w:r>
    </w:p>
    <w:p w14:paraId="10DF5C51">
      <w:pPr>
        <w:ind w:firstLine="640"/>
        <w:rPr>
          <w:rFonts w:hint="default" w:ascii="宋体" w:hAnsi="宋体" w:eastAsia="宋体" w:cs="宋体"/>
          <w:sz w:val="24"/>
          <w:szCs w:val="24"/>
          <w:highlight w:val="none"/>
          <w:lang w:val="en-US" w:eastAsia="zh-CN"/>
        </w:rPr>
      </w:pPr>
      <w:bookmarkStart w:id="33" w:name="_Hlk148216267"/>
      <w:r>
        <w:rPr>
          <w:rFonts w:hint="eastAsia" w:ascii="宋体" w:hAnsi="宋体" w:eastAsia="宋体" w:cs="宋体"/>
          <w:sz w:val="24"/>
          <w:szCs w:val="24"/>
          <w:highlight w:val="none"/>
          <w:lang w:eastAsia="zh-CN"/>
        </w:rPr>
        <w:t>电话：</w:t>
      </w:r>
      <w:r>
        <w:rPr>
          <w:rFonts w:hint="eastAsia" w:ascii="宋体" w:hAnsi="宋体" w:eastAsia="宋体" w:cs="宋体"/>
          <w:sz w:val="24"/>
          <w:szCs w:val="24"/>
          <w:highlight w:val="none"/>
          <w:lang w:val="en-US" w:eastAsia="zh-CN"/>
        </w:rPr>
        <w:t>023-46333112</w:t>
      </w:r>
    </w:p>
    <w:p w14:paraId="7065FD6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地址：</w:t>
      </w:r>
      <w:r>
        <w:rPr>
          <w:rStyle w:val="36"/>
          <w:rFonts w:hint="eastAsia" w:ascii="宋体" w:hAnsi="宋体" w:eastAsia="宋体" w:cs="Times New Roman"/>
          <w:highlight w:val="none"/>
          <w:lang w:val="en-US" w:eastAsia="zh-CN"/>
        </w:rPr>
        <w:t>荣昌区昌州街道向阳路178号“重牧硅谷-星创天地”B217室</w:t>
      </w:r>
    </w:p>
    <w:p w14:paraId="6ED1930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（三）电子招投标系统技术指导：</w:t>
      </w:r>
    </w:p>
    <w:p w14:paraId="27292ED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lang w:val="en-US" w:eastAsia="zh-CN"/>
        </w:rPr>
        <w:t>吴</w:t>
      </w:r>
      <w:r>
        <w:rPr>
          <w:rFonts w:hint="eastAsia" w:ascii="宋体" w:hAnsi="宋体" w:eastAsia="宋体" w:cs="宋体"/>
          <w:sz w:val="24"/>
          <w:szCs w:val="24"/>
          <w:highlight w:val="none"/>
          <w:lang w:eastAsia="zh-CN"/>
        </w:rPr>
        <w:t>老师</w:t>
      </w:r>
    </w:p>
    <w:p w14:paraId="28AE646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电话：023-88158029（工作日）   15823413234（节假日）</w:t>
      </w:r>
    </w:p>
    <w:p w14:paraId="61B13D2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（四）CA数字证书办理服务平台：</w:t>
      </w:r>
    </w:p>
    <w:p w14:paraId="02F69E1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1.CA数字证书：网证通</w:t>
      </w:r>
    </w:p>
    <w:p w14:paraId="276112D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联系人：刘娟</w:t>
      </w:r>
    </w:p>
    <w:p w14:paraId="6634150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电话：023-63010240  18996084960</w:t>
      </w:r>
    </w:p>
    <w:p w14:paraId="487F27F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2.CA数字证书：东方中讯数字证书认证有限公司</w:t>
      </w:r>
    </w:p>
    <w:p w14:paraId="0AFC319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联系人：何晓伦</w:t>
      </w:r>
    </w:p>
    <w:p w14:paraId="04798518">
      <w:pPr>
        <w:ind w:firstLine="640"/>
        <w:rPr>
          <w:rFonts w:hint="eastAsia" w:ascii="宋体" w:hAnsi="宋体" w:eastAsia="宋体" w:cs="宋体"/>
          <w:sz w:val="24"/>
          <w:szCs w:val="24"/>
          <w:highlight w:val="none"/>
          <w:lang w:eastAsia="zh-CN"/>
        </w:rPr>
        <w:sectPr>
          <w:headerReference r:id="rId12" w:type="default"/>
          <w:footerReference r:id="rId13" w:type="default"/>
          <w:pgSz w:w="11907" w:h="16840"/>
          <w:pgMar w:top="2098" w:right="1474" w:bottom="1985" w:left="1588" w:header="964" w:footer="992" w:gutter="0"/>
          <w:pgNumType w:fmt="decimal" w:start="1"/>
          <w:cols w:space="720" w:num="1"/>
          <w:docGrid w:linePitch="312" w:charSpace="0"/>
        </w:sectPr>
      </w:pPr>
      <w:r>
        <w:rPr>
          <w:rFonts w:hint="eastAsia" w:ascii="宋体" w:hAnsi="宋体" w:eastAsia="宋体" w:cs="宋体"/>
          <w:sz w:val="24"/>
          <w:szCs w:val="24"/>
          <w:highlight w:val="none"/>
          <w:lang w:eastAsia="zh-CN"/>
        </w:rPr>
        <w:t>电话：023-88257082  023-63153662</w:t>
      </w:r>
      <w:bookmarkEnd w:id="33"/>
    </w:p>
    <w:p w14:paraId="474F9EFF">
      <w:pPr>
        <w:pStyle w:val="2"/>
        <w:numPr>
          <w:ilvl w:val="0"/>
          <w:numId w:val="2"/>
        </w:numPr>
        <w:rPr>
          <w:highlight w:val="none"/>
          <w:lang w:eastAsia="zh-CN"/>
        </w:rPr>
      </w:pPr>
      <w:bookmarkStart w:id="34" w:name="_Toc20268"/>
      <w:bookmarkStart w:id="35" w:name="_Toc17711"/>
      <w:r>
        <w:rPr>
          <w:rFonts w:hint="eastAsia"/>
          <w:highlight w:val="none"/>
          <w:lang w:eastAsia="zh-CN"/>
        </w:rPr>
        <w:t>项目技术（服务）需求</w:t>
      </w:r>
      <w:bookmarkEnd w:id="34"/>
      <w:bookmarkEnd w:id="35"/>
    </w:p>
    <w:p w14:paraId="146E9ED7">
      <w:pPr>
        <w:ind w:firstLine="640"/>
        <w:rPr>
          <w:rFonts w:hint="eastAsia" w:ascii="宋体" w:hAnsi="宋体" w:eastAsia="宋体" w:cs="宋体"/>
          <w:sz w:val="24"/>
          <w:szCs w:val="24"/>
          <w:highlight w:val="none"/>
          <w:lang w:eastAsia="zh-CN"/>
        </w:rPr>
      </w:pPr>
      <w:bookmarkStart w:id="36" w:name="_Toc18977"/>
      <w:bookmarkStart w:id="37" w:name="_Toc28205"/>
      <w:bookmarkStart w:id="38" w:name="_Toc75793506"/>
      <w:bookmarkStart w:id="39" w:name="_Toc21817"/>
      <w:bookmarkStart w:id="40" w:name="_Toc10143"/>
      <w:bookmarkStart w:id="41" w:name="_Toc26453"/>
      <w:bookmarkStart w:id="42" w:name="_Toc5751"/>
      <w:bookmarkStart w:id="43" w:name="_Toc18903"/>
      <w:bookmarkStart w:id="44" w:name="_Toc28951"/>
      <w:bookmarkStart w:id="45" w:name="_Toc12568"/>
      <w:bookmarkStart w:id="46" w:name="_Toc15696"/>
      <w:bookmarkStart w:id="47" w:name="_Toc7792"/>
      <w:bookmarkStart w:id="48" w:name="_Toc106030382"/>
      <w:bookmarkStart w:id="49" w:name="_Toc20991"/>
      <w:bookmarkStart w:id="50" w:name="_Toc18800"/>
      <w:bookmarkStart w:id="51" w:name="_Toc27067"/>
      <w:bookmarkStart w:id="52" w:name="_Toc23975"/>
      <w:bookmarkStart w:id="53" w:name="_Toc32262"/>
      <w:bookmarkStart w:id="54" w:name="_Toc695"/>
      <w:r>
        <w:rPr>
          <w:rFonts w:hint="eastAsia" w:ascii="宋体" w:hAnsi="宋体" w:eastAsia="宋体" w:cs="宋体"/>
          <w:sz w:val="24"/>
          <w:szCs w:val="24"/>
          <w:highlight w:val="none"/>
          <w:lang w:eastAsia="zh-CN"/>
        </w:rPr>
        <w:t>注：本篇“※”标注的项目服务需求为符合性审查中的实质性要求，若不满足按无效投标处理。</w:t>
      </w:r>
      <w:bookmarkEnd w:id="36"/>
    </w:p>
    <w:p w14:paraId="4BFEFF57">
      <w:pPr>
        <w:pStyle w:val="3"/>
        <w:ind w:firstLine="640"/>
        <w:rPr>
          <w:highlight w:val="none"/>
        </w:rPr>
      </w:pPr>
      <w:bookmarkStart w:id="55" w:name="_Toc9261"/>
      <w:bookmarkStart w:id="56" w:name="_Toc23656"/>
      <w:bookmarkStart w:id="57" w:name="_Toc14837"/>
      <w:bookmarkStart w:id="58" w:name="_Toc17798"/>
      <w:bookmarkStart w:id="59" w:name="_Toc8370"/>
      <w:bookmarkStart w:id="60" w:name="_Toc9831"/>
      <w:bookmarkStart w:id="61" w:name="_Toc4519"/>
      <w:bookmarkStart w:id="62" w:name="_Toc688"/>
      <w:bookmarkStart w:id="63" w:name="_Toc11083"/>
      <w:bookmarkStart w:id="64" w:name="_Toc4531"/>
      <w:bookmarkStart w:id="65" w:name="_Toc22910"/>
      <w:bookmarkStart w:id="66" w:name="_Toc75793505"/>
      <w:bookmarkStart w:id="67" w:name="_Toc19238"/>
      <w:bookmarkStart w:id="68" w:name="_Toc11703"/>
      <w:bookmarkStart w:id="69" w:name="_Toc29985"/>
      <w:bookmarkStart w:id="70" w:name="_Toc24021"/>
      <w:bookmarkStart w:id="71" w:name="_Toc7027"/>
      <w:bookmarkStart w:id="72" w:name="_Toc106030381"/>
      <w:bookmarkStart w:id="73" w:name="_Toc23504"/>
      <w:bookmarkStart w:id="74" w:name="_Toc20979"/>
      <w:bookmarkStart w:id="75" w:name="_Toc4913"/>
      <w:r>
        <w:rPr>
          <w:rFonts w:hint="eastAsia"/>
          <w:highlight w:val="none"/>
        </w:rPr>
        <w:t>一、招标项目一览表</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bl>
      <w:tblPr>
        <w:tblStyle w:val="19"/>
        <w:tblW w:w="95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4125"/>
        <w:gridCol w:w="1319"/>
        <w:gridCol w:w="2237"/>
        <w:gridCol w:w="1071"/>
      </w:tblGrid>
      <w:tr w14:paraId="0781D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6" w:type="dxa"/>
            <w:vAlign w:val="center"/>
          </w:tcPr>
          <w:p w14:paraId="7B60C702">
            <w:pPr>
              <w:spacing w:line="400" w:lineRule="exact"/>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4125" w:type="dxa"/>
            <w:vAlign w:val="center"/>
          </w:tcPr>
          <w:p w14:paraId="00C928CB">
            <w:pPr>
              <w:spacing w:line="400" w:lineRule="exact"/>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名称</w:t>
            </w:r>
          </w:p>
        </w:tc>
        <w:tc>
          <w:tcPr>
            <w:tcW w:w="1319" w:type="dxa"/>
            <w:vAlign w:val="center"/>
          </w:tcPr>
          <w:p w14:paraId="643DC5B8">
            <w:pPr>
              <w:spacing w:line="400" w:lineRule="exact"/>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数量/单位</w:t>
            </w:r>
          </w:p>
        </w:tc>
        <w:tc>
          <w:tcPr>
            <w:tcW w:w="2237" w:type="dxa"/>
            <w:vAlign w:val="center"/>
          </w:tcPr>
          <w:p w14:paraId="6369A62E">
            <w:pPr>
              <w:spacing w:line="400" w:lineRule="exact"/>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最高限价（万元）</w:t>
            </w:r>
          </w:p>
        </w:tc>
        <w:tc>
          <w:tcPr>
            <w:tcW w:w="1071" w:type="dxa"/>
            <w:vAlign w:val="center"/>
          </w:tcPr>
          <w:p w14:paraId="56F92DEF">
            <w:pPr>
              <w:spacing w:line="400" w:lineRule="exact"/>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1E504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DE36127">
            <w:pPr>
              <w:spacing w:line="400" w:lineRule="exact"/>
              <w:ind w:firstLine="0" w:firstLineChars="0"/>
              <w:jc w:val="center"/>
              <w:rPr>
                <w:rFonts w:hint="eastAsia" w:ascii="宋体" w:hAnsi="宋体" w:eastAsia="宋体" w:cs="宋体"/>
                <w:bCs/>
                <w:sz w:val="24"/>
                <w:szCs w:val="24"/>
                <w:highlight w:val="none"/>
              </w:rPr>
            </w:pPr>
            <w:bookmarkStart w:id="76" w:name="_Toc19389"/>
            <w:bookmarkStart w:id="77" w:name="_Toc170374967"/>
            <w:r>
              <w:rPr>
                <w:rFonts w:hint="eastAsia" w:ascii="宋体" w:hAnsi="宋体" w:eastAsia="宋体" w:cs="宋体"/>
                <w:sz w:val="24"/>
                <w:szCs w:val="24"/>
                <w:highlight w:val="none"/>
              </w:rPr>
              <w:t>1</w:t>
            </w:r>
          </w:p>
        </w:tc>
        <w:tc>
          <w:tcPr>
            <w:tcW w:w="4125" w:type="dxa"/>
            <w:tcBorders>
              <w:top w:val="single" w:color="000000" w:sz="4" w:space="0"/>
              <w:left w:val="single" w:color="000000" w:sz="4" w:space="0"/>
              <w:bottom w:val="single" w:color="000000" w:sz="4" w:space="0"/>
              <w:right w:val="single" w:color="000000" w:sz="4" w:space="0"/>
            </w:tcBorders>
            <w:vAlign w:val="center"/>
          </w:tcPr>
          <w:p w14:paraId="21D112C6">
            <w:pPr>
              <w:ind w:firstLine="0" w:firstLineChars="0"/>
              <w:jc w:val="center"/>
              <w:rPr>
                <w:rFonts w:hint="eastAsia" w:ascii="宋体" w:hAnsi="宋体" w:eastAsia="宋体" w:cs="宋体"/>
                <w:bCs/>
                <w:sz w:val="24"/>
                <w:szCs w:val="24"/>
                <w:highlight w:val="none"/>
                <w:lang w:eastAsia="zh-CN"/>
              </w:rPr>
            </w:pPr>
            <w:bookmarkStart w:id="78" w:name="_Hlk196481892"/>
            <w:r>
              <w:rPr>
                <w:rFonts w:hint="eastAsia" w:ascii="宋体" w:hAnsi="宋体" w:eastAsia="宋体" w:cs="宋体"/>
                <w:sz w:val="24"/>
                <w:szCs w:val="24"/>
                <w:highlight w:val="none"/>
                <w:lang w:eastAsia="zh-CN"/>
              </w:rPr>
              <w:t>新就业群体之家一件事数字化应用服务</w:t>
            </w:r>
            <w:bookmarkEnd w:id="78"/>
          </w:p>
        </w:tc>
        <w:tc>
          <w:tcPr>
            <w:tcW w:w="1319" w:type="dxa"/>
            <w:tcBorders>
              <w:top w:val="single" w:color="000000" w:sz="4" w:space="0"/>
              <w:left w:val="single" w:color="000000" w:sz="4" w:space="0"/>
              <w:bottom w:val="single" w:color="000000" w:sz="4" w:space="0"/>
              <w:right w:val="single" w:color="000000" w:sz="4" w:space="0"/>
            </w:tcBorders>
            <w:vAlign w:val="center"/>
          </w:tcPr>
          <w:p w14:paraId="7B455591">
            <w:pPr>
              <w:spacing w:line="400" w:lineRule="exact"/>
              <w:ind w:firstLine="0" w:firstLineChars="0"/>
              <w:jc w:val="center"/>
              <w:rPr>
                <w:rFonts w:hint="eastAsia" w:ascii="宋体" w:hAnsi="宋体" w:eastAsia="宋体" w:cs="宋体"/>
                <w:bCs/>
                <w:sz w:val="24"/>
                <w:szCs w:val="24"/>
                <w:highlight w:val="none"/>
              </w:rPr>
            </w:pPr>
            <w:r>
              <w:rPr>
                <w:rFonts w:hint="eastAsia" w:ascii="宋体" w:hAnsi="宋体" w:eastAsia="宋体" w:cs="宋体"/>
                <w:sz w:val="24"/>
                <w:szCs w:val="24"/>
                <w:highlight w:val="none"/>
              </w:rPr>
              <w:t>1项</w:t>
            </w:r>
          </w:p>
        </w:tc>
        <w:tc>
          <w:tcPr>
            <w:tcW w:w="2237" w:type="dxa"/>
            <w:tcBorders>
              <w:left w:val="single" w:color="000000" w:sz="4" w:space="0"/>
              <w:right w:val="single" w:color="000000" w:sz="4" w:space="0"/>
            </w:tcBorders>
            <w:vAlign w:val="center"/>
          </w:tcPr>
          <w:p w14:paraId="7E723DC3">
            <w:pPr>
              <w:spacing w:line="400" w:lineRule="exact"/>
              <w:ind w:firstLine="0" w:firstLineChars="0"/>
              <w:jc w:val="cente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lang w:eastAsia="zh-CN"/>
              </w:rPr>
              <w:t>225.161597</w:t>
            </w:r>
          </w:p>
        </w:tc>
        <w:tc>
          <w:tcPr>
            <w:tcW w:w="1071" w:type="dxa"/>
            <w:tcBorders>
              <w:left w:val="single" w:color="000000" w:sz="4" w:space="0"/>
              <w:right w:val="single" w:color="000000" w:sz="4" w:space="0"/>
            </w:tcBorders>
            <w:vAlign w:val="center"/>
          </w:tcPr>
          <w:p w14:paraId="46D420B3">
            <w:pPr>
              <w:spacing w:line="400" w:lineRule="exact"/>
              <w:ind w:firstLine="0" w:firstLineChars="0"/>
              <w:jc w:val="center"/>
              <w:rPr>
                <w:rFonts w:hint="eastAsia" w:ascii="宋体" w:hAnsi="宋体" w:eastAsia="宋体" w:cs="宋体"/>
                <w:bCs/>
                <w:sz w:val="24"/>
                <w:szCs w:val="24"/>
                <w:highlight w:val="none"/>
              </w:rPr>
            </w:pPr>
          </w:p>
        </w:tc>
      </w:tr>
    </w:tbl>
    <w:p w14:paraId="4C1AF16B">
      <w:pPr>
        <w:pStyle w:val="3"/>
        <w:ind w:firstLine="640"/>
        <w:rPr>
          <w:highlight w:val="none"/>
        </w:rPr>
      </w:pPr>
      <w:bookmarkStart w:id="79" w:name="_Toc7520"/>
      <w:bookmarkStart w:id="80" w:name="_Toc4767"/>
      <w:r>
        <w:rPr>
          <w:rFonts w:hint="eastAsia"/>
          <w:highlight w:val="none"/>
        </w:rPr>
        <w:t>二、项目概况</w:t>
      </w:r>
      <w:bookmarkEnd w:id="79"/>
      <w:bookmarkEnd w:id="80"/>
    </w:p>
    <w:p w14:paraId="628AF9D1">
      <w:pPr>
        <w:ind w:firstLine="640"/>
        <w:rPr>
          <w:rFonts w:hint="eastAsia" w:ascii="宋体" w:hAnsi="宋体" w:eastAsia="宋体" w:cs="宋体"/>
          <w:sz w:val="24"/>
          <w:szCs w:val="24"/>
          <w:highlight w:val="none"/>
          <w:lang w:eastAsia="zh-CN"/>
        </w:rPr>
        <w:sectPr>
          <w:footerReference r:id="rId14" w:type="default"/>
          <w:pgSz w:w="11906" w:h="16838"/>
          <w:pgMar w:top="1984" w:right="1446" w:bottom="1644" w:left="1446" w:header="851" w:footer="907" w:gutter="0"/>
          <w:pgNumType w:fmt="decimal"/>
          <w:cols w:space="720" w:num="1"/>
          <w:docGrid w:type="linesAndChars" w:linePitch="579" w:charSpace="-849"/>
        </w:sectPr>
      </w:pPr>
      <w:r>
        <w:rPr>
          <w:rFonts w:hint="eastAsia" w:ascii="宋体" w:hAnsi="宋体" w:eastAsia="宋体" w:cs="宋体"/>
          <w:sz w:val="24"/>
          <w:szCs w:val="24"/>
          <w:highlight w:val="none"/>
          <w:lang w:eastAsia="zh-CN"/>
        </w:rPr>
        <w:t>新就业群体之家”应用深入贯彻习近平总书记“要高度关注新就业群体发展，坚持网上网下结合，做好新就业群体的思想引导和凝聚服务工作”系列重要指示、党的二十届三中全会“健全灵活就业人员、农民工、新就业形态人员服务保障”重要部署，落实全总“最大限度把新就业群体劳动者吸引过来、组织起来、稳定下来，使工会成为他们愿意依靠的组织”重要部署，针对新就业群体规模持续扩大，该部分劳动者分散，联系服务难、权益保障难，社会归属感弱、融入感差、心理健康程度不高等痛点堵点问题，构建新就业人员服务信息全量归集、服务需求感知匹配、服务一键智达、复盘评价与结果运用4个多跨场景，配套构建新就业人员“一码全程服务”机制、建立新就业群体一站式全方位关爱服务体系等改革举措，创新探索新就业群体精准化服务有效路径，推动基层治理和新就业群体的“双向奔赴”，共建全民友好型社会。</w:t>
      </w:r>
    </w:p>
    <w:p w14:paraId="780F8941">
      <w:pPr>
        <w:pStyle w:val="3"/>
        <w:ind w:firstLine="640"/>
        <w:rPr>
          <w:highlight w:val="none"/>
          <w:lang w:eastAsia="zh-CN"/>
        </w:rPr>
      </w:pPr>
      <w:bookmarkStart w:id="81" w:name="_Toc15584"/>
      <w:bookmarkStart w:id="82" w:name="_Toc6194"/>
      <w:r>
        <w:rPr>
          <w:rFonts w:hint="eastAsia"/>
          <w:highlight w:val="none"/>
          <w:lang w:eastAsia="zh-CN"/>
        </w:rPr>
        <w:t>三、</w:t>
      </w:r>
      <w:bookmarkEnd w:id="76"/>
      <w:bookmarkEnd w:id="77"/>
      <w:bookmarkEnd w:id="81"/>
      <w:r>
        <w:rPr>
          <w:rFonts w:hint="eastAsia"/>
          <w:highlight w:val="none"/>
          <w:lang w:eastAsia="zh-CN"/>
        </w:rPr>
        <w:t>建设内容要求</w:t>
      </w:r>
      <w:bookmarkEnd w:id="82"/>
    </w:p>
    <w:p w14:paraId="4BFFD4E9">
      <w:pPr>
        <w:pStyle w:val="4"/>
        <w:ind w:firstLine="640"/>
        <w:rPr>
          <w:highlight w:val="none"/>
          <w:lang w:eastAsia="zh-CN"/>
        </w:rPr>
      </w:pPr>
      <w:bookmarkStart w:id="83" w:name="OLE_LINK3"/>
      <w:r>
        <w:rPr>
          <w:rFonts w:hint="eastAsia" w:ascii="宋体" w:hAnsi="宋体" w:eastAsia="宋体" w:cs="宋体"/>
          <w:sz w:val="24"/>
          <w:szCs w:val="24"/>
          <w:highlight w:val="none"/>
          <w:lang w:eastAsia="zh-CN"/>
        </w:rPr>
        <w:t>※</w:t>
      </w:r>
      <w:r>
        <w:rPr>
          <w:rFonts w:hint="eastAsia"/>
          <w:highlight w:val="none"/>
          <w:lang w:eastAsia="zh-CN"/>
        </w:rPr>
        <w:t>（一）招标需求一览表</w:t>
      </w:r>
    </w:p>
    <w:bookmarkEnd w:id="83"/>
    <w:tbl>
      <w:tblPr>
        <w:tblStyle w:val="1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780"/>
        <w:gridCol w:w="5046"/>
        <w:gridCol w:w="1957"/>
      </w:tblGrid>
      <w:tr w14:paraId="0EFD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Align w:val="center"/>
          </w:tcPr>
          <w:p w14:paraId="381B8FFE">
            <w:pPr>
              <w:spacing w:line="380" w:lineRule="exact"/>
              <w:ind w:firstLine="0" w:firstLineChars="0"/>
              <w:jc w:val="center"/>
              <w:rPr>
                <w:rFonts w:hint="eastAsia" w:ascii="方正仿宋_GBK" w:hAnsi="方正仿宋_GBK" w:cs="方正仿宋_GBK"/>
                <w:b/>
                <w:bCs/>
                <w:sz w:val="24"/>
                <w:szCs w:val="24"/>
                <w:highlight w:val="none"/>
              </w:rPr>
            </w:pPr>
            <w:r>
              <w:rPr>
                <w:rFonts w:hint="eastAsia" w:ascii="方正仿宋_GBK" w:hAnsi="方正仿宋_GBK" w:cs="方正仿宋_GBK"/>
                <w:b/>
                <w:bCs/>
                <w:sz w:val="24"/>
                <w:szCs w:val="24"/>
                <w:highlight w:val="none"/>
              </w:rPr>
              <w:t>序号</w:t>
            </w:r>
          </w:p>
        </w:tc>
        <w:tc>
          <w:tcPr>
            <w:tcW w:w="925" w:type="pct"/>
            <w:vAlign w:val="center"/>
          </w:tcPr>
          <w:p w14:paraId="3E7D443A">
            <w:pPr>
              <w:spacing w:line="380" w:lineRule="exact"/>
              <w:ind w:firstLine="0" w:firstLineChars="0"/>
              <w:jc w:val="center"/>
              <w:rPr>
                <w:rFonts w:hint="eastAsia" w:ascii="方正仿宋_GBK" w:hAnsi="方正仿宋_GBK" w:cs="方正仿宋_GBK"/>
                <w:b/>
                <w:bCs/>
                <w:sz w:val="24"/>
                <w:szCs w:val="24"/>
                <w:highlight w:val="none"/>
              </w:rPr>
            </w:pPr>
            <w:r>
              <w:rPr>
                <w:rFonts w:hint="eastAsia" w:ascii="方正仿宋_GBK" w:hAnsi="方正仿宋_GBK" w:cs="方正仿宋_GBK"/>
                <w:b/>
                <w:bCs/>
                <w:sz w:val="24"/>
                <w:szCs w:val="24"/>
                <w:highlight w:val="none"/>
              </w:rPr>
              <w:t>服务名称</w:t>
            </w:r>
          </w:p>
        </w:tc>
        <w:tc>
          <w:tcPr>
            <w:tcW w:w="2623" w:type="pct"/>
            <w:vAlign w:val="center"/>
          </w:tcPr>
          <w:p w14:paraId="6EFA4AEF">
            <w:pPr>
              <w:spacing w:line="380" w:lineRule="exact"/>
              <w:ind w:firstLine="0" w:firstLineChars="0"/>
              <w:jc w:val="center"/>
              <w:rPr>
                <w:rFonts w:hint="eastAsia" w:ascii="方正仿宋_GBK" w:hAnsi="方正仿宋_GBK" w:cs="方正仿宋_GBK"/>
                <w:b/>
                <w:bCs/>
                <w:sz w:val="24"/>
                <w:szCs w:val="24"/>
                <w:highlight w:val="none"/>
              </w:rPr>
            </w:pPr>
            <w:r>
              <w:rPr>
                <w:rFonts w:hint="eastAsia" w:ascii="方正仿宋_GBK" w:hAnsi="方正仿宋_GBK" w:cs="方正仿宋_GBK"/>
                <w:b/>
                <w:bCs/>
                <w:sz w:val="24"/>
                <w:szCs w:val="24"/>
                <w:highlight w:val="none"/>
              </w:rPr>
              <w:t>服务内容</w:t>
            </w:r>
          </w:p>
        </w:tc>
        <w:tc>
          <w:tcPr>
            <w:tcW w:w="1017" w:type="pct"/>
            <w:vAlign w:val="center"/>
          </w:tcPr>
          <w:p w14:paraId="7B5FE14D">
            <w:pPr>
              <w:spacing w:line="380" w:lineRule="exact"/>
              <w:ind w:firstLine="0" w:firstLineChars="0"/>
              <w:jc w:val="center"/>
              <w:rPr>
                <w:rFonts w:hint="eastAsia" w:ascii="方正仿宋_GBK" w:hAnsi="方正仿宋_GBK" w:cs="方正仿宋_GBK"/>
                <w:b/>
                <w:bCs/>
                <w:sz w:val="24"/>
                <w:szCs w:val="24"/>
                <w:highlight w:val="none"/>
              </w:rPr>
            </w:pPr>
            <w:r>
              <w:rPr>
                <w:rFonts w:hint="eastAsia" w:ascii="方正仿宋_GBK" w:hAnsi="方正仿宋_GBK" w:cs="方正仿宋_GBK"/>
                <w:b/>
                <w:bCs/>
                <w:sz w:val="24"/>
                <w:szCs w:val="24"/>
                <w:highlight w:val="none"/>
              </w:rPr>
              <w:t>数量</w:t>
            </w:r>
          </w:p>
        </w:tc>
      </w:tr>
      <w:tr w14:paraId="5629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restart"/>
            <w:vAlign w:val="center"/>
          </w:tcPr>
          <w:p w14:paraId="3ABFC212">
            <w:pPr>
              <w:spacing w:line="380" w:lineRule="exact"/>
              <w:ind w:firstLine="0" w:firstLineChars="0"/>
              <w:jc w:val="center"/>
              <w:rPr>
                <w:rFonts w:hint="eastAsia" w:ascii="方正仿宋_GBK" w:hAnsi="方正仿宋_GBK" w:cs="方正仿宋_GBK"/>
                <w:sz w:val="24"/>
                <w:szCs w:val="24"/>
                <w:highlight w:val="none"/>
              </w:rPr>
            </w:pPr>
            <w:bookmarkStart w:id="84" w:name="_Hlk179811723"/>
            <w:r>
              <w:rPr>
                <w:rFonts w:hint="eastAsia" w:ascii="方正仿宋_GBK" w:hAnsi="方正仿宋_GBK" w:cs="方正仿宋_GBK"/>
                <w:sz w:val="24"/>
                <w:szCs w:val="24"/>
                <w:highlight w:val="none"/>
              </w:rPr>
              <w:t>1</w:t>
            </w:r>
            <w:bookmarkEnd w:id="84"/>
          </w:p>
        </w:tc>
        <w:tc>
          <w:tcPr>
            <w:tcW w:w="925" w:type="pct"/>
            <w:vMerge w:val="restart"/>
            <w:vAlign w:val="center"/>
          </w:tcPr>
          <w:p w14:paraId="4F98FBD1">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软件开发</w:t>
            </w:r>
          </w:p>
        </w:tc>
        <w:tc>
          <w:tcPr>
            <w:tcW w:w="2623" w:type="pct"/>
            <w:vAlign w:val="center"/>
          </w:tcPr>
          <w:p w14:paraId="5F058FC5">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定制化软件开发</w:t>
            </w:r>
          </w:p>
        </w:tc>
        <w:tc>
          <w:tcPr>
            <w:tcW w:w="1017" w:type="pct"/>
            <w:vMerge w:val="restart"/>
            <w:vAlign w:val="center"/>
          </w:tcPr>
          <w:p w14:paraId="194D16FB">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详见</w:t>
            </w:r>
            <w:r>
              <w:rPr>
                <w:rFonts w:hint="eastAsia" w:ascii="宋体" w:hAnsi="宋体" w:eastAsia="宋体" w:cs="宋体"/>
                <w:sz w:val="24"/>
                <w:szCs w:val="24"/>
                <w:highlight w:val="none"/>
              </w:rPr>
              <w:t>软件开发技术要求</w:t>
            </w:r>
          </w:p>
        </w:tc>
      </w:tr>
      <w:tr w14:paraId="1EAC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41544F5C">
            <w:pPr>
              <w:spacing w:line="380" w:lineRule="exact"/>
              <w:ind w:firstLine="0" w:firstLineChars="0"/>
              <w:jc w:val="center"/>
              <w:rPr>
                <w:rFonts w:hint="eastAsia" w:ascii="方正仿宋_GBK" w:hAnsi="方正仿宋_GBK" w:cs="方正仿宋_GBK"/>
                <w:sz w:val="24"/>
                <w:szCs w:val="24"/>
                <w:highlight w:val="none"/>
              </w:rPr>
            </w:pPr>
          </w:p>
        </w:tc>
        <w:tc>
          <w:tcPr>
            <w:tcW w:w="925" w:type="pct"/>
            <w:vMerge w:val="continue"/>
            <w:vAlign w:val="center"/>
          </w:tcPr>
          <w:p w14:paraId="5FD53D4A">
            <w:pPr>
              <w:spacing w:line="380" w:lineRule="exact"/>
              <w:ind w:firstLine="0" w:firstLineChars="0"/>
              <w:jc w:val="center"/>
              <w:rPr>
                <w:rFonts w:hint="eastAsia" w:ascii="宋体" w:hAnsi="宋体" w:eastAsia="宋体" w:cs="宋体"/>
                <w:sz w:val="24"/>
                <w:szCs w:val="24"/>
                <w:highlight w:val="none"/>
              </w:rPr>
            </w:pPr>
          </w:p>
        </w:tc>
        <w:tc>
          <w:tcPr>
            <w:tcW w:w="2623" w:type="pct"/>
            <w:vAlign w:val="center"/>
          </w:tcPr>
          <w:p w14:paraId="0B207CF9">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系统对接</w:t>
            </w:r>
          </w:p>
        </w:tc>
        <w:tc>
          <w:tcPr>
            <w:tcW w:w="1017" w:type="pct"/>
            <w:vMerge w:val="continue"/>
            <w:vAlign w:val="center"/>
          </w:tcPr>
          <w:p w14:paraId="4E56C14E">
            <w:pPr>
              <w:spacing w:line="380" w:lineRule="exact"/>
              <w:ind w:firstLine="0" w:firstLineChars="0"/>
              <w:jc w:val="center"/>
              <w:rPr>
                <w:rFonts w:hint="eastAsia" w:ascii="宋体" w:hAnsi="宋体" w:eastAsia="宋体" w:cs="宋体"/>
                <w:sz w:val="24"/>
                <w:szCs w:val="24"/>
                <w:highlight w:val="none"/>
              </w:rPr>
            </w:pPr>
          </w:p>
        </w:tc>
      </w:tr>
      <w:tr w14:paraId="7318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62B60994">
            <w:pPr>
              <w:spacing w:line="380" w:lineRule="exact"/>
              <w:ind w:firstLine="0" w:firstLineChars="0"/>
              <w:jc w:val="center"/>
              <w:rPr>
                <w:rFonts w:hint="eastAsia" w:ascii="方正仿宋_GBK" w:hAnsi="方正仿宋_GBK" w:cs="方正仿宋_GBK"/>
                <w:sz w:val="24"/>
                <w:szCs w:val="24"/>
                <w:highlight w:val="none"/>
              </w:rPr>
            </w:pPr>
          </w:p>
        </w:tc>
        <w:tc>
          <w:tcPr>
            <w:tcW w:w="925" w:type="pct"/>
            <w:vMerge w:val="continue"/>
            <w:vAlign w:val="center"/>
          </w:tcPr>
          <w:p w14:paraId="3468CC1D">
            <w:pPr>
              <w:spacing w:line="380" w:lineRule="exact"/>
              <w:ind w:firstLine="0" w:firstLineChars="0"/>
              <w:jc w:val="center"/>
              <w:rPr>
                <w:rFonts w:hint="eastAsia" w:ascii="宋体" w:hAnsi="宋体" w:eastAsia="宋体" w:cs="宋体"/>
                <w:sz w:val="24"/>
                <w:szCs w:val="24"/>
                <w:highlight w:val="none"/>
              </w:rPr>
            </w:pPr>
          </w:p>
        </w:tc>
        <w:tc>
          <w:tcPr>
            <w:tcW w:w="2623" w:type="pct"/>
            <w:vAlign w:val="center"/>
          </w:tcPr>
          <w:p w14:paraId="4A31CC73">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算法模型</w:t>
            </w:r>
          </w:p>
        </w:tc>
        <w:tc>
          <w:tcPr>
            <w:tcW w:w="1017" w:type="pct"/>
            <w:vMerge w:val="continue"/>
            <w:vAlign w:val="center"/>
          </w:tcPr>
          <w:p w14:paraId="3FC07FC5">
            <w:pPr>
              <w:spacing w:line="380" w:lineRule="exact"/>
              <w:ind w:firstLine="0" w:firstLineChars="0"/>
              <w:jc w:val="center"/>
              <w:rPr>
                <w:rFonts w:hint="eastAsia" w:ascii="宋体" w:hAnsi="宋体" w:eastAsia="宋体" w:cs="宋体"/>
                <w:sz w:val="24"/>
                <w:szCs w:val="24"/>
                <w:highlight w:val="none"/>
              </w:rPr>
            </w:pPr>
          </w:p>
        </w:tc>
      </w:tr>
      <w:tr w14:paraId="6105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restart"/>
            <w:vAlign w:val="center"/>
          </w:tcPr>
          <w:p w14:paraId="25E5E9DF">
            <w:pPr>
              <w:spacing w:line="380" w:lineRule="exact"/>
              <w:ind w:firstLine="0" w:firstLineChars="0"/>
              <w:jc w:val="center"/>
              <w:rPr>
                <w:rFonts w:hint="eastAsia" w:ascii="方正仿宋_GBK" w:hAnsi="方正仿宋_GBK" w:cs="方正仿宋_GBK"/>
                <w:sz w:val="24"/>
                <w:szCs w:val="24"/>
                <w:highlight w:val="none"/>
              </w:rPr>
            </w:pPr>
            <w:r>
              <w:rPr>
                <w:rFonts w:hint="eastAsia" w:ascii="方正仿宋_GBK" w:hAnsi="方正仿宋_GBK" w:cs="方正仿宋_GBK"/>
                <w:sz w:val="24"/>
                <w:szCs w:val="24"/>
                <w:highlight w:val="none"/>
              </w:rPr>
              <w:t>2</w:t>
            </w:r>
          </w:p>
        </w:tc>
        <w:tc>
          <w:tcPr>
            <w:tcW w:w="925" w:type="pct"/>
            <w:vMerge w:val="restart"/>
            <w:vAlign w:val="center"/>
          </w:tcPr>
          <w:p w14:paraId="69A3EE3E">
            <w:pPr>
              <w:spacing w:line="380" w:lineRule="exact"/>
              <w:ind w:firstLine="0" w:firstLineChars="0"/>
              <w:jc w:val="center"/>
              <w:rPr>
                <w:rFonts w:hint="eastAsia" w:ascii="宋体" w:hAnsi="宋体" w:eastAsia="宋体" w:cs="宋体"/>
                <w:sz w:val="24"/>
                <w:szCs w:val="24"/>
                <w:highlight w:val="none"/>
              </w:rPr>
            </w:pPr>
            <w:bookmarkStart w:id="85" w:name="OLE_LINK11"/>
            <w:r>
              <w:rPr>
                <w:rFonts w:hint="eastAsia" w:ascii="宋体" w:hAnsi="宋体" w:eastAsia="宋体" w:cs="宋体"/>
                <w:sz w:val="24"/>
                <w:szCs w:val="24"/>
                <w:highlight w:val="none"/>
              </w:rPr>
              <w:t>数据资源建设</w:t>
            </w:r>
          </w:p>
          <w:bookmarkEnd w:id="85"/>
        </w:tc>
        <w:tc>
          <w:tcPr>
            <w:tcW w:w="2623" w:type="pct"/>
            <w:vAlign w:val="center"/>
          </w:tcPr>
          <w:p w14:paraId="11E3AF93">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数据治理</w:t>
            </w:r>
          </w:p>
        </w:tc>
        <w:tc>
          <w:tcPr>
            <w:tcW w:w="1017" w:type="pct"/>
            <w:vMerge w:val="restart"/>
            <w:vAlign w:val="center"/>
          </w:tcPr>
          <w:p w14:paraId="4CBB2087">
            <w:pPr>
              <w:spacing w:line="380" w:lineRule="exac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详见</w:t>
            </w:r>
            <w:r>
              <w:rPr>
                <w:rFonts w:hint="eastAsia" w:ascii="宋体" w:hAnsi="宋体" w:eastAsia="宋体" w:cs="宋体"/>
                <w:sz w:val="24"/>
                <w:szCs w:val="24"/>
                <w:highlight w:val="none"/>
              </w:rPr>
              <w:t>数据资源建设</w:t>
            </w:r>
            <w:r>
              <w:rPr>
                <w:rFonts w:hint="eastAsia" w:ascii="宋体" w:hAnsi="宋体" w:eastAsia="宋体" w:cs="宋体"/>
                <w:sz w:val="24"/>
                <w:szCs w:val="24"/>
                <w:highlight w:val="none"/>
                <w:lang w:val="en-US" w:eastAsia="zh-CN"/>
              </w:rPr>
              <w:t>要求</w:t>
            </w:r>
          </w:p>
        </w:tc>
      </w:tr>
      <w:tr w14:paraId="0D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18F67E0B">
            <w:pPr>
              <w:spacing w:line="380" w:lineRule="exact"/>
              <w:ind w:firstLine="0" w:firstLineChars="0"/>
              <w:jc w:val="center"/>
              <w:rPr>
                <w:rFonts w:hint="eastAsia" w:ascii="方正仿宋_GBK" w:hAnsi="方正仿宋_GBK" w:cs="方正仿宋_GBK"/>
                <w:sz w:val="24"/>
                <w:szCs w:val="24"/>
                <w:highlight w:val="none"/>
              </w:rPr>
            </w:pPr>
          </w:p>
        </w:tc>
        <w:tc>
          <w:tcPr>
            <w:tcW w:w="925" w:type="pct"/>
            <w:vMerge w:val="continue"/>
            <w:vAlign w:val="center"/>
          </w:tcPr>
          <w:p w14:paraId="1C269A08">
            <w:pPr>
              <w:spacing w:line="380" w:lineRule="exact"/>
              <w:ind w:firstLine="0" w:firstLineChars="0"/>
              <w:jc w:val="center"/>
              <w:rPr>
                <w:rFonts w:hint="eastAsia" w:ascii="宋体" w:hAnsi="宋体" w:eastAsia="宋体" w:cs="宋体"/>
                <w:sz w:val="24"/>
                <w:szCs w:val="24"/>
                <w:highlight w:val="none"/>
              </w:rPr>
            </w:pPr>
          </w:p>
        </w:tc>
        <w:tc>
          <w:tcPr>
            <w:tcW w:w="2623" w:type="pct"/>
            <w:vAlign w:val="center"/>
          </w:tcPr>
          <w:p w14:paraId="168F567E">
            <w:pPr>
              <w:spacing w:line="38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数据资源建库</w:t>
            </w:r>
          </w:p>
        </w:tc>
        <w:tc>
          <w:tcPr>
            <w:tcW w:w="1017" w:type="pct"/>
            <w:vMerge w:val="continue"/>
            <w:vAlign w:val="center"/>
          </w:tcPr>
          <w:p w14:paraId="05B0B321">
            <w:pPr>
              <w:spacing w:line="380" w:lineRule="exact"/>
              <w:ind w:firstLine="0" w:firstLineChars="0"/>
              <w:jc w:val="center"/>
              <w:rPr>
                <w:rFonts w:hint="eastAsia" w:ascii="宋体" w:hAnsi="宋体" w:eastAsia="宋体" w:cs="宋体"/>
                <w:sz w:val="24"/>
                <w:szCs w:val="24"/>
                <w:highlight w:val="none"/>
              </w:rPr>
            </w:pPr>
          </w:p>
        </w:tc>
      </w:tr>
    </w:tbl>
    <w:p w14:paraId="69104C46">
      <w:pPr>
        <w:pStyle w:val="4"/>
        <w:ind w:firstLine="640"/>
        <w:rPr>
          <w:highlight w:val="none"/>
          <w:lang w:eastAsia="zh-CN"/>
        </w:rPr>
      </w:pPr>
      <w:r>
        <w:rPr>
          <w:rFonts w:hint="eastAsia"/>
          <w:highlight w:val="none"/>
          <w:lang w:eastAsia="zh-CN"/>
        </w:rPr>
        <w:t>（二）软件开发技术要求</w:t>
      </w:r>
    </w:p>
    <w:p w14:paraId="6220602A">
      <w:pPr>
        <w:pStyle w:val="5"/>
        <w:ind w:firstLine="64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1、应用部署要求</w:t>
      </w:r>
    </w:p>
    <w:p w14:paraId="08E5E6A0">
      <w:pPr>
        <w:ind w:firstLine="64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部署要求覆盖PC网页端和移动H5端，与渝快政、渝快办“两端”集成对接，实现单点登录、数据集成、界面统一、流程集成、工具集成、服务集成。</w:t>
      </w:r>
    </w:p>
    <w:p w14:paraId="52B948CC">
      <w:pPr>
        <w:pStyle w:val="5"/>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、定制化软件开发要求</w:t>
      </w:r>
    </w:p>
    <w:p w14:paraId="29B5F32C">
      <w:pPr>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应用开发功能如下：</w:t>
      </w:r>
    </w:p>
    <w:p w14:paraId="6940B42F">
      <w:pPr>
        <w:spacing w:line="440" w:lineRule="exact"/>
        <w:ind w:firstLine="480"/>
        <w:rPr>
          <w:sz w:val="24"/>
          <w:highlight w:val="none"/>
        </w:rPr>
      </w:pPr>
    </w:p>
    <w:tbl>
      <w:tblPr>
        <w:tblStyle w:val="19"/>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0" w:type="dxa"/>
        </w:tblCellMar>
      </w:tblPr>
      <w:tblGrid>
        <w:gridCol w:w="565"/>
        <w:gridCol w:w="693"/>
        <w:gridCol w:w="1487"/>
        <w:gridCol w:w="1420"/>
        <w:gridCol w:w="2927"/>
        <w:gridCol w:w="2474"/>
      </w:tblGrid>
      <w:tr w14:paraId="0326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3066756C">
            <w:pPr>
              <w:kinsoku/>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序号</w:t>
            </w:r>
          </w:p>
        </w:tc>
        <w:tc>
          <w:tcPr>
            <w:tcW w:w="362" w:type="pct"/>
            <w:tcBorders>
              <w:top w:val="single" w:color="auto" w:sz="4" w:space="0"/>
              <w:left w:val="single" w:color="auto" w:sz="4" w:space="0"/>
              <w:bottom w:val="single" w:color="auto" w:sz="4" w:space="0"/>
              <w:right w:val="single" w:color="auto" w:sz="4" w:space="0"/>
            </w:tcBorders>
            <w:vAlign w:val="center"/>
          </w:tcPr>
          <w:p w14:paraId="416803EB">
            <w:pPr>
              <w:kinsoku/>
              <w:ind w:firstLine="0" w:firstLineChars="0"/>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应用名称</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14:paraId="3DA84322">
            <w:pPr>
              <w:kinsoku/>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一级场景</w:t>
            </w: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6B889A77">
            <w:pPr>
              <w:kinsoku/>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二级场景</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40A57CCB">
            <w:pPr>
              <w:kinsoku/>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功能描述</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1053A34B">
            <w:pPr>
              <w:kinsoku/>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场景描述</w:t>
            </w:r>
          </w:p>
        </w:tc>
      </w:tr>
      <w:tr w14:paraId="16E0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29D9D949">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w:t>
            </w:r>
          </w:p>
        </w:tc>
        <w:tc>
          <w:tcPr>
            <w:tcW w:w="362" w:type="pct"/>
            <w:vMerge w:val="restart"/>
            <w:tcBorders>
              <w:top w:val="single" w:color="auto" w:sz="4" w:space="0"/>
              <w:left w:val="single" w:color="auto" w:sz="4" w:space="0"/>
              <w:right w:val="single" w:color="auto" w:sz="4" w:space="0"/>
            </w:tcBorders>
            <w:vAlign w:val="center"/>
          </w:tcPr>
          <w:p w14:paraId="18C80CB5">
            <w:pPr>
              <w:kinsoku/>
              <w:spacing w:line="360" w:lineRule="exact"/>
              <w:ind w:firstLine="0" w:firstLineChars="0"/>
              <w:jc w:val="center"/>
              <w:rPr>
                <w:rFonts w:hint="default" w:ascii="宋体" w:hAnsi="宋体" w:eastAsia="宋体" w:cs="宋体"/>
                <w:sz w:val="24"/>
                <w:szCs w:val="24"/>
                <w:highlight w:val="none"/>
                <w:lang w:val="en-US" w:eastAsia="zh-CN" w:bidi="ar"/>
              </w:rPr>
            </w:pPr>
            <w:r>
              <w:rPr>
                <w:rFonts w:hint="eastAsia" w:ascii="宋体" w:hAnsi="宋体" w:eastAsia="宋体" w:cs="宋体"/>
                <w:sz w:val="24"/>
                <w:szCs w:val="24"/>
                <w:highlight w:val="none"/>
                <w:lang w:eastAsia="zh-CN" w:bidi="ar"/>
              </w:rPr>
              <w:t>新就业群体之家</w:t>
            </w:r>
            <w:r>
              <w:rPr>
                <w:rFonts w:hint="eastAsia" w:ascii="宋体" w:hAnsi="宋体" w:eastAsia="宋体" w:cs="宋体"/>
                <w:sz w:val="24"/>
                <w:szCs w:val="24"/>
                <w:highlight w:val="none"/>
                <w:lang w:val="en-US" w:eastAsia="zh-CN" w:bidi="ar"/>
              </w:rPr>
              <w:t>应用</w:t>
            </w:r>
          </w:p>
        </w:tc>
        <w:tc>
          <w:tcPr>
            <w:tcW w:w="7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8910B5">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新就业人员服务信息全量归集</w:t>
            </w:r>
          </w:p>
          <w:p w14:paraId="73D24632">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43F1B690">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新就业人员信息全面采集</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502A061C">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通过构建面向人社、工会、交通、市场监管等多部门的信息共享机制，系统自动化采集并归集新就业人员的基本信息（姓名、联系方式、</w:t>
            </w:r>
            <w:r>
              <w:rPr>
                <w:rFonts w:hint="eastAsia" w:ascii="Segoe UI" w:hAnsi="Segoe UI" w:eastAsia="宋体" w:cs="Segoe UI"/>
                <w:i w:val="0"/>
                <w:iCs w:val="0"/>
                <w:caps w:val="0"/>
                <w:spacing w:val="0"/>
                <w:sz w:val="24"/>
                <w:szCs w:val="24"/>
                <w:highlight w:val="none"/>
                <w:shd w:val="clear" w:fill="F9FAFB"/>
                <w:lang w:val="en-US" w:eastAsia="zh-CN"/>
              </w:rPr>
              <w:t>身份证号</w:t>
            </w:r>
            <w:r>
              <w:rPr>
                <w:rFonts w:ascii="Segoe UI" w:hAnsi="Segoe UI" w:eastAsia="Segoe UI" w:cs="Segoe UI"/>
                <w:i w:val="0"/>
                <w:iCs w:val="0"/>
                <w:caps w:val="0"/>
                <w:spacing w:val="0"/>
                <w:sz w:val="24"/>
                <w:szCs w:val="24"/>
                <w:highlight w:val="none"/>
                <w:shd w:val="clear" w:fill="F9FAFB"/>
              </w:rPr>
              <w:t>等）、从业信息（</w:t>
            </w:r>
            <w:r>
              <w:rPr>
                <w:rFonts w:hint="eastAsia" w:ascii="Segoe UI" w:hAnsi="Segoe UI" w:eastAsia="宋体" w:cs="Segoe UI"/>
                <w:i w:val="0"/>
                <w:iCs w:val="0"/>
                <w:caps w:val="0"/>
                <w:spacing w:val="0"/>
                <w:sz w:val="24"/>
                <w:szCs w:val="24"/>
                <w:highlight w:val="none"/>
                <w:shd w:val="clear" w:fill="F9FAFB"/>
                <w:lang w:val="en-US" w:eastAsia="zh-CN"/>
              </w:rPr>
              <w:t>工作单位</w:t>
            </w:r>
            <w:r>
              <w:rPr>
                <w:rFonts w:ascii="Segoe UI" w:hAnsi="Segoe UI" w:eastAsia="Segoe UI" w:cs="Segoe UI"/>
                <w:i w:val="0"/>
                <w:iCs w:val="0"/>
                <w:caps w:val="0"/>
                <w:spacing w:val="0"/>
                <w:sz w:val="24"/>
                <w:szCs w:val="24"/>
                <w:highlight w:val="none"/>
                <w:shd w:val="clear" w:fill="F9FAFB"/>
              </w:rPr>
              <w:t>、</w:t>
            </w:r>
            <w:r>
              <w:rPr>
                <w:rFonts w:hint="eastAsia" w:ascii="Segoe UI" w:hAnsi="Segoe UI" w:eastAsia="宋体" w:cs="Segoe UI"/>
                <w:i w:val="0"/>
                <w:iCs w:val="0"/>
                <w:caps w:val="0"/>
                <w:spacing w:val="0"/>
                <w:sz w:val="24"/>
                <w:szCs w:val="24"/>
                <w:highlight w:val="none"/>
                <w:shd w:val="clear" w:fill="F9FAFB"/>
                <w:lang w:val="en-US" w:eastAsia="zh-CN"/>
              </w:rPr>
              <w:t>职业身份</w:t>
            </w:r>
            <w:r>
              <w:rPr>
                <w:rFonts w:ascii="Segoe UI" w:hAnsi="Segoe UI" w:eastAsia="Segoe UI" w:cs="Segoe UI"/>
                <w:i w:val="0"/>
                <w:iCs w:val="0"/>
                <w:caps w:val="0"/>
                <w:spacing w:val="0"/>
                <w:sz w:val="24"/>
                <w:szCs w:val="24"/>
                <w:highlight w:val="none"/>
                <w:shd w:val="clear" w:fill="F9FAFB"/>
              </w:rPr>
              <w:t>、工作时长等），统一纳入标准化数据治理体系。依托智能录入工具实现信息结构化提取与关联，确保信息的完整性、准确性与实时性，为后续服务匹配、需求响应奠定数据基础。</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63315C7A">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通过打破各部门间新就业人员信息壁垒，构建全域覆盖、动态更新的信息数据库，实现对新就业群体的精准画像。系统支持多渠道信息汇聚与智能校验，确保信息 “一次采集、多方共享”，为政府部门、服务机构提供全面的人员信息支撑，推动服务从 “被动响应” 向 “主动感知” 转变，夯实新就业群体服务工作的信息化基础。</w:t>
            </w:r>
          </w:p>
        </w:tc>
      </w:tr>
      <w:tr w14:paraId="49CE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00EF6466">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2</w:t>
            </w:r>
          </w:p>
        </w:tc>
        <w:tc>
          <w:tcPr>
            <w:tcW w:w="362" w:type="pct"/>
            <w:vMerge w:val="continue"/>
            <w:tcBorders>
              <w:left w:val="single" w:color="auto" w:sz="4" w:space="0"/>
              <w:right w:val="single" w:color="auto" w:sz="4" w:space="0"/>
            </w:tcBorders>
            <w:vAlign w:val="center"/>
          </w:tcPr>
          <w:p w14:paraId="03E308F9">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7AA714">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74C9B873">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新就业人员服务阵地全域汇集（“工会驿站”提供实体服务、“爱</w:t>
            </w:r>
            <w:r>
              <w:rPr>
                <w:rFonts w:hint="eastAsia" w:ascii="宋体" w:hAnsi="宋体" w:eastAsia="宋体" w:cs="宋体"/>
                <w:sz w:val="24"/>
                <w:szCs w:val="24"/>
                <w:highlight w:val="none"/>
                <w:lang w:val="en-US" w:eastAsia="zh-CN" w:bidi="ar"/>
              </w:rPr>
              <w:t>心</w:t>
            </w:r>
            <w:r>
              <w:rPr>
                <w:rFonts w:hint="eastAsia" w:ascii="宋体" w:hAnsi="宋体" w:eastAsia="宋体" w:cs="宋体"/>
                <w:sz w:val="24"/>
                <w:szCs w:val="24"/>
                <w:highlight w:val="none"/>
                <w:lang w:bidi="ar"/>
              </w:rPr>
              <w:t>餐”提供折扣用餐、“爱</w:t>
            </w:r>
            <w:r>
              <w:rPr>
                <w:rFonts w:hint="eastAsia" w:ascii="宋体" w:hAnsi="宋体" w:eastAsia="宋体" w:cs="宋体"/>
                <w:sz w:val="24"/>
                <w:szCs w:val="24"/>
                <w:highlight w:val="none"/>
                <w:lang w:val="en-US" w:eastAsia="zh-CN" w:bidi="ar"/>
              </w:rPr>
              <w:t>心</w:t>
            </w:r>
            <w:r>
              <w:rPr>
                <w:rFonts w:hint="eastAsia" w:ascii="宋体" w:hAnsi="宋体" w:eastAsia="宋体" w:cs="宋体"/>
                <w:sz w:val="24"/>
                <w:szCs w:val="24"/>
                <w:highlight w:val="none"/>
                <w:lang w:bidi="ar"/>
              </w:rPr>
              <w:t>商户”提供优惠购物等）</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13A7C21E">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系统整合工会驿站、“爱</w:t>
            </w:r>
            <w:r>
              <w:rPr>
                <w:rFonts w:hint="eastAsia" w:ascii="Segoe UI" w:hAnsi="Segoe UI" w:eastAsia="宋体" w:cs="Segoe UI"/>
                <w:i w:val="0"/>
                <w:iCs w:val="0"/>
                <w:caps w:val="0"/>
                <w:spacing w:val="0"/>
                <w:sz w:val="24"/>
                <w:szCs w:val="24"/>
                <w:highlight w:val="none"/>
                <w:shd w:val="clear" w:fill="F9FAFB"/>
                <w:lang w:val="en-US" w:eastAsia="zh-CN"/>
              </w:rPr>
              <w:t>心</w:t>
            </w:r>
            <w:r>
              <w:rPr>
                <w:rFonts w:ascii="Segoe UI" w:hAnsi="Segoe UI" w:eastAsia="Segoe UI" w:cs="Segoe UI"/>
                <w:i w:val="0"/>
                <w:iCs w:val="0"/>
                <w:caps w:val="0"/>
                <w:spacing w:val="0"/>
                <w:sz w:val="24"/>
                <w:szCs w:val="24"/>
                <w:highlight w:val="none"/>
                <w:shd w:val="clear" w:fill="F9FAFB"/>
              </w:rPr>
              <w:t>餐” 合作餐饮机构、“爱</w:t>
            </w:r>
            <w:r>
              <w:rPr>
                <w:rFonts w:hint="eastAsia" w:ascii="Segoe UI" w:hAnsi="Segoe UI" w:eastAsia="宋体" w:cs="Segoe UI"/>
                <w:i w:val="0"/>
                <w:iCs w:val="0"/>
                <w:caps w:val="0"/>
                <w:spacing w:val="0"/>
                <w:sz w:val="24"/>
                <w:szCs w:val="24"/>
                <w:highlight w:val="none"/>
                <w:shd w:val="clear" w:fill="F9FAFB"/>
                <w:lang w:val="en-US" w:eastAsia="zh-CN"/>
              </w:rPr>
              <w:t>心</w:t>
            </w:r>
            <w:r>
              <w:rPr>
                <w:rFonts w:ascii="Segoe UI" w:hAnsi="Segoe UI" w:eastAsia="Segoe UI" w:cs="Segoe UI"/>
                <w:i w:val="0"/>
                <w:iCs w:val="0"/>
                <w:caps w:val="0"/>
                <w:spacing w:val="0"/>
                <w:sz w:val="24"/>
                <w:szCs w:val="24"/>
                <w:highlight w:val="none"/>
                <w:shd w:val="clear" w:fill="F9FAFB"/>
              </w:rPr>
              <w:t>商户” 等各类服务阵地资源，采集阵地位置、服务内容（如休息补给、餐饮折扣、商品优惠等）、服务时间、覆盖人群等信息，构建可视化的服务阵地地图。实现服务资源实时更新与线上查询，支持新就业人员基于地理位置一键查找周边服务阵地及优惠信息，提升服务阵地的可达性与利用率。</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7D5F4B06">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通过构建 “线上 + 线下” 融合的服务阵地网络，打通各类服务资源的信息壁垒，让新就业人员便捷获取身边的实体服务与优惠权益。系统动态展示阵地服务状态与覆盖范围，推动服务资源均衡配置，同时为管理部门提供阵地运营效果的数据反馈，助力优化阵地布局与服务供给。</w:t>
            </w:r>
          </w:p>
        </w:tc>
      </w:tr>
      <w:tr w14:paraId="79B4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0D54651A">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3</w:t>
            </w:r>
          </w:p>
        </w:tc>
        <w:tc>
          <w:tcPr>
            <w:tcW w:w="362" w:type="pct"/>
            <w:vMerge w:val="continue"/>
            <w:tcBorders>
              <w:left w:val="single" w:color="auto" w:sz="4" w:space="0"/>
              <w:right w:val="single" w:color="auto" w:sz="4" w:space="0"/>
            </w:tcBorders>
            <w:vAlign w:val="center"/>
          </w:tcPr>
          <w:p w14:paraId="4F45B68F">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B8667E">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17DB73C1">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新就业人员服务政策汇集整理</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090E0EF3">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归集国家、省、市各级针对新就业群体的服务政策（包括社会保障、权益维护、职业培训、补贴申领等）</w:t>
            </w:r>
            <w:r>
              <w:rPr>
                <w:rFonts w:hint="eastAsia" w:ascii="Segoe UI" w:hAnsi="Segoe UI" w:eastAsia="宋体" w:cs="Segoe UI"/>
                <w:i w:val="0"/>
                <w:iCs w:val="0"/>
                <w:caps w:val="0"/>
                <w:spacing w:val="0"/>
                <w:sz w:val="24"/>
                <w:szCs w:val="24"/>
                <w:highlight w:val="none"/>
                <w:shd w:val="clear" w:fill="F9FAFB"/>
                <w:lang w:eastAsia="zh-CN"/>
              </w:rPr>
              <w:t>，</w:t>
            </w:r>
            <w:r>
              <w:rPr>
                <w:rFonts w:hint="eastAsia" w:ascii="Segoe UI" w:hAnsi="Segoe UI" w:eastAsia="宋体" w:cs="Segoe UI"/>
                <w:i w:val="0"/>
                <w:iCs w:val="0"/>
                <w:caps w:val="0"/>
                <w:spacing w:val="0"/>
                <w:sz w:val="24"/>
                <w:szCs w:val="24"/>
                <w:highlight w:val="none"/>
                <w:shd w:val="clear" w:fill="F9FAFB"/>
                <w:lang w:val="en-US" w:eastAsia="zh-CN"/>
              </w:rPr>
              <w:t>进行行业标签分类</w:t>
            </w:r>
            <w:r>
              <w:rPr>
                <w:rFonts w:ascii="Segoe UI" w:hAnsi="Segoe UI" w:eastAsia="Segoe UI" w:cs="Segoe UI"/>
                <w:i w:val="0"/>
                <w:iCs w:val="0"/>
                <w:caps w:val="0"/>
                <w:spacing w:val="0"/>
                <w:sz w:val="24"/>
                <w:szCs w:val="24"/>
                <w:highlight w:val="none"/>
                <w:shd w:val="clear" w:fill="F9FAFB"/>
              </w:rPr>
              <w:t>，并关联适用人群条件，支持新就业人员通过关键词检索、智能问答等方式快速匹配自身适用政</w:t>
            </w:r>
            <w:r>
              <w:rPr>
                <w:rFonts w:hint="eastAsia" w:ascii="Segoe UI" w:hAnsi="Segoe UI" w:eastAsia="宋体" w:cs="Segoe UI"/>
                <w:i w:val="0"/>
                <w:iCs w:val="0"/>
                <w:caps w:val="0"/>
                <w:spacing w:val="0"/>
                <w:sz w:val="24"/>
                <w:szCs w:val="24"/>
                <w:highlight w:val="none"/>
                <w:shd w:val="clear" w:fill="F9FAFB"/>
                <w:lang w:val="en-US" w:eastAsia="zh-CN"/>
              </w:rPr>
              <w:t>策。</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2A5520C8">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围绕新就业群体政策知晓率低、匹配难等问题，构建一站式政策服务平台，实现政策信息的 “一网通查、精准推送”。系统通过智能化处理让政策内容更易懂、匹配更精准，帮助新就业人员及时享受政策红利，同时为政策制定部门提供政策落地效果的反馈数据，助力政策优化。</w:t>
            </w:r>
          </w:p>
        </w:tc>
      </w:tr>
      <w:tr w14:paraId="4082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90"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348074E9">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4</w:t>
            </w:r>
          </w:p>
        </w:tc>
        <w:tc>
          <w:tcPr>
            <w:tcW w:w="362" w:type="pct"/>
            <w:vMerge w:val="continue"/>
            <w:tcBorders>
              <w:left w:val="single" w:color="auto" w:sz="4" w:space="0"/>
              <w:right w:val="single" w:color="auto" w:sz="4" w:space="0"/>
            </w:tcBorders>
            <w:vAlign w:val="center"/>
          </w:tcPr>
          <w:p w14:paraId="3BD3A0F6">
            <w:pPr>
              <w:kinsoku/>
              <w:spacing w:line="360" w:lineRule="exact"/>
              <w:ind w:firstLine="0" w:firstLineChars="0"/>
              <w:jc w:val="center"/>
              <w:rPr>
                <w:rFonts w:hint="eastAsia" w:ascii="宋体" w:hAnsi="宋体" w:eastAsia="宋体" w:cs="宋体"/>
                <w:sz w:val="24"/>
                <w:szCs w:val="24"/>
                <w:highlight w:val="none"/>
                <w:lang w:bidi="ar"/>
              </w:rPr>
            </w:pPr>
          </w:p>
        </w:tc>
        <w:tc>
          <w:tcPr>
            <w:tcW w:w="7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511E22">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新就业人员服务需求感知匹配</w:t>
            </w:r>
          </w:p>
          <w:p w14:paraId="42A93628">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70E7470E">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新就业人员服务需求动态汇集</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02114B2D">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构建多渠道需求采集体系，支持新就业人员通过</w:t>
            </w:r>
            <w:r>
              <w:rPr>
                <w:rFonts w:hint="eastAsia" w:ascii="Segoe UI" w:hAnsi="Segoe UI" w:eastAsia="宋体" w:cs="Segoe UI"/>
                <w:i w:val="0"/>
                <w:iCs w:val="0"/>
                <w:caps w:val="0"/>
                <w:spacing w:val="0"/>
                <w:sz w:val="24"/>
                <w:szCs w:val="24"/>
                <w:highlight w:val="none"/>
                <w:shd w:val="clear" w:fill="F9FAFB"/>
                <w:lang w:val="en-US" w:eastAsia="zh-CN"/>
              </w:rPr>
              <w:t>渝快办</w:t>
            </w:r>
            <w:r>
              <w:rPr>
                <w:rFonts w:ascii="Segoe UI" w:hAnsi="Segoe UI" w:eastAsia="Segoe UI" w:cs="Segoe UI"/>
                <w:i w:val="0"/>
                <w:iCs w:val="0"/>
                <w:caps w:val="0"/>
                <w:spacing w:val="0"/>
                <w:sz w:val="24"/>
                <w:szCs w:val="24"/>
                <w:highlight w:val="none"/>
                <w:shd w:val="clear" w:fill="F9FAFB"/>
              </w:rPr>
              <w:t>、线下服务点终端等提交服务需求（如法律咨询、技能培训、困难帮扶等），同时通过分析服务记录、投诉建议、行为数据等间接挖掘潜在需求。系统对采集的需求进行实时清洗、分类标记，建立需求动态数据库，确保需求信息的及时性与全面性，为后续需求分析与响应提供依据。</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51E735CD">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通过打通 “主动申报 + 被动感知” 的需求采集通道，全面捕捉新就业人员的服务诉求，实现需求从 “零散收集” 到 “系统归集” 的转变。系统实时追踪需求变化趋势，帮助服务部门快速掌握群体共性与个性需求，为精准服务提供方向指引，提升服务的针对性。</w:t>
            </w:r>
          </w:p>
        </w:tc>
      </w:tr>
      <w:tr w14:paraId="717C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0CA5C5AC">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5</w:t>
            </w:r>
          </w:p>
        </w:tc>
        <w:tc>
          <w:tcPr>
            <w:tcW w:w="362" w:type="pct"/>
            <w:vMerge w:val="continue"/>
            <w:tcBorders>
              <w:left w:val="single" w:color="auto" w:sz="4" w:space="0"/>
              <w:right w:val="single" w:color="auto" w:sz="4" w:space="0"/>
            </w:tcBorders>
            <w:vAlign w:val="center"/>
          </w:tcPr>
          <w:p w14:paraId="02E7A1E1">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62A6E">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0BE45EFF">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新就业人员服务需求分类分级（社会保障、权益维护、职业提升、健康关爱、法治保护、选树典型、婚恋亲子、关心关爱、困难帮扶、权益维护等分类；三色预警分级）</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0085D687">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系统将收集的需求按类别自动分类，并结合需求紧急程度、影响范围、困难程度等维度，采用 “红、黄、绿” 三色预警机制进行分级。对红色预警（如紧急权益侵害、重大困难）优先标记并触发快速响应流程，对黄色预警（如一般诉求）纳入常规处理，对绿色预警（如咨询类）提供自助服务指引，实现需求的精细化管理。</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484ABD93">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通过建立科学的需求分类分级体系，推动服务资源向紧急、重点需求倾斜，避免 “一刀切” 式服务。系统通过颜色可视化展示需求等级，帮助服务部门明确工作优先级，确保紧急需求得到快速处置，常规需求得到规范响应，提升服务资源的配置效率与响应精准度。</w:t>
            </w:r>
          </w:p>
        </w:tc>
      </w:tr>
      <w:tr w14:paraId="3CDC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2495"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79B0B9AF">
            <w:pPr>
              <w:pStyle w:val="2"/>
              <w:keepNext w:val="0"/>
              <w:keepLines w:val="0"/>
              <w:kinsoku/>
              <w:spacing w:before="240" w:after="120" w:line="360" w:lineRule="exact"/>
              <w:jc w:val="center"/>
              <w:rPr>
                <w:rFonts w:hint="default" w:ascii="宋体" w:hAnsi="宋体" w:eastAsia="宋体" w:cs="宋体"/>
                <w:sz w:val="24"/>
                <w:szCs w:val="24"/>
                <w:highlight w:val="none"/>
                <w:lang w:val="en-US" w:eastAsia="zh-CN" w:bidi="ar"/>
              </w:rPr>
            </w:pPr>
            <w:bookmarkStart w:id="86" w:name="_Toc2298"/>
            <w:r>
              <w:rPr>
                <w:rFonts w:hint="eastAsia" w:ascii="宋体" w:hAnsi="宋体" w:eastAsia="宋体" w:cs="宋体"/>
                <w:sz w:val="24"/>
                <w:szCs w:val="24"/>
                <w:highlight w:val="none"/>
                <w:lang w:val="en-US" w:eastAsia="zh-CN" w:bidi="ar"/>
              </w:rPr>
              <w:t>6</w:t>
            </w:r>
            <w:bookmarkEnd w:id="86"/>
          </w:p>
        </w:tc>
        <w:tc>
          <w:tcPr>
            <w:tcW w:w="362" w:type="pct"/>
            <w:vMerge w:val="continue"/>
            <w:tcBorders>
              <w:left w:val="single" w:color="auto" w:sz="4" w:space="0"/>
              <w:right w:val="single" w:color="auto" w:sz="4" w:space="0"/>
            </w:tcBorders>
            <w:vAlign w:val="center"/>
          </w:tcPr>
          <w:p w14:paraId="17D84EFF">
            <w:pPr>
              <w:kinsoku/>
              <w:spacing w:line="360" w:lineRule="exact"/>
              <w:ind w:firstLine="0" w:firstLineChars="0"/>
              <w:jc w:val="center"/>
              <w:rPr>
                <w:rFonts w:hint="eastAsia" w:ascii="宋体" w:hAnsi="宋体" w:eastAsia="宋体" w:cs="宋体"/>
                <w:sz w:val="24"/>
                <w:szCs w:val="24"/>
                <w:highlight w:val="none"/>
                <w:lang w:eastAsia="zh-CN"/>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33D6F3">
            <w:pPr>
              <w:kinsoku/>
              <w:spacing w:line="360" w:lineRule="exact"/>
              <w:ind w:firstLine="0" w:firstLineChars="0"/>
              <w:jc w:val="center"/>
              <w:rPr>
                <w:rFonts w:hint="eastAsia" w:ascii="宋体" w:hAnsi="宋体" w:eastAsia="宋体" w:cs="宋体"/>
                <w:sz w:val="24"/>
                <w:szCs w:val="24"/>
                <w:highlight w:val="none"/>
                <w:lang w:eastAsia="zh-CN"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062CB9F0">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新就业人员服务策略智能匹配</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1E2BCE39">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依托大数据分析与机器学习模型，系统将新就业人员的需求信息与现有服务资源（政策、阵地、人员）进行智能匹配，自动生成服务策略建议（如针对 “职业提升” 需求推荐对应技能培训课程，针对 “困难帮扶” 需求匹配帮扶资金申领渠道）。同时结合历史服务案例优化匹配规则，提升策略的适用性，并支持人工调整完善，确保服务策略精准对接需求。</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6D495528">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通过智能化匹配技术，打破需求与服务之间的 “信息鸿沟”，实现 “需求提出 - 策略生成” 的自动化衔接。系统减少人工匹配的主观性与滞后性，让新就业人员快速获得适配的服务方案，同时推动服务资源高效利用，提升整体服务的响应速度与满意度。</w:t>
            </w:r>
          </w:p>
        </w:tc>
      </w:tr>
      <w:tr w14:paraId="1E69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1899"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343C87A3">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7</w:t>
            </w:r>
          </w:p>
        </w:tc>
        <w:tc>
          <w:tcPr>
            <w:tcW w:w="362" w:type="pct"/>
            <w:vMerge w:val="continue"/>
            <w:tcBorders>
              <w:left w:val="single" w:color="auto" w:sz="4" w:space="0"/>
              <w:right w:val="single" w:color="auto" w:sz="4" w:space="0"/>
            </w:tcBorders>
            <w:vAlign w:val="center"/>
          </w:tcPr>
          <w:p w14:paraId="76A6101D">
            <w:pPr>
              <w:kinsoku/>
              <w:spacing w:line="360" w:lineRule="exact"/>
              <w:ind w:firstLine="0" w:firstLineChars="0"/>
              <w:jc w:val="center"/>
              <w:rPr>
                <w:rFonts w:hint="eastAsia" w:ascii="宋体" w:hAnsi="宋体" w:eastAsia="宋体" w:cs="宋体"/>
                <w:sz w:val="24"/>
                <w:szCs w:val="24"/>
                <w:highlight w:val="none"/>
                <w:lang w:bidi="ar"/>
              </w:rPr>
            </w:pPr>
          </w:p>
        </w:tc>
        <w:tc>
          <w:tcPr>
            <w:tcW w:w="7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635F1B">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新就业群体一站式服务</w:t>
            </w:r>
          </w:p>
          <w:p w14:paraId="4AFBD655">
            <w:pPr>
              <w:kinsoku/>
              <w:spacing w:line="360" w:lineRule="exact"/>
              <w:ind w:firstLine="0" w:firstLineChars="0"/>
              <w:jc w:val="center"/>
              <w:rPr>
                <w:rFonts w:hint="eastAsia" w:ascii="宋体" w:hAnsi="宋体" w:eastAsia="宋体" w:cs="宋体"/>
                <w:sz w:val="24"/>
                <w:szCs w:val="24"/>
                <w:highlight w:val="none"/>
                <w:lang w:eastAsia="zh-CN"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1BEF65B7">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新就业人员常态化服务精准实施（思想引领、阵地服务、健康服务、文体娱乐、婚育服务、积分赋能等）</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182FA9E6">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系统整合思想引领（政策宣讲、典型宣传）、阵地服务、健康服务、文体娱乐（活动报名）、积分赋能（积分获取、兑换）等常态化服务，构建线上服务入口。支持</w:t>
            </w:r>
            <w:r>
              <w:rPr>
                <w:rFonts w:hint="eastAsia" w:ascii="Segoe UI" w:hAnsi="Segoe UI" w:eastAsia="宋体" w:cs="Segoe UI"/>
                <w:i w:val="0"/>
                <w:iCs w:val="0"/>
                <w:caps w:val="0"/>
                <w:spacing w:val="0"/>
                <w:sz w:val="24"/>
                <w:szCs w:val="24"/>
                <w:highlight w:val="none"/>
                <w:shd w:val="clear" w:fill="F9FAFB"/>
                <w:lang w:val="en-US" w:eastAsia="zh-CN"/>
              </w:rPr>
              <w:t>帮扶</w:t>
            </w:r>
            <w:r>
              <w:rPr>
                <w:rFonts w:ascii="Segoe UI" w:hAnsi="Segoe UI" w:eastAsia="Segoe UI" w:cs="Segoe UI"/>
                <w:i w:val="0"/>
                <w:iCs w:val="0"/>
                <w:caps w:val="0"/>
                <w:spacing w:val="0"/>
                <w:sz w:val="24"/>
                <w:szCs w:val="24"/>
                <w:highlight w:val="none"/>
                <w:shd w:val="clear" w:fill="F9FAFB"/>
              </w:rPr>
              <w:t>服务在线申请、进度查询、结果反馈，通过数据共享打通各服务环节，实现 “一次登录、多服务办理”，同时记录服务实施情况，为效果评估提供数据支撑。</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09B70A27">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围绕新就业人员日常高频服务需求，打造 “一站式” 服务平台，简化服务办理流程，减少跨部门跑动。系统通过线上化、集成化服务，提升服务的便捷性与规范性，让常态化服务覆盖更广泛人群，同时通过数据跟踪实现服务 “可追溯、可评估”，推动服务质量持续提升。</w:t>
            </w:r>
          </w:p>
        </w:tc>
      </w:tr>
      <w:tr w14:paraId="1C03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5CA8E6BC">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8</w:t>
            </w:r>
          </w:p>
        </w:tc>
        <w:tc>
          <w:tcPr>
            <w:tcW w:w="362" w:type="pct"/>
            <w:vMerge w:val="continue"/>
            <w:tcBorders>
              <w:left w:val="single" w:color="auto" w:sz="4" w:space="0"/>
              <w:right w:val="single" w:color="auto" w:sz="4" w:space="0"/>
            </w:tcBorders>
            <w:vAlign w:val="center"/>
          </w:tcPr>
          <w:p w14:paraId="1887CFC4">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CAF05">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212011B0">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新就业人员特色服务协同办理（权益维护、个人成长、就业帮扶、帮扶救助等）</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62D0B027">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针对权益维护、</w:t>
            </w:r>
            <w:r>
              <w:rPr>
                <w:rFonts w:hint="eastAsia" w:ascii="Segoe UI" w:hAnsi="Segoe UI" w:eastAsia="宋体" w:cs="Segoe UI"/>
                <w:i w:val="0"/>
                <w:iCs w:val="0"/>
                <w:caps w:val="0"/>
                <w:spacing w:val="0"/>
                <w:sz w:val="24"/>
                <w:szCs w:val="24"/>
                <w:highlight w:val="none"/>
                <w:shd w:val="clear" w:fill="F9FAFB"/>
                <w:lang w:val="en-US" w:eastAsia="zh-CN"/>
              </w:rPr>
              <w:t>活动参与</w:t>
            </w:r>
            <w:r>
              <w:rPr>
                <w:rFonts w:ascii="Segoe UI" w:hAnsi="Segoe UI" w:eastAsia="Segoe UI" w:cs="Segoe UI"/>
                <w:i w:val="0"/>
                <w:iCs w:val="0"/>
                <w:caps w:val="0"/>
                <w:spacing w:val="0"/>
                <w:sz w:val="24"/>
                <w:szCs w:val="24"/>
                <w:highlight w:val="none"/>
                <w:shd w:val="clear" w:fill="F9FAFB"/>
              </w:rPr>
              <w:t>、帮扶救助等特色服务，系统构建跨部门协同办理流程，实现服务申请线上提交后，自动流转至人社、工会、司法等相关部门，各部门在线审核、协同处置，并将办理结果实时反馈给申请人。支持电子材料共享与线上会商，减少纸质材料传递，压缩办理时限。</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48796083">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通过打破部门壁垒，构建 “一申请、多部门协同办” 的特色服务机制，解决新就业人员特色服务办理流程繁琐、跨部门协调难的问题。系统全程可视化跟踪服务办理进度，确保各部门高效协同，提升特色服务的办理效率与透明度，增强新就业人员的获得感。</w:t>
            </w:r>
          </w:p>
        </w:tc>
      </w:tr>
      <w:tr w14:paraId="269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3034"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00762482">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9</w:t>
            </w:r>
          </w:p>
        </w:tc>
        <w:tc>
          <w:tcPr>
            <w:tcW w:w="362" w:type="pct"/>
            <w:vMerge w:val="continue"/>
            <w:tcBorders>
              <w:left w:val="single" w:color="auto" w:sz="4" w:space="0"/>
              <w:right w:val="single" w:color="auto" w:sz="4" w:space="0"/>
            </w:tcBorders>
            <w:vAlign w:val="center"/>
          </w:tcPr>
          <w:p w14:paraId="456CB0C9">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063A6">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2FB521FD">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服务/处置落实跟踪督办</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46F0DCAE">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对各类服务（常态化服务、特色服务）的实施过程进行全流程跟踪，记录服务受理时间、处置部门、办理节点、预计完成时间等信息，通过可视化看板实时展示进度。对超期未完成、处置不力的服务事项自动触发预警，向责任部门发送督办提醒，并支持上级部门在线督查与协调，确保服务处置闭环落实。</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5B2B498C">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通过建立 “跟踪 - 预警 - 督办” 的全链条管理机制，强化服务落实的执行力，避免 “重申请、轻落实” 的问题。系统实现服务处置过程的透明化与可追溯，推动责任部门按时办结，提升服务的兑现率，保障新就业人员的合法权益与服务诉求得到切实回应。</w:t>
            </w:r>
          </w:p>
        </w:tc>
      </w:tr>
      <w:tr w14:paraId="3EF5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1660"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5D459EAA">
            <w:pPr>
              <w:kinsoku/>
              <w:spacing w:line="360" w:lineRule="exact"/>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bidi="ar"/>
              </w:rPr>
              <w:t>10</w:t>
            </w:r>
          </w:p>
        </w:tc>
        <w:tc>
          <w:tcPr>
            <w:tcW w:w="362" w:type="pct"/>
            <w:vMerge w:val="continue"/>
            <w:tcBorders>
              <w:left w:val="single" w:color="auto" w:sz="4" w:space="0"/>
              <w:right w:val="single" w:color="auto" w:sz="4" w:space="0"/>
            </w:tcBorders>
            <w:vAlign w:val="center"/>
          </w:tcPr>
          <w:p w14:paraId="4FA40F20">
            <w:pPr>
              <w:kinsoku/>
              <w:spacing w:line="360" w:lineRule="exact"/>
              <w:ind w:firstLine="0" w:firstLineChars="0"/>
              <w:jc w:val="center"/>
              <w:rPr>
                <w:rFonts w:hint="eastAsia" w:ascii="宋体" w:hAnsi="宋体" w:eastAsia="宋体" w:cs="宋体"/>
                <w:sz w:val="24"/>
                <w:szCs w:val="24"/>
                <w:highlight w:val="none"/>
                <w:lang w:bidi="ar"/>
              </w:rPr>
            </w:pPr>
          </w:p>
        </w:tc>
        <w:tc>
          <w:tcPr>
            <w:tcW w:w="7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DCFD97">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en-US" w:bidi="ar"/>
              </w:rPr>
            </w:pPr>
            <w:r>
              <w:rPr>
                <w:rFonts w:hint="eastAsia" w:ascii="宋体" w:hAnsi="宋体" w:eastAsia="宋体" w:cs="宋体"/>
                <w:sz w:val="24"/>
                <w:szCs w:val="24"/>
                <w:highlight w:val="none"/>
                <w:lang w:bidi="ar"/>
              </w:rPr>
              <w:t>服务质效复盘评价与结果运用</w:t>
            </w:r>
          </w:p>
          <w:p w14:paraId="26A7D23B">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48F1D00A">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新就业群体服务单位履职效能评估</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5CC8F958">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依托关键绩效指标（KPI）体系，系统对工会、人社、司法等服务单位在新就业群体服务中的履职情况进行量化评估，指标包括服务响应率、办结率、群众满意度等。通过多维度数据采集与智能分析，生成各单位履职效能评分与排名，形成可视化评估报告，为考核奖惩与资源调配提供依据。</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2790891F">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通过构建科学的履职效能评估体系，客观反映各服务单位的工作成效与短板，推动形成 “比学赶超” 的服务氛围。系统评估结果为管理部门优化服务资源配置、督促部门改进工作提供数据支撑，助力提升整体服务体系的协同效能。</w:t>
            </w:r>
          </w:p>
        </w:tc>
      </w:tr>
      <w:tr w14:paraId="4F8A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325"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339E58EF">
            <w:pPr>
              <w:kinsoku/>
              <w:spacing w:line="360" w:lineRule="exac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bidi="ar"/>
              </w:rPr>
              <w:t>1</w:t>
            </w:r>
            <w:r>
              <w:rPr>
                <w:rFonts w:hint="eastAsia" w:ascii="宋体" w:hAnsi="宋体" w:eastAsia="宋体" w:cs="宋体"/>
                <w:sz w:val="24"/>
                <w:szCs w:val="24"/>
                <w:highlight w:val="none"/>
                <w:lang w:val="en-US" w:eastAsia="zh-CN" w:bidi="ar"/>
              </w:rPr>
              <w:t>1</w:t>
            </w:r>
          </w:p>
        </w:tc>
        <w:tc>
          <w:tcPr>
            <w:tcW w:w="362" w:type="pct"/>
            <w:vMerge w:val="continue"/>
            <w:tcBorders>
              <w:left w:val="single" w:color="auto" w:sz="4" w:space="0"/>
              <w:right w:val="single" w:color="auto" w:sz="4" w:space="0"/>
            </w:tcBorders>
            <w:vAlign w:val="center"/>
          </w:tcPr>
          <w:p w14:paraId="12FB2825">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BAF544">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40C9B84F">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r>
              <w:rPr>
                <w:rFonts w:hint="eastAsia" w:ascii="宋体" w:hAnsi="宋体" w:eastAsia="宋体" w:cs="宋体"/>
                <w:sz w:val="24"/>
                <w:szCs w:val="24"/>
                <w:highlight w:val="none"/>
                <w:lang w:bidi="ar"/>
              </w:rPr>
              <w:t>新就业群体服务质效评估（服务情况指数生成、发布、分析）</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5B1E04BC">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整合服务覆盖人数、需求响应速度、服务满意度、政策落实率等核心数据，构建新就业群体服务情况指数。对指数进行多维度分析（如区域对比、类别对比、趋势分析），识别服务质效的薄弱环节（如某区域服务覆盖不足、某类需求响应滞后），为精准改进提供方向。</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72B50F4A">
            <w:pPr>
              <w:kinsoku/>
              <w:spacing w:line="360" w:lineRule="exact"/>
              <w:ind w:firstLine="0" w:firstLineChars="0"/>
              <w:rPr>
                <w:rFonts w:hint="eastAsia" w:ascii="Segoe UI" w:hAnsi="Segoe UI" w:eastAsia="Segoe UI" w:cs="Segoe UI"/>
                <w:i w:val="0"/>
                <w:iCs w:val="0"/>
                <w:caps w:val="0"/>
                <w:snapToGrid w:val="0"/>
                <w:color w:val="000000"/>
                <w:spacing w:val="0"/>
                <w:sz w:val="24"/>
                <w:szCs w:val="24"/>
                <w:highlight w:val="none"/>
                <w:shd w:val="clear" w:fill="F9FAFB"/>
                <w:lang w:val="en-US" w:eastAsia="zh-CN" w:bidi="ar-SA"/>
              </w:rPr>
            </w:pPr>
            <w:r>
              <w:rPr>
                <w:rFonts w:ascii="Segoe UI" w:hAnsi="Segoe UI" w:eastAsia="Segoe UI" w:cs="Segoe UI"/>
                <w:i w:val="0"/>
                <w:iCs w:val="0"/>
                <w:caps w:val="0"/>
                <w:spacing w:val="0"/>
                <w:sz w:val="24"/>
                <w:szCs w:val="24"/>
                <w:highlight w:val="none"/>
                <w:shd w:val="clear" w:fill="F9FAFB"/>
              </w:rPr>
              <w:t>通过服务情况指数的生成与分析，实现对新就业群体服务工作的 “量化画像”，让服务质效从 “模糊评价” 转向 “数据说话”。系统定期发布指数报告，帮助管理部门动态掌握服务整体情况，针对性优化服务策略，推动服务质效持续提升。</w:t>
            </w:r>
          </w:p>
        </w:tc>
      </w:tr>
      <w:tr w14:paraId="3256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1382"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14:paraId="1EC4639A">
            <w:pPr>
              <w:kinsoku/>
              <w:spacing w:line="360" w:lineRule="exac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bidi="ar"/>
              </w:rPr>
              <w:t>1</w:t>
            </w:r>
            <w:r>
              <w:rPr>
                <w:rFonts w:hint="eastAsia" w:ascii="宋体" w:hAnsi="宋体" w:eastAsia="宋体" w:cs="宋体"/>
                <w:sz w:val="24"/>
                <w:szCs w:val="24"/>
                <w:highlight w:val="none"/>
                <w:lang w:val="en-US" w:eastAsia="zh-CN" w:bidi="ar"/>
              </w:rPr>
              <w:t>2</w:t>
            </w:r>
          </w:p>
        </w:tc>
        <w:tc>
          <w:tcPr>
            <w:tcW w:w="362" w:type="pct"/>
            <w:vMerge w:val="continue"/>
            <w:tcBorders>
              <w:left w:val="single" w:color="auto" w:sz="4" w:space="0"/>
              <w:bottom w:val="single" w:color="auto" w:sz="4" w:space="0"/>
              <w:right w:val="single" w:color="auto" w:sz="4" w:space="0"/>
            </w:tcBorders>
            <w:vAlign w:val="center"/>
          </w:tcPr>
          <w:p w14:paraId="35C2EBB5">
            <w:pPr>
              <w:kinsoku/>
              <w:spacing w:line="360" w:lineRule="exact"/>
              <w:ind w:firstLine="0" w:firstLineChars="0"/>
              <w:jc w:val="center"/>
              <w:rPr>
                <w:rFonts w:hint="eastAsia" w:ascii="宋体" w:hAnsi="宋体" w:eastAsia="宋体" w:cs="宋体"/>
                <w:sz w:val="24"/>
                <w:szCs w:val="24"/>
                <w:highlight w:val="none"/>
              </w:rPr>
            </w:pPr>
          </w:p>
        </w:tc>
        <w:tc>
          <w:tcPr>
            <w:tcW w:w="7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0FA88F">
            <w:pPr>
              <w:kinsoku/>
              <w:spacing w:line="360" w:lineRule="exact"/>
              <w:ind w:firstLine="0" w:firstLineChars="0"/>
              <w:jc w:val="center"/>
              <w:rPr>
                <w:rFonts w:hint="eastAsia" w:ascii="宋体" w:hAnsi="宋体" w:eastAsia="宋体" w:cs="宋体"/>
                <w:sz w:val="24"/>
                <w:szCs w:val="24"/>
                <w:highlight w:val="none"/>
                <w:lang w:bidi="ar"/>
              </w:rPr>
            </w:pP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14:paraId="5C36AA81">
            <w:pPr>
              <w:kinsoku/>
              <w:spacing w:line="360" w:lineRule="exact"/>
              <w:ind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自动生成分析报告提出改进建议</w:t>
            </w:r>
          </w:p>
          <w:p w14:paraId="395D2461">
            <w:pPr>
              <w:kinsoku/>
              <w:spacing w:line="360" w:lineRule="exact"/>
              <w:ind w:firstLine="0" w:firstLineChars="0"/>
              <w:jc w:val="center"/>
              <w:rPr>
                <w:rFonts w:hint="eastAsia" w:ascii="宋体" w:hAnsi="宋体" w:eastAsia="宋体" w:cs="宋体"/>
                <w:snapToGrid w:val="0"/>
                <w:color w:val="000000"/>
                <w:sz w:val="24"/>
                <w:szCs w:val="24"/>
                <w:highlight w:val="none"/>
                <w:lang w:val="en-US" w:eastAsia="zh-CN" w:bidi="ar"/>
              </w:rPr>
            </w:pP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432128EE">
            <w:pPr>
              <w:kinsoku/>
              <w:spacing w:line="360" w:lineRule="exact"/>
              <w:ind w:firstLine="0" w:firstLineChars="0"/>
              <w:rPr>
                <w:rFonts w:hint="eastAsia" w:ascii="宋体" w:hAnsi="宋体" w:eastAsia="宋体" w:cs="宋体"/>
                <w:snapToGrid w:val="0"/>
                <w:color w:val="000000"/>
                <w:sz w:val="24"/>
                <w:szCs w:val="24"/>
                <w:highlight w:val="none"/>
                <w:lang w:val="en-US" w:eastAsia="zh-CN" w:bidi="ar-SA"/>
              </w:rPr>
            </w:pPr>
            <w:r>
              <w:rPr>
                <w:rFonts w:ascii="Segoe UI" w:hAnsi="Segoe UI" w:eastAsia="Segoe UI" w:cs="Segoe UI"/>
                <w:i w:val="0"/>
                <w:iCs w:val="0"/>
                <w:caps w:val="0"/>
                <w:spacing w:val="0"/>
                <w:sz w:val="24"/>
                <w:szCs w:val="24"/>
                <w:highlight w:val="none"/>
                <w:shd w:val="clear" w:fill="F9FAFB"/>
              </w:rPr>
              <w:t>系统自动归集服务数据（需求数据、办理数据、评估数据等），运用大数据分析技术生成多维度分析报告，内容包括服务覆盖情况、需求热点分布、质效短板、典型案例等。通过机器学习模型从历史数据中挖掘规律，智能提炼改进建议（如优化某类服务流程、加强某区域阵地建设），报告支持多种格式导出，为政策制定、服务优化提供决策支持。</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4FE59BDB">
            <w:pPr>
              <w:kinsoku/>
              <w:spacing w:line="360" w:lineRule="exact"/>
              <w:ind w:firstLine="0" w:firstLineChars="0"/>
              <w:rPr>
                <w:rFonts w:hint="eastAsia" w:ascii="Segoe UI" w:hAnsi="Segoe UI" w:eastAsia="Segoe UI" w:cs="Segoe UI"/>
                <w:i w:val="0"/>
                <w:iCs w:val="0"/>
                <w:caps w:val="0"/>
                <w:snapToGrid w:val="0"/>
                <w:color w:val="000000"/>
                <w:spacing w:val="0"/>
                <w:sz w:val="24"/>
                <w:szCs w:val="24"/>
                <w:highlight w:val="none"/>
                <w:shd w:val="clear" w:fill="F9FAFB"/>
                <w:lang w:val="en-US" w:eastAsia="zh-CN" w:bidi="ar-SA"/>
              </w:rPr>
            </w:pPr>
            <w:r>
              <w:rPr>
                <w:rFonts w:ascii="Segoe UI" w:hAnsi="Segoe UI" w:eastAsia="Segoe UI" w:cs="Segoe UI"/>
                <w:i w:val="0"/>
                <w:iCs w:val="0"/>
                <w:caps w:val="0"/>
                <w:spacing w:val="0"/>
                <w:sz w:val="24"/>
                <w:szCs w:val="24"/>
                <w:highlight w:val="none"/>
                <w:shd w:val="clear" w:fill="F9FAFB"/>
              </w:rPr>
              <w:t>通过自动化报告生成与智能建议，减少人工分析成本，提升决策效率。系统报告客观反映服务现状与问题，提出的改进建议具有数据支撑与针对性，推动新就业群体服务工作形成 “评估 - 改进 - 提升” 的闭环机制，持续优化服务供给。</w:t>
            </w:r>
          </w:p>
        </w:tc>
      </w:tr>
    </w:tbl>
    <w:p w14:paraId="4DA98D13">
      <w:pPr>
        <w:pStyle w:val="5"/>
        <w:ind w:firstLine="640"/>
        <w:rPr>
          <w:rFonts w:hint="eastAsia" w:ascii="宋体" w:hAnsi="宋体" w:eastAsia="宋体" w:cs="宋体"/>
          <w:sz w:val="24"/>
          <w:szCs w:val="24"/>
          <w:highlight w:val="none"/>
        </w:rPr>
      </w:pPr>
      <w:bookmarkStart w:id="87" w:name="_Toc29820"/>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、系统对接要求</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0" w:type="dxa"/>
        </w:tblCellMar>
      </w:tblPr>
      <w:tblGrid>
        <w:gridCol w:w="907"/>
        <w:gridCol w:w="1276"/>
        <w:gridCol w:w="7341"/>
      </w:tblGrid>
      <w:tr w14:paraId="53D8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441E4E93">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70" w:type="pct"/>
            <w:vAlign w:val="center"/>
          </w:tcPr>
          <w:p w14:paraId="0839C099">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接口名称</w:t>
            </w:r>
          </w:p>
        </w:tc>
        <w:tc>
          <w:tcPr>
            <w:tcW w:w="3854" w:type="pct"/>
            <w:vAlign w:val="center"/>
          </w:tcPr>
          <w:p w14:paraId="48DFD57D">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接口描述</w:t>
            </w:r>
          </w:p>
        </w:tc>
      </w:tr>
      <w:tr w14:paraId="0D01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09266E46">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70" w:type="pct"/>
            <w:vAlign w:val="center"/>
          </w:tcPr>
          <w:p w14:paraId="660F5168">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市总工会</w:t>
            </w:r>
            <w:r>
              <w:rPr>
                <w:rFonts w:hint="eastAsia" w:ascii="宋体" w:hAnsi="宋体" w:eastAsia="宋体" w:cs="宋体"/>
                <w:sz w:val="24"/>
                <w:szCs w:val="24"/>
                <w:highlight w:val="none"/>
                <w:lang w:eastAsia="zh-CN"/>
              </w:rPr>
              <w:t>管理系统接口</w:t>
            </w:r>
          </w:p>
        </w:tc>
        <w:tc>
          <w:tcPr>
            <w:tcW w:w="3854" w:type="pct"/>
            <w:vAlign w:val="center"/>
          </w:tcPr>
          <w:p w14:paraId="5B0B96DB">
            <w:pPr>
              <w:numPr>
                <w:ilvl w:val="0"/>
                <w:numId w:val="0"/>
              </w:numPr>
              <w:kinsoku/>
              <w:spacing w:line="360" w:lineRule="exac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实现市总工会相关业务系统的对接工作，包括但不限于：用户体系对接、新就业人员数据对接、业务数据对接等相关工作。</w:t>
            </w:r>
          </w:p>
        </w:tc>
      </w:tr>
      <w:tr w14:paraId="2CA5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7377B118">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70" w:type="pct"/>
            <w:vAlign w:val="center"/>
          </w:tcPr>
          <w:p w14:paraId="1503D867">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三级数字化城市运行和治理中心对接</w:t>
            </w:r>
          </w:p>
        </w:tc>
        <w:tc>
          <w:tcPr>
            <w:tcW w:w="3854" w:type="pct"/>
            <w:vAlign w:val="center"/>
          </w:tcPr>
          <w:p w14:paraId="6BD6FBB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1.数据接入接口：对接各级数字化城市运行和治理中心的数据平台，获取城市运行各项数据，用于实时监控和调度城市运行。</w:t>
            </w:r>
          </w:p>
          <w:p w14:paraId="75B7149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2.数据共享接口：实现各级数字化城市运行和治理中心之间的数据共享，确保不同部门和系统之间的信息流畅传递，以支持高效的城市治理决策。</w:t>
            </w:r>
          </w:p>
        </w:tc>
      </w:tr>
      <w:tr w14:paraId="1471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36B544D5">
            <w:pPr>
              <w:kinsoku/>
              <w:spacing w:line="360" w:lineRule="exac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670" w:type="pct"/>
            <w:vAlign w:val="center"/>
          </w:tcPr>
          <w:p w14:paraId="7EE5E49D">
            <w:pPr>
              <w:kinsoku/>
              <w:spacing w:line="360" w:lineRule="exact"/>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141平台对接</w:t>
            </w:r>
          </w:p>
        </w:tc>
        <w:tc>
          <w:tcPr>
            <w:tcW w:w="3854" w:type="pct"/>
            <w:vAlign w:val="center"/>
          </w:tcPr>
          <w:p w14:paraId="21D2C347">
            <w:pPr>
              <w:kinsoku/>
              <w:spacing w:line="360" w:lineRule="exact"/>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根据镇街相关业务需求及应用业务场景需求，提供数据对接服务。</w:t>
            </w:r>
          </w:p>
        </w:tc>
      </w:tr>
      <w:tr w14:paraId="59EE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235F1D05">
            <w:pPr>
              <w:kinsoku/>
              <w:spacing w:line="360" w:lineRule="exact"/>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670" w:type="pct"/>
            <w:vAlign w:val="center"/>
          </w:tcPr>
          <w:p w14:paraId="01A35F33">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渝快政对接</w:t>
            </w:r>
          </w:p>
        </w:tc>
        <w:tc>
          <w:tcPr>
            <w:tcW w:w="3854" w:type="pct"/>
            <w:vAlign w:val="center"/>
          </w:tcPr>
          <w:p w14:paraId="7052248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“新就业群体之家一件事数字化应用服务”涉及多部门经办人员等用户使用，涉及PC端和移动端，应用需要对接“渝快政”APP端和PC端，并在“渝快政”部署上线。</w:t>
            </w:r>
          </w:p>
        </w:tc>
      </w:tr>
      <w:tr w14:paraId="75BC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476" w:type="pct"/>
            <w:vAlign w:val="center"/>
          </w:tcPr>
          <w:p w14:paraId="79B76ACB">
            <w:pPr>
              <w:kinsoku/>
              <w:spacing w:line="360" w:lineRule="exac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670" w:type="pct"/>
            <w:vAlign w:val="center"/>
          </w:tcPr>
          <w:p w14:paraId="47A5F43A">
            <w:pPr>
              <w:kinsoku/>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渝快办对接</w:t>
            </w:r>
          </w:p>
        </w:tc>
        <w:tc>
          <w:tcPr>
            <w:tcW w:w="3854" w:type="pct"/>
            <w:vAlign w:val="center"/>
          </w:tcPr>
          <w:p w14:paraId="3E11C42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“新就业群体之家一件事数字化应用服务”涉及企业群众等用户，涉及</w:t>
            </w:r>
            <w:r>
              <w:rPr>
                <w:rFonts w:hint="eastAsia" w:ascii="宋体" w:hAnsi="宋体" w:eastAsia="宋体" w:cs="宋体"/>
                <w:sz w:val="24"/>
                <w:szCs w:val="24"/>
                <w:highlight w:val="none"/>
                <w:lang w:val="en-US" w:eastAsia="zh-CN"/>
              </w:rPr>
              <w:t>APP</w:t>
            </w:r>
            <w:r>
              <w:rPr>
                <w:rFonts w:hint="eastAsia" w:ascii="宋体" w:hAnsi="宋体" w:eastAsia="宋体" w:cs="宋体"/>
                <w:sz w:val="24"/>
                <w:szCs w:val="24"/>
                <w:highlight w:val="none"/>
                <w:lang w:eastAsia="zh-CN"/>
              </w:rPr>
              <w:t>移动端，应用需要对接“渝快办”APP端，并在“渝快办”部署上线。</w:t>
            </w:r>
          </w:p>
        </w:tc>
      </w:tr>
    </w:tbl>
    <w:p w14:paraId="5EF729EE">
      <w:pPr>
        <w:pStyle w:val="5"/>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算法模型要求</w:t>
      </w:r>
    </w:p>
    <w:tbl>
      <w:tblPr>
        <w:tblStyle w:val="19"/>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0" w:type="dxa"/>
        </w:tblCellMar>
      </w:tblPr>
      <w:tblGrid>
        <w:gridCol w:w="620"/>
        <w:gridCol w:w="1276"/>
        <w:gridCol w:w="7639"/>
      </w:tblGrid>
      <w:tr w14:paraId="27A4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154634D1">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69" w:type="pct"/>
            <w:vAlign w:val="center"/>
          </w:tcPr>
          <w:p w14:paraId="1D9F102B">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模型名称</w:t>
            </w:r>
          </w:p>
        </w:tc>
        <w:tc>
          <w:tcPr>
            <w:tcW w:w="4004" w:type="pct"/>
            <w:vAlign w:val="center"/>
          </w:tcPr>
          <w:p w14:paraId="017B0ED7">
            <w:pPr>
              <w:spacing w:line="380" w:lineRule="exact"/>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模型描述</w:t>
            </w:r>
          </w:p>
        </w:tc>
      </w:tr>
      <w:tr w14:paraId="0899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657E9BD7">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p>
        </w:tc>
        <w:tc>
          <w:tcPr>
            <w:tcW w:w="669" w:type="pct"/>
            <w:vAlign w:val="center"/>
          </w:tcPr>
          <w:p w14:paraId="3F2E34F6">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新就业群体画像模型</w:t>
            </w:r>
          </w:p>
        </w:tc>
        <w:tc>
          <w:tcPr>
            <w:tcW w:w="4004" w:type="pct"/>
            <w:shd w:val="clear" w:color="auto" w:fill="auto"/>
            <w:vAlign w:val="center"/>
          </w:tcPr>
          <w:p w14:paraId="4F7ED12B">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政策数据接入</w:t>
            </w:r>
          </w:p>
          <w:p w14:paraId="1CD4DB87">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建立政策文档标准化接入通道，同步部门政策全量数据，构建政策知识图谱，提取</w:t>
            </w:r>
            <w:r>
              <w:rPr>
                <w:rFonts w:hint="eastAsia" w:ascii="宋体" w:hAnsi="宋体" w:eastAsia="宋体" w:cs="宋体"/>
                <w:color w:val="000000" w:themeColor="text1"/>
                <w:sz w:val="24"/>
                <w:szCs w:val="24"/>
                <w:highlight w:val="none"/>
                <w:lang w:val="en-US" w:eastAsia="zh-CN"/>
                <w14:textFill>
                  <w14:solidFill>
                    <w14:schemeClr w14:val="tx1"/>
                  </w14:solidFill>
                </w14:textFill>
              </w:rPr>
              <w:t>政策文件的</w:t>
            </w:r>
            <w:r>
              <w:rPr>
                <w:rFonts w:hint="eastAsia" w:ascii="宋体" w:hAnsi="宋体" w:eastAsia="宋体" w:cs="宋体"/>
                <w:sz w:val="24"/>
                <w:szCs w:val="24"/>
                <w:highlight w:val="none"/>
                <w:lang w:val="en-US" w:eastAsia="zh-CN"/>
              </w:rPr>
              <w:t>核心要素。</w:t>
            </w:r>
          </w:p>
          <w:p w14:paraId="442DC7FA">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用户行为注入</w:t>
            </w:r>
          </w:p>
          <w:p w14:paraId="4871B3CE">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记录用户对应政策查询、收藏、申报等全流程行为日志，建立"用户-政策"交互矩阵，量化用户政策关注度。</w:t>
            </w:r>
          </w:p>
          <w:p w14:paraId="4ADFD163">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政策问答构建</w:t>
            </w:r>
          </w:p>
          <w:p w14:paraId="54A39709">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政策知识构建，维护知识库数据更新，实现用户AI政策问答，解决政策查找难的问题。</w:t>
            </w:r>
          </w:p>
          <w:p w14:paraId="4427DBE4">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活动政策关联</w:t>
            </w:r>
          </w:p>
          <w:p w14:paraId="2C3E0EC7">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活动自动关联的政策依据（如交通安全活动对应货运行业相关政策），建立活动参与数据与政策受益度的映射关系。</w:t>
            </w:r>
          </w:p>
          <w:p w14:paraId="38554A53">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政策标签体系</w:t>
            </w:r>
          </w:p>
          <w:p w14:paraId="27F4476F">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为行业定制政策标签库（如网约车司机：交通局新政、社保缴纳政策），增加"政策敏感行业"标记（如网络主播需关注网信办新规）。</w:t>
            </w:r>
          </w:p>
          <w:p w14:paraId="64224CE0">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政策感知引擎</w:t>
            </w:r>
          </w:p>
          <w:p w14:paraId="11A2BB8F">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政策关注热力图：动态计算用户对各政策领域的关注迁移形成政策关注热力图，统计各行业用户政策咨询量Top10政策。</w:t>
            </w:r>
          </w:p>
          <w:p w14:paraId="4D0FCF50">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需求理解引擎</w:t>
            </w:r>
          </w:p>
          <w:p w14:paraId="50065A45">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构建行业政策术语词典，提升需求识别准确率，开发政策条款归一化引擎，将用户提问映射至标准政策条文，区分政策查询、申报咨询、权益维护等基础意图。</w:t>
            </w:r>
          </w:p>
          <w:p w14:paraId="3FEB4E9D">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智能推荐矩阵</w:t>
            </w:r>
          </w:p>
          <w:p w14:paraId="1CD34F09">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基于用户画像推送关联政策。</w:t>
            </w:r>
          </w:p>
          <w:p w14:paraId="3FED4237">
            <w:pPr>
              <w:kinsoku/>
              <w:spacing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用户画像接口</w:t>
            </w:r>
          </w:p>
          <w:p w14:paraId="3A5F9FD2">
            <w:pPr>
              <w:kinsoku/>
              <w:spacing w:line="360" w:lineRule="exact"/>
              <w:ind w:firstLine="0" w:firstLineChars="0"/>
              <w:rPr>
                <w:rFonts w:hint="default" w:ascii="宋体" w:hAnsi="宋体" w:eastAsia="宋体" w:cs="宋体"/>
                <w:snapToGrid w:val="0"/>
                <w:color w:val="000000"/>
                <w:sz w:val="24"/>
                <w:szCs w:val="24"/>
                <w:highlight w:val="none"/>
                <w:lang w:val="en-US" w:eastAsia="zh-CN" w:bidi="ar-SA"/>
              </w:rPr>
            </w:pPr>
            <w:r>
              <w:rPr>
                <w:rFonts w:hint="eastAsia" w:ascii="宋体" w:hAnsi="宋体" w:eastAsia="宋体" w:cs="宋体"/>
                <w:sz w:val="24"/>
                <w:szCs w:val="24"/>
                <w:highlight w:val="none"/>
                <w:lang w:val="en-US" w:eastAsia="zh-CN"/>
              </w:rPr>
              <w:t>提供用户画像接口，同步更新用户画像数据标签。</w:t>
            </w:r>
          </w:p>
        </w:tc>
      </w:tr>
      <w:tr w14:paraId="5096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234A9EFF">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w:t>
            </w:r>
          </w:p>
        </w:tc>
        <w:tc>
          <w:tcPr>
            <w:tcW w:w="669" w:type="pct"/>
            <w:vAlign w:val="center"/>
          </w:tcPr>
          <w:p w14:paraId="08643136">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推荐系统模型</w:t>
            </w:r>
          </w:p>
        </w:tc>
        <w:tc>
          <w:tcPr>
            <w:tcW w:w="4004" w:type="pct"/>
            <w:vAlign w:val="center"/>
          </w:tcPr>
          <w:p w14:paraId="7C24BB6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推荐处理-用户数据处理</w:t>
            </w:r>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（1）基本信息标准化</w:t>
            </w:r>
          </w:p>
          <w:p w14:paraId="5478DD6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将用户登记的行业、单位</w:t>
            </w:r>
            <w:r>
              <w:rPr>
                <w:rFonts w:hint="eastAsia" w:ascii="宋体" w:hAnsi="宋体" w:eastAsia="宋体" w:cs="宋体"/>
                <w:sz w:val="24"/>
                <w:szCs w:val="24"/>
                <w:highlight w:val="none"/>
                <w:lang w:val="en-US" w:eastAsia="zh-CN"/>
              </w:rPr>
              <w:t>信息</w:t>
            </w:r>
            <w:r>
              <w:rPr>
                <w:rFonts w:hint="eastAsia" w:ascii="宋体" w:hAnsi="宋体" w:eastAsia="宋体" w:cs="宋体"/>
                <w:sz w:val="24"/>
                <w:szCs w:val="24"/>
                <w:highlight w:val="none"/>
                <w:lang w:eastAsia="zh-CN"/>
              </w:rPr>
              <w:t>等转化为统一分类标签（如</w:t>
            </w:r>
            <w:r>
              <w:rPr>
                <w:rFonts w:hint="eastAsia" w:ascii="宋体" w:hAnsi="宋体" w:eastAsia="宋体" w:cs="宋体"/>
                <w:sz w:val="24"/>
                <w:szCs w:val="24"/>
                <w:highlight w:val="none"/>
                <w:lang w:val="en-US" w:eastAsia="zh-CN"/>
              </w:rPr>
              <w:t>网络配送、快递，货运，互联网等行业</w:t>
            </w:r>
            <w:r>
              <w:rPr>
                <w:rFonts w:hint="eastAsia" w:ascii="宋体" w:hAnsi="宋体" w:eastAsia="宋体" w:cs="宋体"/>
                <w:sz w:val="24"/>
                <w:szCs w:val="24"/>
                <w:highlight w:val="none"/>
                <w:lang w:eastAsia="zh-CN"/>
              </w:rPr>
              <w:t>）。</w:t>
            </w:r>
          </w:p>
          <w:p w14:paraId="172BD0A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（2）问卷需求解析</w:t>
            </w:r>
          </w:p>
          <w:p w14:paraId="4B538C8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解析线上问卷</w:t>
            </w:r>
            <w:r>
              <w:rPr>
                <w:rFonts w:hint="eastAsia" w:ascii="宋体" w:hAnsi="宋体" w:eastAsia="宋体" w:cs="宋体"/>
                <w:sz w:val="24"/>
                <w:szCs w:val="24"/>
                <w:highlight w:val="none"/>
                <w:lang w:val="en-US" w:eastAsia="zh-CN"/>
              </w:rPr>
              <w:t>调查结果</w:t>
            </w:r>
            <w:r>
              <w:rPr>
                <w:rFonts w:hint="eastAsia" w:ascii="宋体" w:hAnsi="宋体" w:eastAsia="宋体" w:cs="宋体"/>
                <w:sz w:val="24"/>
                <w:szCs w:val="24"/>
                <w:highlight w:val="none"/>
                <w:lang w:eastAsia="zh-CN"/>
              </w:rPr>
              <w:t>，自动识别用户核心诉求（如技能培训需求、维权咨询需求）。</w:t>
            </w:r>
          </w:p>
          <w:p w14:paraId="59CD844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（3）行为数据归类</w:t>
            </w:r>
          </w:p>
          <w:p w14:paraId="443989F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记录用户浏览、收藏、咨询等操作行为，支持按政策类型分类统计行为频次。</w:t>
            </w:r>
          </w:p>
          <w:p w14:paraId="44E5727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推荐处理-政策数据处理</w:t>
            </w:r>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（1）政策关键词提取</w:t>
            </w:r>
          </w:p>
          <w:p w14:paraId="43A0627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从政策文件中提取核心服务类型关键词，支持培训、维权、就业等关键字提取。</w:t>
            </w:r>
          </w:p>
          <w:p w14:paraId="26F1C6F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（2）政策标签化处理</w:t>
            </w:r>
          </w:p>
          <w:p w14:paraId="6BE183D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为每条政策标注适用人群（</w:t>
            </w:r>
            <w:r>
              <w:rPr>
                <w:rFonts w:hint="eastAsia" w:ascii="宋体" w:hAnsi="宋体" w:eastAsia="宋体" w:cs="宋体"/>
                <w:sz w:val="24"/>
                <w:szCs w:val="24"/>
                <w:highlight w:val="none"/>
                <w:lang w:val="en-US" w:eastAsia="zh-CN"/>
              </w:rPr>
              <w:t>外卖员/快递员</w:t>
            </w:r>
            <w:r>
              <w:rPr>
                <w:rFonts w:hint="eastAsia" w:ascii="宋体" w:hAnsi="宋体" w:eastAsia="宋体" w:cs="宋体"/>
                <w:sz w:val="24"/>
                <w:szCs w:val="24"/>
                <w:highlight w:val="none"/>
                <w:lang w:eastAsia="zh-CN"/>
              </w:rPr>
              <w:t>）、有效期等结构化标签。</w:t>
            </w:r>
          </w:p>
          <w:p w14:paraId="5ED8D1E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推荐处理-服务阵地数据处理</w:t>
            </w:r>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（1）服务类型分类</w:t>
            </w:r>
          </w:p>
          <w:p w14:paraId="00423D3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按场所功能划分类型（职工之家/司机之家），标注可提供的服务</w:t>
            </w:r>
            <w:r>
              <w:rPr>
                <w:rFonts w:hint="eastAsia" w:ascii="宋体" w:hAnsi="宋体" w:eastAsia="宋体" w:cs="宋体"/>
                <w:sz w:val="24"/>
                <w:szCs w:val="24"/>
                <w:highlight w:val="none"/>
                <w:lang w:val="en-US" w:eastAsia="zh-CN"/>
              </w:rPr>
              <w:t>内容</w:t>
            </w:r>
            <w:r>
              <w:rPr>
                <w:rFonts w:hint="eastAsia" w:ascii="宋体" w:hAnsi="宋体" w:eastAsia="宋体" w:cs="宋体"/>
                <w:sz w:val="24"/>
                <w:szCs w:val="24"/>
                <w:highlight w:val="none"/>
                <w:lang w:eastAsia="zh-CN"/>
              </w:rPr>
              <w:t>，如饮水充电/医疗物资/平价超市等。</w:t>
            </w:r>
          </w:p>
          <w:p w14:paraId="08B3EA6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（2）资源状态更新</w:t>
            </w:r>
          </w:p>
          <w:p w14:paraId="77B10C8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实时更新各阵地的开放时间段、</w:t>
            </w:r>
            <w:r>
              <w:rPr>
                <w:rFonts w:hint="eastAsia" w:ascii="宋体" w:hAnsi="宋体" w:eastAsia="宋体" w:cs="宋体"/>
                <w:sz w:val="24"/>
                <w:szCs w:val="24"/>
                <w:highlight w:val="none"/>
                <w:lang w:val="en-US" w:eastAsia="zh-CN"/>
              </w:rPr>
              <w:t>开放状态</w:t>
            </w:r>
            <w:r>
              <w:rPr>
                <w:rFonts w:hint="eastAsia" w:ascii="宋体" w:hAnsi="宋体" w:eastAsia="宋体" w:cs="宋体"/>
                <w:sz w:val="24"/>
                <w:szCs w:val="24"/>
                <w:highlight w:val="none"/>
                <w:lang w:eastAsia="zh-CN"/>
              </w:rPr>
              <w:t>等动态信息。</w:t>
            </w:r>
          </w:p>
          <w:p w14:paraId="3D0EADB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需求提取-用户需求分析</w:t>
            </w:r>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（1）行业关联分析</w:t>
            </w:r>
          </w:p>
          <w:p w14:paraId="6F7F830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根据用户所属行业（如制造业/物流业）自动关联行业专属政策（如制造业技改补贴、货车司机权益保障）。</w:t>
            </w:r>
          </w:p>
          <w:p w14:paraId="5F06387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2.5</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需求提取-动态需求挖掘</w:t>
            </w:r>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（1）问卷关键词提取</w:t>
            </w:r>
          </w:p>
          <w:p w14:paraId="2E3E02F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从用户填写的开放式问卷中提取核心诉求词（如“工伤赔偿”“技能提升”），生成需求标签。</w:t>
            </w:r>
          </w:p>
          <w:p w14:paraId="0D035F8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（2）咨询记录解析</w:t>
            </w:r>
          </w:p>
          <w:p w14:paraId="0CB205A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分析咨询记录中的问题类型（如反复询问“生育津贴”），补充用户未明确表达的需求。</w:t>
            </w:r>
          </w:p>
          <w:p w14:paraId="2B092B0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2.6</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特征分析-行为画像构建</w:t>
            </w:r>
          </w:p>
          <w:p w14:paraId="55374F4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（1）基础属性分析</w:t>
            </w:r>
          </w:p>
          <w:p w14:paraId="34ACD8A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分析用户行业与政策适用行业的关联性、政策要求的匹配度。</w:t>
            </w:r>
          </w:p>
          <w:p w14:paraId="5384DC0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（2）需求强度评估</w:t>
            </w:r>
          </w:p>
          <w:p w14:paraId="6DDFB226">
            <w:pPr>
              <w:kinsoku/>
              <w:spacing w:line="360" w:lineRule="exact"/>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综合问卷填写内容与近期行为数据（如高频浏览补贴政策），量化分析用户需求的紧急程度与关注度。</w:t>
            </w:r>
          </w:p>
          <w:p w14:paraId="2ADEB5C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2.7</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特征分析-政策特征建模</w:t>
            </w:r>
          </w:p>
          <w:p w14:paraId="54F9681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（1）政策匹配度分析</w:t>
            </w:r>
          </w:p>
          <w:p w14:paraId="607D99E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分析政策标签与用户需求标签的重合度，对政策匹配度进行分析。</w:t>
            </w:r>
          </w:p>
          <w:p w14:paraId="0602BC0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（2）政策时效性标识</w:t>
            </w:r>
          </w:p>
          <w:p w14:paraId="1254E25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对临近截止日期或新发布的政策进行特殊标记，提升推送优先级。</w:t>
            </w:r>
          </w:p>
          <w:p w14:paraId="2750DB9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2.8</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特征分析-服务匹配特征</w:t>
            </w:r>
          </w:p>
          <w:p w14:paraId="4E1B2B3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（1）地理位置匹配</w:t>
            </w:r>
          </w:p>
          <w:p w14:paraId="7A2FA7F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根据用户当前位置推荐附近几公里内的服务阵地。</w:t>
            </w:r>
          </w:p>
          <w:p w14:paraId="00B9738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（2）服务资源适配</w:t>
            </w:r>
          </w:p>
          <w:p w14:paraId="744F813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分析用户需求与阵地服务能力，对阵地服务资源进行适配分析。</w:t>
            </w:r>
          </w:p>
          <w:p w14:paraId="5F765CC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2.9</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推荐策略-多级筛选策略</w:t>
            </w:r>
          </w:p>
          <w:p w14:paraId="28FD855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（1）初筛排除</w:t>
            </w:r>
          </w:p>
          <w:p w14:paraId="10E80CA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对政策文件内容进行分析，根据政策文件要求过滤明显不符合推荐资格的政策。</w:t>
            </w:r>
          </w:p>
          <w:p w14:paraId="5250DD7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（2）精准匹配推荐</w:t>
            </w:r>
          </w:p>
          <w:p w14:paraId="4A21D7C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优先推送与用户需求标签匹配度高的政策。</w:t>
            </w:r>
          </w:p>
          <w:p w14:paraId="1F934A5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（3）相似扩展推荐</w:t>
            </w:r>
          </w:p>
          <w:p w14:paraId="71C10D7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推荐与用户近期浏览政策同类别的其他政策。</w:t>
            </w:r>
          </w:p>
          <w:p w14:paraId="46E700D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2.10</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推荐策略-动态排序分析</w:t>
            </w:r>
          </w:p>
          <w:p w14:paraId="2B91F11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（1）紧急需求分析</w:t>
            </w:r>
          </w:p>
          <w:p w14:paraId="5A26349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对标注为“高紧急度”的用户（如问卷填写“本月需维权”），相关政策的推荐排名提升至靠前展示。</w:t>
            </w:r>
          </w:p>
          <w:p w14:paraId="0E1D370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推荐策略-推荐分析</w:t>
            </w:r>
          </w:p>
          <w:p w14:paraId="0624082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（1）新用户默认推荐</w:t>
            </w:r>
          </w:p>
          <w:p w14:paraId="32896F1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新注册用户推荐其所属行业的高频政策（如物流行业用户默认展示“司机之家服务指南”）。</w:t>
            </w:r>
          </w:p>
          <w:p w14:paraId="3FFB964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（2）新政策引导曝光</w:t>
            </w:r>
          </w:p>
          <w:p w14:paraId="6EA4218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新入库政策在首周内增加推荐频次，通过弹窗提示“最新就业扶持政策”。</w:t>
            </w:r>
          </w:p>
          <w:p w14:paraId="06B592A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推送服务-个性化推送</w:t>
            </w:r>
          </w:p>
          <w:p w14:paraId="5271119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）推送内容生成</w:t>
            </w:r>
          </w:p>
          <w:p w14:paraId="63A86B0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生成简明政策摘要，</w:t>
            </w:r>
            <w:r>
              <w:rPr>
                <w:rFonts w:hint="eastAsia" w:ascii="宋体" w:hAnsi="宋体" w:eastAsia="宋体" w:cs="宋体"/>
                <w:sz w:val="24"/>
                <w:szCs w:val="24"/>
                <w:highlight w:val="none"/>
                <w:lang w:val="en-US" w:eastAsia="zh-CN"/>
              </w:rPr>
              <w:t>如：</w:t>
            </w:r>
            <w:r>
              <w:rPr>
                <w:rFonts w:hint="eastAsia" w:ascii="宋体" w:hAnsi="宋体" w:eastAsia="宋体" w:cs="宋体"/>
                <w:sz w:val="24"/>
                <w:szCs w:val="24"/>
                <w:highlight w:val="none"/>
                <w:lang w:eastAsia="zh-CN"/>
              </w:rPr>
              <w:t>核心福利（如“最高补贴5000元”）、办理流程（如""线上申请步骤""）。</w:t>
            </w:r>
          </w:p>
          <w:p w14:paraId="1A8E162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推送服务-反馈优化分析</w:t>
            </w:r>
          </w:p>
          <w:p w14:paraId="11FAF55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（1）用户行为追踪</w:t>
            </w:r>
          </w:p>
          <w:p w14:paraId="62FCE07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记录用户对推荐政策的后续操作（点击详情/收藏/咨询），用于评估推荐有效性。</w:t>
            </w:r>
          </w:p>
          <w:p w14:paraId="5ED670C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（2）推荐效果分析</w:t>
            </w:r>
          </w:p>
          <w:p w14:paraId="09FCCF6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统计不同策略的点击转化率，自动降低未点击政策的推荐权重，提升高转化内容的曝光率。</w:t>
            </w:r>
          </w:p>
          <w:p w14:paraId="12F6502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（3）人机协同干预</w:t>
            </w:r>
          </w:p>
          <w:p w14:paraId="6803A85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允许管理员对特殊政策（如应急救灾补贴）进行手动置顶，确保重要信息优先触达。</w:t>
            </w:r>
          </w:p>
        </w:tc>
      </w:tr>
      <w:tr w14:paraId="5EC4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60FCD53A">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p>
        </w:tc>
        <w:tc>
          <w:tcPr>
            <w:tcW w:w="669" w:type="pct"/>
            <w:vAlign w:val="center"/>
          </w:tcPr>
          <w:p w14:paraId="376524FE">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心理健康测评算法</w:t>
            </w:r>
          </w:p>
        </w:tc>
        <w:tc>
          <w:tcPr>
            <w:tcW w:w="4004" w:type="pct"/>
            <w:vAlign w:val="center"/>
          </w:tcPr>
          <w:p w14:paraId="6CA9786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心理测评问卷</w:t>
            </w:r>
          </w:p>
          <w:p w14:paraId="71BCE3F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量表设计：</w:t>
            </w:r>
          </w:p>
          <w:p w14:paraId="01EDDB9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基础量表库：集成国际通用量表</w:t>
            </w:r>
          </w:p>
          <w:p w14:paraId="75B324E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行业定制量表：针对新就业群体特征开发专项量表（如网约车司机驾驶压力量表）。</w:t>
            </w:r>
          </w:p>
          <w:p w14:paraId="68216A2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用户行为分析</w:t>
            </w:r>
          </w:p>
          <w:p w14:paraId="3226BD3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活跃度分析：</w:t>
            </w:r>
          </w:p>
          <w:p w14:paraId="1CAFCE0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行为模式挖掘：</w:t>
            </w:r>
            <w:r>
              <w:rPr>
                <w:rFonts w:hint="eastAsia" w:ascii="宋体" w:hAnsi="宋体" w:eastAsia="宋体" w:cs="宋体"/>
                <w:sz w:val="24"/>
                <w:szCs w:val="24"/>
                <w:highlight w:val="none"/>
                <w:lang w:val="en-US" w:eastAsia="zh-CN"/>
              </w:rPr>
              <w:t>心理测评偏好</w:t>
            </w:r>
            <w:r>
              <w:rPr>
                <w:rFonts w:hint="eastAsia" w:ascii="宋体" w:hAnsi="宋体" w:eastAsia="宋体" w:cs="宋体"/>
                <w:sz w:val="24"/>
                <w:szCs w:val="24"/>
                <w:highlight w:val="none"/>
                <w:lang w:eastAsia="zh-CN"/>
              </w:rPr>
              <w:t>。</w:t>
            </w:r>
          </w:p>
          <w:p w14:paraId="3967E24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情绪检测：</w:t>
            </w:r>
          </w:p>
          <w:p w14:paraId="3AE3B4E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构建行业专属情绪词典（含压力、焦虑、疲惫等维度）。</w:t>
            </w:r>
          </w:p>
          <w:p w14:paraId="0398CC7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关键词抓取：</w:t>
            </w:r>
          </w:p>
          <w:p w14:paraId="1C90404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负面词汇库：构建行业相关负面词汇的分级词典。</w:t>
            </w:r>
          </w:p>
          <w:p w14:paraId="2B1AD47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智能预警引擎</w:t>
            </w:r>
          </w:p>
          <w:p w14:paraId="23D45B5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预警触发规则：</w:t>
            </w:r>
          </w:p>
          <w:p w14:paraId="56B6FA9C">
            <w:pPr>
              <w:kinsoku/>
              <w:spacing w:line="360" w:lineRule="exact"/>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设置阈值</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结合测评结果得分触发预警</w:t>
            </w:r>
          </w:p>
          <w:p w14:paraId="55A26DC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预警处理流程：</w:t>
            </w:r>
          </w:p>
          <w:p w14:paraId="4C9C5FC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人工复核：</w:t>
            </w:r>
            <w:r>
              <w:rPr>
                <w:rFonts w:hint="eastAsia" w:ascii="宋体" w:hAnsi="宋体" w:eastAsia="宋体" w:cs="宋体"/>
                <w:sz w:val="24"/>
                <w:szCs w:val="24"/>
                <w:highlight w:val="none"/>
                <w:lang w:val="en-US" w:eastAsia="zh-CN"/>
              </w:rPr>
              <w:t>人工进行</w:t>
            </w:r>
            <w:r>
              <w:rPr>
                <w:rFonts w:hint="eastAsia" w:ascii="宋体" w:hAnsi="宋体" w:eastAsia="宋体" w:cs="宋体"/>
                <w:sz w:val="24"/>
                <w:szCs w:val="24"/>
                <w:highlight w:val="none"/>
                <w:lang w:eastAsia="zh-CN"/>
              </w:rPr>
              <w:t>二次评估。</w:t>
            </w:r>
          </w:p>
          <w:p w14:paraId="324F54B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分级响应：</w:t>
            </w:r>
          </w:p>
          <w:p w14:paraId="5793BE2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黄色预警：推送自助调节资源包。</w:t>
            </w:r>
          </w:p>
          <w:p w14:paraId="6E99036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橙色预警：建议预约专业咨询。</w:t>
            </w:r>
          </w:p>
          <w:p w14:paraId="6C546BA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红色预警：启动危机干预协议。</w:t>
            </w:r>
          </w:p>
          <w:p w14:paraId="75E7317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心理状态报告</w:t>
            </w:r>
          </w:p>
          <w:p w14:paraId="7FF4BE01">
            <w:pPr>
              <w:kinsoku/>
              <w:spacing w:line="360" w:lineRule="exact"/>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报告生成规则：</w:t>
            </w:r>
            <w:r>
              <w:rPr>
                <w:rFonts w:hint="eastAsia" w:ascii="宋体" w:hAnsi="宋体" w:eastAsia="宋体" w:cs="宋体"/>
                <w:sz w:val="24"/>
                <w:szCs w:val="24"/>
                <w:highlight w:val="none"/>
                <w:lang w:val="en-US" w:eastAsia="zh-CN"/>
              </w:rPr>
              <w:t>结合测评得分以及配置测评结果匹配生成报告</w:t>
            </w:r>
          </w:p>
          <w:p w14:paraId="09CF02F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改善建议：个性化服务推荐（</w:t>
            </w:r>
            <w:r>
              <w:rPr>
                <w:rFonts w:hint="eastAsia" w:ascii="宋体" w:hAnsi="宋体" w:eastAsia="宋体" w:cs="宋体"/>
                <w:sz w:val="24"/>
                <w:szCs w:val="24"/>
                <w:highlight w:val="none"/>
                <w:lang w:val="en-US" w:eastAsia="zh-CN"/>
              </w:rPr>
              <w:t>心理科普知识，心理讲座活动</w:t>
            </w:r>
            <w:r>
              <w:rPr>
                <w:rFonts w:hint="eastAsia" w:ascii="宋体" w:hAnsi="宋体" w:eastAsia="宋体" w:cs="宋体"/>
                <w:sz w:val="24"/>
                <w:szCs w:val="24"/>
                <w:highlight w:val="none"/>
                <w:lang w:eastAsia="zh-CN"/>
              </w:rPr>
              <w:t>）。</w:t>
            </w:r>
          </w:p>
          <w:p w14:paraId="2AE4DEC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服务推荐引擎</w:t>
            </w:r>
          </w:p>
          <w:p w14:paraId="1321F3E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结合用户心理健康画像进行服务推荐（如：心理讲座活动</w:t>
            </w:r>
            <w:r>
              <w:rPr>
                <w:rFonts w:hint="eastAsia" w:ascii="宋体" w:hAnsi="宋体" w:eastAsia="宋体" w:cs="宋体"/>
                <w:sz w:val="24"/>
                <w:szCs w:val="24"/>
                <w:highlight w:val="none"/>
                <w:lang w:eastAsia="zh-CN"/>
              </w:rPr>
              <w:t>。</w:t>
            </w:r>
          </w:p>
          <w:p w14:paraId="6E7129A4">
            <w:pPr>
              <w:kinsoku/>
              <w:spacing w:line="360" w:lineRule="exact"/>
              <w:ind w:firstLine="0" w:firstLineChars="0"/>
              <w:rPr>
                <w:highlight w:val="none"/>
              </w:rPr>
            </w:pP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动态能力画像构建</w:t>
            </w:r>
          </w:p>
          <w:p w14:paraId="06E0D4F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通过心理测评结果动态更新用户心理健康画像</w:t>
            </w:r>
          </w:p>
        </w:tc>
      </w:tr>
      <w:tr w14:paraId="0F92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5BE064AD">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w:t>
            </w:r>
          </w:p>
        </w:tc>
        <w:tc>
          <w:tcPr>
            <w:tcW w:w="669" w:type="pct"/>
            <w:vAlign w:val="center"/>
          </w:tcPr>
          <w:p w14:paraId="2B5A884F">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积分管理模型</w:t>
            </w:r>
          </w:p>
        </w:tc>
        <w:tc>
          <w:tcPr>
            <w:tcW w:w="4004" w:type="pct"/>
            <w:vAlign w:val="center"/>
          </w:tcPr>
          <w:p w14:paraId="1602C4B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正向积分采集</w:t>
            </w:r>
          </w:p>
          <w:p w14:paraId="77B1F14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（1）身份认证维度</w:t>
            </w:r>
          </w:p>
          <w:p w14:paraId="4C2F1DA3">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职业资质认证：完成行业准入资质核验（如网约车驾驶员证、外卖平台准入证明）。</w:t>
            </w:r>
          </w:p>
          <w:p w14:paraId="69768CD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（2）学习成长维度</w:t>
            </w:r>
          </w:p>
          <w:p w14:paraId="5A524ED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政策通识模块：完成指定政策文件学习时长（含心理健康、劳动保障等专题）。</w:t>
            </w:r>
          </w:p>
          <w:p w14:paraId="7C70E33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技能提升模块：参与职业技能培训课程完成度。</w:t>
            </w:r>
          </w:p>
          <w:p w14:paraId="32CDED0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知识竞赛模块：行业知识竞赛</w:t>
            </w:r>
            <w:r>
              <w:rPr>
                <w:rFonts w:hint="eastAsia" w:ascii="宋体" w:hAnsi="宋体" w:eastAsia="宋体" w:cs="宋体"/>
                <w:sz w:val="24"/>
                <w:szCs w:val="24"/>
                <w:highlight w:val="none"/>
                <w:lang w:val="en-US" w:eastAsia="zh-CN"/>
              </w:rPr>
              <w:t>活动</w:t>
            </w:r>
            <w:r>
              <w:rPr>
                <w:rFonts w:hint="eastAsia" w:ascii="宋体" w:hAnsi="宋体" w:eastAsia="宋体" w:cs="宋体"/>
                <w:sz w:val="24"/>
                <w:szCs w:val="24"/>
                <w:highlight w:val="none"/>
                <w:lang w:eastAsia="zh-CN"/>
              </w:rPr>
              <w:t>参与。</w:t>
            </w:r>
          </w:p>
          <w:p w14:paraId="4642420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（3）行为贡献维度</w:t>
            </w:r>
          </w:p>
          <w:p w14:paraId="53F6EFE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基层治理参与：通过"社区前哨"系统上报有效社会治理线索。</w:t>
            </w:r>
          </w:p>
          <w:p w14:paraId="4900FA7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工作规范指数：惠新码使用频次、服务轨迹合规率等过程数据。</w:t>
            </w:r>
          </w:p>
          <w:p w14:paraId="5202FE9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负向积分采集</w:t>
            </w:r>
          </w:p>
          <w:p w14:paraId="1018590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（1）诚信风险维度</w:t>
            </w:r>
          </w:p>
          <w:p w14:paraId="5467516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资质造假行为：职业认证材料真实性核验不通过记录。</w:t>
            </w:r>
          </w:p>
          <w:p w14:paraId="3C51C97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信用违规记录：帮扶救助申请中虚假陈述经济状况。</w:t>
            </w:r>
          </w:p>
          <w:p w14:paraId="259DDE9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（2）行为规范维度</w:t>
            </w:r>
          </w:p>
          <w:p w14:paraId="782539D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社区治理违规：虚假上报社会问题次数及严重程度。</w:t>
            </w:r>
          </w:p>
          <w:p w14:paraId="0CA7FA6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活动秩序违规：扰乱活动现场管理被投诉次数。</w:t>
            </w:r>
          </w:p>
          <w:p w14:paraId="0F63795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言论管理违规：发布损害群体形象不当言论的处置记录。</w:t>
            </w:r>
          </w:p>
          <w:p w14:paraId="08A5447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积分兑换引擎</w:t>
            </w:r>
          </w:p>
          <w:p w14:paraId="6ECE830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支持商户自主发布兑换商品（实物类/服务类）及库存动态更新，设置兑换比例（按积分区间划分折扣力度）及支持用户选择兑换商品并锁定积分（防超卖机制），构建核销验证模块，生成动态二维码，收集用户兑换后评价数据（1-5星评分及文字反馈）。</w:t>
            </w:r>
          </w:p>
          <w:p w14:paraId="6C208F9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费用抵扣引擎</w:t>
            </w:r>
          </w:p>
          <w:p w14:paraId="74C2BB0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设置不同业务场景的积分抵现比例（</w:t>
            </w:r>
            <w:r>
              <w:rPr>
                <w:rFonts w:hint="eastAsia" w:ascii="宋体" w:hAnsi="宋体" w:eastAsia="宋体" w:cs="宋体"/>
                <w:sz w:val="24"/>
                <w:szCs w:val="24"/>
                <w:highlight w:val="none"/>
                <w:lang w:val="en-US" w:eastAsia="zh-CN"/>
              </w:rPr>
              <w:t>如</w:t>
            </w:r>
            <w:r>
              <w:rPr>
                <w:rFonts w:hint="eastAsia" w:ascii="宋体" w:hAnsi="宋体" w:eastAsia="宋体" w:cs="宋体"/>
                <w:sz w:val="24"/>
                <w:szCs w:val="24"/>
                <w:highlight w:val="none"/>
                <w:lang w:eastAsia="zh-CN"/>
              </w:rPr>
              <w:t>10积分=1元等值），建立交易对账机制。</w:t>
            </w:r>
          </w:p>
        </w:tc>
      </w:tr>
      <w:tr w14:paraId="342E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1499FB2B">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w:t>
            </w:r>
          </w:p>
        </w:tc>
        <w:tc>
          <w:tcPr>
            <w:tcW w:w="669" w:type="pct"/>
            <w:vAlign w:val="center"/>
          </w:tcPr>
          <w:p w14:paraId="2E34F551">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内容审核与反垃圾模型</w:t>
            </w:r>
          </w:p>
        </w:tc>
        <w:tc>
          <w:tcPr>
            <w:tcW w:w="4004" w:type="pct"/>
            <w:vAlign w:val="center"/>
          </w:tcPr>
          <w:p w14:paraId="0C0A3F7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精准分类</w:t>
            </w:r>
          </w:p>
          <w:p w14:paraId="7F6918D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构建深度学习模型，结合维权场景数据进行领域自适应训练，实现文本细粒度分类，精准区分不同程度的描述。用于用户申请、评论等场景中，自动化地识别、分类和处理违规内容，确保平台内容的合规、安全和健康。</w:t>
            </w:r>
          </w:p>
          <w:p w14:paraId="4559F75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方言处理</w:t>
            </w:r>
          </w:p>
          <w:p w14:paraId="0D30CF4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因外卖骑手、网约车司机等新就业形态群体中，方言占比高，需突破语言壁垒。采集多地区方言数据，有效识别方言中的违规内容进行拦截，增强新就业群体服务满意度。</w:t>
            </w:r>
          </w:p>
          <w:p w14:paraId="2F6B59A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异常检测</w:t>
            </w:r>
          </w:p>
          <w:p w14:paraId="6FCA6C6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为防范恶意刷单，维护平台生态健康。构建高效规则引擎，实时检测异常行为。引入自适应机制，根据业务波动自动调整检测阈值，降低误报率。</w:t>
            </w:r>
          </w:p>
          <w:p w14:paraId="5311EF2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养号行为识别</w:t>
            </w:r>
          </w:p>
          <w:p w14:paraId="6291FE9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构建用户行为图谱，</w:t>
            </w:r>
            <w:r>
              <w:rPr>
                <w:rFonts w:hint="eastAsia" w:ascii="宋体" w:hAnsi="宋体" w:eastAsia="宋体" w:cs="宋体"/>
                <w:sz w:val="24"/>
                <w:szCs w:val="24"/>
                <w:highlight w:val="none"/>
                <w:lang w:val="en-US" w:eastAsia="zh-CN"/>
              </w:rPr>
              <w:t>识别频繁登录，恶意调用接口等以为，</w:t>
            </w:r>
            <w:r>
              <w:rPr>
                <w:rFonts w:hint="eastAsia" w:ascii="宋体" w:hAnsi="宋体" w:eastAsia="宋体" w:cs="宋体"/>
                <w:sz w:val="24"/>
                <w:szCs w:val="24"/>
                <w:highlight w:val="none"/>
                <w:lang w:eastAsia="zh-CN"/>
              </w:rPr>
              <w:t>实现异常行为的检测。</w:t>
            </w:r>
          </w:p>
        </w:tc>
      </w:tr>
      <w:tr w14:paraId="50C0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275E956A">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w:t>
            </w:r>
          </w:p>
        </w:tc>
        <w:tc>
          <w:tcPr>
            <w:tcW w:w="669" w:type="pct"/>
            <w:vAlign w:val="center"/>
          </w:tcPr>
          <w:p w14:paraId="69E2AFC2">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审核自动化算法</w:t>
            </w:r>
          </w:p>
        </w:tc>
        <w:tc>
          <w:tcPr>
            <w:tcW w:w="4004" w:type="pct"/>
            <w:vAlign w:val="center"/>
          </w:tcPr>
          <w:p w14:paraId="23DA829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活动招募人员自动化审核</w:t>
            </w:r>
          </w:p>
          <w:p w14:paraId="33B4F6F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硬性条件校验：通过行业匹配度（如“外卖员专场”验证骑手身份）与地域限制（活动覆盖区域校验），确保活动资源精准投放。</w:t>
            </w:r>
          </w:p>
          <w:p w14:paraId="64F324A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积分累计与使用自动化审核</w:t>
            </w:r>
          </w:p>
          <w:p w14:paraId="1B034C0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规则结构化引擎：</w:t>
            </w:r>
          </w:p>
          <w:p w14:paraId="71C6386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积分累计：定义签到、活动参与、知识答题等行为的积分规则，激励长期活跃。</w:t>
            </w:r>
          </w:p>
          <w:p w14:paraId="3748221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防刷分策略：通过计算实时校验行为日志（如同一活动重复签到无效），保障积分体系公平性。</w:t>
            </w:r>
          </w:p>
          <w:p w14:paraId="5C0DC64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积分使用审核：</w:t>
            </w:r>
          </w:p>
          <w:p w14:paraId="298C970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黑名单拦截：与风控系统联动，对违规冻结期用户自动禁止积分提现或兑换，防止资源滥用。</w:t>
            </w:r>
          </w:p>
          <w:p w14:paraId="43892BD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工会活动参与资格自动化审核</w:t>
            </w:r>
          </w:p>
          <w:p w14:paraId="2DF19B9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行业属性匹配：</w:t>
            </w:r>
          </w:p>
          <w:p w14:paraId="373ECFC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标签体系构建：基于用户注册信息（平台从业证明、社保缴纳单位）构建标准化行业分类（如“网约车司机-交通运输业”），确保活动参与者符合行业要求。</w:t>
            </w:r>
          </w:p>
          <w:p w14:paraId="74DA71F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实时策略适配：对限定行业（如“物流行业”）的活动，自动过滤非目标行业用户并推送通知，提升活动效率。</w:t>
            </w:r>
          </w:p>
          <w:p w14:paraId="7A87C6F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学习培训报名自动化审核</w:t>
            </w:r>
          </w:p>
          <w:p w14:paraId="605A6CE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行业/岗位适配度：</w:t>
            </w:r>
          </w:p>
          <w:p w14:paraId="7499979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课程标签化：通过算法从课程描述中提取关键词（如“交通安全法规”“外卖配送技巧”），构建课程标签体系。</w:t>
            </w:r>
          </w:p>
          <w:p w14:paraId="55C664C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6.6</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内容发布审核</w:t>
            </w:r>
          </w:p>
          <w:p w14:paraId="6B6C360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通过NLP模型检测用户发布的文本是否含敏感信息（如歧视性言论、违法信息），及时拦截以避免风险扩散。</w:t>
            </w:r>
          </w:p>
        </w:tc>
      </w:tr>
      <w:tr w14:paraId="66F7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0" w:type="dxa"/>
          </w:tblCellMar>
        </w:tblPrEx>
        <w:trPr>
          <w:trHeight w:val="454" w:hRule="atLeast"/>
          <w:jc w:val="center"/>
        </w:trPr>
        <w:tc>
          <w:tcPr>
            <w:tcW w:w="325" w:type="pct"/>
            <w:vAlign w:val="center"/>
          </w:tcPr>
          <w:p w14:paraId="0F7B898D">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w:t>
            </w:r>
          </w:p>
        </w:tc>
        <w:tc>
          <w:tcPr>
            <w:tcW w:w="669" w:type="pct"/>
            <w:vAlign w:val="center"/>
          </w:tcPr>
          <w:p w14:paraId="5DC4A419">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政策标签分类模型</w:t>
            </w:r>
          </w:p>
        </w:tc>
        <w:tc>
          <w:tcPr>
            <w:tcW w:w="4004" w:type="pct"/>
            <w:vAlign w:val="center"/>
          </w:tcPr>
          <w:p w14:paraId="722DD72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7.1</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政策文本分类与标签化-多维度自动标注</w:t>
            </w:r>
          </w:p>
          <w:p w14:paraId="5DD4CD0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（1）跨部门政策分类</w:t>
            </w:r>
          </w:p>
          <w:p w14:paraId="085DABF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自动识别政策来源部门（人社/税务/市场监管），并按部门规则提取核心内容，并统一归类。</w:t>
            </w:r>
          </w:p>
          <w:p w14:paraId="23B82F9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部门特征识别：根据政策发文单位、文号前缀、正文高频术语，自动识别归属部门。</w:t>
            </w:r>
          </w:p>
          <w:p w14:paraId="419AE46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部门规则库构建：建立各部门政策特征库，提升分类准确性。</w:t>
            </w:r>
          </w:p>
          <w:p w14:paraId="76E8DF9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跨部门关联标注：对联合发文政策标注所有相关部门标签。</w:t>
            </w:r>
          </w:p>
          <w:p w14:paraId="1A5C489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（2）适用群体标注</w:t>
            </w:r>
          </w:p>
          <w:p w14:paraId="57CCF7B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群体特征提取：解析政策文本中的人群限定条件，识别政策受益对象特征，标注形成骑手、家政员等20+职业标签。</w:t>
            </w:r>
          </w:p>
          <w:p w14:paraId="1C2FAC5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语义搜索与精准匹配-深度语义理解</w:t>
            </w:r>
          </w:p>
          <w:p w14:paraId="3B56A33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（1）语义消歧</w:t>
            </w:r>
          </w:p>
          <w:p w14:paraId="02A9DEA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利用语言处理技术，识别劳动者口语化提问的真实意图。基于NLP技术提取识别劳动者口语化语句核心要素，对文本清洗预处理，对处理后的信息要素存储，自动生成标准化标签。识别口语化表达与错别字，形成同类语义词进行统一处理。</w:t>
            </w:r>
          </w:p>
          <w:p w14:paraId="23AE7ED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（2）方言与术语兼容</w:t>
            </w:r>
          </w:p>
          <w:p w14:paraId="0D1F2FE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基于语言处理技术，支持常见方言词汇转换及行业术语理解。</w:t>
            </w:r>
          </w:p>
          <w:p w14:paraId="087E9ED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语义搜索与精准匹配-智能检索与推荐</w:t>
            </w:r>
          </w:p>
          <w:p w14:paraId="3AC9237F">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（1）多层级语义匹配</w:t>
            </w:r>
          </w:p>
          <w:p w14:paraId="74595FE8">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根据识别提取的问题信息，自动匹配政策，并补充推荐关联政策。</w:t>
            </w:r>
          </w:p>
          <w:p w14:paraId="3F0B3CE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）缺失政策预警</w:t>
            </w:r>
          </w:p>
          <w:p w14:paraId="6AA77F86">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当高频问题无匹配政策时，自动生成预警报告推送至后台，提示政策制定缺口。</w:t>
            </w:r>
          </w:p>
          <w:p w14:paraId="5C2F422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ab/>
            </w:r>
            <w:r>
              <w:rPr>
                <w:rFonts w:hint="eastAsia" w:ascii="宋体" w:hAnsi="宋体" w:eastAsia="宋体" w:cs="宋体"/>
                <w:sz w:val="24"/>
                <w:szCs w:val="24"/>
                <w:highlight w:val="none"/>
                <w:lang w:eastAsia="zh-CN"/>
              </w:rPr>
              <w:t>智能摘要与个性化推送-主动服务触达</w:t>
            </w:r>
          </w:p>
          <w:p w14:paraId="4BA7998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结合用户</w:t>
            </w:r>
            <w:r>
              <w:rPr>
                <w:rFonts w:hint="eastAsia" w:ascii="宋体" w:hAnsi="宋体" w:eastAsia="宋体" w:cs="宋体"/>
                <w:sz w:val="24"/>
                <w:szCs w:val="24"/>
                <w:highlight w:val="none"/>
                <w:lang w:val="en-US" w:eastAsia="zh-CN"/>
              </w:rPr>
              <w:t>画像</w:t>
            </w:r>
            <w:r>
              <w:rPr>
                <w:rFonts w:hint="eastAsia" w:ascii="宋体" w:hAnsi="宋体" w:eastAsia="宋体" w:cs="宋体"/>
                <w:sz w:val="24"/>
                <w:szCs w:val="24"/>
                <w:highlight w:val="none"/>
                <w:lang w:eastAsia="zh-CN"/>
              </w:rPr>
              <w:t>、行为数据进行政策动态推送。</w:t>
            </w:r>
          </w:p>
        </w:tc>
      </w:tr>
    </w:tbl>
    <w:p w14:paraId="2B3BAA15">
      <w:pPr>
        <w:ind w:firstLine="640"/>
        <w:rPr>
          <w:rFonts w:hint="eastAsia" w:ascii="宋体" w:hAnsi="宋体" w:eastAsia="宋体" w:cs="宋体"/>
          <w:sz w:val="24"/>
          <w:szCs w:val="24"/>
          <w:highlight w:val="none"/>
          <w:lang w:eastAsia="zh-CN"/>
        </w:rPr>
      </w:pPr>
    </w:p>
    <w:p w14:paraId="60675A69">
      <w:pPr>
        <w:pStyle w:val="4"/>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（三）数据资源建设</w:t>
      </w:r>
      <w:bookmarkEnd w:id="87"/>
    </w:p>
    <w:tbl>
      <w:tblPr>
        <w:tblStyle w:val="19"/>
        <w:tblW w:w="4858" w:type="pct"/>
        <w:tblInd w:w="108" w:type="dxa"/>
        <w:tblLayout w:type="autofit"/>
        <w:tblCellMar>
          <w:top w:w="0" w:type="dxa"/>
          <w:left w:w="108" w:type="dxa"/>
          <w:bottom w:w="0" w:type="dxa"/>
          <w:right w:w="108" w:type="dxa"/>
        </w:tblCellMar>
      </w:tblPr>
      <w:tblGrid>
        <w:gridCol w:w="700"/>
        <w:gridCol w:w="1544"/>
        <w:gridCol w:w="2514"/>
        <w:gridCol w:w="4597"/>
      </w:tblGrid>
      <w:tr w14:paraId="041BE97F">
        <w:tblPrEx>
          <w:tblCellMar>
            <w:top w:w="0" w:type="dxa"/>
            <w:left w:w="108" w:type="dxa"/>
            <w:bottom w:w="0" w:type="dxa"/>
            <w:right w:w="108" w:type="dxa"/>
          </w:tblCellMar>
        </w:tblPrEx>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74664B6">
            <w:pPr>
              <w:ind w:firstLine="0" w:firstLineChars="0"/>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序号</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14:paraId="2B2978CC">
            <w:pPr>
              <w:ind w:firstLine="0" w:firstLineChars="0"/>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服务类型</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7B398788">
            <w:pPr>
              <w:ind w:firstLine="0" w:firstLineChars="0"/>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服务名称</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1B8955AA">
            <w:pPr>
              <w:ind w:firstLine="0" w:firstLineChars="0"/>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服务内容</w:t>
            </w:r>
          </w:p>
        </w:tc>
      </w:tr>
      <w:tr w14:paraId="7AAF17DC">
        <w:tblPrEx>
          <w:tblCellMar>
            <w:top w:w="0" w:type="dxa"/>
            <w:left w:w="108" w:type="dxa"/>
            <w:bottom w:w="0" w:type="dxa"/>
            <w:right w:w="108" w:type="dxa"/>
          </w:tblCellMar>
        </w:tblPrEx>
        <w:tc>
          <w:tcPr>
            <w:tcW w:w="3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4C819B">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p>
        </w:tc>
        <w:tc>
          <w:tcPr>
            <w:tcW w:w="8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3BFFA5">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数据治理服务</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5F124F22">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标准编制及方案设计</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695E04A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制定数据处理标准，确保统一规范与高效执行。</w:t>
            </w:r>
          </w:p>
        </w:tc>
      </w:tr>
      <w:tr w14:paraId="1D752481">
        <w:tblPrEx>
          <w:tblCellMar>
            <w:top w:w="0" w:type="dxa"/>
            <w:left w:w="108" w:type="dxa"/>
            <w:bottom w:w="0" w:type="dxa"/>
            <w:right w:w="108" w:type="dxa"/>
          </w:tblCellMar>
        </w:tblPrEx>
        <w:trPr>
          <w:trHeight w:val="90" w:hRule="atLeast"/>
        </w:trPr>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B4DCAA">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937BB6">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1912B04A">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数据模型设计</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3B8277C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根据需求设计适配的数据模型，支持高效数据分析与应用。</w:t>
            </w:r>
          </w:p>
        </w:tc>
      </w:tr>
      <w:tr w14:paraId="2C1124B7">
        <w:tblPrEx>
          <w:tblCellMar>
            <w:top w:w="0" w:type="dxa"/>
            <w:left w:w="108" w:type="dxa"/>
            <w:bottom w:w="0" w:type="dxa"/>
            <w:right w:w="108" w:type="dxa"/>
          </w:tblCellMar>
        </w:tblPrEx>
        <w:trPr>
          <w:trHeight w:val="90" w:hRule="atLeast"/>
        </w:trPr>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64E78">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20340F">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299A3E71">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数据清洗</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1249FBDD">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清理原始数据中的错误与缺失，确保数据准确完整。</w:t>
            </w:r>
          </w:p>
        </w:tc>
      </w:tr>
      <w:tr w14:paraId="2FB5FF91">
        <w:tblPrEx>
          <w:tblCellMar>
            <w:top w:w="0" w:type="dxa"/>
            <w:left w:w="108" w:type="dxa"/>
            <w:bottom w:w="0" w:type="dxa"/>
            <w:right w:w="108" w:type="dxa"/>
          </w:tblCellMar>
        </w:tblPrEx>
        <w:trPr>
          <w:trHeight w:val="90" w:hRule="atLeast"/>
        </w:trPr>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111809">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0DF619">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1DE36625">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数据对比</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428B850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对比不同数据源，确保数据的一致性与正确性。</w:t>
            </w:r>
          </w:p>
        </w:tc>
      </w:tr>
      <w:tr w14:paraId="2A283B1A">
        <w:tblPrEx>
          <w:tblCellMar>
            <w:top w:w="0" w:type="dxa"/>
            <w:left w:w="108" w:type="dxa"/>
            <w:bottom w:w="0" w:type="dxa"/>
            <w:right w:w="108" w:type="dxa"/>
          </w:tblCellMar>
        </w:tblPrEx>
        <w:trPr>
          <w:trHeight w:val="90" w:hRule="atLeast"/>
        </w:trPr>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E7B28B">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C4AAF3">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47A2CD16">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数据去重</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2F2415A7">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去除重复数据，确保数据集的唯一性与精确性。</w:t>
            </w:r>
          </w:p>
        </w:tc>
      </w:tr>
      <w:tr w14:paraId="656EAA1E">
        <w:tblPrEx>
          <w:tblCellMar>
            <w:top w:w="0" w:type="dxa"/>
            <w:left w:w="108" w:type="dxa"/>
            <w:bottom w:w="0" w:type="dxa"/>
            <w:right w:w="108" w:type="dxa"/>
          </w:tblCellMar>
        </w:tblPrEx>
        <w:trPr>
          <w:trHeight w:val="90" w:hRule="atLeast"/>
        </w:trPr>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313A3D">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4510A">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1D23E2E1">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数据质量服务</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13E1B62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提供数据质量检测与优化服务，提升数据的可靠性。</w:t>
            </w:r>
          </w:p>
        </w:tc>
      </w:tr>
      <w:tr w14:paraId="00DC4E53">
        <w:tblPrEx>
          <w:tblCellMar>
            <w:top w:w="0" w:type="dxa"/>
            <w:left w:w="108" w:type="dxa"/>
            <w:bottom w:w="0" w:type="dxa"/>
            <w:right w:w="108" w:type="dxa"/>
          </w:tblCellMar>
        </w:tblPrEx>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FC91A8">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35A577">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1F73E7E3">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数据资源汇聚</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744F7320">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整合多个数据源，创建统一数据资源池，提升数据价值。</w:t>
            </w:r>
          </w:p>
        </w:tc>
      </w:tr>
      <w:tr w14:paraId="3EF3EEB9">
        <w:tblPrEx>
          <w:tblCellMar>
            <w:top w:w="0" w:type="dxa"/>
            <w:left w:w="108" w:type="dxa"/>
            <w:bottom w:w="0" w:type="dxa"/>
            <w:right w:w="108" w:type="dxa"/>
          </w:tblCellMar>
        </w:tblPrEx>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5A1289">
            <w:pPr>
              <w:kinsoku/>
              <w:spacing w:line="360" w:lineRule="exact"/>
              <w:ind w:firstLine="0" w:firstLineChars="0"/>
              <w:jc w:val="center"/>
              <w:rPr>
                <w:rFonts w:hint="eastAsia" w:ascii="宋体" w:hAnsi="宋体" w:eastAsia="宋体" w:cs="宋体"/>
                <w:sz w:val="24"/>
                <w:szCs w:val="24"/>
                <w:highlight w:val="none"/>
                <w:lang w:eastAsia="zh-CN"/>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41638">
            <w:pPr>
              <w:kinsoku/>
              <w:spacing w:line="360" w:lineRule="exact"/>
              <w:ind w:firstLine="0" w:firstLineChars="0"/>
              <w:jc w:val="center"/>
              <w:rPr>
                <w:rFonts w:hint="eastAsia" w:ascii="宋体" w:hAnsi="宋体" w:eastAsia="宋体" w:cs="宋体"/>
                <w:sz w:val="24"/>
                <w:szCs w:val="24"/>
                <w:highlight w:val="none"/>
                <w:lang w:eastAsia="zh-CN"/>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28F447A9">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数据共享服务</w:t>
            </w:r>
          </w:p>
        </w:tc>
        <w:tc>
          <w:tcPr>
            <w:tcW w:w="2456" w:type="pct"/>
            <w:tcBorders>
              <w:top w:val="single" w:color="auto" w:sz="4" w:space="0"/>
              <w:left w:val="single" w:color="auto" w:sz="4" w:space="0"/>
              <w:bottom w:val="single" w:color="auto" w:sz="4" w:space="0"/>
              <w:right w:val="single" w:color="auto" w:sz="4" w:space="0"/>
            </w:tcBorders>
            <w:shd w:val="clear" w:color="auto" w:fill="auto"/>
            <w:vAlign w:val="center"/>
          </w:tcPr>
          <w:p w14:paraId="6E01E2BB">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接入重庆市IRS数据共享平台</w:t>
            </w:r>
            <w:r>
              <w:rPr>
                <w:rFonts w:hint="eastAsia" w:ascii="宋体" w:hAnsi="宋体" w:eastAsia="宋体" w:cs="宋体"/>
                <w:sz w:val="24"/>
                <w:szCs w:val="24"/>
                <w:highlight w:val="none"/>
                <w:lang w:eastAsia="zh-CN"/>
              </w:rPr>
              <w:t>，确保各部门间的数据高效共享。</w:t>
            </w:r>
          </w:p>
        </w:tc>
      </w:tr>
      <w:tr w14:paraId="24BD24C1">
        <w:tblPrEx>
          <w:tblCellMar>
            <w:top w:w="0" w:type="dxa"/>
            <w:left w:w="108" w:type="dxa"/>
            <w:bottom w:w="0" w:type="dxa"/>
            <w:right w:w="108" w:type="dxa"/>
          </w:tblCellMar>
        </w:tblPrEx>
        <w:tc>
          <w:tcPr>
            <w:tcW w:w="3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029088">
            <w:pPr>
              <w:kinsoku/>
              <w:spacing w:line="360" w:lineRule="exact"/>
              <w:ind w:firstLine="0" w:firstLineChars="0"/>
              <w:jc w:val="center"/>
              <w:rPr>
                <w:rFonts w:hint="eastAsia" w:ascii="宋体" w:hAnsi="宋体" w:eastAsia="宋体" w:cs="宋体"/>
                <w:sz w:val="24"/>
                <w:szCs w:val="24"/>
                <w:highlight w:val="none"/>
                <w:lang w:eastAsia="zh-CN"/>
              </w:rPr>
            </w:pPr>
            <w:bookmarkStart w:id="88" w:name="_Hlk179905408"/>
            <w:r>
              <w:rPr>
                <w:rFonts w:hint="eastAsia" w:ascii="宋体" w:hAnsi="宋体" w:eastAsia="宋体" w:cs="宋体"/>
                <w:sz w:val="24"/>
                <w:szCs w:val="24"/>
                <w:highlight w:val="none"/>
                <w:lang w:eastAsia="zh-CN"/>
              </w:rPr>
              <w:t>2</w:t>
            </w:r>
            <w:bookmarkEnd w:id="88"/>
          </w:p>
        </w:tc>
        <w:tc>
          <w:tcPr>
            <w:tcW w:w="8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9EC08E">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数据资源池建库</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4A5E777C">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建立数据资源归集规范</w:t>
            </w:r>
          </w:p>
        </w:tc>
        <w:tc>
          <w:tcPr>
            <w:tcW w:w="24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8D02B1">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建立数据资源归集规范，确保数据统一管理与高效整合；编制数据资源池目录，梳理业务系统和平台相关数据；实施数据归集，按照业务需求和数据清单采集、处理数据。</w:t>
            </w:r>
          </w:p>
        </w:tc>
      </w:tr>
      <w:tr w14:paraId="6FD23CA1">
        <w:tblPrEx>
          <w:tblCellMar>
            <w:top w:w="0" w:type="dxa"/>
            <w:left w:w="108" w:type="dxa"/>
            <w:bottom w:w="0" w:type="dxa"/>
            <w:right w:w="108" w:type="dxa"/>
          </w:tblCellMar>
        </w:tblPrEx>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951A37">
            <w:pPr>
              <w:ind w:firstLine="0" w:firstLineChars="0"/>
              <w:jc w:val="center"/>
              <w:rPr>
                <w:rFonts w:hint="eastAsia" w:ascii="宋体" w:hAnsi="宋体" w:eastAsia="宋体" w:cs="宋体"/>
                <w:sz w:val="24"/>
                <w:szCs w:val="24"/>
                <w:highlight w:val="none"/>
                <w:lang w:eastAsia="zh-CN" w:bidi="ar"/>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52D786">
            <w:pPr>
              <w:ind w:firstLine="0" w:firstLineChars="0"/>
              <w:jc w:val="center"/>
              <w:rPr>
                <w:rFonts w:hint="eastAsia" w:ascii="宋体" w:hAnsi="宋体" w:eastAsia="宋体" w:cs="宋体"/>
                <w:sz w:val="24"/>
                <w:szCs w:val="24"/>
                <w:highlight w:val="none"/>
                <w:lang w:eastAsia="zh-CN"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38237997">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数据资源池目录编制</w:t>
            </w:r>
          </w:p>
        </w:tc>
        <w:tc>
          <w:tcPr>
            <w:tcW w:w="24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3BE6B2">
            <w:pPr>
              <w:ind w:firstLine="0" w:firstLineChars="0"/>
              <w:jc w:val="center"/>
              <w:rPr>
                <w:rFonts w:hint="eastAsia" w:ascii="宋体" w:hAnsi="宋体" w:eastAsia="宋体" w:cs="宋体"/>
                <w:sz w:val="24"/>
                <w:szCs w:val="24"/>
                <w:highlight w:val="none"/>
                <w:lang w:bidi="ar"/>
              </w:rPr>
            </w:pPr>
          </w:p>
        </w:tc>
      </w:tr>
      <w:tr w14:paraId="5DF891E4">
        <w:tblPrEx>
          <w:tblCellMar>
            <w:top w:w="0" w:type="dxa"/>
            <w:left w:w="108" w:type="dxa"/>
            <w:bottom w:w="0" w:type="dxa"/>
            <w:right w:w="108" w:type="dxa"/>
          </w:tblCellMar>
        </w:tblPrEx>
        <w:tc>
          <w:tcPr>
            <w:tcW w:w="3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9596F1">
            <w:pPr>
              <w:ind w:firstLine="0" w:firstLineChars="0"/>
              <w:jc w:val="center"/>
              <w:rPr>
                <w:rFonts w:hint="eastAsia" w:ascii="宋体" w:hAnsi="宋体" w:eastAsia="宋体" w:cs="宋体"/>
                <w:sz w:val="24"/>
                <w:szCs w:val="24"/>
                <w:highlight w:val="none"/>
                <w:lang w:bidi="ar"/>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65EB57">
            <w:pPr>
              <w:ind w:firstLine="0" w:firstLineChars="0"/>
              <w:jc w:val="center"/>
              <w:rPr>
                <w:rFonts w:hint="eastAsia" w:ascii="宋体" w:hAnsi="宋体" w:eastAsia="宋体" w:cs="宋体"/>
                <w:sz w:val="24"/>
                <w:szCs w:val="24"/>
                <w:highlight w:val="none"/>
                <w:lang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14:paraId="2CD270EC">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数据资源归集</w:t>
            </w:r>
          </w:p>
        </w:tc>
        <w:tc>
          <w:tcPr>
            <w:tcW w:w="24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8387A7">
            <w:pPr>
              <w:ind w:firstLine="0" w:firstLineChars="0"/>
              <w:jc w:val="center"/>
              <w:rPr>
                <w:rFonts w:hint="eastAsia" w:ascii="宋体" w:hAnsi="宋体" w:eastAsia="宋体" w:cs="宋体"/>
                <w:sz w:val="24"/>
                <w:szCs w:val="24"/>
                <w:highlight w:val="none"/>
                <w:lang w:bidi="ar"/>
              </w:rPr>
            </w:pPr>
          </w:p>
        </w:tc>
      </w:tr>
    </w:tbl>
    <w:p w14:paraId="37FA4067">
      <w:pPr>
        <w:ind w:firstLine="640"/>
        <w:rPr>
          <w:rFonts w:hint="eastAsia" w:ascii="宋体" w:hAnsi="宋体" w:eastAsia="宋体" w:cs="宋体"/>
          <w:sz w:val="24"/>
          <w:szCs w:val="24"/>
          <w:highlight w:val="none"/>
        </w:rPr>
      </w:pPr>
    </w:p>
    <w:p w14:paraId="684E13EF">
      <w:pPr>
        <w:pStyle w:val="4"/>
        <w:ind w:firstLine="640"/>
        <w:rPr>
          <w:color w:val="auto"/>
          <w:highlight w:val="none"/>
          <w:lang w:eastAsia="zh-CN"/>
        </w:rPr>
      </w:pPr>
      <w:r>
        <w:rPr>
          <w:rFonts w:hint="eastAsia"/>
          <w:color w:val="auto"/>
          <w:highlight w:val="none"/>
          <w:lang w:eastAsia="zh-CN"/>
        </w:rPr>
        <w:t>（</w:t>
      </w:r>
      <w:r>
        <w:rPr>
          <w:rFonts w:hint="eastAsia"/>
          <w:color w:val="auto"/>
          <w:highlight w:val="none"/>
          <w:lang w:val="en-US" w:eastAsia="zh-CN"/>
        </w:rPr>
        <w:t>四</w:t>
      </w:r>
      <w:r>
        <w:rPr>
          <w:rFonts w:hint="eastAsia"/>
          <w:color w:val="auto"/>
          <w:highlight w:val="none"/>
          <w:lang w:eastAsia="zh-CN"/>
        </w:rPr>
        <w:t>）其他技术要求</w:t>
      </w:r>
    </w:p>
    <w:p w14:paraId="7E5A6367">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※1.应用安全要求</w:t>
      </w:r>
    </w:p>
    <w:p w14:paraId="5BEE0DA0">
      <w:pPr>
        <w:ind w:firstLine="6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按照《重庆市政务数字化应用开发操作指南（2024 年版）》（渝大数据发〔2024〕17 号）文件要求，根据《信息安全技术网络安全等级保护定级指南》（GB/T22240-2020）、《信息安全技术网络安全等级保护基本要求》（GB/T22239-2019），“新就业群体之家”数字化应用达到三级安全等级保护测评要求。三级安全等级保护测评</w:t>
      </w:r>
      <w:r>
        <w:rPr>
          <w:rFonts w:hint="eastAsia" w:ascii="宋体" w:hAnsi="宋体" w:eastAsia="宋体" w:cs="宋体"/>
          <w:color w:val="auto"/>
          <w:sz w:val="24"/>
          <w:szCs w:val="24"/>
          <w:highlight w:val="none"/>
          <w:lang w:val="en-US" w:eastAsia="zh-CN"/>
        </w:rPr>
        <w:t>由招标单位自行出资选取第三方专业机构进行。</w:t>
      </w:r>
    </w:p>
    <w:p w14:paraId="4146849A">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※2.商用密码应用安全要求</w:t>
      </w:r>
    </w:p>
    <w:p w14:paraId="60D6130B">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根据《中华人民共和国密码法》《信息安全等级保护商用密码管理管理条例》（2007）《信息安全技术 信息系统密码应用设计指南》（GB∕T 43207-2023）、《信息安全技术 信息系统密码应用基本要求》（GB/T 39786-2021），“新就业群体之家”数字化应用达到密码应用安全性评估要求。</w:t>
      </w:r>
    </w:p>
    <w:p w14:paraId="49C1AEA2">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3.落实国产化要求</w:t>
      </w:r>
    </w:p>
    <w:p w14:paraId="56443438">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本应用对于研发部署的各类系统、平台须支持符合国家相关标准的</w:t>
      </w:r>
      <w:r>
        <w:rPr>
          <w:rFonts w:hint="eastAsia" w:ascii="宋体" w:hAnsi="宋体" w:eastAsia="宋体" w:cs="宋体"/>
          <w:color w:val="auto"/>
          <w:sz w:val="24"/>
          <w:szCs w:val="24"/>
          <w:highlight w:val="none"/>
          <w:lang w:val="en-US" w:eastAsia="zh-CN"/>
        </w:rPr>
        <w:t>软硬件环境</w:t>
      </w:r>
      <w:r>
        <w:rPr>
          <w:rFonts w:hint="eastAsia" w:ascii="宋体" w:hAnsi="宋体" w:eastAsia="宋体" w:cs="宋体"/>
          <w:color w:val="auto"/>
          <w:sz w:val="24"/>
          <w:szCs w:val="24"/>
          <w:highlight w:val="none"/>
          <w:lang w:eastAsia="zh-CN"/>
        </w:rPr>
        <w:t>或同等性能的国产化替代方案，满足数字重庆相关标准、规范要求。</w:t>
      </w:r>
    </w:p>
    <w:p w14:paraId="0C8D4396">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4.开发期安全咨询服务要求</w:t>
      </w:r>
    </w:p>
    <w:p w14:paraId="483FD97B">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（1）上线前安全评估服务：开展一次上线前安全评估服务，包括管理体系评估、技术检测评估，全面发现系统和网络风险、脆弱性，并进行复测。</w:t>
      </w:r>
    </w:p>
    <w:p w14:paraId="4E0CD95C">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）安全应急演练服务：按</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单位安全保障要求进行安全应急演练，模拟事件场景，搭建演练环境，按照应急响应流程进行演练，提升安全意识和应急处置流程。</w:t>
      </w:r>
    </w:p>
    <w:p w14:paraId="4877AA92">
      <w:pPr>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）安全培训服务开展2次进行安全培训，针对技术人员和办公人员分别开展具体操作培训、安全意识、日常办公安全等方面培训。</w:t>
      </w:r>
    </w:p>
    <w:p w14:paraId="39696B75">
      <w:pPr>
        <w:ind w:firstLine="640"/>
        <w:rPr>
          <w:rFonts w:hint="default" w:ascii="宋体" w:hAnsi="宋体" w:eastAsia="宋体" w:cs="宋体"/>
          <w:color w:val="auto"/>
          <w:sz w:val="24"/>
          <w:szCs w:val="24"/>
          <w:highlight w:val="none"/>
          <w:lang w:val="en-US" w:eastAsia="zh-CN"/>
        </w:rPr>
      </w:pPr>
    </w:p>
    <w:p w14:paraId="32FA3904">
      <w:pPr>
        <w:ind w:firstLine="640"/>
        <w:rPr>
          <w:rFonts w:hint="eastAsia"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br w:type="page"/>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14:paraId="340B8341">
      <w:pPr>
        <w:pStyle w:val="2"/>
        <w:rPr>
          <w:highlight w:val="none"/>
          <w:lang w:eastAsia="zh-CN"/>
        </w:rPr>
      </w:pPr>
      <w:bookmarkStart w:id="89" w:name="_Toc5159"/>
      <w:bookmarkStart w:id="90" w:name="_Toc20877"/>
      <w:bookmarkStart w:id="91" w:name="_Toc31155"/>
      <w:r>
        <w:rPr>
          <w:rFonts w:hint="eastAsia"/>
          <w:highlight w:val="none"/>
          <w:lang w:eastAsia="zh-CN"/>
        </w:rPr>
        <w:t>第三篇  项目商务需求</w:t>
      </w:r>
      <w:bookmarkEnd w:id="89"/>
      <w:bookmarkEnd w:id="90"/>
      <w:bookmarkEnd w:id="91"/>
      <w:bookmarkStart w:id="92" w:name="_Toc493506290"/>
      <w:bookmarkStart w:id="93" w:name="_Toc32284"/>
      <w:bookmarkStart w:id="94" w:name="_Toc267320049"/>
      <w:bookmarkStart w:id="95" w:name="_Toc267320052"/>
    </w:p>
    <w:bookmarkEnd w:id="92"/>
    <w:p w14:paraId="409D2132">
      <w:pPr>
        <w:ind w:firstLine="640"/>
        <w:rPr>
          <w:rFonts w:hint="eastAsia" w:ascii="宋体" w:hAnsi="宋体" w:eastAsia="宋体" w:cs="宋体"/>
          <w:color w:val="auto"/>
          <w:sz w:val="24"/>
          <w:szCs w:val="24"/>
          <w:highlight w:val="none"/>
          <w:lang w:eastAsia="zh-CN"/>
        </w:rPr>
      </w:pPr>
      <w:bookmarkStart w:id="96" w:name="_Toc17860"/>
      <w:bookmarkStart w:id="97" w:name="_Toc170374971"/>
      <w:bookmarkStart w:id="98" w:name="_Toc11312"/>
      <w:bookmarkStart w:id="99" w:name="_Toc10039"/>
      <w:bookmarkStart w:id="100" w:name="_Toc30118"/>
      <w:bookmarkStart w:id="101" w:name="_Toc6595"/>
      <w:bookmarkStart w:id="102" w:name="_Toc11380"/>
      <w:bookmarkStart w:id="103" w:name="_Toc21429"/>
      <w:bookmarkStart w:id="104" w:name="_Toc8752"/>
      <w:bookmarkStart w:id="105" w:name="_Toc22944"/>
      <w:bookmarkStart w:id="106" w:name="_Toc23312"/>
      <w:bookmarkStart w:id="107" w:name="_Toc9676"/>
      <w:bookmarkStart w:id="108" w:name="_Toc23501"/>
      <w:bookmarkStart w:id="109" w:name="_Toc106030385"/>
      <w:bookmarkStart w:id="110" w:name="_Toc13728"/>
      <w:bookmarkStart w:id="111" w:name="_Toc13389"/>
      <w:bookmarkStart w:id="112" w:name="_Toc27689"/>
      <w:bookmarkStart w:id="113" w:name="_Toc28521"/>
      <w:bookmarkStart w:id="114" w:name="_Toc12768"/>
      <w:bookmarkStart w:id="115" w:name="_Toc14029"/>
      <w:bookmarkStart w:id="116" w:name="_Toc75793509"/>
      <w:r>
        <w:rPr>
          <w:rFonts w:hint="eastAsia" w:ascii="宋体" w:hAnsi="宋体" w:eastAsia="宋体" w:cs="宋体"/>
          <w:color w:val="auto"/>
          <w:sz w:val="24"/>
          <w:szCs w:val="24"/>
          <w:highlight w:val="none"/>
          <w:lang w:eastAsia="zh-CN"/>
        </w:rPr>
        <w:t>“※”标注的商务需求为符合性审查中的实质性要求，投标文件若不满足按无效投标处理。</w:t>
      </w:r>
    </w:p>
    <w:p w14:paraId="4880CF56">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17" w:name="_Toc29743"/>
      <w:bookmarkStart w:id="118" w:name="_Toc2238"/>
      <w:r>
        <w:rPr>
          <w:rFonts w:hint="eastAsia" w:ascii="宋体" w:hAnsi="宋体" w:eastAsia="宋体" w:cs="宋体"/>
          <w:b/>
          <w:bCs w:val="0"/>
          <w:snapToGrid/>
          <w:spacing w:val="0"/>
          <w:kern w:val="2"/>
          <w:sz w:val="24"/>
          <w:szCs w:val="24"/>
          <w:highlight w:val="none"/>
          <w:lang w:val="en-US" w:eastAsia="zh-CN" w:bidi="ar-SA"/>
          <w14:ligatures w14:val="none"/>
        </w:rPr>
        <w:t>一、时间要求、实施地点</w:t>
      </w:r>
      <w:bookmarkEnd w:id="117"/>
      <w:bookmarkEnd w:id="118"/>
    </w:p>
    <w:p w14:paraId="038F2808">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19" w:name="_Toc19292"/>
      <w:r>
        <w:rPr>
          <w:rFonts w:hint="eastAsia" w:ascii="宋体" w:hAnsi="宋体" w:eastAsia="宋体" w:cs="宋体"/>
          <w:b/>
          <w:bCs w:val="0"/>
          <w:snapToGrid/>
          <w:spacing w:val="0"/>
          <w:kern w:val="2"/>
          <w:sz w:val="24"/>
          <w:szCs w:val="24"/>
          <w:highlight w:val="none"/>
          <w:lang w:val="en-US" w:eastAsia="zh-CN" w:bidi="ar-SA"/>
          <w14:ligatures w14:val="none"/>
        </w:rPr>
        <w:t>（一）时间要求</w:t>
      </w:r>
      <w:bookmarkEnd w:id="119"/>
    </w:p>
    <w:p w14:paraId="33266509">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采购合同签订之日起30日内完成项目初步验收，并</w:t>
      </w:r>
      <w:r>
        <w:rPr>
          <w:rFonts w:hint="eastAsia" w:ascii="宋体" w:hAnsi="宋体" w:eastAsia="宋体" w:cs="宋体"/>
          <w:color w:val="auto"/>
          <w:sz w:val="24"/>
          <w:szCs w:val="24"/>
          <w:highlight w:val="none"/>
          <w:lang w:val="en-US" w:eastAsia="zh-CN"/>
        </w:rPr>
        <w:t>在渝快办及愉快政两端上线</w:t>
      </w:r>
      <w:r>
        <w:rPr>
          <w:rFonts w:hint="eastAsia" w:ascii="宋体" w:hAnsi="宋体" w:eastAsia="宋体" w:cs="宋体"/>
          <w:color w:val="auto"/>
          <w:sz w:val="24"/>
          <w:szCs w:val="24"/>
          <w:highlight w:val="none"/>
          <w:lang w:eastAsia="zh-CN"/>
        </w:rPr>
        <w:t>进入系统试运行；采购合同签订之日起</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0日内完成本项目开发建设，并达到最终验收标准。</w:t>
      </w:r>
    </w:p>
    <w:p w14:paraId="7B6CB1E8">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0" w:name="_Toc14877"/>
      <w:r>
        <w:rPr>
          <w:rFonts w:hint="eastAsia" w:ascii="宋体" w:hAnsi="宋体" w:eastAsia="宋体" w:cs="宋体"/>
          <w:b/>
          <w:bCs w:val="0"/>
          <w:snapToGrid/>
          <w:spacing w:val="0"/>
          <w:kern w:val="2"/>
          <w:sz w:val="24"/>
          <w:szCs w:val="24"/>
          <w:highlight w:val="none"/>
          <w:lang w:val="en-US" w:eastAsia="zh-CN" w:bidi="ar-SA"/>
          <w14:ligatures w14:val="none"/>
        </w:rPr>
        <w:t>（二）服务地点</w:t>
      </w:r>
      <w:bookmarkEnd w:id="120"/>
    </w:p>
    <w:p w14:paraId="53B97267">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采购人指定地点。</w:t>
      </w:r>
    </w:p>
    <w:p w14:paraId="322A5038">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1" w:name="_Toc17046"/>
      <w:bookmarkStart w:id="122" w:name="_Toc15485"/>
      <w:r>
        <w:rPr>
          <w:rFonts w:hint="eastAsia" w:ascii="宋体" w:hAnsi="宋体" w:eastAsia="宋体" w:cs="宋体"/>
          <w:b/>
          <w:bCs w:val="0"/>
          <w:snapToGrid/>
          <w:spacing w:val="0"/>
          <w:kern w:val="2"/>
          <w:sz w:val="24"/>
          <w:szCs w:val="24"/>
          <w:highlight w:val="none"/>
          <w:lang w:val="en-US" w:eastAsia="zh-CN" w:bidi="ar-SA"/>
          <w14:ligatures w14:val="none"/>
        </w:rPr>
        <w:t>二、验收标准</w:t>
      </w:r>
      <w:bookmarkEnd w:id="121"/>
      <w:bookmarkEnd w:id="122"/>
    </w:p>
    <w:p w14:paraId="564C9621">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3" w:name="_Toc12836"/>
      <w:r>
        <w:rPr>
          <w:rFonts w:hint="eastAsia" w:ascii="宋体" w:hAnsi="宋体" w:eastAsia="宋体" w:cs="宋体"/>
          <w:b/>
          <w:bCs w:val="0"/>
          <w:snapToGrid/>
          <w:spacing w:val="0"/>
          <w:kern w:val="2"/>
          <w:sz w:val="24"/>
          <w:szCs w:val="24"/>
          <w:highlight w:val="none"/>
          <w:lang w:val="en-US" w:eastAsia="zh-CN" w:bidi="ar-SA"/>
          <w14:ligatures w14:val="none"/>
        </w:rPr>
        <w:t>（一）软件开发</w:t>
      </w:r>
      <w:bookmarkEnd w:id="123"/>
    </w:p>
    <w:p w14:paraId="580A88D5">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1.中标人应向采购人提交详细的软件系统开发和实施计划。包括人员组织、进度计划、质量保证计划等。</w:t>
      </w:r>
    </w:p>
    <w:p w14:paraId="51F3FCC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2.中标人负责提供本项目中的应用软件系统的开发及部署。</w:t>
      </w:r>
    </w:p>
    <w:p w14:paraId="331FA057">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3.中标人应完成合同规定的软件系统的开发工作，要求向采购人提供以下资料（需电子版）并通过审核：</w:t>
      </w:r>
    </w:p>
    <w:p w14:paraId="27999B50">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①软件开发计划；</w:t>
      </w:r>
    </w:p>
    <w:p w14:paraId="3A82CAE0">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②软件需求规格书；</w:t>
      </w:r>
    </w:p>
    <w:p w14:paraId="0E04505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③深化设计（详细设计）；</w:t>
      </w:r>
    </w:p>
    <w:p w14:paraId="13FA28B4">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④用户使用文档。</w:t>
      </w:r>
    </w:p>
    <w:p w14:paraId="41995F26">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4.在完成软件系统的开发工作后，中标人应在5日内完成安装调试。</w:t>
      </w:r>
    </w:p>
    <w:p w14:paraId="74438E62">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4" w:name="_Toc24774"/>
      <w:r>
        <w:rPr>
          <w:rFonts w:hint="eastAsia" w:ascii="宋体" w:hAnsi="宋体" w:eastAsia="宋体" w:cs="宋体"/>
          <w:b/>
          <w:bCs w:val="0"/>
          <w:snapToGrid/>
          <w:spacing w:val="0"/>
          <w:kern w:val="2"/>
          <w:sz w:val="24"/>
          <w:szCs w:val="24"/>
          <w:highlight w:val="none"/>
          <w:lang w:val="en-US" w:eastAsia="zh-CN" w:bidi="ar-SA"/>
          <w14:ligatures w14:val="none"/>
        </w:rPr>
        <w:t>（二）初步验收</w:t>
      </w:r>
      <w:bookmarkEnd w:id="124"/>
    </w:p>
    <w:p w14:paraId="0BC7D603">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中标人完成应用批复的建设内容后，向采购人申请进行项目初步验收。采购人在收到中标人项目初步验收申请后组织开展初步验收工作。初步验收通过后，签署初步验收报告。</w:t>
      </w:r>
    </w:p>
    <w:p w14:paraId="519D3FC8">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5" w:name="_Toc21582"/>
      <w:r>
        <w:rPr>
          <w:rFonts w:hint="eastAsia" w:ascii="宋体" w:hAnsi="宋体" w:eastAsia="宋体" w:cs="宋体"/>
          <w:b/>
          <w:bCs w:val="0"/>
          <w:snapToGrid/>
          <w:spacing w:val="0"/>
          <w:kern w:val="2"/>
          <w:sz w:val="24"/>
          <w:szCs w:val="24"/>
          <w:highlight w:val="none"/>
          <w:lang w:val="en-US" w:eastAsia="zh-CN" w:bidi="ar-SA"/>
          <w14:ligatures w14:val="none"/>
        </w:rPr>
        <w:t>（三）试运行期</w:t>
      </w:r>
      <w:bookmarkEnd w:id="125"/>
    </w:p>
    <w:p w14:paraId="14E657C1">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1.初步验收后，即可进入试运行期，试运行期为</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0日，试运行期间系统应保持连续正常的运行。试运行期间如果出现影响系统正常运行的重大故障或功能缺陷，中标人应立即进行修复或更换相应设施设备，试运行期从修复之日起重新开始计算。中标人应详细说明其试运行保障计划。采购人有权派出技术人员参加，中标人有义务对其进行指导。</w:t>
      </w:r>
    </w:p>
    <w:p w14:paraId="24D580D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2.运行期间要求做好系统运行情况记录。</w:t>
      </w:r>
    </w:p>
    <w:p w14:paraId="1F91DDA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中标人负责解决系统试运行期间出现的各种故障。在试运行期间，出现非采购人因素导致的系统故障的，采购人有权要求中标人进行更换或修复，所发生的费用由中标人承担。试运行合格后，可进行系统交付验收。</w:t>
      </w:r>
    </w:p>
    <w:p w14:paraId="2720169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系统试运行合格后，中标人提交试运行报告和终验申请，就试运行阶段所出现的问题进行总结归纳，并报送给采购人。扼要说明申请系统验收的准备情况和系统所具备的验收条件。中标人在提交终验申请报告时，必须按合同书的有关规定，交付相关的技术文件。</w:t>
      </w:r>
    </w:p>
    <w:p w14:paraId="60677B02">
      <w:pPr>
        <w:pStyle w:val="30"/>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26" w:name="_Toc12508"/>
      <w:r>
        <w:rPr>
          <w:rFonts w:hint="eastAsia" w:ascii="宋体" w:hAnsi="宋体" w:eastAsia="宋体" w:cs="宋体"/>
          <w:b/>
          <w:bCs w:val="0"/>
          <w:snapToGrid/>
          <w:spacing w:val="0"/>
          <w:kern w:val="2"/>
          <w:sz w:val="24"/>
          <w:szCs w:val="24"/>
          <w:highlight w:val="none"/>
          <w:lang w:val="en-US" w:eastAsia="zh-CN" w:bidi="ar-SA"/>
          <w14:ligatures w14:val="none"/>
        </w:rPr>
        <w:t>（四）终验（竣工验收）</w:t>
      </w:r>
      <w:bookmarkEnd w:id="126"/>
    </w:p>
    <w:p w14:paraId="0C873A84">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试运行合格后，采购人根据中标人申请，按照招标文件中的有关规定和程序，进行终验。中标人须配合采购人完成终验相关工作，按照采购人要求提供终验资料、编制终验报告、参加终验验收会。中标人提供过的终验文件应至少包括项目基础资料、实施方案、操作手册、技术变更资料（若有）、会议纪要、第三方测试报告、设计文档、源代码等，以及采购人终验要求提供的其它资料。</w:t>
      </w:r>
    </w:p>
    <w:p w14:paraId="2E4F23C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试运行期间若发生与技术要求不符或与初验记录不一致的情况时，中标人应负责解决问题，否则不予终验。属于中标人工作严重失职造成较大损失的，将追究其单位及人员的责任并要求赔偿损失。</w:t>
      </w:r>
    </w:p>
    <w:p w14:paraId="7D3B572D">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作为向社会公众提供的公共服务项目，验收时应邀请新就业群体代表(不少于5名）工会代表等服务对象参与并出具书面意见;验收结果应在重庆市政府采购网及项目服务平台向社会公告，公告期不少于3个工作日。</w:t>
      </w:r>
    </w:p>
    <w:bookmarkEnd w:id="96"/>
    <w:bookmarkEnd w:id="97"/>
    <w:bookmarkEnd w:id="98"/>
    <w:p w14:paraId="789C4164">
      <w:pPr>
        <w:pStyle w:val="30"/>
        <w:numPr>
          <w:ilvl w:val="0"/>
          <w:numId w:val="3"/>
        </w:numPr>
        <w:ind w:firstLine="628"/>
        <w:rPr>
          <w:rFonts w:hint="eastAsia" w:ascii="宋体" w:hAnsi="宋体" w:eastAsia="宋体" w:cs="宋体"/>
          <w:color w:val="auto"/>
          <w:sz w:val="24"/>
          <w:szCs w:val="24"/>
          <w:highlight w:val="none"/>
          <w:lang w:eastAsia="zh-CN"/>
        </w:rPr>
      </w:pPr>
      <w:bookmarkStart w:id="127" w:name="_Toc5492"/>
      <w:bookmarkStart w:id="128" w:name="_Toc10473"/>
      <w:bookmarkStart w:id="129" w:name="_Toc4252"/>
      <w:bookmarkStart w:id="130" w:name="_Toc15677"/>
      <w:bookmarkStart w:id="131" w:name="_Toc170374974"/>
      <w:bookmarkStart w:id="132" w:name="_Toc1450"/>
      <w:bookmarkStart w:id="133" w:name="_Toc23903"/>
      <w:bookmarkStart w:id="134" w:name="_Toc32338"/>
      <w:bookmarkStart w:id="135" w:name="_Toc2821"/>
      <w:bookmarkStart w:id="136" w:name="_Toc3465"/>
      <w:bookmarkStart w:id="137" w:name="_Toc20887"/>
      <w:bookmarkStart w:id="138" w:name="_Toc75793511"/>
      <w:bookmarkStart w:id="139" w:name="_Toc27382"/>
      <w:bookmarkStart w:id="140" w:name="_Toc16693"/>
      <w:bookmarkStart w:id="141" w:name="_Toc106030387"/>
      <w:bookmarkStart w:id="142" w:name="_Toc15096"/>
      <w:bookmarkStart w:id="143" w:name="_Toc32313"/>
      <w:bookmarkStart w:id="144" w:name="_Toc14177"/>
      <w:bookmarkStart w:id="145" w:name="_Toc4774"/>
      <w:bookmarkStart w:id="146" w:name="_Toc2244"/>
      <w:r>
        <w:rPr>
          <w:rFonts w:hint="eastAsia" w:ascii="宋体" w:hAnsi="宋体" w:eastAsia="宋体" w:cs="宋体"/>
          <w:b/>
          <w:bCs w:val="0"/>
          <w:snapToGrid/>
          <w:spacing w:val="0"/>
          <w:kern w:val="2"/>
          <w:sz w:val="24"/>
          <w:szCs w:val="24"/>
          <w:highlight w:val="none"/>
          <w:lang w:val="en-US" w:eastAsia="zh-CN" w:bidi="ar-SA"/>
          <w14:ligatures w14:val="none"/>
        </w:rPr>
        <w:t>报价要求</w:t>
      </w:r>
      <w:bookmarkEnd w:id="127"/>
      <w:bookmarkEnd w:id="128"/>
    </w:p>
    <w:p w14:paraId="665A9575">
      <w:pPr>
        <w:pStyle w:val="30"/>
        <w:numPr>
          <w:ilvl w:val="0"/>
          <w:numId w:val="0"/>
        </w:numPr>
        <w:ind w:firstLine="468" w:firstLineChars="200"/>
        <w:rPr>
          <w:rFonts w:hint="eastAsia" w:ascii="宋体" w:hAnsi="宋体" w:eastAsia="宋体" w:cs="宋体"/>
          <w:color w:val="auto"/>
          <w:sz w:val="24"/>
          <w:szCs w:val="24"/>
          <w:highlight w:val="none"/>
          <w:lang w:eastAsia="zh-CN"/>
        </w:rPr>
      </w:pPr>
      <w:bookmarkStart w:id="147" w:name="_Toc22993"/>
      <w:r>
        <w:rPr>
          <w:rFonts w:hint="eastAsia" w:ascii="宋体" w:hAnsi="宋体" w:eastAsia="宋体" w:cs="宋体"/>
          <w:color w:val="auto"/>
          <w:sz w:val="24"/>
          <w:szCs w:val="24"/>
          <w:highlight w:val="none"/>
          <w:lang w:eastAsia="zh-CN"/>
        </w:rPr>
        <w:t>本次报价须为人民币报价，报价包括但不限于完成本项目所需的软件开发服务费、保险费、安装调试费、税费等完成本项目服务的所有费用，以及采购代理服务费。因投标人自身原因造成漏报、少报皆由其自行承担责任，采购人不再补偿。</w:t>
      </w:r>
      <w:bookmarkEnd w:id="147"/>
    </w:p>
    <w:p w14:paraId="3EA22104">
      <w:pPr>
        <w:pStyle w:val="30"/>
        <w:numPr>
          <w:ilvl w:val="0"/>
          <w:numId w:val="3"/>
        </w:numPr>
        <w:ind w:firstLine="628"/>
        <w:rPr>
          <w:rFonts w:hint="eastAsia" w:ascii="宋体" w:hAnsi="宋体" w:eastAsia="宋体" w:cs="宋体"/>
          <w:b/>
          <w:bCs w:val="0"/>
          <w:snapToGrid/>
          <w:spacing w:val="0"/>
          <w:kern w:val="2"/>
          <w:sz w:val="24"/>
          <w:szCs w:val="24"/>
          <w:highlight w:val="none"/>
          <w:lang w:val="en-US" w:eastAsia="zh-CN" w:bidi="ar-SA"/>
          <w14:ligatures w14:val="none"/>
        </w:rPr>
      </w:pPr>
      <w:bookmarkStart w:id="148" w:name="_Toc21371"/>
      <w:bookmarkStart w:id="149" w:name="_Toc12373"/>
      <w:r>
        <w:rPr>
          <w:rFonts w:hint="eastAsia" w:ascii="宋体" w:hAnsi="宋体" w:eastAsia="宋体" w:cs="宋体"/>
          <w:b/>
          <w:bCs w:val="0"/>
          <w:snapToGrid/>
          <w:spacing w:val="0"/>
          <w:kern w:val="2"/>
          <w:sz w:val="24"/>
          <w:szCs w:val="24"/>
          <w:highlight w:val="none"/>
          <w:lang w:val="en-US" w:eastAsia="zh-CN" w:bidi="ar-SA"/>
          <w14:ligatures w14:val="none"/>
        </w:rPr>
        <w:t>质量保证及售后服务</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8"/>
      <w:bookmarkEnd w:id="149"/>
    </w:p>
    <w:p w14:paraId="7BEB4F6B">
      <w:pPr>
        <w:pStyle w:val="30"/>
        <w:numPr>
          <w:ilvl w:val="0"/>
          <w:numId w:val="0"/>
        </w:numPr>
        <w:ind w:firstLine="241" w:firstLineChars="100"/>
        <w:rPr>
          <w:rFonts w:hint="eastAsia" w:ascii="宋体" w:hAnsi="宋体" w:eastAsia="宋体" w:cs="宋体"/>
          <w:b/>
          <w:bCs w:val="0"/>
          <w:snapToGrid/>
          <w:spacing w:val="0"/>
          <w:kern w:val="2"/>
          <w:sz w:val="24"/>
          <w:szCs w:val="24"/>
          <w:highlight w:val="none"/>
          <w:lang w:val="en-US" w:eastAsia="zh-CN" w:bidi="ar-SA"/>
          <w14:ligatures w14:val="none"/>
        </w:rPr>
      </w:pPr>
      <w:bookmarkStart w:id="150" w:name="_Toc31407"/>
      <w:r>
        <w:rPr>
          <w:rFonts w:hint="eastAsia" w:ascii="宋体" w:hAnsi="宋体" w:eastAsia="宋体" w:cs="宋体"/>
          <w:b/>
          <w:bCs w:val="0"/>
          <w:snapToGrid/>
          <w:spacing w:val="0"/>
          <w:kern w:val="2"/>
          <w:sz w:val="24"/>
          <w:szCs w:val="24"/>
          <w:highlight w:val="none"/>
          <w:lang w:val="en-US" w:eastAsia="zh-CN" w:bidi="ar-SA"/>
          <w14:ligatures w14:val="none"/>
        </w:rPr>
        <w:t>（一）质量保证</w:t>
      </w:r>
      <w:bookmarkEnd w:id="150"/>
    </w:p>
    <w:p w14:paraId="32163C74">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自项目竣工验收合格之日起，定制开发系统提供一年的免费产品质量保证期（运维服务期），硬件产品（若有）属于国家“三包”范围的，其产品质量保证不得低于“三包”规定。</w:t>
      </w:r>
    </w:p>
    <w:p w14:paraId="021C37DD">
      <w:pPr>
        <w:pStyle w:val="34"/>
        <w:ind w:left="0" w:leftChars="0" w:firstLine="241" w:firstLineChars="1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51" w:name="_Toc20267"/>
      <w:r>
        <w:rPr>
          <w:rFonts w:hint="eastAsia" w:ascii="宋体" w:hAnsi="宋体" w:eastAsia="宋体" w:cs="宋体"/>
          <w:b/>
          <w:bCs w:val="0"/>
          <w:snapToGrid/>
          <w:color w:val="auto"/>
          <w:spacing w:val="0"/>
          <w:kern w:val="2"/>
          <w:sz w:val="24"/>
          <w:szCs w:val="24"/>
          <w:highlight w:val="none"/>
          <w:lang w:val="en-US" w:eastAsia="zh-CN" w:bidi="ar-SA"/>
          <w14:ligatures w14:val="none"/>
        </w:rPr>
        <w:t>（二）售后服务内容</w:t>
      </w:r>
      <w:bookmarkEnd w:id="151"/>
    </w:p>
    <w:p w14:paraId="4E8E623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1.投标人在质量保证期内应当为采购人提供以下技术支持和服务：</w:t>
      </w:r>
    </w:p>
    <w:p w14:paraId="137A34CE">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1.1电话咨询</w:t>
      </w:r>
    </w:p>
    <w:p w14:paraId="0253B330">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投标人应当为采购人提供技术援助电话，解答采购人在使用中遇到的问题，及时为采购人提出解决问题的建议。</w:t>
      </w:r>
    </w:p>
    <w:p w14:paraId="07BF5795">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1.2现场响应</w:t>
      </w:r>
    </w:p>
    <w:p w14:paraId="5EC294D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采购人遇到使用及技术问题，电话咨询不能解决的，投标人应在24小时内到达现场进行处理，确保产品正常工作；无法在24小时内解决的，应在12小时内内提供备用产品或应急方案，使采购人能够正常使用。</w:t>
      </w:r>
    </w:p>
    <w:p w14:paraId="057CE283">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2.质保期外服务要求</w:t>
      </w:r>
    </w:p>
    <w:p w14:paraId="1BD429A0">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2.1质量保证期过后，投标人应同样提供免费电话咨询服务，并应承诺提供维护服务。</w:t>
      </w:r>
    </w:p>
    <w:p w14:paraId="3AE26333">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2.2质量保证期过后，采购人需要继续由原中标人提供售后服务的，该中标人应以优惠价格提供售后</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lang w:eastAsia="zh-CN"/>
        </w:rPr>
        <w:t>。</w:t>
      </w:r>
    </w:p>
    <w:p w14:paraId="091B7A8C">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52" w:name="_Toc1540"/>
      <w:bookmarkStart w:id="153" w:name="_Toc170374975"/>
      <w:bookmarkStart w:id="154" w:name="_Toc7933"/>
      <w:bookmarkStart w:id="155" w:name="_Toc8026"/>
      <w:r>
        <w:rPr>
          <w:rFonts w:hint="eastAsia" w:ascii="宋体" w:hAnsi="宋体" w:eastAsia="宋体" w:cs="宋体"/>
          <w:b/>
          <w:bCs w:val="0"/>
          <w:snapToGrid/>
          <w:color w:val="auto"/>
          <w:spacing w:val="0"/>
          <w:kern w:val="2"/>
          <w:sz w:val="24"/>
          <w:szCs w:val="24"/>
          <w:highlight w:val="none"/>
          <w:lang w:val="en-US" w:eastAsia="zh-CN" w:bidi="ar-SA"/>
          <w14:ligatures w14:val="none"/>
        </w:rPr>
        <w:t>五、付款方式</w:t>
      </w:r>
      <w:bookmarkEnd w:id="152"/>
      <w:bookmarkEnd w:id="153"/>
      <w:bookmarkEnd w:id="154"/>
      <w:bookmarkEnd w:id="155"/>
    </w:p>
    <w:p w14:paraId="54B38F1A">
      <w:pPr>
        <w:pStyle w:val="32"/>
        <w:ind w:firstLine="640"/>
        <w:rPr>
          <w:color w:val="auto"/>
          <w:sz w:val="24"/>
          <w:szCs w:val="24"/>
          <w:highlight w:val="none"/>
          <w:lang w:eastAsia="zh-CN"/>
        </w:rPr>
      </w:pPr>
      <w:bookmarkStart w:id="156" w:name="_Toc170374977"/>
      <w:bookmarkStart w:id="157" w:name="_Toc28054"/>
      <w:bookmarkStart w:id="158" w:name="_Toc1679"/>
      <w:r>
        <w:rPr>
          <w:rFonts w:hint="eastAsia"/>
          <w:color w:val="auto"/>
          <w:sz w:val="24"/>
          <w:szCs w:val="24"/>
          <w:highlight w:val="none"/>
          <w:lang w:eastAsia="zh-CN"/>
        </w:rPr>
        <w:t>合同款项按以下方式支付：</w:t>
      </w:r>
    </w:p>
    <w:p w14:paraId="132725E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1.合同签订后，</w:t>
      </w:r>
      <w:bookmarkStart w:id="159" w:name="OLE_LINK4"/>
      <w:r>
        <w:rPr>
          <w:rFonts w:hint="eastAsia" w:ascii="宋体" w:hAnsi="宋体" w:eastAsia="宋体" w:cs="宋体"/>
          <w:color w:val="auto"/>
          <w:sz w:val="24"/>
          <w:szCs w:val="24"/>
          <w:highlight w:val="none"/>
          <w:lang w:eastAsia="zh-CN"/>
        </w:rPr>
        <w:t>中标人</w:t>
      </w:r>
      <w:bookmarkEnd w:id="159"/>
      <w:r>
        <w:rPr>
          <w:rFonts w:hint="eastAsia" w:ascii="宋体" w:hAnsi="宋体" w:eastAsia="宋体" w:cs="宋体"/>
          <w:color w:val="auto"/>
          <w:sz w:val="24"/>
          <w:szCs w:val="24"/>
          <w:highlight w:val="none"/>
          <w:lang w:eastAsia="zh-CN"/>
        </w:rPr>
        <w:t>向采购人提交发票等相关资料，采购人在5个工作日内向中标人支付合同总额的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0%价款。</w:t>
      </w:r>
    </w:p>
    <w:p w14:paraId="31818A0A">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2.系统通过初验并取得初验报告后，中标人向采购人提交发票等相关资料，采购人在5个工作日内向中标人支付合同总额的</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0%价款；</w:t>
      </w:r>
    </w:p>
    <w:p w14:paraId="2FF173CD">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3.系统通过终验并取得验收报告后</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中标人向采购人提交发票等相关资料，采购人在5个工作日内向中标人支付合同总额的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0%价款。</w:t>
      </w:r>
    </w:p>
    <w:p w14:paraId="674F125D">
      <w:pPr>
        <w:pStyle w:val="32"/>
        <w:ind w:firstLine="6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4.履约保证金：</w:t>
      </w:r>
    </w:p>
    <w:p w14:paraId="5B1129F8">
      <w:pPr>
        <w:pStyle w:val="32"/>
        <w:ind w:firstLine="6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履约保证金的形式:银行转账或以支票、汇票、本票或者金融机构、担保机构出具的保函等非现金形式提交；</w:t>
      </w:r>
    </w:p>
    <w:p w14:paraId="0CE71924">
      <w:pPr>
        <w:pStyle w:val="32"/>
        <w:ind w:firstLine="6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提交时限:合同签订后10个工作日内，中标人须向采购人提供合同金额5%的履约保证金保函；</w:t>
      </w:r>
    </w:p>
    <w:p w14:paraId="28FE3655">
      <w:pPr>
        <w:pStyle w:val="32"/>
        <w:ind w:firstLine="640"/>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担保限额:</w:t>
      </w:r>
      <w:r>
        <w:rPr>
          <w:rFonts w:hint="eastAsia" w:ascii="宋体" w:hAnsi="宋体" w:eastAsia="宋体" w:cs="宋体"/>
          <w:color w:val="auto"/>
          <w:sz w:val="24"/>
          <w:szCs w:val="24"/>
          <w:highlight w:val="none"/>
          <w:lang w:val="en-US" w:eastAsia="zh-CN"/>
        </w:rPr>
        <w:t>合同金额的5%；</w:t>
      </w:r>
    </w:p>
    <w:p w14:paraId="55F79D7C">
      <w:pPr>
        <w:pStyle w:val="32"/>
        <w:ind w:firstLine="64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履约保证金的退还</w:t>
      </w:r>
      <w:r>
        <w:rPr>
          <w:rFonts w:hint="eastAsia" w:ascii="宋体" w:hAnsi="宋体" w:eastAsia="宋体" w:cs="宋体"/>
          <w:color w:val="auto"/>
          <w:sz w:val="24"/>
          <w:szCs w:val="24"/>
          <w:highlight w:val="none"/>
          <w:lang w:val="en-US" w:eastAsia="zh-CN"/>
        </w:rPr>
        <w:t>：项目终验收合格并正式交付后(以验收报告签署日为准)3个工作日内，甲方向乙方退还履约保函(无息)。</w:t>
      </w:r>
    </w:p>
    <w:p w14:paraId="589B1DDC">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0" w:name="_Toc28523"/>
      <w:bookmarkStart w:id="161" w:name="_Toc538"/>
      <w:r>
        <w:rPr>
          <w:rFonts w:hint="eastAsia" w:ascii="宋体" w:hAnsi="宋体" w:eastAsia="宋体" w:cs="宋体"/>
          <w:b/>
          <w:bCs w:val="0"/>
          <w:snapToGrid/>
          <w:color w:val="auto"/>
          <w:spacing w:val="0"/>
          <w:kern w:val="2"/>
          <w:sz w:val="24"/>
          <w:szCs w:val="24"/>
          <w:highlight w:val="none"/>
          <w:lang w:val="en-US" w:eastAsia="zh-CN" w:bidi="ar-SA"/>
          <w14:ligatures w14:val="none"/>
        </w:rPr>
        <w:t>六、保密要求</w:t>
      </w:r>
      <w:bookmarkEnd w:id="160"/>
      <w:bookmarkEnd w:id="161"/>
    </w:p>
    <w:p w14:paraId="17D2BB68">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自合同签订之日起，中标人有责任对采购人提供的各种技术文件（软件、咨询报告、服务内容）与工作业务信息进行保密，未经采购人书面批准不得提供给第三方。如有违反，中标人应承担相应的法律责任。</w:t>
      </w:r>
    </w:p>
    <w:p w14:paraId="616F1C8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签订合同时，中标人必须与采购人签订《安全保密协议》，此保密协议所规定的保密义务不因合同的终止而免除。中标人或其员工如违反《安全保密协议》，造成采购人信息泄露，中标人必须承担全部责任并赔偿采购人的一切损失，采购人有权追究中标人的法律责任并终止合同。</w:t>
      </w:r>
    </w:p>
    <w:p w14:paraId="404007F4">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在建设过程中，中标人应组织所有项目组成员进行安全和保密培训，增强所有参与项目的人员安全和保密意识。将建立规章制度，并与所有参与者签订应用开发保密协议。如有违反纪律泄密者将严惩，将解雇泄密者并要求其承担相应经济损失，严重违法者将扭送公安部门承担刑事责任。</w:t>
      </w:r>
    </w:p>
    <w:p w14:paraId="6197DE71">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（四）中标人在项目建设过程中获知的采购人或为采购人提供服务的第三方的知识产权、技术文件、业务信息等，都受本条款的保护。</w:t>
      </w:r>
    </w:p>
    <w:p w14:paraId="660F2B2C">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中标人应按《安全保密协议》的要求，加强成果保密工作，应设置专人在项目建设期间对文档进行检查和管理，形成规范的文档体系，承担因资料等泄密造成的一切责任，项目最终验收后所有资料全部移交给采购人。</w:t>
      </w:r>
    </w:p>
    <w:p w14:paraId="2BC37FD1">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（六）保密内容包括但不限于采购人向中标人通过口头、书面、电子或其他方式提供的关于技术和系统及其他方面的一切数据、报告、信息、预测和记录。</w:t>
      </w:r>
    </w:p>
    <w:p w14:paraId="5E6218D1">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2" w:name="_Toc2387"/>
      <w:bookmarkStart w:id="163" w:name="_Toc27494"/>
      <w:r>
        <w:rPr>
          <w:rFonts w:hint="eastAsia" w:ascii="宋体" w:hAnsi="宋体" w:eastAsia="宋体" w:cs="宋体"/>
          <w:b/>
          <w:bCs w:val="0"/>
          <w:snapToGrid/>
          <w:color w:val="auto"/>
          <w:spacing w:val="0"/>
          <w:kern w:val="2"/>
          <w:sz w:val="24"/>
          <w:szCs w:val="24"/>
          <w:highlight w:val="none"/>
          <w:lang w:val="en-US" w:eastAsia="zh-CN" w:bidi="ar-SA"/>
          <w14:ligatures w14:val="none"/>
        </w:rPr>
        <w:t>七、知识产权</w:t>
      </w:r>
      <w:bookmarkEnd w:id="162"/>
      <w:bookmarkEnd w:id="163"/>
    </w:p>
    <w:p w14:paraId="1BD9627C">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（一）本招标项目所涉及的定制开发软件和实施路径、建设方式、工作模式等知识产权归采购人所有。</w:t>
      </w:r>
    </w:p>
    <w:p w14:paraId="56EEC473">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（二）本招标项目所涉及商业现货类产品（成品软件），成品软件的源代码和知识产权按采购人的相关要求执行，采购人拥有该类产品及其迭代升级产品的永久使用权。</w:t>
      </w:r>
    </w:p>
    <w:p w14:paraId="55815199">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（三）采购人在中华人民共和国境内使用中标人提供的货物及服务时免受第三方提出的侵犯其专利权或其它知识产权的起诉。如果第三方提出侵权指控，中标人应承担由此而引起的一切法律责任和费用。</w:t>
      </w:r>
    </w:p>
    <w:p w14:paraId="07AC2A1B">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4" w:name="_Toc28118"/>
      <w:bookmarkStart w:id="165" w:name="_Toc6285"/>
      <w:r>
        <w:rPr>
          <w:rFonts w:hint="eastAsia" w:ascii="宋体" w:hAnsi="宋体" w:eastAsia="宋体" w:cs="宋体"/>
          <w:b/>
          <w:bCs w:val="0"/>
          <w:snapToGrid/>
          <w:color w:val="auto"/>
          <w:spacing w:val="0"/>
          <w:kern w:val="2"/>
          <w:sz w:val="24"/>
          <w:szCs w:val="24"/>
          <w:highlight w:val="none"/>
          <w:lang w:val="en-US" w:eastAsia="zh-CN" w:bidi="ar-SA"/>
          <w14:ligatures w14:val="none"/>
        </w:rPr>
        <w:t>八、项目团队要求</w:t>
      </w:r>
      <w:bookmarkEnd w:id="164"/>
      <w:bookmarkEnd w:id="165"/>
    </w:p>
    <w:p w14:paraId="179626BD">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中标人应建立项目专项团队，核心开发人员(至少包含项目经理、架构师、前端负责人)需具备远程协作能力，关键阶段(需求调研、系统联调、验收测试)应按采购人要求到场支持，到场时间累计不少于30个工作日，具体到场计划在合同签订后5个工作日内提交采购人确认。</w:t>
      </w:r>
    </w:p>
    <w:p w14:paraId="3EA459FB">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6" w:name="_Toc22461"/>
      <w:bookmarkStart w:id="167" w:name="_Toc19913"/>
      <w:r>
        <w:rPr>
          <w:rFonts w:hint="eastAsia" w:ascii="宋体" w:hAnsi="宋体" w:eastAsia="宋体" w:cs="宋体"/>
          <w:b/>
          <w:bCs w:val="0"/>
          <w:snapToGrid/>
          <w:color w:val="auto"/>
          <w:spacing w:val="0"/>
          <w:kern w:val="2"/>
          <w:sz w:val="24"/>
          <w:szCs w:val="24"/>
          <w:highlight w:val="none"/>
          <w:lang w:val="en-US" w:eastAsia="zh-CN" w:bidi="ar-SA"/>
          <w14:ligatures w14:val="none"/>
        </w:rPr>
        <w:t>九、其他商务要求</w:t>
      </w:r>
      <w:bookmarkEnd w:id="166"/>
      <w:bookmarkEnd w:id="167"/>
    </w:p>
    <w:p w14:paraId="40CD76E0">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8" w:name="_Toc3609"/>
      <w:r>
        <w:rPr>
          <w:rFonts w:hint="eastAsia" w:ascii="宋体" w:hAnsi="宋体" w:eastAsia="宋体" w:cs="宋体"/>
          <w:b/>
          <w:bCs w:val="0"/>
          <w:snapToGrid/>
          <w:color w:val="auto"/>
          <w:spacing w:val="0"/>
          <w:kern w:val="2"/>
          <w:sz w:val="24"/>
          <w:szCs w:val="24"/>
          <w:highlight w:val="none"/>
          <w:lang w:val="en-US" w:eastAsia="zh-CN" w:bidi="ar-SA"/>
          <w14:ligatures w14:val="none"/>
        </w:rPr>
        <w:t>（一）管理要求</w:t>
      </w:r>
      <w:bookmarkEnd w:id="168"/>
    </w:p>
    <w:p w14:paraId="7234128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1.中标人应接受采购人委派的监理机构、审计机构的监督，提供包括技术架构、数据接口等项目资料信息并配合系统对接、联调等相关工作，不得以任何理由拒绝。</w:t>
      </w:r>
    </w:p>
    <w:p w14:paraId="6D088CBB">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2.中标人应依法依规安全建设、安全施工，对项目实施过程中所有安全生产、施工人员人身安全等事项负责。</w:t>
      </w:r>
    </w:p>
    <w:p w14:paraId="5A645082">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3.中标人在项目建设和运维期应严格落实重庆市政务数字化应用相关管理要求，按照《重庆市政务数字化应用开发操作指南（2024年版）》（如有最新要求按最新要求执行）配合采购人完成必要的相关工作。</w:t>
      </w:r>
    </w:p>
    <w:p w14:paraId="009B69DF">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69" w:name="_Toc15072"/>
      <w:r>
        <w:rPr>
          <w:rFonts w:hint="eastAsia" w:ascii="宋体" w:hAnsi="宋体" w:eastAsia="宋体" w:cs="宋体"/>
          <w:b/>
          <w:bCs w:val="0"/>
          <w:snapToGrid/>
          <w:color w:val="auto"/>
          <w:spacing w:val="0"/>
          <w:kern w:val="2"/>
          <w:sz w:val="24"/>
          <w:szCs w:val="24"/>
          <w:highlight w:val="none"/>
          <w:lang w:val="en-US" w:eastAsia="zh-CN" w:bidi="ar-SA"/>
          <w14:ligatures w14:val="none"/>
        </w:rPr>
        <w:t>（二）信息安全要求</w:t>
      </w:r>
      <w:bookmarkEnd w:id="169"/>
    </w:p>
    <w:p w14:paraId="2A792A16">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1.中标人须遵守国家网络安全、数据安全相关的法律法规和采购人的各项规章制度，规范组织建设工作，还应积极配合采购人完成信息安全主管部门对本项目信息安全所涉及的监督检查。</w:t>
      </w:r>
    </w:p>
    <w:p w14:paraId="1CE5B7AA">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2.未经采购人的事先许可，中标人不得在用于提供服务的软硬件中插入（植入）任何会禁用、关闭服务或影响其正常运行的代码。</w:t>
      </w:r>
    </w:p>
    <w:p w14:paraId="19E1625E">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3.中标人应严格落实网络安全保障措施，做好网络安全防护，确保建设期间软硬件设备、网络等的网络安全和数据安全。</w:t>
      </w:r>
    </w:p>
    <w:p w14:paraId="596C57B6">
      <w:pPr>
        <w:pStyle w:val="32"/>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中标人应根据采购人需要，全面配合采购人开展所采购产品的网络安全审查工作。若中标人所提供的产品不能通过网络安全审查，采购人有权要求中标人立即更换能满足采购需求的同类产品，直至产品符合网络安全审查要求。中标人拒绝更换或经2次更换后仍不满足要求的，采购人有权终止合同并要求中标人按违约责任赔偿。</w:t>
      </w:r>
    </w:p>
    <w:p w14:paraId="2C76E583">
      <w:pPr>
        <w:pStyle w:val="34"/>
        <w:ind w:left="0" w:leftChars="0" w:firstLine="482" w:firstLineChars="200"/>
        <w:rPr>
          <w:rFonts w:hint="eastAsia" w:ascii="宋体" w:hAnsi="宋体" w:eastAsia="宋体" w:cs="宋体"/>
          <w:b/>
          <w:bCs w:val="0"/>
          <w:snapToGrid/>
          <w:color w:val="auto"/>
          <w:spacing w:val="0"/>
          <w:kern w:val="2"/>
          <w:sz w:val="24"/>
          <w:szCs w:val="24"/>
          <w:highlight w:val="none"/>
          <w:lang w:val="en-US" w:eastAsia="zh-CN" w:bidi="ar-SA"/>
          <w14:ligatures w14:val="none"/>
        </w:rPr>
      </w:pPr>
      <w:bookmarkStart w:id="170" w:name="_Toc22249"/>
      <w:r>
        <w:rPr>
          <w:rFonts w:hint="eastAsia" w:ascii="宋体" w:hAnsi="宋体" w:eastAsia="宋体" w:cs="宋体"/>
          <w:b/>
          <w:bCs w:val="0"/>
          <w:snapToGrid/>
          <w:color w:val="auto"/>
          <w:spacing w:val="0"/>
          <w:kern w:val="2"/>
          <w:sz w:val="24"/>
          <w:szCs w:val="24"/>
          <w:highlight w:val="none"/>
          <w:lang w:val="en-US" w:eastAsia="zh-CN" w:bidi="ar-SA"/>
          <w14:ligatures w14:val="none"/>
        </w:rPr>
        <w:t>十、其他</w:t>
      </w:r>
      <w:bookmarkEnd w:id="170"/>
    </w:p>
    <w:p w14:paraId="5803B715">
      <w:pPr>
        <w:pStyle w:val="32"/>
        <w:ind w:firstLine="640"/>
        <w:rPr>
          <w:highlight w:val="none"/>
          <w:lang w:eastAsia="zh-CN"/>
        </w:rPr>
      </w:pPr>
      <w:r>
        <w:rPr>
          <w:rFonts w:hint="eastAsia" w:ascii="宋体" w:hAnsi="宋体" w:eastAsia="宋体" w:cs="宋体"/>
          <w:color w:val="auto"/>
          <w:sz w:val="24"/>
          <w:szCs w:val="24"/>
          <w:highlight w:val="none"/>
          <w:lang w:eastAsia="zh-CN"/>
        </w:rPr>
        <w:t>其他未尽事宜由供需双方在采购合同中详细约定。</w:t>
      </w:r>
      <w:r>
        <w:rPr>
          <w:highlight w:val="none"/>
          <w:lang w:eastAsia="zh-CN"/>
        </w:rPr>
        <w:br w:type="page"/>
      </w:r>
    </w:p>
    <w:bookmarkEnd w:id="93"/>
    <w:bookmarkEnd w:id="94"/>
    <w:bookmarkEnd w:id="9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56"/>
    <w:bookmarkEnd w:id="157"/>
    <w:bookmarkEnd w:id="158"/>
    <w:p w14:paraId="20503D8F">
      <w:pPr>
        <w:pStyle w:val="2"/>
        <w:rPr>
          <w:highlight w:val="none"/>
          <w:lang w:eastAsia="zh-CN"/>
        </w:rPr>
      </w:pPr>
      <w:bookmarkStart w:id="171" w:name="_Toc30105"/>
      <w:bookmarkStart w:id="172" w:name="_Toc18482"/>
      <w:bookmarkStart w:id="173" w:name="_Toc9702"/>
      <w:r>
        <w:rPr>
          <w:rFonts w:hint="eastAsia"/>
          <w:highlight w:val="none"/>
          <w:lang w:eastAsia="zh-CN"/>
        </w:rPr>
        <w:t>第四篇  资格审查及评标办法</w:t>
      </w:r>
      <w:bookmarkEnd w:id="171"/>
      <w:bookmarkEnd w:id="172"/>
      <w:bookmarkEnd w:id="173"/>
    </w:p>
    <w:p w14:paraId="5078AC3B">
      <w:pPr>
        <w:pStyle w:val="3"/>
        <w:ind w:firstLine="640"/>
        <w:rPr>
          <w:highlight w:val="none"/>
          <w:lang w:eastAsia="zh-CN"/>
        </w:rPr>
      </w:pPr>
      <w:bookmarkStart w:id="174" w:name="_Toc492721015"/>
      <w:bookmarkStart w:id="175" w:name="_Toc30185"/>
      <w:bookmarkStart w:id="176" w:name="_Toc31365"/>
      <w:bookmarkStart w:id="177" w:name="_Toc28945"/>
      <w:r>
        <w:rPr>
          <w:rFonts w:hint="eastAsia"/>
          <w:highlight w:val="none"/>
          <w:lang w:eastAsia="zh-CN"/>
        </w:rPr>
        <w:t>一、资格审查</w:t>
      </w:r>
      <w:bookmarkEnd w:id="174"/>
      <w:bookmarkEnd w:id="175"/>
      <w:bookmarkEnd w:id="176"/>
      <w:bookmarkEnd w:id="177"/>
    </w:p>
    <w:p w14:paraId="4B8475EC">
      <w:pPr>
        <w:ind w:firstLine="643"/>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若未通过资格审查及符合性审查的投标文件，不进入评审环节。</w:t>
      </w:r>
    </w:p>
    <w:p w14:paraId="5E3D2A7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（一）资格审查</w:t>
      </w:r>
    </w:p>
    <w:p w14:paraId="627E356E">
      <w:pPr>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依据政府采购相关法律法规规定，由采购人或采购代理机构对投标文件中的资格证明文件进行审查。</w:t>
      </w:r>
      <w:r>
        <w:rPr>
          <w:rFonts w:hint="eastAsia" w:ascii="宋体" w:hAnsi="宋体" w:eastAsia="宋体" w:cs="宋体"/>
          <w:sz w:val="24"/>
          <w:szCs w:val="24"/>
          <w:highlight w:val="none"/>
        </w:rPr>
        <w:t>资格审查资料表如下：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8"/>
        <w:gridCol w:w="3559"/>
        <w:gridCol w:w="4677"/>
      </w:tblGrid>
      <w:tr w14:paraId="192F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Align w:val="center"/>
          </w:tcPr>
          <w:p w14:paraId="66403283">
            <w:pPr>
              <w:kinsoku/>
              <w:spacing w:line="360" w:lineRule="exact"/>
              <w:ind w:firstLine="0" w:firstLineChars="0"/>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序号</w:t>
            </w:r>
          </w:p>
        </w:tc>
        <w:tc>
          <w:tcPr>
            <w:tcW w:w="4267" w:type="dxa"/>
            <w:gridSpan w:val="2"/>
            <w:vAlign w:val="center"/>
          </w:tcPr>
          <w:p w14:paraId="18288351">
            <w:pPr>
              <w:kinsoku/>
              <w:spacing w:line="360" w:lineRule="exact"/>
              <w:ind w:firstLine="0" w:firstLineChars="0"/>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检查因素</w:t>
            </w:r>
          </w:p>
        </w:tc>
        <w:tc>
          <w:tcPr>
            <w:tcW w:w="4677" w:type="dxa"/>
            <w:vAlign w:val="center"/>
          </w:tcPr>
          <w:p w14:paraId="39B5468B">
            <w:pPr>
              <w:kinsoku/>
              <w:spacing w:line="360" w:lineRule="exact"/>
              <w:ind w:firstLine="0" w:firstLineChars="0"/>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检查内容</w:t>
            </w:r>
          </w:p>
        </w:tc>
      </w:tr>
      <w:tr w14:paraId="4F76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675" w:type="dxa"/>
            <w:vMerge w:val="restart"/>
            <w:vAlign w:val="center"/>
          </w:tcPr>
          <w:p w14:paraId="72F37506">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p>
        </w:tc>
        <w:tc>
          <w:tcPr>
            <w:tcW w:w="708" w:type="dxa"/>
            <w:vMerge w:val="restart"/>
            <w:vAlign w:val="center"/>
          </w:tcPr>
          <w:p w14:paraId="10D6BBAF">
            <w:pPr>
              <w:kinsoku/>
              <w:spacing w:line="360" w:lineRule="exact"/>
              <w:ind w:firstLine="0" w:firstLineChars="0"/>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投标人应符合的基本资格条件</w:t>
            </w:r>
          </w:p>
        </w:tc>
        <w:tc>
          <w:tcPr>
            <w:tcW w:w="3559" w:type="dxa"/>
            <w:vAlign w:val="center"/>
          </w:tcPr>
          <w:p w14:paraId="69954BA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1.具有独立承担民事责任的能力</w:t>
            </w:r>
          </w:p>
        </w:tc>
        <w:tc>
          <w:tcPr>
            <w:tcW w:w="4677" w:type="dxa"/>
            <w:vAlign w:val="center"/>
          </w:tcPr>
          <w:p w14:paraId="02A9353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1.投标人法人营业执照（副本）或事业单位法人证书（副本）或个体工商户营业执照或有效的自然人身份证明或社会团体法人登记证书（提供复印件）。 </w:t>
            </w:r>
          </w:p>
          <w:p w14:paraId="58992DAC">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2.投标人法定代表人身份证明和法定代表人授权代表委托书。</w:t>
            </w:r>
          </w:p>
        </w:tc>
      </w:tr>
      <w:tr w14:paraId="36F5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Merge w:val="continue"/>
            <w:vAlign w:val="center"/>
          </w:tcPr>
          <w:p w14:paraId="245C7FD1">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32271A29">
            <w:pPr>
              <w:kinsoku/>
              <w:spacing w:line="360" w:lineRule="exact"/>
              <w:ind w:firstLine="0" w:firstLineChars="0"/>
              <w:rPr>
                <w:rFonts w:hint="eastAsia" w:ascii="宋体" w:hAnsi="宋体" w:eastAsia="宋体" w:cs="宋体"/>
                <w:sz w:val="24"/>
                <w:szCs w:val="24"/>
                <w:highlight w:val="none"/>
                <w:lang w:val="zh-CN" w:eastAsia="zh-CN"/>
              </w:rPr>
            </w:pPr>
          </w:p>
        </w:tc>
        <w:tc>
          <w:tcPr>
            <w:tcW w:w="3559" w:type="dxa"/>
            <w:vAlign w:val="center"/>
          </w:tcPr>
          <w:p w14:paraId="73AEE4BE">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2.</w:t>
            </w:r>
            <w:r>
              <w:rPr>
                <w:rFonts w:hint="eastAsia" w:ascii="宋体" w:hAnsi="宋体" w:eastAsia="宋体" w:cs="宋体"/>
                <w:sz w:val="24"/>
                <w:szCs w:val="24"/>
                <w:highlight w:val="none"/>
                <w:lang w:eastAsia="zh-CN"/>
              </w:rPr>
              <w:t>具有良好的商业信誉和健全的财务会计制度</w:t>
            </w:r>
          </w:p>
        </w:tc>
        <w:tc>
          <w:tcPr>
            <w:tcW w:w="4677" w:type="dxa"/>
            <w:vMerge w:val="restart"/>
            <w:vAlign w:val="center"/>
          </w:tcPr>
          <w:p w14:paraId="22D17BC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投标人提供“基本资格条件承诺函”（格式详见第七篇）</w:t>
            </w:r>
          </w:p>
        </w:tc>
      </w:tr>
      <w:tr w14:paraId="164F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Merge w:val="continue"/>
            <w:vAlign w:val="center"/>
          </w:tcPr>
          <w:p w14:paraId="0C351244">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44482389">
            <w:pPr>
              <w:kinsoku/>
              <w:spacing w:line="360" w:lineRule="exact"/>
              <w:ind w:firstLine="0" w:firstLineChars="0"/>
              <w:rPr>
                <w:rFonts w:hint="eastAsia" w:ascii="宋体" w:hAnsi="宋体" w:eastAsia="宋体" w:cs="宋体"/>
                <w:sz w:val="24"/>
                <w:szCs w:val="24"/>
                <w:highlight w:val="none"/>
                <w:lang w:val="zh-CN" w:eastAsia="zh-CN"/>
              </w:rPr>
            </w:pPr>
          </w:p>
        </w:tc>
        <w:tc>
          <w:tcPr>
            <w:tcW w:w="3559" w:type="dxa"/>
            <w:vAlign w:val="center"/>
          </w:tcPr>
          <w:p w14:paraId="76767F18">
            <w:pPr>
              <w:kinsoku/>
              <w:spacing w:line="360" w:lineRule="exact"/>
              <w:ind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3.具有履行合同所必需的设备和专业技术能力</w:t>
            </w:r>
          </w:p>
        </w:tc>
        <w:tc>
          <w:tcPr>
            <w:tcW w:w="4677" w:type="dxa"/>
            <w:vMerge w:val="continue"/>
            <w:vAlign w:val="center"/>
          </w:tcPr>
          <w:p w14:paraId="385E1D43">
            <w:pPr>
              <w:kinsoku/>
              <w:spacing w:line="360" w:lineRule="exact"/>
              <w:ind w:firstLine="0" w:firstLineChars="0"/>
              <w:rPr>
                <w:rFonts w:hint="eastAsia" w:ascii="宋体" w:hAnsi="宋体" w:eastAsia="宋体" w:cs="宋体"/>
                <w:sz w:val="24"/>
                <w:szCs w:val="24"/>
                <w:highlight w:val="none"/>
                <w:lang w:eastAsia="zh-CN"/>
              </w:rPr>
            </w:pPr>
          </w:p>
        </w:tc>
      </w:tr>
      <w:tr w14:paraId="1DE0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Merge w:val="continue"/>
            <w:vAlign w:val="center"/>
          </w:tcPr>
          <w:p w14:paraId="75473021">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0F180E94">
            <w:pPr>
              <w:kinsoku/>
              <w:spacing w:line="360" w:lineRule="exact"/>
              <w:ind w:firstLine="0" w:firstLineChars="0"/>
              <w:rPr>
                <w:rFonts w:hint="eastAsia" w:ascii="宋体" w:hAnsi="宋体" w:eastAsia="宋体" w:cs="宋体"/>
                <w:sz w:val="24"/>
                <w:szCs w:val="24"/>
                <w:highlight w:val="none"/>
                <w:lang w:val="zh-CN" w:eastAsia="zh-CN"/>
              </w:rPr>
            </w:pPr>
          </w:p>
        </w:tc>
        <w:tc>
          <w:tcPr>
            <w:tcW w:w="3559" w:type="dxa"/>
            <w:vAlign w:val="center"/>
          </w:tcPr>
          <w:p w14:paraId="08E8C9F3">
            <w:pPr>
              <w:kinsoku/>
              <w:spacing w:line="360" w:lineRule="exact"/>
              <w:ind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4.有依法缴纳税收和社会保障金的良好记录</w:t>
            </w:r>
          </w:p>
        </w:tc>
        <w:tc>
          <w:tcPr>
            <w:tcW w:w="4677" w:type="dxa"/>
            <w:vMerge w:val="continue"/>
            <w:vAlign w:val="center"/>
          </w:tcPr>
          <w:p w14:paraId="263E92EE">
            <w:pPr>
              <w:kinsoku/>
              <w:spacing w:line="360" w:lineRule="exact"/>
              <w:ind w:firstLine="0" w:firstLineChars="0"/>
              <w:rPr>
                <w:rFonts w:hint="eastAsia" w:ascii="宋体" w:hAnsi="宋体" w:eastAsia="宋体" w:cs="宋体"/>
                <w:sz w:val="24"/>
                <w:szCs w:val="24"/>
                <w:highlight w:val="none"/>
                <w:lang w:eastAsia="zh-CN"/>
              </w:rPr>
            </w:pPr>
          </w:p>
        </w:tc>
      </w:tr>
      <w:tr w14:paraId="6719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75" w:type="dxa"/>
            <w:vMerge w:val="continue"/>
            <w:vAlign w:val="center"/>
          </w:tcPr>
          <w:p w14:paraId="6D72FDC0">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0EB50AB9">
            <w:pPr>
              <w:kinsoku/>
              <w:spacing w:line="360" w:lineRule="exact"/>
              <w:ind w:firstLine="0" w:firstLineChars="0"/>
              <w:rPr>
                <w:rFonts w:hint="eastAsia" w:ascii="宋体" w:hAnsi="宋体" w:eastAsia="宋体" w:cs="宋体"/>
                <w:sz w:val="24"/>
                <w:szCs w:val="24"/>
                <w:highlight w:val="none"/>
                <w:lang w:val="zh-CN" w:eastAsia="zh-CN"/>
              </w:rPr>
            </w:pPr>
          </w:p>
        </w:tc>
        <w:tc>
          <w:tcPr>
            <w:tcW w:w="3559" w:type="dxa"/>
            <w:vAlign w:val="center"/>
          </w:tcPr>
          <w:p w14:paraId="7BA75FC8">
            <w:pPr>
              <w:kinsoku/>
              <w:spacing w:line="360" w:lineRule="exact"/>
              <w:ind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eastAsia="zh-CN"/>
              </w:rPr>
              <w:t>5.参加政府采购活动前三年内，在经营活动中没有重大违法记录（注①）</w:t>
            </w:r>
          </w:p>
        </w:tc>
        <w:tc>
          <w:tcPr>
            <w:tcW w:w="4677" w:type="dxa"/>
            <w:vMerge w:val="continue"/>
            <w:vAlign w:val="center"/>
          </w:tcPr>
          <w:p w14:paraId="41785EAB">
            <w:pPr>
              <w:kinsoku/>
              <w:spacing w:line="360" w:lineRule="exact"/>
              <w:ind w:firstLine="0" w:firstLineChars="0"/>
              <w:rPr>
                <w:rFonts w:hint="eastAsia" w:ascii="宋体" w:hAnsi="宋体" w:eastAsia="宋体" w:cs="宋体"/>
                <w:sz w:val="24"/>
                <w:szCs w:val="24"/>
                <w:highlight w:val="none"/>
                <w:lang w:eastAsia="zh-CN"/>
              </w:rPr>
            </w:pPr>
          </w:p>
        </w:tc>
      </w:tr>
      <w:tr w14:paraId="7B93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Merge w:val="continue"/>
            <w:vAlign w:val="center"/>
          </w:tcPr>
          <w:p w14:paraId="12D88013">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3D6A2077">
            <w:pPr>
              <w:kinsoku/>
              <w:spacing w:line="360" w:lineRule="exact"/>
              <w:ind w:firstLine="0" w:firstLineChars="0"/>
              <w:rPr>
                <w:rFonts w:hint="eastAsia" w:ascii="宋体" w:hAnsi="宋体" w:eastAsia="宋体" w:cs="宋体"/>
                <w:sz w:val="24"/>
                <w:szCs w:val="24"/>
                <w:highlight w:val="none"/>
                <w:lang w:eastAsia="zh-CN"/>
              </w:rPr>
            </w:pPr>
          </w:p>
        </w:tc>
        <w:tc>
          <w:tcPr>
            <w:tcW w:w="3559" w:type="dxa"/>
            <w:vAlign w:val="center"/>
          </w:tcPr>
          <w:p w14:paraId="13412A89">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6.法律、行政法规规定的其他条件</w:t>
            </w:r>
          </w:p>
        </w:tc>
        <w:tc>
          <w:tcPr>
            <w:tcW w:w="4677" w:type="dxa"/>
            <w:vAlign w:val="center"/>
          </w:tcPr>
          <w:p w14:paraId="73BDF9E2">
            <w:pPr>
              <w:kinsoku/>
              <w:spacing w:line="360" w:lineRule="exact"/>
              <w:ind w:firstLine="0" w:firstLineChars="0"/>
              <w:rPr>
                <w:rFonts w:hint="eastAsia" w:ascii="宋体" w:hAnsi="宋体" w:eastAsia="宋体" w:cs="宋体"/>
                <w:sz w:val="24"/>
                <w:szCs w:val="24"/>
                <w:highlight w:val="none"/>
                <w:lang w:eastAsia="zh-CN"/>
              </w:rPr>
            </w:pPr>
          </w:p>
        </w:tc>
      </w:tr>
      <w:tr w14:paraId="536C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75" w:type="dxa"/>
            <w:vMerge w:val="continue"/>
            <w:vAlign w:val="center"/>
          </w:tcPr>
          <w:p w14:paraId="059BBCED">
            <w:pPr>
              <w:kinsoku/>
              <w:spacing w:line="360" w:lineRule="exact"/>
              <w:ind w:firstLine="0" w:firstLineChars="0"/>
              <w:rPr>
                <w:rFonts w:hint="eastAsia" w:ascii="宋体" w:hAnsi="宋体" w:eastAsia="宋体" w:cs="宋体"/>
                <w:sz w:val="24"/>
                <w:szCs w:val="24"/>
                <w:highlight w:val="none"/>
                <w:lang w:eastAsia="zh-CN"/>
              </w:rPr>
            </w:pPr>
          </w:p>
        </w:tc>
        <w:tc>
          <w:tcPr>
            <w:tcW w:w="708" w:type="dxa"/>
            <w:vMerge w:val="continue"/>
            <w:vAlign w:val="center"/>
          </w:tcPr>
          <w:p w14:paraId="0B112E31">
            <w:pPr>
              <w:kinsoku/>
              <w:spacing w:line="360" w:lineRule="exact"/>
              <w:ind w:firstLine="0" w:firstLineChars="0"/>
              <w:rPr>
                <w:rFonts w:hint="eastAsia" w:ascii="宋体" w:hAnsi="宋体" w:eastAsia="宋体" w:cs="宋体"/>
                <w:sz w:val="24"/>
                <w:szCs w:val="24"/>
                <w:highlight w:val="none"/>
                <w:lang w:eastAsia="zh-CN"/>
              </w:rPr>
            </w:pPr>
          </w:p>
        </w:tc>
        <w:tc>
          <w:tcPr>
            <w:tcW w:w="3559" w:type="dxa"/>
            <w:vAlign w:val="center"/>
          </w:tcPr>
          <w:p w14:paraId="141BB592">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7.本项目的特定资格要求</w:t>
            </w:r>
          </w:p>
        </w:tc>
        <w:tc>
          <w:tcPr>
            <w:tcW w:w="4677" w:type="dxa"/>
            <w:vAlign w:val="center"/>
          </w:tcPr>
          <w:p w14:paraId="127F7954">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按第一篇“三、投标人资格要求（三）本项目的特定资格要求”的要求提交（如果有）。</w:t>
            </w:r>
          </w:p>
        </w:tc>
      </w:tr>
      <w:tr w14:paraId="6D81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75" w:type="dxa"/>
            <w:vAlign w:val="center"/>
          </w:tcPr>
          <w:p w14:paraId="58D0C38C">
            <w:pPr>
              <w:kinsoku/>
              <w:spacing w:line="36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w:t>
            </w:r>
          </w:p>
        </w:tc>
        <w:tc>
          <w:tcPr>
            <w:tcW w:w="4267" w:type="dxa"/>
            <w:gridSpan w:val="2"/>
            <w:vAlign w:val="center"/>
          </w:tcPr>
          <w:p w14:paraId="503894EA">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落实政府采购政策需满足的资格要求</w:t>
            </w:r>
          </w:p>
        </w:tc>
        <w:tc>
          <w:tcPr>
            <w:tcW w:w="4677" w:type="dxa"/>
            <w:vAlign w:val="center"/>
          </w:tcPr>
          <w:p w14:paraId="0C6CE265">
            <w:pPr>
              <w:kinsoku/>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按第一篇“三、投标人资格要求（二）落实政府采购政策需满足的资格要求”的要求提交。</w:t>
            </w:r>
          </w:p>
        </w:tc>
      </w:tr>
    </w:tbl>
    <w:p w14:paraId="322388A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p>
    <w:p w14:paraId="3A588B6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①根据《中华人民共和国政府采购法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按照《财政部关于&lt;中华人民共和国政府采购法实施条例&gt;第十九条第一款“较大数额罚款”具体适用问题的意见》（财库〔2022〕3号）执行。投标人可于投标截止日期前通过 “信用中国”网站(www.creditchina.gov.cn)、"中国政府采购网"(www.ccgp.gov.cn)等渠道查询信用记录。</w:t>
      </w:r>
    </w:p>
    <w:p w14:paraId="2537FBE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（二）符合性审查</w:t>
      </w:r>
    </w:p>
    <w:p w14:paraId="09AE1C6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评标委员会应当对符合资格的投标人的投标文件进行符合性审查，以确定其是否满足招标文件的实质性要求。符合性审查资料表如下：</w:t>
      </w:r>
    </w:p>
    <w:tbl>
      <w:tblPr>
        <w:tblStyle w:val="1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62"/>
        <w:gridCol w:w="1657"/>
        <w:gridCol w:w="5836"/>
      </w:tblGrid>
      <w:tr w14:paraId="52F8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C0B946C">
            <w:pPr>
              <w:spacing w:line="360" w:lineRule="exact"/>
              <w:ind w:firstLine="0" w:firstLineChars="0"/>
              <w:jc w:val="center"/>
              <w:rPr>
                <w:rFonts w:hint="eastAsia" w:ascii="宋体" w:hAnsi="宋体" w:eastAsia="宋体" w:cs="宋体"/>
                <w:b/>
                <w:bCs/>
                <w:sz w:val="22"/>
                <w:szCs w:val="22"/>
                <w:highlight w:val="none"/>
              </w:rPr>
            </w:pPr>
            <w:r>
              <w:rPr>
                <w:rFonts w:hint="eastAsia" w:ascii="宋体" w:hAnsi="宋体" w:eastAsia="宋体" w:cs="宋体"/>
                <w:b/>
                <w:bCs/>
                <w:sz w:val="22"/>
                <w:szCs w:val="22"/>
                <w:highlight w:val="none"/>
              </w:rPr>
              <w:t>序号</w:t>
            </w:r>
          </w:p>
        </w:tc>
        <w:tc>
          <w:tcPr>
            <w:tcW w:w="3119" w:type="dxa"/>
            <w:gridSpan w:val="2"/>
            <w:vAlign w:val="center"/>
          </w:tcPr>
          <w:p w14:paraId="658462DA">
            <w:pPr>
              <w:spacing w:line="360" w:lineRule="exact"/>
              <w:ind w:firstLine="0" w:firstLineChars="0"/>
              <w:jc w:val="center"/>
              <w:rPr>
                <w:rFonts w:hint="eastAsia" w:ascii="宋体" w:hAnsi="宋体" w:eastAsia="宋体" w:cs="宋体"/>
                <w:b/>
                <w:bCs/>
                <w:sz w:val="22"/>
                <w:szCs w:val="22"/>
                <w:highlight w:val="none"/>
              </w:rPr>
            </w:pPr>
            <w:r>
              <w:rPr>
                <w:rFonts w:hint="eastAsia" w:ascii="宋体" w:hAnsi="宋体" w:eastAsia="宋体" w:cs="宋体"/>
                <w:b/>
                <w:bCs/>
                <w:sz w:val="22"/>
                <w:szCs w:val="22"/>
                <w:highlight w:val="none"/>
              </w:rPr>
              <w:t>评审因素</w:t>
            </w:r>
          </w:p>
        </w:tc>
        <w:tc>
          <w:tcPr>
            <w:tcW w:w="5836" w:type="dxa"/>
            <w:vAlign w:val="center"/>
          </w:tcPr>
          <w:p w14:paraId="66E96DC3">
            <w:pPr>
              <w:spacing w:line="360" w:lineRule="exact"/>
              <w:ind w:firstLine="0" w:firstLineChars="0"/>
              <w:jc w:val="center"/>
              <w:rPr>
                <w:rFonts w:hint="eastAsia" w:ascii="宋体" w:hAnsi="宋体" w:eastAsia="宋体" w:cs="宋体"/>
                <w:b/>
                <w:bCs/>
                <w:sz w:val="22"/>
                <w:szCs w:val="22"/>
                <w:highlight w:val="none"/>
              </w:rPr>
            </w:pPr>
            <w:r>
              <w:rPr>
                <w:rFonts w:hint="eastAsia" w:ascii="宋体" w:hAnsi="宋体" w:eastAsia="宋体" w:cs="宋体"/>
                <w:b/>
                <w:bCs/>
                <w:sz w:val="22"/>
                <w:szCs w:val="22"/>
                <w:highlight w:val="none"/>
              </w:rPr>
              <w:t>评审标准</w:t>
            </w:r>
          </w:p>
        </w:tc>
      </w:tr>
      <w:tr w14:paraId="6BFE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5" w:type="dxa"/>
            <w:vMerge w:val="restart"/>
            <w:vAlign w:val="center"/>
          </w:tcPr>
          <w:p w14:paraId="733E85CE">
            <w:pPr>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2" w:type="dxa"/>
            <w:vMerge w:val="restart"/>
            <w:vAlign w:val="center"/>
          </w:tcPr>
          <w:p w14:paraId="3075B415">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有效性审查</w:t>
            </w:r>
          </w:p>
        </w:tc>
        <w:tc>
          <w:tcPr>
            <w:tcW w:w="1657" w:type="dxa"/>
            <w:vAlign w:val="center"/>
          </w:tcPr>
          <w:p w14:paraId="41F40BA5">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投标文件签署或盖章</w:t>
            </w:r>
          </w:p>
        </w:tc>
        <w:tc>
          <w:tcPr>
            <w:tcW w:w="5836" w:type="dxa"/>
            <w:vAlign w:val="center"/>
          </w:tcPr>
          <w:p w14:paraId="2118FFB8">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投标文件上法定代表人（或其授权代表）或自然人（投标人为自然人）的签署或盖章齐全。</w:t>
            </w:r>
          </w:p>
        </w:tc>
      </w:tr>
      <w:tr w14:paraId="1904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43BF6D69">
            <w:pPr>
              <w:spacing w:line="360" w:lineRule="exact"/>
              <w:ind w:firstLine="0" w:firstLineChars="0"/>
              <w:jc w:val="center"/>
              <w:rPr>
                <w:rFonts w:hint="eastAsia" w:ascii="宋体" w:hAnsi="宋体" w:eastAsia="宋体" w:cs="宋体"/>
                <w:sz w:val="24"/>
                <w:szCs w:val="24"/>
                <w:highlight w:val="none"/>
                <w:lang w:eastAsia="zh-CN"/>
              </w:rPr>
            </w:pPr>
          </w:p>
        </w:tc>
        <w:tc>
          <w:tcPr>
            <w:tcW w:w="1462" w:type="dxa"/>
            <w:vMerge w:val="continue"/>
            <w:vAlign w:val="center"/>
          </w:tcPr>
          <w:p w14:paraId="08D0747D">
            <w:pPr>
              <w:spacing w:line="360" w:lineRule="exact"/>
              <w:ind w:firstLine="0" w:firstLineChars="0"/>
              <w:rPr>
                <w:rFonts w:hint="eastAsia" w:ascii="宋体" w:hAnsi="宋体" w:eastAsia="宋体" w:cs="宋体"/>
                <w:sz w:val="24"/>
                <w:szCs w:val="24"/>
                <w:highlight w:val="none"/>
                <w:lang w:eastAsia="zh-CN"/>
              </w:rPr>
            </w:pPr>
          </w:p>
        </w:tc>
        <w:tc>
          <w:tcPr>
            <w:tcW w:w="1657" w:type="dxa"/>
            <w:vAlign w:val="center"/>
          </w:tcPr>
          <w:p w14:paraId="486FE7B2">
            <w:pPr>
              <w:spacing w:line="360" w:lineRule="exact"/>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投标方案</w:t>
            </w:r>
          </w:p>
        </w:tc>
        <w:tc>
          <w:tcPr>
            <w:tcW w:w="5836" w:type="dxa"/>
            <w:vAlign w:val="center"/>
          </w:tcPr>
          <w:p w14:paraId="08DAA6CA">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只能有一个方案投标。</w:t>
            </w:r>
          </w:p>
        </w:tc>
      </w:tr>
      <w:tr w14:paraId="592B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08F033CC">
            <w:pPr>
              <w:spacing w:line="360" w:lineRule="exact"/>
              <w:ind w:firstLine="0" w:firstLineChars="0"/>
              <w:jc w:val="center"/>
              <w:rPr>
                <w:rFonts w:hint="eastAsia" w:ascii="宋体" w:hAnsi="宋体" w:eastAsia="宋体" w:cs="宋体"/>
                <w:sz w:val="24"/>
                <w:szCs w:val="24"/>
                <w:highlight w:val="none"/>
                <w:lang w:eastAsia="zh-CN"/>
              </w:rPr>
            </w:pPr>
          </w:p>
        </w:tc>
        <w:tc>
          <w:tcPr>
            <w:tcW w:w="1462" w:type="dxa"/>
            <w:vMerge w:val="continue"/>
            <w:vAlign w:val="center"/>
          </w:tcPr>
          <w:p w14:paraId="1D40582B">
            <w:pPr>
              <w:spacing w:line="360" w:lineRule="exact"/>
              <w:ind w:firstLine="0" w:firstLineChars="0"/>
              <w:rPr>
                <w:rFonts w:hint="eastAsia" w:ascii="宋体" w:hAnsi="宋体" w:eastAsia="宋体" w:cs="宋体"/>
                <w:sz w:val="24"/>
                <w:szCs w:val="24"/>
                <w:highlight w:val="none"/>
                <w:lang w:eastAsia="zh-CN"/>
              </w:rPr>
            </w:pPr>
          </w:p>
        </w:tc>
        <w:tc>
          <w:tcPr>
            <w:tcW w:w="1657" w:type="dxa"/>
            <w:vAlign w:val="center"/>
          </w:tcPr>
          <w:p w14:paraId="46DE1244">
            <w:pPr>
              <w:spacing w:line="360" w:lineRule="exact"/>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报价唯一</w:t>
            </w:r>
          </w:p>
        </w:tc>
        <w:tc>
          <w:tcPr>
            <w:tcW w:w="5836" w:type="dxa"/>
            <w:vAlign w:val="center"/>
          </w:tcPr>
          <w:p w14:paraId="1113D3CA">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只能在预算金额和最高限价内报价，</w:t>
            </w:r>
            <w:r>
              <w:rPr>
                <w:rFonts w:hint="eastAsia" w:ascii="宋体" w:hAnsi="宋体" w:eastAsia="宋体" w:cs="宋体"/>
                <w:sz w:val="24"/>
                <w:szCs w:val="24"/>
                <w:highlight w:val="none"/>
                <w:lang w:eastAsia="zh-CN"/>
              </w:rPr>
              <w:t>只能有一个有效报价，不得提交选择性报价。</w:t>
            </w:r>
          </w:p>
        </w:tc>
      </w:tr>
      <w:tr w14:paraId="4F7F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75" w:type="dxa"/>
            <w:vAlign w:val="center"/>
          </w:tcPr>
          <w:p w14:paraId="34224D50">
            <w:pPr>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462" w:type="dxa"/>
            <w:vAlign w:val="center"/>
          </w:tcPr>
          <w:p w14:paraId="7F14E1DA">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完整性审查</w:t>
            </w:r>
          </w:p>
        </w:tc>
        <w:tc>
          <w:tcPr>
            <w:tcW w:w="1657" w:type="dxa"/>
            <w:vAlign w:val="center"/>
          </w:tcPr>
          <w:p w14:paraId="649F3C5C">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投标文件份数</w:t>
            </w:r>
          </w:p>
        </w:tc>
        <w:tc>
          <w:tcPr>
            <w:tcW w:w="5836" w:type="dxa"/>
            <w:vAlign w:val="center"/>
          </w:tcPr>
          <w:p w14:paraId="6A2FB7CA">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电子投标文件</w:t>
            </w:r>
            <w:r>
              <w:rPr>
                <w:rFonts w:hint="eastAsia" w:ascii="宋体" w:hAnsi="宋体" w:eastAsia="宋体" w:cs="宋体"/>
                <w:sz w:val="24"/>
                <w:szCs w:val="24"/>
                <w:highlight w:val="none"/>
                <w:lang w:eastAsia="zh-CN"/>
              </w:rPr>
              <w:t>数量和须提交的相关原件</w:t>
            </w:r>
            <w:r>
              <w:rPr>
                <w:rFonts w:hint="eastAsia" w:ascii="宋体" w:hAnsi="宋体" w:eastAsia="宋体" w:cs="宋体"/>
                <w:sz w:val="24"/>
                <w:szCs w:val="24"/>
                <w:highlight w:val="none"/>
                <w:lang w:val="zh-CN" w:eastAsia="zh-CN"/>
              </w:rPr>
              <w:t>数量（</w:t>
            </w:r>
            <w:r>
              <w:rPr>
                <w:rFonts w:hint="eastAsia" w:ascii="宋体" w:hAnsi="宋体" w:eastAsia="宋体" w:cs="宋体"/>
                <w:sz w:val="24"/>
                <w:szCs w:val="24"/>
                <w:highlight w:val="none"/>
                <w:lang w:eastAsia="zh-CN"/>
              </w:rPr>
              <w:t>如果有</w:t>
            </w:r>
            <w:r>
              <w:rPr>
                <w:rFonts w:hint="eastAsia" w:ascii="宋体" w:hAnsi="宋体" w:eastAsia="宋体" w:cs="宋体"/>
                <w:sz w:val="24"/>
                <w:szCs w:val="24"/>
                <w:highlight w:val="none"/>
                <w:lang w:val="zh-CN" w:eastAsia="zh-CN"/>
              </w:rPr>
              <w:t>）符合招标文件要求。</w:t>
            </w:r>
          </w:p>
        </w:tc>
      </w:tr>
      <w:tr w14:paraId="0069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Align w:val="center"/>
          </w:tcPr>
          <w:p w14:paraId="07B0F9D4">
            <w:pPr>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462" w:type="dxa"/>
            <w:vAlign w:val="center"/>
          </w:tcPr>
          <w:p w14:paraId="4C84B977">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服务部分</w:t>
            </w:r>
          </w:p>
        </w:tc>
        <w:tc>
          <w:tcPr>
            <w:tcW w:w="1657" w:type="dxa"/>
            <w:vAlign w:val="center"/>
          </w:tcPr>
          <w:p w14:paraId="5F58EEA3">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投标文件内容</w:t>
            </w:r>
          </w:p>
        </w:tc>
        <w:tc>
          <w:tcPr>
            <w:tcW w:w="5836" w:type="dxa"/>
            <w:vAlign w:val="center"/>
          </w:tcPr>
          <w:p w14:paraId="79F10186">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本招标文件第二篇中全部内容。</w:t>
            </w:r>
          </w:p>
        </w:tc>
      </w:tr>
      <w:tr w14:paraId="7472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75" w:type="dxa"/>
            <w:vAlign w:val="center"/>
          </w:tcPr>
          <w:p w14:paraId="7C6E609E">
            <w:pPr>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462" w:type="dxa"/>
            <w:vAlign w:val="center"/>
          </w:tcPr>
          <w:p w14:paraId="783BC574">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商务部分</w:t>
            </w:r>
          </w:p>
        </w:tc>
        <w:tc>
          <w:tcPr>
            <w:tcW w:w="1657" w:type="dxa"/>
            <w:vAlign w:val="center"/>
          </w:tcPr>
          <w:p w14:paraId="639AB1AE">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投标文件内容</w:t>
            </w:r>
          </w:p>
        </w:tc>
        <w:tc>
          <w:tcPr>
            <w:tcW w:w="5836" w:type="dxa"/>
            <w:vAlign w:val="center"/>
          </w:tcPr>
          <w:p w14:paraId="4DDE738D">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本招标文件第三篇中全部内容。</w:t>
            </w:r>
          </w:p>
        </w:tc>
      </w:tr>
      <w:tr w14:paraId="7973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75" w:type="dxa"/>
            <w:vAlign w:val="center"/>
          </w:tcPr>
          <w:p w14:paraId="5FCA80D3">
            <w:pPr>
              <w:spacing w:line="36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462" w:type="dxa"/>
            <w:vAlign w:val="center"/>
          </w:tcPr>
          <w:p w14:paraId="254BFA55">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1657" w:type="dxa"/>
            <w:vAlign w:val="center"/>
          </w:tcPr>
          <w:p w14:paraId="64460E19">
            <w:pPr>
              <w:spacing w:line="36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投标文件内容</w:t>
            </w:r>
          </w:p>
        </w:tc>
        <w:tc>
          <w:tcPr>
            <w:tcW w:w="5836" w:type="dxa"/>
            <w:vAlign w:val="center"/>
          </w:tcPr>
          <w:p w14:paraId="22327436">
            <w:pPr>
              <w:spacing w:line="36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投标有效期为投标截止时间起90天。</w:t>
            </w:r>
          </w:p>
        </w:tc>
      </w:tr>
    </w:tbl>
    <w:p w14:paraId="3CE9D951">
      <w:pPr>
        <w:pStyle w:val="3"/>
        <w:ind w:firstLine="640"/>
        <w:rPr>
          <w:rFonts w:hint="eastAsia" w:ascii="宋体" w:hAnsi="宋体" w:eastAsia="宋体" w:cs="宋体"/>
          <w:highlight w:val="none"/>
          <w:lang w:eastAsia="zh-CN"/>
        </w:rPr>
      </w:pPr>
      <w:bookmarkStart w:id="178" w:name="_Toc30364"/>
      <w:bookmarkStart w:id="179" w:name="_Toc17111"/>
      <w:bookmarkStart w:id="180" w:name="_Toc23002"/>
      <w:bookmarkStart w:id="181" w:name="_Toc492721016"/>
      <w:r>
        <w:rPr>
          <w:rFonts w:hint="eastAsia" w:ascii="宋体" w:hAnsi="宋体" w:eastAsia="宋体" w:cs="宋体"/>
          <w:highlight w:val="none"/>
          <w:lang w:eastAsia="zh-CN"/>
        </w:rPr>
        <w:t>二、评标方法</w:t>
      </w:r>
      <w:bookmarkEnd w:id="178"/>
      <w:bookmarkEnd w:id="179"/>
      <w:bookmarkEnd w:id="180"/>
      <w:bookmarkEnd w:id="181"/>
    </w:p>
    <w:p w14:paraId="424B112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本项目采用综合评分法进行评标。</w:t>
      </w:r>
    </w:p>
    <w:p w14:paraId="4F44A96B">
      <w:pPr>
        <w:ind w:firstLine="640"/>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一）综合评分法，是指投标文件满足招标文件全部实质性要求且按照评审因素的量化指标评审得分最高的投标人为中标候选人的评标方法。投标人总得分为价格、商务、技术等评定因素分别按照相应权重值计算分项得分后相加，满分为100分。</w:t>
      </w:r>
    </w:p>
    <w:p w14:paraId="2B0715A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w:t>
      </w:r>
      <w:bookmarkStart w:id="182" w:name="_Hlk148216427"/>
      <w:r>
        <w:rPr>
          <w:rFonts w:hint="eastAsia" w:ascii="宋体" w:hAnsi="宋体" w:eastAsia="宋体" w:cs="宋体"/>
          <w:sz w:val="24"/>
          <w:szCs w:val="24"/>
          <w:highlight w:val="none"/>
          <w:lang w:eastAsia="zh-CN"/>
        </w:rPr>
        <w:t>澄清有关问题。对电子投标文件中含义不明确、同类问题表述不一致或者有明显文字和计算错误的内容，评标委员会可在线要求投标人作出必要澄清、说明或者纠正，其澄清的内容不得超出电子投标文件的范围或者改变电子投标文件的实质性内容。澄清内容以线下书面形式作出，</w:t>
      </w:r>
      <w:bookmarkStart w:id="183" w:name="_Hlk148269031"/>
      <w:r>
        <w:rPr>
          <w:rFonts w:hint="eastAsia" w:ascii="宋体" w:hAnsi="宋体" w:eastAsia="宋体" w:cs="宋体"/>
          <w:sz w:val="24"/>
          <w:szCs w:val="24"/>
          <w:highlight w:val="none"/>
          <w:lang w:eastAsia="zh-CN"/>
        </w:rPr>
        <w:t>文件电子化上传</w:t>
      </w:r>
      <w:bookmarkEnd w:id="183"/>
      <w:r>
        <w:rPr>
          <w:rFonts w:hint="eastAsia" w:ascii="宋体" w:hAnsi="宋体" w:eastAsia="宋体" w:cs="宋体"/>
          <w:sz w:val="24"/>
          <w:szCs w:val="24"/>
          <w:highlight w:val="none"/>
          <w:lang w:eastAsia="zh-CN"/>
        </w:rPr>
        <w:t>。</w:t>
      </w:r>
      <w:bookmarkStart w:id="184" w:name="_Hlk148269077"/>
      <w:r>
        <w:rPr>
          <w:rFonts w:hint="eastAsia" w:ascii="宋体" w:hAnsi="宋体" w:eastAsia="宋体" w:cs="宋体"/>
          <w:sz w:val="24"/>
          <w:szCs w:val="24"/>
          <w:highlight w:val="none"/>
          <w:lang w:eastAsia="zh-CN"/>
        </w:rPr>
        <w:t>投标人通过书面形式作出的澄清、说明或者纠正应当由法定代表人（或其授权代表）或自然人（投标人为自然人）签署或者加盖公章并将澄清等文件扫描为PDF格式，上传至电子开标室的“问题澄清”输入框中的“澄清附件”中。由授权代表签署的，应当附法定代表人授权书。投标人为自然人的，应当由本人签署并附身份证明。以上签署等文件都要以PDF格式上传到“问题澄清”输入框中的“澄清附件”（注意：澄清附件只允许一个文档上传，所有上传文件都应归到一个PDF文档当中）</w:t>
      </w:r>
      <w:bookmarkEnd w:id="184"/>
      <w:r>
        <w:rPr>
          <w:rFonts w:hint="eastAsia" w:ascii="宋体" w:hAnsi="宋体" w:eastAsia="宋体" w:cs="宋体"/>
          <w:sz w:val="24"/>
          <w:szCs w:val="24"/>
          <w:highlight w:val="none"/>
          <w:lang w:eastAsia="zh-CN"/>
        </w:rPr>
        <w:t>。</w:t>
      </w:r>
    </w:p>
    <w:bookmarkEnd w:id="182"/>
    <w:p w14:paraId="04B550A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（三）比较与评价。按招标文件中规定的评标方法和标准，对资格审查和符合性审查合格的电子投标文件进行商务和技术评估。</w:t>
      </w:r>
    </w:p>
    <w:p w14:paraId="6D3E0E5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评标委员会各成员独立对每个有效投标人（通过资格审查、符合性审查的投标人）的电子投标文件进行评价、打分，然后由评标委员会对各成员打分情况进行核查及复核，个别成员对同一投标人同一评分项的打分偏离较大的，应对投标人的电子投标文件进行再次核对，确属打分有误的，应及时进行修正。</w:t>
      </w:r>
    </w:p>
    <w:p w14:paraId="6B9A818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复核后，评标委员会汇总每个投标人每项评分因素的得分。</w:t>
      </w:r>
    </w:p>
    <w:p w14:paraId="4E7CE63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（四）推荐中标候选人名单。</w:t>
      </w:r>
    </w:p>
    <w:p w14:paraId="788A7744">
      <w:pPr>
        <w:ind w:firstLine="640"/>
        <w:rPr>
          <w:rFonts w:hint="eastAsia" w:ascii="宋体" w:hAnsi="宋体" w:eastAsia="宋体" w:cs="宋体"/>
          <w:sz w:val="24"/>
          <w:szCs w:val="24"/>
          <w:highlight w:val="none"/>
          <w:lang w:eastAsia="zh-CN"/>
        </w:rPr>
      </w:pPr>
      <w:bookmarkStart w:id="185" w:name="_Toc492721017"/>
      <w:bookmarkStart w:id="186" w:name="_Toc267320057"/>
      <w:r>
        <w:rPr>
          <w:rFonts w:hint="eastAsia" w:ascii="宋体" w:hAnsi="宋体" w:eastAsia="宋体" w:cs="宋体"/>
          <w:sz w:val="24"/>
          <w:szCs w:val="24"/>
          <w:highlight w:val="none"/>
          <w:lang w:eastAsia="zh-CN"/>
        </w:rPr>
        <w:t>按评审后得分由高到低的排列顺序推荐综合得分排名前三的投标人为本包（项目）中标候选人，排名第一的为第一中标候选人。得分相同的，由采购人委托评标委员会按投标报价由低到高顺序排列；得分且投标报价相同的，按照项目技术部分得分由高到低顺序排列；以上都相同的，按项目商务部分得分由高到低顺序排列。技术部分得分为0分的投标人，将失去成为中标候选人的资格。</w:t>
      </w:r>
    </w:p>
    <w:p w14:paraId="7683E5EF">
      <w:pPr>
        <w:pStyle w:val="3"/>
        <w:ind w:firstLine="640"/>
        <w:rPr>
          <w:rFonts w:hint="eastAsia" w:ascii="宋体" w:hAnsi="宋体" w:eastAsia="宋体" w:cs="宋体"/>
          <w:highlight w:val="none"/>
          <w:lang w:eastAsia="zh-CN"/>
        </w:rPr>
      </w:pPr>
      <w:bookmarkStart w:id="187" w:name="_Toc24737"/>
      <w:bookmarkStart w:id="188" w:name="_Toc29787"/>
      <w:bookmarkStart w:id="189" w:name="_Toc9229"/>
      <w:r>
        <w:rPr>
          <w:rFonts w:hint="eastAsia" w:ascii="宋体" w:hAnsi="宋体" w:eastAsia="宋体" w:cs="宋体"/>
          <w:highlight w:val="none"/>
          <w:lang w:eastAsia="zh-CN"/>
        </w:rPr>
        <w:t>三、评标标准</w:t>
      </w:r>
      <w:bookmarkEnd w:id="185"/>
      <w:bookmarkEnd w:id="186"/>
      <w:bookmarkEnd w:id="187"/>
      <w:bookmarkEnd w:id="188"/>
      <w:bookmarkEnd w:id="189"/>
    </w:p>
    <w:p w14:paraId="0C5459DD">
      <w:pPr>
        <w:ind w:firstLine="64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（一）评审因素</w:t>
      </w:r>
    </w:p>
    <w:tbl>
      <w:tblPr>
        <w:tblStyle w:val="19"/>
        <w:tblW w:w="98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Layout w:type="fixed"/>
        <w:tblCellMar>
          <w:top w:w="0" w:type="dxa"/>
          <w:left w:w="108" w:type="dxa"/>
          <w:bottom w:w="0" w:type="dxa"/>
          <w:right w:w="108" w:type="dxa"/>
        </w:tblCellMar>
      </w:tblPr>
      <w:tblGrid>
        <w:gridCol w:w="874"/>
        <w:gridCol w:w="1258"/>
        <w:gridCol w:w="1000"/>
        <w:gridCol w:w="4023"/>
        <w:gridCol w:w="2722"/>
      </w:tblGrid>
      <w:tr w14:paraId="65BC8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CellMar>
            <w:top w:w="0" w:type="dxa"/>
            <w:left w:w="108" w:type="dxa"/>
            <w:bottom w:w="0" w:type="dxa"/>
            <w:right w:w="108" w:type="dxa"/>
          </w:tblCellMar>
        </w:tblPrEx>
        <w:trPr>
          <w:trHeight w:val="23"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8E53">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E696">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评分因素及权重</w:t>
            </w: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14:paraId="7B63B1D3">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4023" w:type="dxa"/>
            <w:tcBorders>
              <w:top w:val="single" w:color="000000" w:sz="4" w:space="0"/>
              <w:left w:val="single" w:color="000000" w:sz="4" w:space="0"/>
              <w:bottom w:val="single" w:color="000000" w:sz="4" w:space="0"/>
              <w:right w:val="single" w:color="auto" w:sz="4" w:space="0"/>
            </w:tcBorders>
            <w:shd w:val="clear" w:color="auto" w:fill="FFFFFF"/>
            <w:vAlign w:val="center"/>
          </w:tcPr>
          <w:p w14:paraId="2786D0DB">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评分标准</w:t>
            </w:r>
          </w:p>
        </w:tc>
        <w:tc>
          <w:tcPr>
            <w:tcW w:w="2722" w:type="dxa"/>
            <w:tcBorders>
              <w:top w:val="single" w:color="000000" w:sz="4" w:space="0"/>
              <w:left w:val="single" w:color="000000" w:sz="4" w:space="0"/>
              <w:bottom w:val="single" w:color="000000" w:sz="4" w:space="0"/>
              <w:right w:val="single" w:color="auto" w:sz="4" w:space="0"/>
            </w:tcBorders>
            <w:shd w:val="clear" w:color="auto" w:fill="FFFFFF"/>
            <w:vAlign w:val="center"/>
          </w:tcPr>
          <w:p w14:paraId="436856F0">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tc>
      </w:tr>
      <w:tr w14:paraId="69F3A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E363">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DBE8">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w:t>
            </w:r>
          </w:p>
          <w:p w14:paraId="354974C7">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报价</w:t>
            </w:r>
          </w:p>
          <w:p w14:paraId="6719E21D">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w:t>
            </w: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14:paraId="23B72D0F">
            <w:pPr>
              <w:spacing w:line="240" w:lineRule="auto"/>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72E1F12A">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有效的投标报价中的最低价为评标基准价，按照下列公式计算每个投标人的投标价格得分。</w:t>
            </w:r>
          </w:p>
          <w:p w14:paraId="0CB2D53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投标报价得分＝（评标基准价/投标报价）×价格权重×100。</w:t>
            </w:r>
          </w:p>
        </w:tc>
        <w:tc>
          <w:tcPr>
            <w:tcW w:w="2722" w:type="dxa"/>
            <w:tcBorders>
              <w:top w:val="single" w:color="000000" w:sz="4" w:space="0"/>
              <w:left w:val="single" w:color="000000" w:sz="4" w:space="0"/>
              <w:bottom w:val="single" w:color="000000" w:sz="4" w:space="0"/>
              <w:right w:val="single" w:color="auto" w:sz="4" w:space="0"/>
            </w:tcBorders>
            <w:shd w:val="clear" w:color="auto" w:fill="auto"/>
            <w:vAlign w:val="center"/>
          </w:tcPr>
          <w:p w14:paraId="6F2A83E1">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对小微企业的价格用扣除后的价格参与评审，详见“（二）关于小微企业报价扣除比例说明”。</w:t>
            </w:r>
          </w:p>
        </w:tc>
      </w:tr>
      <w:tr w14:paraId="70974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CellMar>
            <w:top w:w="0" w:type="dxa"/>
            <w:left w:w="108" w:type="dxa"/>
            <w:bottom w:w="0" w:type="dxa"/>
            <w:right w:w="108" w:type="dxa"/>
          </w:tblCellMar>
        </w:tblPrEx>
        <w:trPr>
          <w:trHeight w:val="23" w:hRule="atLeast"/>
          <w:jc w:val="center"/>
        </w:trPr>
        <w:tc>
          <w:tcPr>
            <w:tcW w:w="874" w:type="dxa"/>
            <w:vMerge w:val="restart"/>
            <w:tcBorders>
              <w:left w:val="single" w:color="000000" w:sz="4" w:space="0"/>
              <w:right w:val="single" w:color="000000" w:sz="4" w:space="0"/>
            </w:tcBorders>
            <w:shd w:val="clear" w:color="auto" w:fill="auto"/>
            <w:vAlign w:val="center"/>
          </w:tcPr>
          <w:p w14:paraId="18F431B2">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258" w:type="dxa"/>
            <w:vMerge w:val="restart"/>
            <w:tcBorders>
              <w:left w:val="single" w:color="000000" w:sz="4" w:space="0"/>
              <w:right w:val="single" w:color="000000" w:sz="4" w:space="0"/>
            </w:tcBorders>
            <w:shd w:val="clear" w:color="auto" w:fill="auto"/>
            <w:vAlign w:val="center"/>
          </w:tcPr>
          <w:p w14:paraId="7C562441">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w:t>
            </w:r>
          </w:p>
          <w:p w14:paraId="2309D0BA">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部分（</w:t>
            </w:r>
            <w:r>
              <w:rPr>
                <w:rFonts w:hint="eastAsia" w:ascii="宋体" w:hAnsi="宋体" w:eastAsia="宋体" w:cs="宋体"/>
                <w:sz w:val="24"/>
                <w:szCs w:val="24"/>
                <w:highlight w:val="none"/>
                <w:lang w:val="en-US" w:eastAsia="zh-CN"/>
              </w:rPr>
              <w:t>55</w:t>
            </w:r>
            <w:r>
              <w:rPr>
                <w:rFonts w:hint="eastAsia" w:ascii="宋体" w:hAnsi="宋体" w:eastAsia="宋体" w:cs="宋体"/>
                <w:sz w:val="24"/>
                <w:szCs w:val="24"/>
                <w:highlight w:val="none"/>
              </w:rPr>
              <w:t>%）</w:t>
            </w:r>
          </w:p>
        </w:tc>
        <w:tc>
          <w:tcPr>
            <w:tcW w:w="1000" w:type="dxa"/>
            <w:tcBorders>
              <w:top w:val="single" w:color="000000" w:sz="4" w:space="0"/>
              <w:left w:val="single" w:color="000000" w:sz="4" w:space="0"/>
              <w:bottom w:val="single" w:color="auto" w:sz="4" w:space="0"/>
              <w:right w:val="single" w:color="auto" w:sz="4" w:space="0"/>
            </w:tcBorders>
            <w:shd w:val="clear" w:color="auto" w:fill="auto"/>
            <w:vAlign w:val="center"/>
          </w:tcPr>
          <w:p w14:paraId="1FDC5B53">
            <w:pPr>
              <w:spacing w:line="240" w:lineRule="auto"/>
              <w:ind w:firstLine="0" w:firstLineChars="0"/>
              <w:jc w:val="center"/>
              <w:rPr>
                <w:rFonts w:hint="eastAsia" w:ascii="宋体" w:hAnsi="宋体" w:eastAsia="宋体" w:cs="宋体"/>
                <w:snapToGrid w:val="0"/>
                <w:color w:val="000000"/>
                <w:sz w:val="24"/>
                <w:szCs w:val="24"/>
                <w:highlight w:val="none"/>
                <w:lang w:val="en-US" w:eastAsia="zh-CN" w:bidi="ar-SA"/>
              </w:rPr>
            </w:pPr>
            <w:r>
              <w:rPr>
                <w:rFonts w:hint="eastAsia" w:ascii="宋体" w:hAnsi="宋体" w:eastAsia="宋体" w:cs="宋体"/>
                <w:sz w:val="24"/>
                <w:szCs w:val="24"/>
                <w:highlight w:val="none"/>
                <w:lang w:eastAsia="zh-CN"/>
              </w:rPr>
              <w:t>现状及需求分析方案（</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25A56DF5">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投标人需根据本项目的实际情况编制现状及需求分析方案，包含但不限于以下内容：</w:t>
            </w:r>
          </w:p>
          <w:p w14:paraId="11047BEE">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（1）应用核心业务架构图（1分，结构清晰、覆盖全部业务模块得1分，否则不得分）；</w:t>
            </w:r>
          </w:p>
          <w:p w14:paraId="15876F01">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（2）应用核心业务事项（1分，完整列出4个场景核心事项得1分，每缺1项扣0.3分）；</w:t>
            </w:r>
          </w:p>
          <w:p w14:paraId="7796604C">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（3）应用业务事项对应事件清单（</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分，清单包含10项以上关键事件且逻辑对应得2分，5-9项得1分，少于5项不得分)）；</w:t>
            </w:r>
          </w:p>
          <w:p w14:paraId="45C71E74">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（4）应用需求分析（包括但不限于数据资源共享、多跨协同、业务量信息量分析预测）（1分，包含数据共享、多跨协同、业务量预测三项内容得1分，缺1项扣0.3分）。</w:t>
            </w:r>
          </w:p>
        </w:tc>
        <w:tc>
          <w:tcPr>
            <w:tcW w:w="2722" w:type="dxa"/>
            <w:tcBorders>
              <w:top w:val="single" w:color="000000" w:sz="4" w:space="0"/>
              <w:left w:val="single" w:color="000000" w:sz="4" w:space="0"/>
              <w:bottom w:val="single" w:color="000000" w:sz="4" w:space="0"/>
              <w:right w:val="single" w:color="auto" w:sz="4" w:space="0"/>
            </w:tcBorders>
            <w:shd w:val="clear" w:color="auto" w:fill="auto"/>
            <w:vAlign w:val="center"/>
          </w:tcPr>
          <w:p w14:paraId="5143A6F5">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提供现状及需求分析方案，格式自定。</w:t>
            </w:r>
          </w:p>
        </w:tc>
      </w:tr>
      <w:tr w14:paraId="061D2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CellMar>
            <w:top w:w="0" w:type="dxa"/>
            <w:left w:w="108" w:type="dxa"/>
            <w:bottom w:w="0" w:type="dxa"/>
            <w:right w:w="108" w:type="dxa"/>
          </w:tblCellMar>
        </w:tblPrEx>
        <w:trPr>
          <w:trHeight w:val="23" w:hRule="atLeast"/>
          <w:jc w:val="center"/>
        </w:trPr>
        <w:tc>
          <w:tcPr>
            <w:tcW w:w="874" w:type="dxa"/>
            <w:vMerge w:val="continue"/>
            <w:tcBorders>
              <w:left w:val="single" w:color="000000" w:sz="4" w:space="0"/>
              <w:right w:val="single" w:color="000000" w:sz="4" w:space="0"/>
            </w:tcBorders>
            <w:shd w:val="clear" w:color="auto" w:fill="auto"/>
            <w:vAlign w:val="center"/>
          </w:tcPr>
          <w:p w14:paraId="4E10243E">
            <w:pPr>
              <w:spacing w:line="240" w:lineRule="auto"/>
              <w:ind w:firstLine="0" w:firstLineChars="0"/>
              <w:jc w:val="center"/>
              <w:rPr>
                <w:rFonts w:hint="eastAsia" w:ascii="宋体" w:hAnsi="宋体" w:eastAsia="宋体" w:cs="宋体"/>
                <w:sz w:val="24"/>
                <w:szCs w:val="24"/>
                <w:highlight w:val="none"/>
              </w:rPr>
            </w:pPr>
          </w:p>
        </w:tc>
        <w:tc>
          <w:tcPr>
            <w:tcW w:w="1258" w:type="dxa"/>
            <w:vMerge w:val="continue"/>
            <w:tcBorders>
              <w:left w:val="single" w:color="000000" w:sz="4" w:space="0"/>
              <w:right w:val="single" w:color="000000" w:sz="4" w:space="0"/>
            </w:tcBorders>
            <w:shd w:val="clear" w:color="auto" w:fill="auto"/>
            <w:vAlign w:val="center"/>
          </w:tcPr>
          <w:p w14:paraId="0C15FBD7">
            <w:pPr>
              <w:spacing w:line="240" w:lineRule="auto"/>
              <w:ind w:firstLine="0" w:firstLineChars="0"/>
              <w:jc w:val="center"/>
              <w:rPr>
                <w:rFonts w:hint="eastAsia" w:ascii="宋体" w:hAnsi="宋体" w:eastAsia="宋体" w:cs="宋体"/>
                <w:sz w:val="24"/>
                <w:szCs w:val="24"/>
                <w:highlight w:val="none"/>
              </w:rPr>
            </w:pPr>
          </w:p>
        </w:tc>
        <w:tc>
          <w:tcPr>
            <w:tcW w:w="1000" w:type="dxa"/>
            <w:tcBorders>
              <w:top w:val="single" w:color="000000" w:sz="4" w:space="0"/>
              <w:left w:val="single" w:color="000000" w:sz="4" w:space="0"/>
              <w:bottom w:val="single" w:color="auto" w:sz="4" w:space="0"/>
              <w:right w:val="single" w:color="auto" w:sz="4" w:space="0"/>
            </w:tcBorders>
            <w:shd w:val="clear" w:color="auto" w:fill="auto"/>
            <w:vAlign w:val="center"/>
          </w:tcPr>
          <w:p w14:paraId="68911A2F">
            <w:pPr>
              <w:spacing w:line="240" w:lineRule="auto"/>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应用总体建设方案</w:t>
            </w:r>
          </w:p>
          <w:p w14:paraId="70B29488">
            <w:pPr>
              <w:spacing w:line="240" w:lineRule="auto"/>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52B3E909">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投标人需根据本项目的实际情况编制应用总体建设方案，包含但不限于以下内容：</w:t>
            </w:r>
          </w:p>
          <w:p w14:paraId="5FE3353B">
            <w:pPr>
              <w:spacing w:line="240" w:lineRule="auto"/>
              <w:ind w:firstLine="0" w:firstLineChars="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1.应用总体设计（</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lang w:eastAsia="zh-CN"/>
              </w:rPr>
              <w:t>分）：</w:t>
            </w:r>
          </w:p>
          <w:p w14:paraId="4DF9202E">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总体架构（</w:t>
            </w:r>
            <w:r>
              <w:rPr>
                <w:rFonts w:hint="eastAsia" w:ascii="宋体" w:hAnsi="宋体" w:eastAsia="宋体" w:cs="宋体"/>
                <w:sz w:val="24"/>
                <w:szCs w:val="24"/>
                <w:highlight w:val="none"/>
                <w:lang w:val="en-US" w:eastAsia="zh-CN"/>
              </w:rPr>
              <w:t>1分，完全符合《重庆市政务数字化应用开发操作指南》要求得1分，基本符合得0.5分，不符合不得分</w:t>
            </w:r>
            <w:r>
              <w:rPr>
                <w:rFonts w:hint="eastAsia" w:ascii="宋体" w:hAnsi="宋体" w:eastAsia="宋体" w:cs="宋体"/>
                <w:sz w:val="24"/>
                <w:szCs w:val="24"/>
                <w:highlight w:val="none"/>
                <w:lang w:eastAsia="zh-CN"/>
              </w:rPr>
              <w:t>）</w:t>
            </w:r>
          </w:p>
          <w:p w14:paraId="7408AC4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系统架构（1分，完全符合《重庆市政务数字化应用开发操作指南》要求得1分，基本符合得0.5分，不符合不得分）</w:t>
            </w:r>
          </w:p>
          <w:p w14:paraId="36A509DC">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业务架构（1分，完全符合《重庆市政务数字化应用开发操作指南》要求得1分，基本符合得0.5分，不符合不得分）</w:t>
            </w:r>
          </w:p>
          <w:p w14:paraId="5A07A606">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数据流向图（1分，完全符合《重庆市政务数字化应用开发操作指南》要求得1分，基本符合得0.5分，不符合不得分）</w:t>
            </w:r>
          </w:p>
          <w:p w14:paraId="11B6342F">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应用功能架构图（1分，完全符合《重庆市政务数字化应用开发操作指南》要求得1分，基本符合得0.5分，不符合不得分）</w:t>
            </w:r>
          </w:p>
          <w:p w14:paraId="6C782E4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与周边应用的关系（1分，完全符合《重庆市政务数字化应用开发操作指南》要求得1分，基本符合得0.5分，不符合不得分）</w:t>
            </w:r>
          </w:p>
          <w:p w14:paraId="075E97DE">
            <w:pPr>
              <w:spacing w:line="240" w:lineRule="auto"/>
              <w:ind w:firstLine="0" w:firstLineChars="0"/>
              <w:rPr>
                <w:rFonts w:hint="eastAsia" w:ascii="宋体" w:hAnsi="宋体" w:eastAsia="宋体" w:cs="宋体"/>
                <w:sz w:val="24"/>
                <w:szCs w:val="24"/>
                <w:highlight w:val="none"/>
                <w:lang w:eastAsia="zh-CN"/>
              </w:rPr>
            </w:pPr>
          </w:p>
          <w:p w14:paraId="07407986">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2.应用系统建设方案（</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lang w:eastAsia="zh-CN"/>
              </w:rPr>
              <w:t>分）</w:t>
            </w:r>
            <w:r>
              <w:rPr>
                <w:rFonts w:hint="eastAsia" w:ascii="宋体" w:hAnsi="宋体" w:eastAsia="宋体" w:cs="宋体"/>
                <w:sz w:val="24"/>
                <w:szCs w:val="24"/>
                <w:highlight w:val="none"/>
                <w:lang w:eastAsia="zh-CN"/>
              </w:rPr>
              <w:t>：</w:t>
            </w:r>
          </w:p>
          <w:p w14:paraId="7B7330BC">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投标人需根据本项目</w:t>
            </w:r>
            <w:r>
              <w:rPr>
                <w:rFonts w:hint="eastAsia" w:ascii="宋体" w:hAnsi="宋体" w:eastAsia="宋体" w:cs="宋体"/>
                <w:sz w:val="24"/>
                <w:szCs w:val="24"/>
                <w:highlight w:val="none"/>
                <w:lang w:val="en-US" w:eastAsia="zh-CN"/>
              </w:rPr>
              <w:t>实际情况设计</w:t>
            </w:r>
            <w:r>
              <w:rPr>
                <w:rFonts w:hint="eastAsia" w:ascii="宋体" w:hAnsi="宋体" w:eastAsia="宋体" w:cs="宋体"/>
                <w:sz w:val="24"/>
                <w:szCs w:val="24"/>
                <w:highlight w:val="none"/>
                <w:lang w:eastAsia="zh-CN"/>
              </w:rPr>
              <w:t>4个场景功能板块，并做相应功能描述，</w:t>
            </w:r>
            <w:r>
              <w:rPr>
                <w:rFonts w:hint="eastAsia" w:ascii="宋体" w:hAnsi="宋体" w:eastAsia="宋体" w:cs="宋体"/>
                <w:sz w:val="24"/>
                <w:szCs w:val="24"/>
                <w:highlight w:val="none"/>
                <w:lang w:val="en-US" w:eastAsia="zh-CN"/>
              </w:rPr>
              <w:t>具体如下：</w:t>
            </w:r>
          </w:p>
          <w:p w14:paraId="4F0230F3">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新就业人员服务信息全量归集（</w:t>
            </w:r>
            <w:r>
              <w:rPr>
                <w:rFonts w:hint="eastAsia" w:ascii="宋体" w:hAnsi="宋体" w:eastAsia="宋体" w:cs="宋体"/>
                <w:sz w:val="24"/>
                <w:szCs w:val="24"/>
                <w:highlight w:val="none"/>
                <w:lang w:val="en-US" w:eastAsia="zh-CN"/>
              </w:rPr>
              <w:t>1分，方案描述完全满足需求得1分，部分满足得0.5，不满足不得分</w:t>
            </w:r>
            <w:r>
              <w:rPr>
                <w:rFonts w:hint="eastAsia" w:ascii="宋体" w:hAnsi="宋体" w:eastAsia="宋体" w:cs="宋体"/>
                <w:sz w:val="24"/>
                <w:szCs w:val="24"/>
                <w:highlight w:val="none"/>
                <w:lang w:eastAsia="zh-CN"/>
              </w:rPr>
              <w:t>）</w:t>
            </w:r>
          </w:p>
          <w:p w14:paraId="27E85270">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新就业人员服务需求感知匹配（1分，</w:t>
            </w:r>
            <w:r>
              <w:rPr>
                <w:rFonts w:hint="eastAsia" w:ascii="宋体" w:hAnsi="宋体" w:eastAsia="宋体" w:cs="宋体"/>
                <w:sz w:val="24"/>
                <w:szCs w:val="24"/>
                <w:highlight w:val="none"/>
                <w:lang w:val="en-US" w:eastAsia="zh-CN"/>
              </w:rPr>
              <w:t>方案描述完全满足需求得1分，部分满足得0.5，不满足不得分</w:t>
            </w:r>
            <w:r>
              <w:rPr>
                <w:rFonts w:hint="eastAsia" w:ascii="宋体" w:hAnsi="宋体" w:eastAsia="宋体" w:cs="宋体"/>
                <w:sz w:val="24"/>
                <w:szCs w:val="24"/>
                <w:highlight w:val="none"/>
                <w:lang w:eastAsia="zh-CN"/>
              </w:rPr>
              <w:t>）</w:t>
            </w:r>
          </w:p>
          <w:p w14:paraId="385FD77F">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新就业群体一站式服务（1分，</w:t>
            </w:r>
            <w:r>
              <w:rPr>
                <w:rFonts w:hint="eastAsia" w:ascii="宋体" w:hAnsi="宋体" w:eastAsia="宋体" w:cs="宋体"/>
                <w:sz w:val="24"/>
                <w:szCs w:val="24"/>
                <w:highlight w:val="none"/>
                <w:lang w:val="en-US" w:eastAsia="zh-CN"/>
              </w:rPr>
              <w:t>方案描述完全满足需求得1分，部分满足得0.5，不满足不得分</w:t>
            </w:r>
            <w:r>
              <w:rPr>
                <w:rFonts w:hint="eastAsia" w:ascii="宋体" w:hAnsi="宋体" w:eastAsia="宋体" w:cs="宋体"/>
                <w:sz w:val="24"/>
                <w:szCs w:val="24"/>
                <w:highlight w:val="none"/>
                <w:lang w:eastAsia="zh-CN"/>
              </w:rPr>
              <w:t>）</w:t>
            </w:r>
          </w:p>
          <w:p w14:paraId="59800F51">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服务质效复盘评价与结果运用（1分，</w:t>
            </w:r>
            <w:r>
              <w:rPr>
                <w:rFonts w:hint="eastAsia" w:ascii="宋体" w:hAnsi="宋体" w:eastAsia="宋体" w:cs="宋体"/>
                <w:sz w:val="24"/>
                <w:szCs w:val="24"/>
                <w:highlight w:val="none"/>
                <w:lang w:val="en-US" w:eastAsia="zh-CN"/>
              </w:rPr>
              <w:t>方案描述完全满足需求得1分，部分满足得0.5，不满足不得分</w:t>
            </w:r>
            <w:r>
              <w:rPr>
                <w:rFonts w:hint="eastAsia" w:ascii="宋体" w:hAnsi="宋体" w:eastAsia="宋体" w:cs="宋体"/>
                <w:sz w:val="24"/>
                <w:szCs w:val="24"/>
                <w:highlight w:val="none"/>
                <w:lang w:eastAsia="zh-CN"/>
              </w:rPr>
              <w:t>）</w:t>
            </w:r>
          </w:p>
          <w:p w14:paraId="73487C23">
            <w:pPr>
              <w:spacing w:line="240" w:lineRule="auto"/>
              <w:ind w:firstLine="0" w:firstLineChars="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3.数据资源设计（3分）：</w:t>
            </w:r>
          </w:p>
          <w:p w14:paraId="552FCD71">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投标人需</w:t>
            </w: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lang w:eastAsia="zh-CN"/>
              </w:rPr>
              <w:t>整个项目的数据资源建设规划、数据治理方案，</w:t>
            </w:r>
            <w:r>
              <w:rPr>
                <w:rFonts w:hint="eastAsia" w:ascii="宋体" w:hAnsi="宋体" w:eastAsia="宋体" w:cs="宋体"/>
                <w:sz w:val="24"/>
                <w:szCs w:val="24"/>
                <w:highlight w:val="none"/>
                <w:lang w:val="en-US" w:eastAsia="zh-CN"/>
              </w:rPr>
              <w:t>至少需包含：</w:t>
            </w:r>
          </w:p>
          <w:p w14:paraId="28C1CE9F">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数据需求目录（1分，</w:t>
            </w:r>
            <w:r>
              <w:rPr>
                <w:rFonts w:hint="eastAsia" w:ascii="宋体" w:hAnsi="宋体" w:eastAsia="宋体" w:cs="宋体"/>
                <w:sz w:val="24"/>
                <w:szCs w:val="24"/>
                <w:highlight w:val="none"/>
                <w:lang w:val="en-US" w:eastAsia="zh-CN"/>
              </w:rPr>
              <w:t>需求</w:t>
            </w:r>
            <w:r>
              <w:rPr>
                <w:rFonts w:hint="eastAsia" w:ascii="宋体" w:hAnsi="宋体" w:eastAsia="宋体" w:cs="宋体"/>
                <w:sz w:val="24"/>
                <w:szCs w:val="24"/>
                <w:highlight w:val="none"/>
                <w:lang w:eastAsia="zh-CN"/>
              </w:rPr>
              <w:t>目录</w:t>
            </w:r>
            <w:r>
              <w:rPr>
                <w:rFonts w:hint="eastAsia" w:ascii="宋体" w:hAnsi="宋体" w:eastAsia="宋体" w:cs="宋体"/>
                <w:sz w:val="24"/>
                <w:szCs w:val="24"/>
                <w:highlight w:val="none"/>
                <w:lang w:val="en-US" w:eastAsia="zh-CN"/>
              </w:rPr>
              <w:t>合理且完善</w:t>
            </w:r>
            <w:r>
              <w:rPr>
                <w:rFonts w:hint="eastAsia" w:ascii="宋体" w:hAnsi="宋体" w:eastAsia="宋体" w:cs="宋体"/>
                <w:sz w:val="24"/>
                <w:szCs w:val="24"/>
                <w:highlight w:val="none"/>
                <w:lang w:eastAsia="zh-CN"/>
              </w:rPr>
              <w:t>得1分，否则不得分）</w:t>
            </w:r>
          </w:p>
          <w:p w14:paraId="6C0A795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数据共享目录（</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w:t>
            </w:r>
            <w:r>
              <w:rPr>
                <w:rFonts w:hint="eastAsia" w:ascii="宋体" w:hAnsi="宋体" w:eastAsia="宋体" w:cs="宋体"/>
                <w:sz w:val="24"/>
                <w:szCs w:val="24"/>
                <w:highlight w:val="none"/>
                <w:lang w:val="en-US" w:eastAsia="zh-CN"/>
              </w:rPr>
              <w:t>数据共享5类以上</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w:t>
            </w:r>
            <w:r>
              <w:rPr>
                <w:rFonts w:hint="eastAsia" w:ascii="宋体" w:hAnsi="宋体" w:eastAsia="宋体" w:cs="宋体"/>
                <w:sz w:val="24"/>
                <w:szCs w:val="24"/>
                <w:highlight w:val="none"/>
                <w:lang w:val="en-US" w:eastAsia="zh-CN"/>
              </w:rPr>
              <w:t>数据共享5类以下3类以上得1分，3类以下</w:t>
            </w:r>
            <w:r>
              <w:rPr>
                <w:rFonts w:hint="eastAsia" w:ascii="宋体" w:hAnsi="宋体" w:eastAsia="宋体" w:cs="宋体"/>
                <w:sz w:val="24"/>
                <w:szCs w:val="24"/>
                <w:highlight w:val="none"/>
                <w:lang w:eastAsia="zh-CN"/>
              </w:rPr>
              <w:t>不得分）</w:t>
            </w:r>
          </w:p>
        </w:tc>
        <w:tc>
          <w:tcPr>
            <w:tcW w:w="2722" w:type="dxa"/>
            <w:tcBorders>
              <w:top w:val="single" w:color="000000" w:sz="4" w:space="0"/>
              <w:left w:val="single" w:color="000000" w:sz="4" w:space="0"/>
              <w:bottom w:val="single" w:color="000000" w:sz="4" w:space="0"/>
              <w:right w:val="single" w:color="auto" w:sz="4" w:space="0"/>
            </w:tcBorders>
            <w:shd w:val="clear" w:color="auto" w:fill="auto"/>
            <w:vAlign w:val="center"/>
          </w:tcPr>
          <w:p w14:paraId="6273D02E">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提供应用总体建设方案，格式自定。</w:t>
            </w:r>
          </w:p>
        </w:tc>
      </w:tr>
      <w:tr w14:paraId="59BC3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CellMar>
            <w:top w:w="0" w:type="dxa"/>
            <w:left w:w="108" w:type="dxa"/>
            <w:bottom w:w="0" w:type="dxa"/>
            <w:right w:w="108" w:type="dxa"/>
          </w:tblCellMar>
        </w:tblPrEx>
        <w:trPr>
          <w:trHeight w:val="23" w:hRule="atLeast"/>
          <w:jc w:val="center"/>
        </w:trPr>
        <w:tc>
          <w:tcPr>
            <w:tcW w:w="874" w:type="dxa"/>
            <w:vMerge w:val="continue"/>
            <w:tcBorders>
              <w:left w:val="single" w:color="000000" w:sz="4" w:space="0"/>
              <w:right w:val="single" w:color="000000" w:sz="4" w:space="0"/>
            </w:tcBorders>
            <w:shd w:val="clear" w:color="auto" w:fill="auto"/>
            <w:vAlign w:val="center"/>
          </w:tcPr>
          <w:p w14:paraId="36875FC0">
            <w:pPr>
              <w:spacing w:line="240" w:lineRule="auto"/>
              <w:ind w:firstLine="0" w:firstLineChars="0"/>
              <w:jc w:val="center"/>
              <w:rPr>
                <w:rFonts w:hint="eastAsia" w:ascii="宋体" w:hAnsi="宋体" w:eastAsia="宋体" w:cs="宋体"/>
                <w:sz w:val="24"/>
                <w:szCs w:val="24"/>
                <w:highlight w:val="none"/>
                <w:lang w:eastAsia="zh-CN"/>
              </w:rPr>
            </w:pPr>
          </w:p>
        </w:tc>
        <w:tc>
          <w:tcPr>
            <w:tcW w:w="1258" w:type="dxa"/>
            <w:vMerge w:val="continue"/>
            <w:tcBorders>
              <w:left w:val="single" w:color="000000" w:sz="4" w:space="0"/>
              <w:right w:val="single" w:color="000000" w:sz="4" w:space="0"/>
            </w:tcBorders>
            <w:shd w:val="clear" w:color="auto" w:fill="auto"/>
            <w:vAlign w:val="center"/>
          </w:tcPr>
          <w:p w14:paraId="04020970">
            <w:pPr>
              <w:spacing w:line="240" w:lineRule="auto"/>
              <w:ind w:firstLine="0" w:firstLineChars="0"/>
              <w:jc w:val="center"/>
              <w:rPr>
                <w:rFonts w:hint="eastAsia" w:ascii="宋体" w:hAnsi="宋体" w:eastAsia="宋体" w:cs="宋体"/>
                <w:sz w:val="24"/>
                <w:szCs w:val="24"/>
                <w:highlight w:val="none"/>
                <w:lang w:eastAsia="zh-CN"/>
              </w:rPr>
            </w:pPr>
          </w:p>
        </w:tc>
        <w:tc>
          <w:tcPr>
            <w:tcW w:w="1000" w:type="dxa"/>
            <w:tcBorders>
              <w:top w:val="single" w:color="auto" w:sz="4" w:space="0"/>
              <w:left w:val="single" w:color="000000" w:sz="4" w:space="0"/>
              <w:bottom w:val="single" w:color="auto" w:sz="4" w:space="0"/>
              <w:right w:val="single" w:color="000000" w:sz="4" w:space="0"/>
            </w:tcBorders>
            <w:shd w:val="clear" w:color="auto" w:fill="auto"/>
            <w:vAlign w:val="center"/>
          </w:tcPr>
          <w:p w14:paraId="5BEF9A20">
            <w:pPr>
              <w:spacing w:line="240" w:lineRule="auto"/>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应用详细建设方案（</w:t>
            </w: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lang w:eastAsia="zh-CN"/>
              </w:rPr>
              <w:t>分）</w:t>
            </w:r>
          </w:p>
        </w:tc>
        <w:tc>
          <w:tcPr>
            <w:tcW w:w="4023" w:type="dxa"/>
            <w:tcBorders>
              <w:top w:val="single" w:color="000000" w:sz="4" w:space="0"/>
              <w:left w:val="single" w:color="000000" w:sz="4" w:space="0"/>
              <w:right w:val="single" w:color="auto" w:sz="4" w:space="0"/>
            </w:tcBorders>
            <w:shd w:val="clear" w:color="auto" w:fill="auto"/>
            <w:vAlign w:val="center"/>
          </w:tcPr>
          <w:p w14:paraId="0C2E038D">
            <w:pPr>
              <w:pStyle w:val="11"/>
              <w:numPr>
                <w:ilvl w:val="0"/>
                <w:numId w:val="0"/>
              </w:numPr>
              <w:spacing w:line="240" w:lineRule="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投标人需根据本项目的实际情况编制应用详细建设方案，包含但不限于以下内容：</w:t>
            </w:r>
          </w:p>
          <w:p w14:paraId="4CA7AC62">
            <w:pPr>
              <w:pStyle w:val="11"/>
              <w:numPr>
                <w:ilvl w:val="0"/>
                <w:numId w:val="4"/>
              </w:numPr>
              <w:spacing w:line="240" w:lineRule="auto"/>
              <w:ind w:firstLine="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新就业群体资源全量管理（5分）</w:t>
            </w:r>
          </w:p>
          <w:p w14:paraId="501659E9">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新就业群体人员管理：全面收集新就业群体人员的基本信息，如姓名、性别、年龄、身份证号码、联系方式等，确保信息的准确性和完整性。同时，还会深入采集与就业相关的关键信息，包括就业类型（如外卖骑手、快递员、网约车司机等）、所在平台、工作时长、社保情况等。</w:t>
            </w:r>
            <w:r>
              <w:rPr>
                <w:rFonts w:hint="eastAsia" w:ascii="宋体" w:hAnsi="宋体" w:cs="宋体"/>
                <w:sz w:val="24"/>
                <w:szCs w:val="24"/>
                <w:highlight w:val="none"/>
                <w:lang w:val="en-US" w:eastAsia="zh-CN"/>
              </w:rPr>
              <w:t>(1分)</w:t>
            </w:r>
          </w:p>
          <w:p w14:paraId="432F1628">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2）新就业群体企业管理：对新就业群体相关的企业，进行全面的信息登记及管理。(1分)</w:t>
            </w:r>
          </w:p>
          <w:p w14:paraId="05DDE512">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3）新就业群体平台管理：建立新就业群体平台档案库，并进行关联数据查询检索。(1分)</w:t>
            </w:r>
          </w:p>
          <w:p w14:paraId="14AFE185">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4）新就业群体服务阵地管理：搭建服务阵地档案库，并形成服务阵地地图进行查阅导航。(1分)</w:t>
            </w:r>
          </w:p>
          <w:p w14:paraId="140EAA7B">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5）惠新码应用场所管理：对于惠新码的应用场所、扫码记录等数据进行管控，并形成场所统览地图进行查阅。(1分)</w:t>
            </w:r>
          </w:p>
          <w:p w14:paraId="6AD771A0">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党建引领综合管理（3分）</w:t>
            </w:r>
          </w:p>
          <w:p w14:paraId="46CF82EE">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先进党员管理：支持先进党员信息管理。(1分)</w:t>
            </w:r>
          </w:p>
          <w:p w14:paraId="24C554EB">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2）党建资讯管理：党建政策、动态资讯、学习资料等资讯的编辑、审核与发布管理。(1分)</w:t>
            </w:r>
          </w:p>
          <w:p w14:paraId="18F44943">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3）党建活动管理：党建活动（如主题党日、培训）的发布管理、报名与审核，可设置活动时间、地点与参与人员</w:t>
            </w:r>
            <w:r>
              <w:rPr>
                <w:rFonts w:hint="eastAsia" w:ascii="宋体" w:hAnsi="宋体" w:cs="宋体"/>
                <w:sz w:val="24"/>
                <w:szCs w:val="24"/>
                <w:highlight w:val="none"/>
                <w:lang w:val="en-US" w:eastAsia="zh-CN"/>
              </w:rPr>
              <w:t>数量</w:t>
            </w:r>
            <w:r>
              <w:rPr>
                <w:rFonts w:hint="eastAsia" w:ascii="宋体" w:hAnsi="宋体" w:eastAsia="宋体" w:cs="宋体"/>
                <w:sz w:val="24"/>
                <w:szCs w:val="24"/>
                <w:highlight w:val="none"/>
                <w:lang w:val="en-US" w:eastAsia="zh-CN"/>
              </w:rPr>
              <w:t>。(1分)</w:t>
            </w:r>
          </w:p>
          <w:p w14:paraId="5CB445F0">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权益维护保障管理（2分）</w:t>
            </w:r>
          </w:p>
          <w:p w14:paraId="0BFF314D">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1）劳动争议</w:t>
            </w:r>
            <w:r>
              <w:rPr>
                <w:rFonts w:hint="eastAsia" w:ascii="宋体" w:hAnsi="宋体" w:eastAsia="宋体" w:cs="宋体"/>
                <w:sz w:val="24"/>
                <w:szCs w:val="24"/>
                <w:highlight w:val="none"/>
                <w:lang w:val="en-US" w:eastAsia="zh-CN"/>
              </w:rPr>
              <w:t>调解：支持劳动争议案件在线申请、</w:t>
            </w:r>
            <w:r>
              <w:rPr>
                <w:rFonts w:hint="eastAsia" w:ascii="宋体" w:hAnsi="宋体" w:cs="宋体"/>
                <w:sz w:val="24"/>
                <w:szCs w:val="24"/>
                <w:highlight w:val="none"/>
                <w:lang w:val="en-US" w:eastAsia="zh-CN"/>
              </w:rPr>
              <w:t>审核调解</w:t>
            </w:r>
            <w:r>
              <w:rPr>
                <w:rFonts w:hint="eastAsia" w:ascii="宋体" w:hAnsi="宋体" w:eastAsia="宋体" w:cs="宋体"/>
                <w:sz w:val="24"/>
                <w:szCs w:val="24"/>
                <w:highlight w:val="none"/>
                <w:lang w:val="en-US" w:eastAsia="zh-CN"/>
              </w:rPr>
              <w:t>，需接入治理中心</w:t>
            </w:r>
            <w:r>
              <w:rPr>
                <w:rFonts w:hint="eastAsia" w:ascii="宋体" w:hAnsi="宋体" w:cs="宋体"/>
                <w:sz w:val="24"/>
                <w:szCs w:val="24"/>
                <w:highlight w:val="none"/>
                <w:lang w:val="en-US" w:eastAsia="zh-CN"/>
              </w:rPr>
              <w:t>进行跨部门处置</w:t>
            </w:r>
            <w:r>
              <w:rPr>
                <w:rFonts w:hint="eastAsia" w:ascii="宋体" w:hAnsi="宋体" w:eastAsia="宋体" w:cs="宋体"/>
                <w:sz w:val="24"/>
                <w:szCs w:val="24"/>
                <w:highlight w:val="none"/>
                <w:lang w:val="en-US" w:eastAsia="zh-CN"/>
              </w:rPr>
              <w:t>，并查阅处置情况。(1分)</w:t>
            </w:r>
          </w:p>
          <w:p w14:paraId="4BD73711">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2）法律援助管理：支持法律援助申请在线提交，</w:t>
            </w:r>
            <w:r>
              <w:rPr>
                <w:rFonts w:hint="eastAsia" w:ascii="宋体" w:hAnsi="宋体" w:cs="宋体"/>
                <w:sz w:val="24"/>
                <w:szCs w:val="24"/>
                <w:highlight w:val="none"/>
                <w:lang w:val="en-US" w:eastAsia="zh-CN"/>
              </w:rPr>
              <w:t>申请审核，</w:t>
            </w:r>
            <w:r>
              <w:rPr>
                <w:rFonts w:hint="eastAsia" w:ascii="宋体" w:hAnsi="宋体" w:eastAsia="宋体" w:cs="宋体"/>
                <w:sz w:val="24"/>
                <w:szCs w:val="24"/>
                <w:highlight w:val="none"/>
                <w:lang w:val="en-US" w:eastAsia="zh-CN"/>
              </w:rPr>
              <w:t>需接入治理中心进行跨部门处置，并查阅处置情况。(1分)</w:t>
            </w:r>
          </w:p>
          <w:p w14:paraId="387CF793">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积分服务全流程管理（3分）</w:t>
            </w:r>
          </w:p>
          <w:p w14:paraId="2F41BFAF">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积分综合管理：支持积分规则自定义（获取途径、积分值等），可记录用户积分获取与消耗明细。(1分)</w:t>
            </w:r>
          </w:p>
          <w:p w14:paraId="62B26500">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2）积分商城管理：支持爱心商家对商城商品（实物、服务）上架、信息编辑（名称、兑换积分、库存），可设置商品分类。(1分)</w:t>
            </w:r>
          </w:p>
          <w:p w14:paraId="608A2B7E">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3）积分结算管理：支持积分周期性清算、对账，可记录积分结算明细与异常处理情况。(1分)</w:t>
            </w:r>
          </w:p>
          <w:p w14:paraId="2819A319">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心理健康疏导管理（2分）</w:t>
            </w:r>
          </w:p>
          <w:p w14:paraId="5D3265BC">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1）心</w:t>
            </w:r>
            <w:r>
              <w:rPr>
                <w:rFonts w:hint="eastAsia" w:ascii="宋体" w:hAnsi="宋体" w:eastAsia="宋体" w:cs="宋体"/>
                <w:sz w:val="24"/>
                <w:szCs w:val="24"/>
                <w:highlight w:val="none"/>
                <w:lang w:val="en-US" w:eastAsia="zh-CN"/>
              </w:rPr>
              <w:t>理健康知识管理：支持心理健康知识（文章、视频、音频）的收集、审核与分类上架。(1分)</w:t>
            </w:r>
          </w:p>
          <w:p w14:paraId="7D546A97">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2）心理健康测评管理：支持智能心理测评，可自定义心理测评量表，配置测评结果，在线作答，实时记录答题过程。(1分)</w:t>
            </w:r>
          </w:p>
          <w:p w14:paraId="4BA80CBA">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学习成长空间管理（2分）</w:t>
            </w:r>
          </w:p>
          <w:p w14:paraId="0FB1DBE7">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知识库管理：支持学习知识（课程资料、行业资讯、技能手册）的收集、审核与更新，可对知识进行分类与检索。(1分)</w:t>
            </w:r>
          </w:p>
          <w:p w14:paraId="5F5CC970">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2）课时管理：支持课程课时设置（时长、学分）、学习进度跟踪，可记录用户课程学习情况。(1分)</w:t>
            </w:r>
          </w:p>
          <w:p w14:paraId="625F6176">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活动服务管理（3分）</w:t>
            </w:r>
          </w:p>
          <w:p w14:paraId="2232D29F">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活动申请管理：支持活动申请在线提交（活动主题、时间、地点、参与人数、举办单位等）。(1分)</w:t>
            </w:r>
          </w:p>
          <w:p w14:paraId="2670EDDA">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2）活动审批管理：支持对活动申请进行审核与反馈。(1分)</w:t>
            </w:r>
          </w:p>
          <w:p w14:paraId="3EE80D68">
            <w:pPr>
              <w:pStyle w:val="11"/>
              <w:numPr>
                <w:ilvl w:val="0"/>
                <w:numId w:val="0"/>
              </w:numPr>
              <w:spacing w:line="240" w:lineRule="auto"/>
              <w:rPr>
                <w:rFonts w:ascii="Segoe UI Emoji" w:hAnsi="Segoe UI Emoji" w:eastAsia="Segoe UI Emoji" w:cs="Segoe UI Emoji"/>
                <w:i w:val="0"/>
                <w:iCs w:val="0"/>
                <w:caps w:val="0"/>
                <w:color w:val="1F2329"/>
                <w:spacing w:val="0"/>
                <w:sz w:val="24"/>
                <w:szCs w:val="24"/>
                <w:highlight w:val="none"/>
                <w:shd w:val="clear" w:fill="EFF0F1"/>
              </w:rPr>
            </w:pPr>
            <w:r>
              <w:rPr>
                <w:rFonts w:hint="eastAsia" w:ascii="宋体" w:hAnsi="宋体" w:eastAsia="宋体" w:cs="宋体"/>
                <w:sz w:val="24"/>
                <w:szCs w:val="24"/>
                <w:highlight w:val="none"/>
                <w:lang w:val="en-US" w:eastAsia="zh-CN"/>
              </w:rPr>
              <w:t>3）活动综合管理：支持活动的人员报名、签到，支持对报名信息的区级跨部门跨街道审批（各单位通过区处置平台进行审批无需登录系统审批）</w:t>
            </w:r>
            <w:r>
              <w:rPr>
                <w:rFonts w:ascii="Segoe UI Emoji" w:hAnsi="Segoe UI Emoji" w:eastAsia="Segoe UI Emoji" w:cs="Segoe UI Emoji"/>
                <w:i w:val="0"/>
                <w:iCs w:val="0"/>
                <w:caps w:val="0"/>
                <w:color w:val="1F2329"/>
                <w:spacing w:val="0"/>
                <w:sz w:val="24"/>
                <w:szCs w:val="24"/>
                <w:highlight w:val="none"/>
                <w:shd w:val="clear" w:fill="EFF0F1"/>
              </w:rPr>
              <w:t>。</w:t>
            </w:r>
            <w:r>
              <w:rPr>
                <w:rFonts w:hint="eastAsia" w:ascii="宋体" w:hAnsi="宋体" w:cs="宋体"/>
                <w:sz w:val="24"/>
                <w:szCs w:val="24"/>
                <w:highlight w:val="none"/>
                <w:lang w:val="en-US" w:eastAsia="zh-CN"/>
              </w:rPr>
              <w:t>(1分)</w:t>
            </w:r>
          </w:p>
          <w:p w14:paraId="513298A8">
            <w:pPr>
              <w:pStyle w:val="11"/>
              <w:numPr>
                <w:ilvl w:val="0"/>
                <w:numId w:val="4"/>
              </w:numPr>
              <w:spacing w:line="240" w:lineRule="auto"/>
              <w:ind w:firstLine="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协同处置事件管理（2分）</w:t>
            </w:r>
          </w:p>
          <w:p w14:paraId="755303B1">
            <w:pPr>
              <w:pStyle w:val="11"/>
              <w:numPr>
                <w:ilvl w:val="0"/>
                <w:numId w:val="0"/>
              </w:numPr>
              <w:spacing w:line="240" w:lineRule="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1）社区前哨管</w:t>
            </w:r>
            <w:r>
              <w:rPr>
                <w:rFonts w:hint="eastAsia" w:ascii="宋体" w:hAnsi="宋体" w:eastAsia="宋体" w:cs="宋体"/>
                <w:sz w:val="24"/>
                <w:szCs w:val="24"/>
                <w:highlight w:val="none"/>
                <w:lang w:val="en-US" w:eastAsia="zh-CN"/>
              </w:rPr>
              <w:t>理：支持新就业群体发现问题（如安全隐患、民生需求）进行在线上报、信息登记（地点、描述、图片），可分类流转至141平台进行处置。(1分)</w:t>
            </w:r>
          </w:p>
          <w:p w14:paraId="1CFFCDCC">
            <w:pPr>
              <w:pStyle w:val="11"/>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2）救助帮扶管</w:t>
            </w:r>
            <w:r>
              <w:rPr>
                <w:rFonts w:hint="eastAsia" w:ascii="宋体" w:hAnsi="宋体" w:eastAsia="宋体" w:cs="宋体"/>
                <w:sz w:val="24"/>
                <w:szCs w:val="24"/>
                <w:highlight w:val="none"/>
                <w:lang w:val="en-US" w:eastAsia="zh-CN"/>
              </w:rPr>
              <w:t>理：支持帮扶对象申请、信息审核（困难情况、帮扶需求）。</w:t>
            </w:r>
          </w:p>
          <w:p w14:paraId="49572F5D">
            <w:pPr>
              <w:pStyle w:val="11"/>
              <w:numPr>
                <w:ilvl w:val="0"/>
                <w:numId w:val="0"/>
              </w:numPr>
              <w:spacing w:line="240" w:lineRule="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(1分)</w:t>
            </w:r>
          </w:p>
          <w:p w14:paraId="41EAE1DB">
            <w:pPr>
              <w:pStyle w:val="11"/>
              <w:numPr>
                <w:ilvl w:val="0"/>
                <w:numId w:val="0"/>
              </w:numPr>
              <w:spacing w:line="240" w:lineRule="auto"/>
              <w:rPr>
                <w:rFonts w:hint="default"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投标人能提供满足上述对应功能点要求的功能模块设计说明书</w:t>
            </w:r>
            <w:r>
              <w:rPr>
                <w:rFonts w:hint="eastAsia" w:ascii="宋体" w:hAnsi="宋体" w:cs="宋体"/>
                <w:sz w:val="24"/>
                <w:szCs w:val="24"/>
                <w:highlight w:val="none"/>
                <w:lang w:val="en-US" w:eastAsia="zh-CN"/>
              </w:rPr>
              <w:t>或</w:t>
            </w:r>
            <w:r>
              <w:rPr>
                <w:rFonts w:hint="eastAsia" w:ascii="宋体" w:hAnsi="宋体" w:eastAsia="宋体" w:cs="宋体"/>
                <w:sz w:val="24"/>
                <w:szCs w:val="24"/>
                <w:highlight w:val="none"/>
                <w:lang w:val="en-US" w:eastAsia="zh-CN"/>
              </w:rPr>
              <w:t>逻辑流程图，方案中功能</w:t>
            </w:r>
            <w:r>
              <w:rPr>
                <w:rFonts w:hint="eastAsia" w:ascii="宋体" w:hAnsi="宋体" w:cs="宋体"/>
                <w:sz w:val="24"/>
                <w:szCs w:val="24"/>
                <w:highlight w:val="none"/>
                <w:lang w:val="en-US" w:eastAsia="zh-CN"/>
              </w:rPr>
              <w:t>模块</w:t>
            </w:r>
            <w:r>
              <w:rPr>
                <w:rFonts w:hint="eastAsia" w:ascii="宋体" w:hAnsi="宋体" w:eastAsia="宋体" w:cs="宋体"/>
                <w:sz w:val="24"/>
                <w:szCs w:val="24"/>
                <w:highlight w:val="none"/>
                <w:lang w:val="en-US" w:eastAsia="zh-CN"/>
              </w:rPr>
              <w:t>设计完整</w:t>
            </w:r>
            <w:r>
              <w:rPr>
                <w:rFonts w:hint="eastAsia" w:ascii="宋体" w:hAnsi="宋体" w:cs="宋体"/>
                <w:sz w:val="24"/>
                <w:szCs w:val="24"/>
                <w:highlight w:val="none"/>
                <w:lang w:val="en-US" w:eastAsia="zh-CN"/>
              </w:rPr>
              <w:t>（包含上述所有功能点）</w:t>
            </w:r>
            <w:r>
              <w:rPr>
                <w:rFonts w:hint="eastAsia" w:ascii="宋体" w:hAnsi="宋体" w:eastAsia="宋体" w:cs="宋体"/>
                <w:sz w:val="24"/>
                <w:szCs w:val="24"/>
                <w:highlight w:val="none"/>
                <w:lang w:val="en-US" w:eastAsia="zh-CN"/>
              </w:rPr>
              <w:t>、逻辑清晰，符合需求得</w:t>
            </w:r>
            <w:r>
              <w:rPr>
                <w:rFonts w:hint="eastAsia" w:ascii="宋体" w:hAnsi="宋体" w:cs="宋体"/>
                <w:sz w:val="24"/>
                <w:szCs w:val="24"/>
                <w:highlight w:val="none"/>
                <w:lang w:val="en-US" w:eastAsia="zh-CN"/>
              </w:rPr>
              <w:t>1分，</w:t>
            </w:r>
            <w:r>
              <w:rPr>
                <w:rFonts w:hint="eastAsia" w:ascii="宋体" w:hAnsi="宋体" w:eastAsia="宋体" w:cs="宋体"/>
                <w:sz w:val="24"/>
                <w:szCs w:val="24"/>
                <w:highlight w:val="none"/>
                <w:lang w:val="en-US" w:eastAsia="zh-CN"/>
              </w:rPr>
              <w:t>存在部分缺失得</w:t>
            </w:r>
            <w:r>
              <w:rPr>
                <w:rFonts w:hint="eastAsia" w:ascii="宋体" w:hAnsi="宋体" w:cs="宋体"/>
                <w:sz w:val="24"/>
                <w:szCs w:val="24"/>
                <w:highlight w:val="none"/>
                <w:lang w:val="en-US" w:eastAsia="zh-CN"/>
              </w:rPr>
              <w:t>0.5</w:t>
            </w:r>
            <w:r>
              <w:rPr>
                <w:rFonts w:hint="eastAsia" w:ascii="宋体" w:hAnsi="宋体" w:eastAsia="宋体" w:cs="宋体"/>
                <w:sz w:val="24"/>
                <w:szCs w:val="24"/>
                <w:highlight w:val="none"/>
                <w:lang w:val="en-US" w:eastAsia="zh-CN"/>
              </w:rPr>
              <w:t>分</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严重不符不得分。</w:t>
            </w:r>
          </w:p>
        </w:tc>
        <w:tc>
          <w:tcPr>
            <w:tcW w:w="2722" w:type="dxa"/>
            <w:tcBorders>
              <w:left w:val="single" w:color="000000" w:sz="4" w:space="0"/>
              <w:right w:val="single" w:color="auto" w:sz="4" w:space="0"/>
            </w:tcBorders>
            <w:shd w:val="clear" w:color="auto" w:fill="auto"/>
            <w:vAlign w:val="center"/>
          </w:tcPr>
          <w:p w14:paraId="32DC1B8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提供应用详细建设方案，格式自定。</w:t>
            </w:r>
          </w:p>
        </w:tc>
      </w:tr>
      <w:tr w14:paraId="4673E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E599"/>
          <w:tblCellMar>
            <w:top w:w="0" w:type="dxa"/>
            <w:left w:w="108" w:type="dxa"/>
            <w:bottom w:w="0" w:type="dxa"/>
            <w:right w:w="108" w:type="dxa"/>
          </w:tblCellMar>
        </w:tblPrEx>
        <w:trPr>
          <w:trHeight w:val="23" w:hRule="atLeast"/>
          <w:jc w:val="center"/>
        </w:trPr>
        <w:tc>
          <w:tcPr>
            <w:tcW w:w="874" w:type="dxa"/>
            <w:vMerge w:val="continue"/>
            <w:tcBorders>
              <w:left w:val="single" w:color="000000" w:sz="4" w:space="0"/>
              <w:right w:val="single" w:color="000000" w:sz="4" w:space="0"/>
            </w:tcBorders>
            <w:shd w:val="clear" w:color="auto" w:fill="auto"/>
            <w:vAlign w:val="center"/>
          </w:tcPr>
          <w:p w14:paraId="3FDF3DB2">
            <w:pPr>
              <w:spacing w:line="240" w:lineRule="auto"/>
              <w:ind w:firstLine="0" w:firstLineChars="0"/>
              <w:jc w:val="center"/>
              <w:rPr>
                <w:rFonts w:hint="eastAsia" w:ascii="宋体" w:hAnsi="宋体" w:eastAsia="宋体" w:cs="宋体"/>
                <w:sz w:val="24"/>
                <w:szCs w:val="24"/>
                <w:highlight w:val="none"/>
                <w:lang w:eastAsia="zh-CN"/>
              </w:rPr>
            </w:pPr>
          </w:p>
        </w:tc>
        <w:tc>
          <w:tcPr>
            <w:tcW w:w="1258" w:type="dxa"/>
            <w:vMerge w:val="continue"/>
            <w:tcBorders>
              <w:left w:val="single" w:color="000000" w:sz="4" w:space="0"/>
              <w:right w:val="single" w:color="000000" w:sz="4" w:space="0"/>
            </w:tcBorders>
            <w:shd w:val="clear" w:color="auto" w:fill="auto"/>
            <w:vAlign w:val="center"/>
          </w:tcPr>
          <w:p w14:paraId="05B96557">
            <w:pPr>
              <w:spacing w:line="240" w:lineRule="auto"/>
              <w:ind w:firstLine="0" w:firstLineChars="0"/>
              <w:jc w:val="center"/>
              <w:rPr>
                <w:rFonts w:hint="eastAsia" w:ascii="宋体" w:hAnsi="宋体" w:eastAsia="宋体" w:cs="宋体"/>
                <w:sz w:val="24"/>
                <w:szCs w:val="24"/>
                <w:highlight w:val="none"/>
                <w:lang w:eastAsia="zh-CN"/>
              </w:rPr>
            </w:pPr>
          </w:p>
        </w:tc>
        <w:tc>
          <w:tcPr>
            <w:tcW w:w="1000" w:type="dxa"/>
            <w:tcBorders>
              <w:top w:val="single" w:color="auto" w:sz="4" w:space="0"/>
              <w:left w:val="single" w:color="000000" w:sz="4" w:space="0"/>
              <w:bottom w:val="single" w:color="auto" w:sz="4" w:space="0"/>
              <w:right w:val="single" w:color="000000" w:sz="4" w:space="0"/>
            </w:tcBorders>
            <w:shd w:val="clear" w:color="auto" w:fill="auto"/>
            <w:vAlign w:val="center"/>
          </w:tcPr>
          <w:p w14:paraId="6D53637B">
            <w:pPr>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系统演示（</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3A12BE">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1.爱心服务兑换管理（3分）</w:t>
            </w:r>
          </w:p>
          <w:p w14:paraId="33F12812">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1）演示用户如何获取积分：用户通过手机端根据积分项获取积分，并由管理员进行核定公示；</w:t>
            </w:r>
          </w:p>
          <w:p w14:paraId="0B904B42">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2）演示爱心服务兑换流程：在服务中心筛选相应服务，进入详情页进行兑换，并生成订单详情及兑换码；爱心商家进行订单核销。</w:t>
            </w:r>
          </w:p>
          <w:p w14:paraId="67BEA0FB">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3）演示爱心商家通过平台对用户的兑换码进行核销。</w:t>
            </w:r>
          </w:p>
          <w:p w14:paraId="6EA6276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能完整演示上述3项全部功能得3分，每少一项扣1分，未演示不得分。</w:t>
            </w:r>
          </w:p>
          <w:p w14:paraId="3A4651B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2.心理健康自我评估（3分）</w:t>
            </w:r>
          </w:p>
          <w:p w14:paraId="31452F7C">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1）展示用户查看心理测评问卷的界面，问卷以分类形式排列展示，查看心理测评问卷详情，呈现问卷介绍及测评相关温馨提示；</w:t>
            </w:r>
          </w:p>
          <w:p w14:paraId="39FE919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2）演示用户确认开始测评，答题过程中逐题提交答案，中途退出重新进入时，提示用户选择是否继续答题；</w:t>
            </w:r>
          </w:p>
          <w:p w14:paraId="7971F5FF">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3）展示用户完成测评后，输出测评结果，包括测评分数、结果解读及综合建议。</w:t>
            </w:r>
          </w:p>
          <w:p w14:paraId="2A727B2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能完整演示上述3项全部功能得3分，每少一项扣1分，未演示不得分。</w:t>
            </w:r>
          </w:p>
          <w:p w14:paraId="729705AA">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3.数字人在线咨询（2分）</w:t>
            </w:r>
          </w:p>
          <w:p w14:paraId="19BEB005">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1）演示数字人3D模型交互效果；</w:t>
            </w:r>
          </w:p>
          <w:p w14:paraId="7961DC45">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2）演示用户咨询政策问题，数字人能够返回准确答案；</w:t>
            </w:r>
          </w:p>
          <w:p w14:paraId="7AC7574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能完整演示上述2项全部功能得2分，每少一项扣1分，未演示不得分。</w:t>
            </w:r>
          </w:p>
          <w:p w14:paraId="3B9FC01D">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4.帮扶救助及争议调解（2分）</w:t>
            </w:r>
          </w:p>
          <w:p w14:paraId="6DFD5E9C">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1）演示用户申请帮扶救助相关事项及政策查阅；</w:t>
            </w:r>
          </w:p>
          <w:p w14:paraId="45575192">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2）演示用户申请争议调解的全流程和管理审核协同流程；</w:t>
            </w:r>
          </w:p>
          <w:p w14:paraId="10448D38">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能完整演示上述2项全部功能得2分，每少一项扣1分，未演示不得分。</w:t>
            </w:r>
          </w:p>
          <w:p w14:paraId="042E4BB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5.数据驾驶舱（5分）</w:t>
            </w:r>
          </w:p>
          <w:p w14:paraId="60715551">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1）展示新就业群体数据归集指标及数据，支持下钻至单个事件，呈现归集数据详情；​</w:t>
            </w:r>
          </w:p>
          <w:p w14:paraId="1A421909">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2）呈现新就业群体需求感知数据及指标，可查看权益维护、帮扶救助、成长空间等列表，下钻至单一事件详细信息；​</w:t>
            </w:r>
          </w:p>
          <w:p w14:paraId="502769C0">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3）呈现新就业群体一站式服务及核心指标，支持下钻至单个时间，呈现数据详细信息；​</w:t>
            </w:r>
          </w:p>
          <w:p w14:paraId="160C01E8">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4）呈现事件协同处置状态，下钻至单个事件并查看处置详情；​</w:t>
            </w:r>
          </w:p>
          <w:p w14:paraId="711F990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5）展示智能AI服务场景及指标，通过图形化分析服务趋势及数据，并呈现出热门问题及未响应问题数据。​</w:t>
            </w:r>
          </w:p>
          <w:p w14:paraId="5FD49EFB">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能完整演示上述5项全部功能得5分，每少一项扣1分，未演示不得分。</w:t>
            </w:r>
          </w:p>
        </w:tc>
        <w:tc>
          <w:tcPr>
            <w:tcW w:w="2722" w:type="dxa"/>
            <w:tcBorders>
              <w:left w:val="single" w:color="000000" w:sz="4" w:space="0"/>
              <w:right w:val="single" w:color="auto" w:sz="4" w:space="0"/>
            </w:tcBorders>
            <w:shd w:val="clear" w:color="auto" w:fill="auto"/>
            <w:vAlign w:val="center"/>
          </w:tcPr>
          <w:p w14:paraId="2F5136E7">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按递交投标文件的签到顺序进行演示，投标人可通过录制操作软件系统的视频或操作软件系统进行现场演示，演示的人数不超过2人，每位投标人演示时间不超过20分钟；依序收到演示通知5分钟后还未出现在演示现场的投标人，视为放弃演示。</w:t>
            </w:r>
          </w:p>
          <w:p w14:paraId="25D21D55">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2.投标人需自备现场述标所需设备及网络，提前进行软硬件运行环境配置。</w:t>
            </w:r>
          </w:p>
          <w:p w14:paraId="306E0487">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3.录制操作软件系统视频的投标人提供的U盘须无病毒，视频格式应为主流格式，若投标人提供的U盘不能正常播放由投标人自行承担相应责任。</w:t>
            </w:r>
          </w:p>
        </w:tc>
      </w:tr>
      <w:tr w14:paraId="47DA4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4" w:type="dxa"/>
            <w:vMerge w:val="restart"/>
            <w:tcBorders>
              <w:left w:val="single" w:color="000000" w:sz="4" w:space="0"/>
              <w:right w:val="single" w:color="000000" w:sz="4" w:space="0"/>
            </w:tcBorders>
            <w:shd w:val="clear" w:color="auto" w:fill="auto"/>
            <w:vAlign w:val="center"/>
          </w:tcPr>
          <w:p w14:paraId="2F013600">
            <w:pPr>
              <w:spacing w:line="240" w:lineRule="auto"/>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258" w:type="dxa"/>
            <w:vMerge w:val="restart"/>
            <w:tcBorders>
              <w:left w:val="single" w:color="000000" w:sz="4" w:space="0"/>
              <w:right w:val="single" w:color="000000" w:sz="4" w:space="0"/>
            </w:tcBorders>
            <w:shd w:val="clear" w:color="auto" w:fill="auto"/>
            <w:vAlign w:val="center"/>
          </w:tcPr>
          <w:p w14:paraId="27BD3718">
            <w:pPr>
              <w:spacing w:line="240" w:lineRule="auto"/>
              <w:ind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商务部分（15%）</w:t>
            </w:r>
          </w:p>
        </w:tc>
        <w:tc>
          <w:tcPr>
            <w:tcW w:w="1000" w:type="dxa"/>
            <w:tcBorders>
              <w:top w:val="single" w:color="auto" w:sz="4" w:space="0"/>
              <w:left w:val="single" w:color="000000" w:sz="4" w:space="0"/>
              <w:bottom w:val="single" w:color="auto" w:sz="4" w:space="0"/>
              <w:right w:val="single" w:color="000000" w:sz="4" w:space="0"/>
            </w:tcBorders>
            <w:shd w:val="clear" w:color="auto" w:fill="auto"/>
            <w:vAlign w:val="center"/>
          </w:tcPr>
          <w:p w14:paraId="3E8F4A2E">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组织管理</w:t>
            </w:r>
          </w:p>
          <w:p w14:paraId="63317BC2">
            <w:pPr>
              <w:spacing w:line="240" w:lineRule="auto"/>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5分</w:t>
            </w:r>
            <w:r>
              <w:rPr>
                <w:rFonts w:hint="eastAsia" w:ascii="宋体" w:hAnsi="宋体" w:eastAsia="宋体" w:cs="宋体"/>
                <w:sz w:val="24"/>
                <w:szCs w:val="24"/>
                <w:highlight w:val="none"/>
                <w:lang w:eastAsia="zh-CN"/>
              </w:rPr>
              <w:t>）</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62FB14BB">
            <w:pPr>
              <w:spacing w:line="24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投标人需根据本项目的实际情况编制组织管理方案，包含但不限于以下内容：</w:t>
            </w:r>
          </w:p>
          <w:p w14:paraId="470FCA23">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（1）组织架构与职责分工（2分，组织架构完整、职责分工明确得2分，不完整、不明确得1分，未提供不得分）；</w:t>
            </w:r>
          </w:p>
          <w:p w14:paraId="777FDA91">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（2）风险管理措施（3分，风险管理措施全面、有效性高得3分，措施不全面、有效性低得1.5分，未提供不得分）。</w:t>
            </w:r>
          </w:p>
        </w:tc>
        <w:tc>
          <w:tcPr>
            <w:tcW w:w="2722" w:type="dxa"/>
            <w:tcBorders>
              <w:left w:val="single" w:color="000000" w:sz="4" w:space="0"/>
              <w:right w:val="single" w:color="auto" w:sz="4" w:space="0"/>
            </w:tcBorders>
            <w:shd w:val="clear" w:color="auto" w:fill="auto"/>
            <w:vAlign w:val="center"/>
          </w:tcPr>
          <w:p w14:paraId="13133199">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提供应用详细项目组织管理方案，格式自定。</w:t>
            </w:r>
          </w:p>
        </w:tc>
      </w:tr>
      <w:tr w14:paraId="52FDD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4" w:type="dxa"/>
            <w:vMerge w:val="continue"/>
            <w:tcBorders>
              <w:left w:val="single" w:color="000000" w:sz="4" w:space="0"/>
              <w:right w:val="single" w:color="000000" w:sz="4" w:space="0"/>
            </w:tcBorders>
            <w:shd w:val="clear" w:color="auto" w:fill="auto"/>
            <w:vAlign w:val="center"/>
          </w:tcPr>
          <w:p w14:paraId="60C52B50">
            <w:pPr>
              <w:spacing w:line="240" w:lineRule="auto"/>
              <w:ind w:firstLine="0" w:firstLineChars="0"/>
              <w:jc w:val="center"/>
              <w:rPr>
                <w:rFonts w:hint="eastAsia" w:ascii="宋体" w:hAnsi="宋体" w:eastAsia="宋体" w:cs="宋体"/>
                <w:sz w:val="24"/>
                <w:szCs w:val="24"/>
                <w:highlight w:val="none"/>
                <w:lang w:val="en-US" w:eastAsia="zh-CN"/>
              </w:rPr>
            </w:pPr>
          </w:p>
        </w:tc>
        <w:tc>
          <w:tcPr>
            <w:tcW w:w="1258" w:type="dxa"/>
            <w:vMerge w:val="continue"/>
            <w:tcBorders>
              <w:left w:val="single" w:color="000000" w:sz="4" w:space="0"/>
              <w:right w:val="single" w:color="000000" w:sz="4" w:space="0"/>
            </w:tcBorders>
            <w:shd w:val="clear" w:color="auto" w:fill="auto"/>
            <w:vAlign w:val="center"/>
          </w:tcPr>
          <w:p w14:paraId="51BBD1BD">
            <w:pPr>
              <w:spacing w:line="240" w:lineRule="auto"/>
              <w:ind w:firstLine="0" w:firstLineChars="0"/>
              <w:jc w:val="center"/>
              <w:rPr>
                <w:rFonts w:hint="eastAsia" w:ascii="宋体" w:hAnsi="宋体" w:eastAsia="宋体" w:cs="宋体"/>
                <w:sz w:val="24"/>
                <w:szCs w:val="24"/>
                <w:highlight w:val="none"/>
                <w:lang w:val="en-US" w:eastAsia="zh-CN"/>
              </w:rPr>
            </w:pPr>
          </w:p>
        </w:tc>
        <w:tc>
          <w:tcPr>
            <w:tcW w:w="1000" w:type="dxa"/>
            <w:tcBorders>
              <w:top w:val="single" w:color="auto" w:sz="4" w:space="0"/>
              <w:left w:val="single" w:color="000000" w:sz="4" w:space="0"/>
              <w:bottom w:val="single" w:color="auto" w:sz="4" w:space="0"/>
              <w:right w:val="single" w:color="000000" w:sz="4" w:space="0"/>
            </w:tcBorders>
            <w:shd w:val="clear" w:color="auto" w:fill="auto"/>
            <w:vAlign w:val="center"/>
          </w:tcPr>
          <w:p w14:paraId="4CEA1FE7">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开发团队保障</w:t>
            </w:r>
          </w:p>
          <w:p w14:paraId="2FC09879">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4E8D0628">
            <w:pPr>
              <w:spacing w:line="240" w:lineRule="auto"/>
              <w:ind w:firstLine="0" w:firstLineChars="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1.拟派项目经理（1人）：</w:t>
            </w:r>
            <w:r>
              <w:rPr>
                <w:rFonts w:hint="eastAsia" w:ascii="宋体" w:hAnsi="宋体" w:eastAsia="宋体" w:cs="宋体"/>
                <w:sz w:val="24"/>
                <w:szCs w:val="24"/>
                <w:highlight w:val="none"/>
                <w:lang w:val="en-US" w:eastAsia="zh-CN"/>
              </w:rPr>
              <w:t>具有5年以上数字化项目管理经验</w:t>
            </w:r>
            <w:r>
              <w:rPr>
                <w:rFonts w:hint="default" w:ascii="宋体" w:hAnsi="宋体" w:eastAsia="宋体" w:cs="宋体"/>
                <w:sz w:val="24"/>
                <w:szCs w:val="24"/>
                <w:highlight w:val="none"/>
                <w:lang w:val="en-US" w:eastAsia="zh-CN"/>
              </w:rPr>
              <w:t>，得</w:t>
            </w:r>
            <w:r>
              <w:rPr>
                <w:rFonts w:hint="eastAsia" w:ascii="宋体" w:hAnsi="宋体" w:eastAsia="宋体" w:cs="宋体"/>
                <w:sz w:val="24"/>
                <w:szCs w:val="24"/>
                <w:highlight w:val="none"/>
                <w:lang w:val="en-US" w:eastAsia="zh-CN"/>
              </w:rPr>
              <w:t>1</w:t>
            </w:r>
            <w:r>
              <w:rPr>
                <w:rFonts w:hint="default" w:ascii="宋体" w:hAnsi="宋体" w:eastAsia="宋体" w:cs="宋体"/>
                <w:sz w:val="24"/>
                <w:szCs w:val="24"/>
                <w:highlight w:val="none"/>
                <w:lang w:val="en-US" w:eastAsia="zh-CN"/>
              </w:rPr>
              <w:t>分；</w:t>
            </w:r>
          </w:p>
          <w:p w14:paraId="1E287007">
            <w:pPr>
              <w:spacing w:line="240" w:lineRule="auto"/>
              <w:ind w:firstLine="0" w:firstLineChars="0"/>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2.拟派技术负责人</w:t>
            </w:r>
            <w:r>
              <w:rPr>
                <w:rFonts w:hint="eastAsia" w:ascii="宋体" w:hAnsi="宋体" w:eastAsia="宋体" w:cs="宋体"/>
                <w:sz w:val="24"/>
                <w:szCs w:val="24"/>
                <w:highlight w:val="none"/>
                <w:lang w:val="en-US" w:eastAsia="zh-CN"/>
              </w:rPr>
              <w:t>（1人）：具有3年以上数字化项目开发经验</w:t>
            </w:r>
            <w:r>
              <w:rPr>
                <w:rFonts w:hint="default" w:ascii="宋体" w:hAnsi="宋体" w:eastAsia="宋体" w:cs="宋体"/>
                <w:sz w:val="24"/>
                <w:szCs w:val="24"/>
                <w:highlight w:val="none"/>
                <w:lang w:val="en-US" w:eastAsia="zh-CN"/>
              </w:rPr>
              <w:t>，得</w:t>
            </w:r>
            <w:r>
              <w:rPr>
                <w:rFonts w:hint="eastAsia" w:ascii="宋体" w:hAnsi="宋体" w:eastAsia="宋体" w:cs="宋体"/>
                <w:sz w:val="24"/>
                <w:szCs w:val="24"/>
                <w:highlight w:val="none"/>
                <w:lang w:val="en-US" w:eastAsia="zh-CN"/>
              </w:rPr>
              <w:t>1</w:t>
            </w:r>
            <w:r>
              <w:rPr>
                <w:rFonts w:hint="default" w:ascii="宋体" w:hAnsi="宋体" w:eastAsia="宋体" w:cs="宋体"/>
                <w:sz w:val="24"/>
                <w:szCs w:val="24"/>
                <w:highlight w:val="none"/>
                <w:lang w:val="en-US" w:eastAsia="zh-CN"/>
              </w:rPr>
              <w:t>分</w:t>
            </w:r>
            <w:r>
              <w:rPr>
                <w:rFonts w:hint="eastAsia" w:ascii="宋体" w:hAnsi="宋体" w:eastAsia="宋体" w:cs="宋体"/>
                <w:sz w:val="24"/>
                <w:szCs w:val="24"/>
                <w:highlight w:val="none"/>
                <w:lang w:val="en-US" w:eastAsia="zh-CN"/>
              </w:rPr>
              <w:t>。</w:t>
            </w:r>
          </w:p>
          <w:p w14:paraId="6BF7FB09">
            <w:pPr>
              <w:spacing w:line="240" w:lineRule="auto"/>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3.其他拟派团队人员（不少于3人，项目经理和技术负责人除外）：每有1人具有相关项目经验得1分，此项最多得3分。</w:t>
            </w:r>
          </w:p>
        </w:tc>
        <w:tc>
          <w:tcPr>
            <w:tcW w:w="2722" w:type="dxa"/>
            <w:tcBorders>
              <w:left w:val="single" w:color="000000" w:sz="4" w:space="0"/>
              <w:right w:val="single" w:color="auto" w:sz="4" w:space="0"/>
            </w:tcBorders>
            <w:shd w:val="clear" w:color="auto" w:fill="auto"/>
            <w:vAlign w:val="center"/>
          </w:tcPr>
          <w:p w14:paraId="6B816DEC">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承诺函</w:t>
            </w:r>
            <w:r>
              <w:rPr>
                <w:rFonts w:hint="eastAsia" w:ascii="宋体" w:hAnsi="宋体" w:eastAsia="宋体" w:cs="宋体"/>
                <w:sz w:val="24"/>
                <w:szCs w:val="24"/>
                <w:highlight w:val="none"/>
                <w:lang w:eastAsia="zh-CN"/>
              </w:rPr>
              <w:t>并加盖供应商单位公章。</w:t>
            </w:r>
          </w:p>
        </w:tc>
      </w:tr>
      <w:tr w14:paraId="75118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4" w:type="dxa"/>
            <w:vMerge w:val="continue"/>
            <w:tcBorders>
              <w:left w:val="single" w:color="000000" w:sz="4" w:space="0"/>
              <w:right w:val="single" w:color="000000" w:sz="4" w:space="0"/>
            </w:tcBorders>
            <w:shd w:val="clear" w:color="auto" w:fill="auto"/>
            <w:vAlign w:val="center"/>
          </w:tcPr>
          <w:p w14:paraId="3C2448B2">
            <w:pPr>
              <w:spacing w:line="240" w:lineRule="auto"/>
              <w:ind w:firstLine="0" w:firstLineChars="0"/>
              <w:jc w:val="center"/>
              <w:rPr>
                <w:rFonts w:hint="eastAsia" w:ascii="宋体" w:hAnsi="宋体" w:eastAsia="宋体" w:cs="宋体"/>
                <w:sz w:val="24"/>
                <w:szCs w:val="24"/>
                <w:highlight w:val="none"/>
                <w:lang w:val="en-US" w:eastAsia="zh-CN"/>
              </w:rPr>
            </w:pPr>
          </w:p>
        </w:tc>
        <w:tc>
          <w:tcPr>
            <w:tcW w:w="1258" w:type="dxa"/>
            <w:vMerge w:val="continue"/>
            <w:tcBorders>
              <w:left w:val="single" w:color="000000" w:sz="4" w:space="0"/>
              <w:right w:val="single" w:color="000000" w:sz="4" w:space="0"/>
            </w:tcBorders>
            <w:shd w:val="clear" w:color="auto" w:fill="auto"/>
            <w:vAlign w:val="center"/>
          </w:tcPr>
          <w:p w14:paraId="078A474D">
            <w:pPr>
              <w:spacing w:line="240" w:lineRule="auto"/>
              <w:ind w:firstLine="0" w:firstLineChars="0"/>
              <w:jc w:val="center"/>
              <w:rPr>
                <w:rFonts w:hint="eastAsia" w:ascii="宋体" w:hAnsi="宋体" w:eastAsia="宋体" w:cs="宋体"/>
                <w:sz w:val="24"/>
                <w:szCs w:val="24"/>
                <w:highlight w:val="none"/>
                <w:lang w:val="en-US" w:eastAsia="zh-CN"/>
              </w:rPr>
            </w:pPr>
          </w:p>
        </w:tc>
        <w:tc>
          <w:tcPr>
            <w:tcW w:w="1000" w:type="dxa"/>
            <w:tcBorders>
              <w:top w:val="single" w:color="auto" w:sz="4" w:space="0"/>
              <w:left w:val="single" w:color="000000" w:sz="4" w:space="0"/>
              <w:bottom w:val="single" w:color="auto" w:sz="4" w:space="0"/>
              <w:right w:val="single" w:color="000000" w:sz="4" w:space="0"/>
            </w:tcBorders>
            <w:shd w:val="clear" w:color="auto" w:fill="auto"/>
            <w:vAlign w:val="center"/>
          </w:tcPr>
          <w:p w14:paraId="7A3878C0">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业绩</w:t>
            </w:r>
          </w:p>
          <w:p w14:paraId="74DEFF91">
            <w:pPr>
              <w:spacing w:line="240" w:lineRule="auto"/>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（5分）</w:t>
            </w:r>
          </w:p>
        </w:tc>
        <w:tc>
          <w:tcPr>
            <w:tcW w:w="4023" w:type="dxa"/>
            <w:tcBorders>
              <w:top w:val="single" w:color="000000" w:sz="4" w:space="0"/>
              <w:left w:val="single" w:color="000000" w:sz="4" w:space="0"/>
              <w:bottom w:val="single" w:color="000000" w:sz="4" w:space="0"/>
              <w:right w:val="single" w:color="auto" w:sz="4" w:space="0"/>
            </w:tcBorders>
            <w:shd w:val="clear" w:color="auto" w:fill="auto"/>
            <w:vAlign w:val="center"/>
          </w:tcPr>
          <w:p w14:paraId="6F8FEE46">
            <w:pPr>
              <w:spacing w:line="240" w:lineRule="auto"/>
              <w:ind w:firstLine="0" w:firstLineChars="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投标人提供自2022年1月1日起至今（以合同签订时间为准）</w:t>
            </w:r>
            <w:r>
              <w:rPr>
                <w:rFonts w:hint="eastAsia" w:ascii="宋体" w:hAnsi="宋体" w:eastAsia="宋体" w:cs="宋体"/>
                <w:sz w:val="24"/>
                <w:szCs w:val="24"/>
                <w:highlight w:val="none"/>
                <w:lang w:val="en-US" w:eastAsia="zh-CN"/>
              </w:rPr>
              <w:t>的软件开发或信息系统集成服务同类项目</w:t>
            </w:r>
            <w:r>
              <w:rPr>
                <w:rFonts w:hint="default" w:ascii="宋体" w:hAnsi="宋体" w:eastAsia="宋体" w:cs="宋体"/>
                <w:sz w:val="24"/>
                <w:szCs w:val="24"/>
                <w:highlight w:val="none"/>
                <w:lang w:val="en-US" w:eastAsia="zh-CN"/>
              </w:rPr>
              <w:t>业绩，每提供一个得2</w:t>
            </w:r>
            <w:r>
              <w:rPr>
                <w:rFonts w:hint="eastAsia" w:ascii="宋体" w:hAnsi="宋体" w:eastAsia="宋体" w:cs="宋体"/>
                <w:sz w:val="24"/>
                <w:szCs w:val="24"/>
                <w:highlight w:val="none"/>
                <w:lang w:val="en-US" w:eastAsia="zh-CN"/>
              </w:rPr>
              <w:t>.5</w:t>
            </w:r>
            <w:r>
              <w:rPr>
                <w:rFonts w:hint="default" w:ascii="宋体" w:hAnsi="宋体" w:eastAsia="宋体" w:cs="宋体"/>
                <w:sz w:val="24"/>
                <w:szCs w:val="24"/>
                <w:highlight w:val="none"/>
                <w:lang w:val="en-US" w:eastAsia="zh-CN"/>
              </w:rPr>
              <w:t>分，本项最多得</w:t>
            </w:r>
            <w:r>
              <w:rPr>
                <w:rFonts w:hint="eastAsia" w:ascii="宋体" w:hAnsi="宋体" w:eastAsia="宋体" w:cs="宋体"/>
                <w:sz w:val="24"/>
                <w:szCs w:val="24"/>
                <w:highlight w:val="none"/>
                <w:lang w:val="en-US" w:eastAsia="zh-CN"/>
              </w:rPr>
              <w:t>5</w:t>
            </w:r>
            <w:r>
              <w:rPr>
                <w:rFonts w:hint="default" w:ascii="宋体" w:hAnsi="宋体" w:eastAsia="宋体" w:cs="宋体"/>
                <w:sz w:val="24"/>
                <w:szCs w:val="24"/>
                <w:highlight w:val="none"/>
                <w:lang w:val="en-US" w:eastAsia="zh-CN"/>
              </w:rPr>
              <w:t>分。</w:t>
            </w:r>
          </w:p>
          <w:p w14:paraId="4278D73E">
            <w:pPr>
              <w:spacing w:line="240" w:lineRule="auto"/>
              <w:ind w:firstLine="0" w:firstLineChars="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同类项目</w:t>
            </w:r>
            <w:r>
              <w:rPr>
                <w:rFonts w:hint="eastAsia" w:ascii="宋体" w:hAnsi="宋体" w:eastAsia="宋体" w:cs="宋体"/>
                <w:sz w:val="24"/>
                <w:szCs w:val="24"/>
                <w:highlight w:val="none"/>
                <w:lang w:val="en-US" w:eastAsia="zh-CN"/>
              </w:rPr>
              <w:t>：包含定制化软件开发或多部门数据对接的服务项目。</w:t>
            </w:r>
          </w:p>
        </w:tc>
        <w:tc>
          <w:tcPr>
            <w:tcW w:w="2722" w:type="dxa"/>
            <w:tcBorders>
              <w:left w:val="single" w:color="000000" w:sz="4" w:space="0"/>
              <w:right w:val="single" w:color="auto" w:sz="4" w:space="0"/>
            </w:tcBorders>
            <w:shd w:val="clear" w:color="auto" w:fill="auto"/>
            <w:vAlign w:val="center"/>
          </w:tcPr>
          <w:p w14:paraId="1CD02724">
            <w:pPr>
              <w:spacing w:line="24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提供合同（或协议书）</w:t>
            </w:r>
            <w:r>
              <w:rPr>
                <w:rFonts w:hint="eastAsia" w:ascii="宋体" w:hAnsi="宋体" w:eastAsia="宋体" w:cs="宋体"/>
                <w:sz w:val="24"/>
                <w:szCs w:val="24"/>
                <w:highlight w:val="none"/>
                <w:lang w:val="en-US" w:eastAsia="zh-CN"/>
              </w:rPr>
              <w:t>关键页（含项目名称、服务内容、签订时间）</w:t>
            </w:r>
            <w:r>
              <w:rPr>
                <w:rFonts w:hint="eastAsia" w:ascii="宋体" w:hAnsi="宋体" w:eastAsia="宋体" w:cs="宋体"/>
                <w:sz w:val="24"/>
                <w:szCs w:val="24"/>
                <w:highlight w:val="none"/>
                <w:lang w:eastAsia="zh-CN"/>
              </w:rPr>
              <w:t>复印件并加盖</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单位公章。</w:t>
            </w:r>
          </w:p>
        </w:tc>
      </w:tr>
    </w:tbl>
    <w:p w14:paraId="445223A6">
      <w:pPr>
        <w:ind w:firstLine="0" w:firstLineChars="0"/>
        <w:rPr>
          <w:rFonts w:hint="eastAsia" w:ascii="宋体" w:hAnsi="宋体" w:eastAsia="宋体" w:cs="宋体"/>
          <w:sz w:val="24"/>
          <w:szCs w:val="24"/>
          <w:highlight w:val="none"/>
          <w:lang w:eastAsia="zh-CN"/>
        </w:rPr>
      </w:pPr>
    </w:p>
    <w:p w14:paraId="2A20C04F">
      <w:pPr>
        <w:ind w:firstLine="640"/>
        <w:rPr>
          <w:rFonts w:hint="eastAsia" w:ascii="宋体" w:hAnsi="宋体" w:eastAsia="宋体" w:cs="宋体"/>
          <w:sz w:val="22"/>
          <w:szCs w:val="22"/>
          <w:highlight w:val="none"/>
          <w:lang w:eastAsia="zh-CN"/>
        </w:rPr>
      </w:pPr>
      <w:bookmarkStart w:id="190" w:name="_Toc492721018"/>
      <w:r>
        <w:rPr>
          <w:rFonts w:hint="eastAsia" w:ascii="宋体" w:hAnsi="宋体" w:eastAsia="宋体" w:cs="宋体"/>
          <w:sz w:val="22"/>
          <w:szCs w:val="22"/>
          <w:highlight w:val="none"/>
          <w:lang w:eastAsia="zh-CN"/>
        </w:rPr>
        <w:t>说明：评标委员会认为投标人的报价明显低于其他通过符合性审查投标人的报价，有可能影响产品质量或者不能诚信履约的，应当要求其在评标现场合理的时间内在线提供书面说明，必要时提交相关证明材料电子档（PDF格式）；投标人不能证明其报价合理性的，评标委员会应当将其作为无效投标处理。</w:t>
      </w:r>
    </w:p>
    <w:p w14:paraId="7C6D3B6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“明显低于其他通过符合性审查投标人的报价”</w:t>
      </w:r>
      <w:r>
        <w:rPr>
          <w:rFonts w:hint="eastAsia" w:ascii="宋体" w:hAnsi="宋体" w:eastAsia="宋体" w:cs="宋体"/>
          <w:sz w:val="24"/>
          <w:szCs w:val="24"/>
          <w:highlight w:val="none"/>
          <w:lang w:val="en-US" w:eastAsia="zh-CN"/>
        </w:rPr>
        <w:t>的评定标准</w:t>
      </w:r>
      <w:r>
        <w:rPr>
          <w:rFonts w:hint="eastAsia" w:ascii="宋体" w:hAnsi="宋体" w:eastAsia="宋体" w:cs="宋体"/>
          <w:sz w:val="24"/>
          <w:szCs w:val="24"/>
          <w:highlight w:val="none"/>
          <w:lang w:eastAsia="zh-CN"/>
        </w:rPr>
        <w:t>：（一）投标报价低于全部通过符合性审查供应商投标报价平均值50%的，即投标报价</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全部通过符合性审查供应商投标报价平均值×50%；（二）投标报价低于采购项目最高限价45%的，即投标报价&lt;采购项目最高限价×45%；（</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）其他评审委员会认为供应商报价过低，有可能影响产品质量或者不能诚信履约的情形。</w:t>
      </w:r>
    </w:p>
    <w:p w14:paraId="3D7DC127">
      <w:pPr>
        <w:ind w:firstLine="64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（二）关于小微企业报价扣除比例说明</w:t>
      </w:r>
    </w:p>
    <w:p w14:paraId="0A6EFCE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1.投标人为非联合体投标的，对 服务的承接企业 为小微型企业给予 10 %的扣除，以扣除后的报价参与评审。</w:t>
      </w:r>
    </w:p>
    <w:p w14:paraId="6586588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2.监狱企业、残疾人福利性单位视同小型、微型企业，投标人应提供《中小微企业声明函》（详见第七篇附表格式）。</w:t>
      </w:r>
    </w:p>
    <w:p w14:paraId="02A32AA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投标报价政策性扣减是指对小型和微型企业产品的价格给予的扣除。中小企业应当按照《中小企业划型标准规定》（工信部联企业〔2011〕300号），如实填写并提交《中小企业声明函》（详见第七篇附表格式），否则不予认定。</w:t>
      </w:r>
    </w:p>
    <w:p w14:paraId="6D44558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p>
    <w:p w14:paraId="2472E30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（1）对于中标小微企业，在评审过程中按照政府采购政策享受了报价扣除的，中标结果公告中应公告 服务的承接企业 企业类型。</w:t>
      </w:r>
    </w:p>
    <w:p w14:paraId="4CEE4BC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（2）对于未如实填写《中小微企业声明函》的投标人，一经查实，将按照《中华人民共和国政府采购法》及其实施条例进行严肃处罚。</w:t>
      </w:r>
    </w:p>
    <w:p w14:paraId="43FD012D">
      <w:pPr>
        <w:ind w:firstLine="640"/>
        <w:rPr>
          <w:rFonts w:hint="eastAsia" w:ascii="宋体" w:hAnsi="宋体" w:eastAsia="宋体" w:cs="宋体"/>
          <w:sz w:val="24"/>
          <w:szCs w:val="24"/>
          <w:highlight w:val="none"/>
          <w:lang w:eastAsia="zh-CN"/>
        </w:rPr>
      </w:pPr>
    </w:p>
    <w:p w14:paraId="4793BBB2">
      <w:pPr>
        <w:pStyle w:val="3"/>
        <w:ind w:firstLine="640"/>
        <w:rPr>
          <w:rFonts w:hint="eastAsia" w:ascii="宋体" w:hAnsi="宋体" w:eastAsia="宋体" w:cs="宋体"/>
          <w:highlight w:val="none"/>
          <w:lang w:eastAsia="zh-CN"/>
        </w:rPr>
      </w:pPr>
      <w:bookmarkStart w:id="191" w:name="_Toc26889"/>
      <w:bookmarkStart w:id="192" w:name="_Toc1821"/>
      <w:bookmarkStart w:id="193" w:name="_Toc12239"/>
      <w:r>
        <w:rPr>
          <w:rFonts w:hint="eastAsia" w:ascii="宋体" w:hAnsi="宋体" w:eastAsia="宋体" w:cs="宋体"/>
          <w:highlight w:val="none"/>
          <w:lang w:eastAsia="zh-CN"/>
        </w:rPr>
        <w:t>四、无效投标条款</w:t>
      </w:r>
      <w:bookmarkEnd w:id="190"/>
      <w:bookmarkEnd w:id="191"/>
      <w:bookmarkEnd w:id="192"/>
      <w:bookmarkEnd w:id="193"/>
    </w:p>
    <w:p w14:paraId="7377B5F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投标人或其电子投标文件出现下列情况之一者，为无效投标：</w:t>
      </w:r>
    </w:p>
    <w:p w14:paraId="088A088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（一）未按照招标文件的规定提交投标保证金的（如有）</w:t>
      </w:r>
    </w:p>
    <w:p w14:paraId="237BA10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（二）电子投标文件未按招标文件要求签署、盖章的；</w:t>
      </w:r>
    </w:p>
    <w:p w14:paraId="1946BB2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（三）不具备招标文件中规定的资格要求的；</w:t>
      </w:r>
    </w:p>
    <w:p w14:paraId="5F702EE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（四）报价超过招标文件中规定的预算金额或者最高限价的；</w:t>
      </w:r>
    </w:p>
    <w:p w14:paraId="47FA351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（五）电子投标文件含有采购人不能接受的附加条件的；</w:t>
      </w:r>
    </w:p>
    <w:p w14:paraId="5586C19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（六）投标人串通投标的；</w:t>
      </w:r>
    </w:p>
    <w:p w14:paraId="587692C1">
      <w:pPr>
        <w:ind w:firstLine="640"/>
        <w:rPr>
          <w:rFonts w:hint="eastAsia" w:ascii="宋体" w:hAnsi="宋体" w:eastAsia="宋体" w:cs="宋体"/>
          <w:sz w:val="24"/>
          <w:szCs w:val="24"/>
          <w:highlight w:val="none"/>
          <w:lang w:eastAsia="zh-TW"/>
        </w:rPr>
      </w:pPr>
      <w:r>
        <w:rPr>
          <w:rFonts w:hint="eastAsia" w:ascii="宋体" w:hAnsi="宋体" w:eastAsia="宋体" w:cs="宋体"/>
          <w:sz w:val="24"/>
          <w:szCs w:val="24"/>
          <w:highlight w:val="none"/>
          <w:lang w:eastAsia="zh-CN"/>
        </w:rPr>
        <w:t>（七）投标人组成联合体投标的（不接受联合体投标时适用）；</w:t>
      </w:r>
    </w:p>
    <w:p w14:paraId="5627BBF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（八）法律、法规和招标文件规定的其他无效情形。</w:t>
      </w:r>
    </w:p>
    <w:p w14:paraId="7FE43853">
      <w:pPr>
        <w:pStyle w:val="3"/>
        <w:ind w:firstLine="640"/>
        <w:rPr>
          <w:rFonts w:hint="eastAsia" w:ascii="宋体" w:hAnsi="宋体" w:eastAsia="宋体" w:cs="宋体"/>
          <w:highlight w:val="none"/>
          <w:lang w:eastAsia="zh-CN"/>
        </w:rPr>
      </w:pPr>
      <w:bookmarkStart w:id="194" w:name="_Toc492721019"/>
      <w:bookmarkStart w:id="195" w:name="_Toc10378"/>
      <w:bookmarkStart w:id="196" w:name="_Toc13660"/>
      <w:bookmarkStart w:id="197" w:name="_Toc10298"/>
      <w:r>
        <w:rPr>
          <w:rFonts w:hint="eastAsia" w:ascii="宋体" w:hAnsi="宋体" w:eastAsia="宋体" w:cs="宋体"/>
          <w:highlight w:val="none"/>
          <w:lang w:eastAsia="zh-CN"/>
        </w:rPr>
        <w:t>五、废标条款</w:t>
      </w:r>
      <w:bookmarkEnd w:id="194"/>
      <w:bookmarkEnd w:id="195"/>
      <w:bookmarkEnd w:id="196"/>
      <w:bookmarkEnd w:id="197"/>
    </w:p>
    <w:p w14:paraId="7DCDE1E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在招标采购中，出现下列情形之一的，应予废标：</w:t>
      </w:r>
    </w:p>
    <w:p w14:paraId="453F496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（一）符合专业条件的投标人或者对招标文件作实质响应的投标人不足三家的；</w:t>
      </w:r>
    </w:p>
    <w:p w14:paraId="10F3B19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（二）投标人的报价均超过了采购预算，采购人不能支付的；</w:t>
      </w:r>
    </w:p>
    <w:p w14:paraId="693DDE3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（三）出现影响采购公正的违法、违规行为的；</w:t>
      </w:r>
    </w:p>
    <w:p w14:paraId="0CC14A9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（四）因重大变故，采购任务取消的。</w:t>
      </w:r>
    </w:p>
    <w:p w14:paraId="5ACCB182">
      <w:pPr>
        <w:ind w:firstLine="64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12" w:charSpace="0"/>
        </w:sectPr>
      </w:pPr>
      <w:r>
        <w:rPr>
          <w:rFonts w:hint="eastAsia" w:ascii="宋体" w:hAnsi="宋体" w:eastAsia="宋体" w:cs="宋体"/>
          <w:sz w:val="24"/>
          <w:szCs w:val="24"/>
          <w:highlight w:val="none"/>
          <w:lang w:eastAsia="zh-CN"/>
        </w:rPr>
        <w:t>废标后，除采购任务取消情形外，应当重新组织采购。</w:t>
      </w:r>
    </w:p>
    <w:p w14:paraId="6C79D539">
      <w:pPr>
        <w:pStyle w:val="2"/>
        <w:rPr>
          <w:highlight w:val="none"/>
          <w:lang w:eastAsia="zh-CN"/>
        </w:rPr>
      </w:pPr>
      <w:bookmarkStart w:id="198" w:name="_Toc9240"/>
      <w:bookmarkStart w:id="199" w:name="_Toc2129"/>
      <w:bookmarkStart w:id="200" w:name="_Toc11388"/>
      <w:r>
        <w:rPr>
          <w:rFonts w:hint="eastAsia"/>
          <w:highlight w:val="none"/>
          <w:lang w:eastAsia="zh-CN"/>
        </w:rPr>
        <w:t>第五篇  投标人须知</w:t>
      </w:r>
      <w:bookmarkEnd w:id="198"/>
      <w:bookmarkEnd w:id="199"/>
      <w:bookmarkEnd w:id="200"/>
    </w:p>
    <w:p w14:paraId="7364F514">
      <w:pPr>
        <w:pStyle w:val="3"/>
        <w:ind w:firstLine="640"/>
        <w:rPr>
          <w:rFonts w:hint="eastAsia" w:ascii="宋体" w:hAnsi="宋体" w:eastAsia="宋体" w:cs="宋体"/>
          <w:b/>
          <w:bCs w:val="0"/>
          <w:sz w:val="24"/>
          <w:szCs w:val="24"/>
          <w:highlight w:val="none"/>
          <w:lang w:eastAsia="zh-CN"/>
        </w:rPr>
      </w:pPr>
      <w:bookmarkStart w:id="201" w:name="_Toc6289"/>
      <w:bookmarkStart w:id="202" w:name="_Toc24899"/>
      <w:bookmarkStart w:id="203" w:name="_Toc21701"/>
      <w:r>
        <w:rPr>
          <w:rFonts w:hint="eastAsia" w:ascii="宋体" w:hAnsi="宋体" w:eastAsia="宋体" w:cs="宋体"/>
          <w:b/>
          <w:bCs w:val="0"/>
          <w:sz w:val="24"/>
          <w:szCs w:val="24"/>
          <w:highlight w:val="none"/>
          <w:lang w:eastAsia="zh-CN"/>
        </w:rPr>
        <w:t>一、投标人</w:t>
      </w:r>
      <w:bookmarkEnd w:id="201"/>
      <w:bookmarkEnd w:id="202"/>
      <w:bookmarkEnd w:id="203"/>
    </w:p>
    <w:p w14:paraId="0ED4F10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（一）投标人</w:t>
      </w:r>
    </w:p>
    <w:p w14:paraId="32D792B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投标人是指响应招标、参加投标竞争的法人、其他组织或者自然人。</w:t>
      </w:r>
    </w:p>
    <w:p w14:paraId="2452353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（二）合格投标人条件</w:t>
      </w:r>
    </w:p>
    <w:p w14:paraId="16EA744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合格投标人应完全符合招标文件第一篇中规定的投标人资格条件，并对招标文件作出实质性响应。</w:t>
      </w:r>
    </w:p>
    <w:p w14:paraId="7DB96C4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（三）投标人的风险</w:t>
      </w:r>
    </w:p>
    <w:p w14:paraId="011DE6E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投标人没有按照招标文件要求提供全部资料，或者投标人没有对招标文件在各方面作出实质性响应，可能导致投标被拒绝或评定为无效投标。</w:t>
      </w:r>
    </w:p>
    <w:p w14:paraId="1DFEDF8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（四）法律责任</w:t>
      </w:r>
    </w:p>
    <w:p w14:paraId="024DE52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投标人违反《中华人民共和国政府采购法》、《中华人民共和国政府采购实施条例》等相关规定，将按规定追究投标人法律责任。</w:t>
      </w:r>
    </w:p>
    <w:p w14:paraId="4C4302B7">
      <w:pPr>
        <w:pStyle w:val="3"/>
        <w:ind w:firstLine="640"/>
        <w:rPr>
          <w:rFonts w:hint="eastAsia" w:ascii="宋体" w:hAnsi="宋体" w:eastAsia="宋体" w:cs="宋体"/>
          <w:b/>
          <w:bCs w:val="0"/>
          <w:sz w:val="24"/>
          <w:szCs w:val="24"/>
          <w:highlight w:val="none"/>
          <w:lang w:eastAsia="zh-CN"/>
        </w:rPr>
      </w:pPr>
      <w:bookmarkStart w:id="204" w:name="_Toc31900"/>
      <w:bookmarkStart w:id="205" w:name="_Toc17473"/>
      <w:bookmarkStart w:id="206" w:name="_Toc10542"/>
      <w:r>
        <w:rPr>
          <w:rFonts w:hint="eastAsia" w:ascii="宋体" w:hAnsi="宋体" w:eastAsia="宋体" w:cs="宋体"/>
          <w:b/>
          <w:bCs w:val="0"/>
          <w:sz w:val="24"/>
          <w:szCs w:val="24"/>
          <w:highlight w:val="none"/>
          <w:lang w:eastAsia="zh-CN"/>
        </w:rPr>
        <w:t>二、招标文件</w:t>
      </w:r>
      <w:bookmarkEnd w:id="204"/>
      <w:bookmarkEnd w:id="205"/>
      <w:bookmarkEnd w:id="206"/>
    </w:p>
    <w:p w14:paraId="5E42AFD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招标文件是投标人编制电子投标文件的依据，是评标委员会评判依据和标准。招标文件也是采购人与中标人签订合同的基础。</w:t>
      </w:r>
    </w:p>
    <w:p w14:paraId="488103C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（一）招标文件由投标邀请书；项目技术（服务）需求；项目商务需求；投标人须知；评标方法、评标标准、无效投标条款和废标条款；合同主要条款、合同范本；电子投标文件格式等七部分组成。</w:t>
      </w:r>
    </w:p>
    <w:p w14:paraId="2BF594F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（二）采购人或采购代理机构对招标文件所作的一切有效的书面通知、修改及补充，都是招标文件不可分割的部分。</w:t>
      </w:r>
    </w:p>
    <w:p w14:paraId="4A67588C">
      <w:pPr>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三）本项目的招标文件、补遗文件（如果有）一律在重庆市政府采购网（ccgp-chongqing.gov.cn）和重庆市公共资源交易网（渝北区）（https://www.cqggzy.com/yubeiweb/）上发布，请各投标人注意在线获取招标文件的时间、方式（请参考第一篇第四条“投标、开标有关说明”）和下载流程；无论投标人在线获取和下载与否，均视同投标人已知晓本项目招标文件、补遗文件（如果有）的内容。</w:t>
      </w:r>
    </w:p>
    <w:p w14:paraId="12EB69A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（四）采购人或采购代理机构对已发出的招标文件需要进行澄清或修改的，应以公告形式通知所有招标文件收受人。该澄清或者修改的内容为招标文件的组成部分。</w:t>
      </w:r>
    </w:p>
    <w:p w14:paraId="5E43B475">
      <w:pPr>
        <w:pStyle w:val="3"/>
        <w:ind w:left="0" w:leftChars="0" w:firstLine="482" w:firstLineChars="200"/>
        <w:rPr>
          <w:rFonts w:hint="eastAsia" w:ascii="宋体" w:hAnsi="宋体" w:eastAsia="宋体" w:cs="宋体"/>
          <w:b/>
          <w:bCs w:val="0"/>
          <w:sz w:val="24"/>
          <w:szCs w:val="24"/>
          <w:highlight w:val="none"/>
          <w:lang w:eastAsia="zh-CN"/>
        </w:rPr>
      </w:pPr>
      <w:bookmarkStart w:id="207" w:name="_Toc7970"/>
      <w:bookmarkStart w:id="208" w:name="_Toc32422"/>
      <w:bookmarkStart w:id="209" w:name="_Toc28343"/>
      <w:bookmarkStart w:id="210" w:name="_Toc148964658"/>
      <w:bookmarkStart w:id="211" w:name="_Toc16540"/>
      <w:bookmarkStart w:id="212" w:name="_Toc24323"/>
      <w:r>
        <w:rPr>
          <w:rFonts w:hint="eastAsia" w:ascii="宋体" w:hAnsi="宋体" w:eastAsia="宋体" w:cs="宋体"/>
          <w:b/>
          <w:bCs w:val="0"/>
          <w:sz w:val="24"/>
          <w:szCs w:val="24"/>
          <w:highlight w:val="none"/>
          <w:lang w:eastAsia="zh-CN"/>
        </w:rPr>
        <w:t>三、电子投标文件</w:t>
      </w:r>
      <w:bookmarkEnd w:id="207"/>
      <w:bookmarkEnd w:id="208"/>
      <w:bookmarkEnd w:id="209"/>
      <w:bookmarkEnd w:id="210"/>
      <w:bookmarkEnd w:id="211"/>
      <w:bookmarkEnd w:id="212"/>
    </w:p>
    <w:p w14:paraId="04A3C18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投标人应当按照招标文件的要求编制电子投标文件，并对招标文件提出的要求和条件作出实质性响应，电子投标文件</w:t>
      </w:r>
      <w:bookmarkStart w:id="213" w:name="_Hlk148269444"/>
      <w:r>
        <w:rPr>
          <w:rFonts w:hint="eastAsia" w:ascii="宋体" w:hAnsi="宋体" w:eastAsia="宋体" w:cs="宋体"/>
          <w:sz w:val="24"/>
          <w:szCs w:val="24"/>
          <w:highlight w:val="none"/>
          <w:lang w:eastAsia="zh-CN"/>
        </w:rPr>
        <w:t>应编制完整的页码、目录</w:t>
      </w:r>
      <w:bookmarkEnd w:id="213"/>
      <w:r>
        <w:rPr>
          <w:rFonts w:hint="eastAsia" w:ascii="宋体" w:hAnsi="宋体" w:eastAsia="宋体" w:cs="宋体"/>
          <w:sz w:val="24"/>
          <w:szCs w:val="24"/>
          <w:highlight w:val="none"/>
          <w:lang w:eastAsia="zh-CN"/>
        </w:rPr>
        <w:t>。</w:t>
      </w:r>
    </w:p>
    <w:p w14:paraId="2CB65A0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（一）电子投标文件组成</w:t>
      </w:r>
    </w:p>
    <w:p w14:paraId="2F50CE78">
      <w:pPr>
        <w:ind w:firstLine="640"/>
        <w:rPr>
          <w:rFonts w:hint="eastAsia" w:ascii="宋体" w:hAnsi="宋体" w:eastAsia="宋体" w:cs="宋体"/>
          <w:sz w:val="24"/>
          <w:szCs w:val="24"/>
          <w:highlight w:val="none"/>
          <w:lang w:eastAsia="zh-CN"/>
        </w:rPr>
      </w:pPr>
      <w:bookmarkStart w:id="214" w:name="_Hlk148216601"/>
      <w:bookmarkStart w:id="215" w:name="_Hlk148291970"/>
      <w:r>
        <w:rPr>
          <w:rFonts w:hint="eastAsia" w:ascii="宋体" w:hAnsi="宋体" w:eastAsia="宋体" w:cs="宋体"/>
          <w:sz w:val="24"/>
          <w:szCs w:val="24"/>
          <w:highlight w:val="none"/>
          <w:lang w:eastAsia="zh-CN"/>
        </w:rPr>
        <w:t>电子投标文件主体内容由第七篇“电子投标文件格式”规定的部分和投标人所作的一切有效补充、修改和承诺等文件组成，投标人应按照第七篇“电子投标文件格式”规定的目录顺序组织编写。</w:t>
      </w:r>
    </w:p>
    <w:p w14:paraId="6BEA8D7A">
      <w:pPr>
        <w:ind w:firstLine="640"/>
        <w:rPr>
          <w:rFonts w:hint="eastAsia" w:ascii="宋体" w:hAnsi="宋体" w:eastAsia="宋体" w:cs="宋体"/>
          <w:sz w:val="24"/>
          <w:szCs w:val="24"/>
          <w:highlight w:val="none"/>
          <w:lang w:eastAsia="zh-CN"/>
        </w:rPr>
      </w:pPr>
      <w:bookmarkStart w:id="216" w:name="_Hlk148269565"/>
      <w:r>
        <w:rPr>
          <w:rFonts w:hint="eastAsia" w:ascii="宋体" w:hAnsi="宋体" w:eastAsia="宋体" w:cs="宋体"/>
          <w:sz w:val="24"/>
          <w:szCs w:val="24"/>
          <w:highlight w:val="none"/>
          <w:lang w:eastAsia="zh-CN"/>
        </w:rPr>
        <w:t>电子投标文件必须根据《政府采购全程电子化采购系统供应商操作手册（CA证书签章版）》手册第五章内容，完成电子投标文件的报价一览表信息填写、投标文件（PDF格式）的导入、条款页码关联、电子投标文件电子章签署、下载加密电子投标文件等工作。否则有可能影响评委对电子投标文件的评审</w:t>
      </w:r>
      <w:bookmarkEnd w:id="214"/>
      <w:r>
        <w:rPr>
          <w:rFonts w:hint="eastAsia" w:ascii="宋体" w:hAnsi="宋体" w:eastAsia="宋体" w:cs="宋体"/>
          <w:sz w:val="24"/>
          <w:szCs w:val="24"/>
          <w:highlight w:val="none"/>
          <w:lang w:eastAsia="zh-CN"/>
        </w:rPr>
        <w:t>。</w:t>
      </w:r>
      <w:bookmarkEnd w:id="215"/>
      <w:bookmarkEnd w:id="216"/>
    </w:p>
    <w:p w14:paraId="32EA435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（二）联合投标</w:t>
      </w:r>
    </w:p>
    <w:p w14:paraId="065F207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1.两个以上投标人可以组成一个投标联合体，以一个投标人的身份投标。</w:t>
      </w:r>
    </w:p>
    <w:p w14:paraId="7906397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2.以联合体形式参加投标的，联合体各方均应满足投标人资格要求（详见“第一篇”）。联合体中有同类资质的投标人按照联合体分工承担相同工作的，应当按照资质等级较低的投标人确定资质等级。</w:t>
      </w:r>
    </w:p>
    <w:p w14:paraId="1A53FF4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联合体各方之间应当签订共同投标协议，共同投标协议中应确定主办方（主体），代表联合体进行投标和澄清。共同投标协议应明确约定联合体各方承担的工作和相应的责任，并将共同投标协议连同投标文件一并提交采购代理机构。</w:t>
      </w:r>
    </w:p>
    <w:p w14:paraId="3AF4024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4.以联合体形式参加政府采购活动的，联合体各方不得再单独参加或者与其他投标人另外组成联合体参加同一合同项下的政府采购活动。</w:t>
      </w:r>
    </w:p>
    <w:p w14:paraId="22CAE6D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5.联合体投标业绩计算，按照共同投标协议分工认定。</w:t>
      </w:r>
    </w:p>
    <w:p w14:paraId="1B318B7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47506C87">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7.以联合体投标的，共同投标协议中应确定主办方（主体），代表联合体进行投标和澄清。法定代表人授权委托书由联合体主办方（主体）出具。联合体各方均应满足投标人资格要求（详见“第一篇”）。</w:t>
      </w:r>
    </w:p>
    <w:p w14:paraId="402AF9B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8.联合体投标的，联合体所有单位均需在“第七篇  电子投标文件格式 五、资格文件 序号（一）”提供营业执照复印件。</w:t>
      </w:r>
    </w:p>
    <w:p w14:paraId="0CA4322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（三）投标有效期</w:t>
      </w:r>
    </w:p>
    <w:p w14:paraId="538EAA5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投标有效期为投标截止时间起90天。</w:t>
      </w:r>
    </w:p>
    <w:p w14:paraId="7054DFF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（四）电子投标文件的份数和签署</w:t>
      </w:r>
    </w:p>
    <w:p w14:paraId="3B601190">
      <w:pPr>
        <w:ind w:firstLine="640"/>
        <w:rPr>
          <w:rFonts w:hint="eastAsia" w:ascii="宋体" w:hAnsi="宋体" w:eastAsia="宋体" w:cs="宋体"/>
          <w:sz w:val="24"/>
          <w:szCs w:val="24"/>
          <w:highlight w:val="none"/>
          <w:lang w:eastAsia="zh-CN"/>
        </w:rPr>
      </w:pPr>
      <w:bookmarkStart w:id="217" w:name="_Hlk148216690"/>
      <w:r>
        <w:rPr>
          <w:rFonts w:hint="eastAsia" w:ascii="宋体" w:hAnsi="宋体" w:eastAsia="宋体" w:cs="宋体"/>
          <w:sz w:val="24"/>
          <w:szCs w:val="24"/>
          <w:highlight w:val="none"/>
          <w:lang w:eastAsia="zh-CN"/>
        </w:rPr>
        <w:t>1.</w:t>
      </w:r>
      <w:bookmarkStart w:id="218" w:name="_Hlk148269965"/>
      <w:r>
        <w:rPr>
          <w:rFonts w:hint="eastAsia" w:ascii="宋体" w:hAnsi="宋体" w:eastAsia="宋体" w:cs="宋体"/>
          <w:sz w:val="24"/>
          <w:szCs w:val="24"/>
          <w:highlight w:val="none"/>
          <w:lang w:eastAsia="zh-CN"/>
        </w:rPr>
        <w:t>电子投标文件一式一份，投标时请提交通过投标文件制作系统下载的电子加密投标文件。若因系统或CA证书异常原因无法正常解密，投标人须在电子开标室向采购代理机构申请提交电子备份投标文件，电子招投标系统会对电子备份投标文件与电子加密投标文件的一致性进行核验，若投标人操作失误，后果自行负责。</w:t>
      </w:r>
      <w:bookmarkEnd w:id="218"/>
    </w:p>
    <w:p w14:paraId="65E5A99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2.在电子投标文件中，招标文件第七篇 电子投标文件格式中规定签署、盖章的地方必须按其规定签署、盖章。</w:t>
      </w:r>
    </w:p>
    <w:p w14:paraId="470CA89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3.若投标人对电子投标文件的错处作必要修改，则应在修改处加盖投标人公章或由法定代表人（或其授权代表）或自然人（投标人为自然人）签署确认。</w:t>
      </w:r>
    </w:p>
    <w:bookmarkEnd w:id="217"/>
    <w:p w14:paraId="4553F80D">
      <w:pPr>
        <w:ind w:firstLine="640"/>
        <w:rPr>
          <w:rFonts w:hint="eastAsia" w:ascii="宋体" w:hAnsi="宋体" w:eastAsia="宋体" w:cs="宋体"/>
          <w:sz w:val="24"/>
          <w:szCs w:val="24"/>
          <w:highlight w:val="none"/>
          <w:lang w:eastAsia="zh-CN"/>
        </w:rPr>
      </w:pPr>
      <w:bookmarkStart w:id="219" w:name="_Hlk148216710"/>
      <w:r>
        <w:rPr>
          <w:rFonts w:hint="eastAsia" w:ascii="宋体" w:hAnsi="宋体" w:eastAsia="宋体" w:cs="宋体"/>
          <w:sz w:val="24"/>
          <w:szCs w:val="24"/>
          <w:highlight w:val="none"/>
          <w:lang w:eastAsia="zh-CN"/>
        </w:rPr>
        <w:t>4.电报、电话、传真形式的电子投标文件概不接受。</w:t>
      </w:r>
      <w:bookmarkEnd w:id="219"/>
      <w:r>
        <w:rPr>
          <w:rFonts w:hint="eastAsia" w:ascii="宋体" w:hAnsi="宋体" w:eastAsia="宋体" w:cs="宋体"/>
          <w:sz w:val="24"/>
          <w:szCs w:val="24"/>
          <w:highlight w:val="none"/>
          <w:lang w:eastAsia="zh-CN"/>
        </w:rPr>
        <w:br w:type="textWrapping"/>
      </w:r>
      <w:r>
        <w:rPr>
          <w:rFonts w:hint="eastAsia" w:ascii="宋体" w:hAnsi="宋体" w:eastAsia="宋体" w:cs="宋体"/>
          <w:sz w:val="24"/>
          <w:szCs w:val="24"/>
          <w:highlight w:val="none"/>
          <w:lang w:eastAsia="zh-CN"/>
        </w:rPr>
        <w:t>（五）投标报价</w:t>
      </w:r>
    </w:p>
    <w:p w14:paraId="4D1A71E8">
      <w:pPr>
        <w:ind w:firstLine="640"/>
        <w:rPr>
          <w:rFonts w:hint="eastAsia" w:ascii="宋体" w:hAnsi="宋体" w:eastAsia="宋体" w:cs="宋体"/>
          <w:sz w:val="24"/>
          <w:szCs w:val="24"/>
          <w:highlight w:val="none"/>
          <w:lang w:eastAsia="zh-CN"/>
        </w:rPr>
      </w:pPr>
      <w:bookmarkStart w:id="220" w:name="_Hlk148216743"/>
      <w:bookmarkStart w:id="221" w:name="_Hlk148293437"/>
      <w:r>
        <w:rPr>
          <w:rFonts w:hint="eastAsia" w:ascii="宋体" w:hAnsi="宋体" w:eastAsia="宋体" w:cs="宋体"/>
          <w:sz w:val="24"/>
          <w:szCs w:val="24"/>
          <w:highlight w:val="none"/>
          <w:lang w:eastAsia="zh-CN"/>
        </w:rPr>
        <w:t>1.投标人应严格按照“第七篇 电子投标文件格式”中“开标一览表”、“分项报价明细表”和“电子投标文件制作系统中的报价一览表”的格式填写投标报价。</w:t>
      </w:r>
    </w:p>
    <w:p w14:paraId="6705555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2.投标人的报价为一次性报价，即在投标有效期内投标价格固定不变。</w:t>
      </w:r>
    </w:p>
    <w:p w14:paraId="2815CC3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3.本项目只接受一个投标报价（“第七篇 电子投标文件格式”中“开标一览表”的报价必须和电子招投标系统中《开标一览汇总表》所展示的投标报价一致。如果不一致时，以电子招投标系统中《开标一览汇总表》所展示的投标报价为准），有选择的或有条件的报价将不予接受。</w:t>
      </w:r>
    </w:p>
    <w:bookmarkEnd w:id="220"/>
    <w:bookmarkEnd w:id="221"/>
    <w:p w14:paraId="3A17858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注：“电子投标文件制作系统中的报价一览表所填投标报价”与“电子招投标系统中《开标一览汇总表》所展示的投标报价”为同一投标报价信息。</w:t>
      </w:r>
    </w:p>
    <w:p w14:paraId="37C87FE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（六）修正错误</w:t>
      </w:r>
    </w:p>
    <w:p w14:paraId="0C617E4A">
      <w:pPr>
        <w:ind w:firstLine="640"/>
        <w:rPr>
          <w:rFonts w:hint="eastAsia" w:ascii="宋体" w:hAnsi="宋体" w:eastAsia="宋体" w:cs="宋体"/>
          <w:sz w:val="24"/>
          <w:szCs w:val="24"/>
          <w:highlight w:val="none"/>
          <w:lang w:eastAsia="zh-CN"/>
        </w:rPr>
      </w:pPr>
      <w:bookmarkStart w:id="222" w:name="_Hlk148216797"/>
      <w:bookmarkStart w:id="223" w:name="_Hlk148293505"/>
      <w:r>
        <w:rPr>
          <w:rFonts w:hint="eastAsia" w:ascii="宋体" w:hAnsi="宋体" w:eastAsia="宋体" w:cs="宋体"/>
          <w:sz w:val="24"/>
          <w:szCs w:val="24"/>
          <w:highlight w:val="none"/>
          <w:lang w:eastAsia="zh-CN"/>
        </w:rPr>
        <w:t>若电子投标文件出现计算或表达上的错误，修正错误的原则如下：</w:t>
      </w:r>
    </w:p>
    <w:p w14:paraId="2C4D818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1.电子投标文件中开标一览表（报价表）内容与电子投标文件中相应内容不一致的，以开标一览表（报价表）为准；</w:t>
      </w:r>
    </w:p>
    <w:p w14:paraId="79F389E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2.大写金额和小写金额不一致的，以大写金额为准；</w:t>
      </w:r>
    </w:p>
    <w:p w14:paraId="294DF0C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3.单价金额小数点或者百分比有明显错位的，以开标一览表的总价为准，并修改单价；</w:t>
      </w:r>
    </w:p>
    <w:p w14:paraId="479AC98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4.总价金额与按单价汇总金额不一致的，以单价金额计算结果为准。</w:t>
      </w:r>
    </w:p>
    <w:p w14:paraId="2B19A22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电子投标文件中经济文件“开标一览表（报价表）”的投标报价信息与电子招投标系统中《开标一览汇总表》所展示的投标报价信息不一致时，以电子招投标系统中《开标一览汇总表》所展示的投标报价信息为准。</w:t>
      </w:r>
    </w:p>
    <w:p w14:paraId="6A599A0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bookmarkEnd w:id="222"/>
    </w:p>
    <w:p w14:paraId="526C72D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注：“电子投标文件制作系统中的报价一览表所填投标报价信息”与“电子招投标系统中《开标一览汇总表》所展示的投标报价信息”为同一投标报价信息。</w:t>
      </w:r>
    </w:p>
    <w:bookmarkEnd w:id="223"/>
    <w:p w14:paraId="5BF7F19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（七）电子投标文件的递交</w:t>
      </w:r>
    </w:p>
    <w:p w14:paraId="78DF8BC7">
      <w:pPr>
        <w:ind w:firstLine="640"/>
        <w:rPr>
          <w:highlight w:val="none"/>
          <w:lang w:eastAsia="zh-CN"/>
        </w:rPr>
      </w:pPr>
      <w:r>
        <w:rPr>
          <w:rFonts w:hint="eastAsia" w:ascii="宋体" w:hAnsi="宋体" w:eastAsia="宋体" w:cs="宋体"/>
          <w:sz w:val="24"/>
          <w:szCs w:val="24"/>
          <w:highlight w:val="none"/>
          <w:lang w:eastAsia="zh-CN"/>
        </w:rPr>
        <w:t>电子投标文件的递交按照《政府采购全程电子化采购系统供应商操作手册（CA证书签章版）》手册第七章流程操作。</w:t>
      </w:r>
    </w:p>
    <w:p w14:paraId="204AB331">
      <w:pPr>
        <w:pStyle w:val="3"/>
        <w:ind w:firstLine="640"/>
        <w:rPr>
          <w:rFonts w:hint="eastAsia" w:ascii="宋体" w:hAnsi="宋体" w:eastAsia="宋体" w:cs="宋体"/>
          <w:b/>
          <w:bCs w:val="0"/>
          <w:sz w:val="24"/>
          <w:szCs w:val="24"/>
          <w:highlight w:val="none"/>
          <w:lang w:eastAsia="zh-CN"/>
        </w:rPr>
      </w:pPr>
      <w:bookmarkStart w:id="224" w:name="_Toc21350"/>
      <w:bookmarkStart w:id="225" w:name="_Toc1776"/>
      <w:bookmarkStart w:id="226" w:name="_Toc24132"/>
      <w:r>
        <w:rPr>
          <w:rFonts w:hint="eastAsia" w:ascii="宋体" w:hAnsi="宋体" w:eastAsia="宋体" w:cs="宋体"/>
          <w:b/>
          <w:bCs w:val="0"/>
          <w:sz w:val="24"/>
          <w:szCs w:val="24"/>
          <w:highlight w:val="none"/>
          <w:lang w:eastAsia="zh-CN"/>
        </w:rPr>
        <w:t>四、开标</w:t>
      </w:r>
      <w:bookmarkEnd w:id="224"/>
      <w:bookmarkEnd w:id="225"/>
      <w:bookmarkEnd w:id="226"/>
    </w:p>
    <w:p w14:paraId="0D20334A">
      <w:pPr>
        <w:ind w:firstLine="640"/>
        <w:rPr>
          <w:rFonts w:hint="eastAsia" w:ascii="宋体" w:hAnsi="宋体" w:eastAsia="宋体" w:cs="宋体"/>
          <w:sz w:val="24"/>
          <w:szCs w:val="24"/>
          <w:highlight w:val="none"/>
          <w:lang w:eastAsia="zh-CN"/>
        </w:rPr>
      </w:pPr>
      <w:bookmarkStart w:id="227" w:name="_Hlk148293689"/>
      <w:r>
        <w:rPr>
          <w:rFonts w:hint="eastAsia" w:ascii="宋体" w:hAnsi="宋体" w:eastAsia="宋体" w:cs="宋体"/>
          <w:sz w:val="24"/>
          <w:szCs w:val="24"/>
          <w:highlight w:val="none"/>
          <w:lang w:eastAsia="zh-CN"/>
        </w:rPr>
        <w:t>（一）开标应当在招标文件中“投标邀请书”确定的时间和地点、开标方式公开进行。</w:t>
      </w:r>
    </w:p>
    <w:p w14:paraId="4D00862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（二）采购代理机构可视采购具体情况，延长投标截止时间和开标时间，并将变更时间书面通知所有招标文件收受人。</w:t>
      </w:r>
    </w:p>
    <w:p w14:paraId="5884406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（三）开标由采购人或采购代理机构主持，邀请投标人和有关监督部门代表参加,有关监督部门可视情况派员现场监督。</w:t>
      </w:r>
    </w:p>
    <w:p w14:paraId="70F7D4B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（四）开标时，采取电子开标，投标人在规定的时间内解密电子投标文件，电子开标室将展示投标人名称、投标价格和《开标一览汇总表》。投标人不足三家的，不得开标。</w:t>
      </w:r>
    </w:p>
    <w:bookmarkEnd w:id="227"/>
    <w:p w14:paraId="53A9992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（五）未宣读的投标价格、价格折扣和招标文件允许提供的备选投标方案等实质性内容等，评标时不予承认。</w:t>
      </w:r>
    </w:p>
    <w:p w14:paraId="56BE347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（六）开标过程由政府采购交易管理系统同步记录，并存档备查。</w:t>
      </w:r>
    </w:p>
    <w:p w14:paraId="6B22E31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（七）投标人未参加开标的，视同认可开标结果。</w:t>
      </w:r>
    </w:p>
    <w:p w14:paraId="6DA7F3E9">
      <w:pPr>
        <w:pStyle w:val="3"/>
        <w:ind w:firstLine="640"/>
        <w:rPr>
          <w:rFonts w:hint="eastAsia" w:ascii="宋体" w:hAnsi="宋体" w:eastAsia="宋体" w:cs="宋体"/>
          <w:b/>
          <w:bCs w:val="0"/>
          <w:sz w:val="24"/>
          <w:szCs w:val="24"/>
          <w:highlight w:val="none"/>
          <w:lang w:eastAsia="zh-CN"/>
        </w:rPr>
      </w:pPr>
      <w:bookmarkStart w:id="228" w:name="_Toc16268"/>
      <w:bookmarkStart w:id="229" w:name="_Toc30143"/>
      <w:bookmarkStart w:id="230" w:name="_Toc3557"/>
      <w:r>
        <w:rPr>
          <w:rFonts w:hint="eastAsia" w:ascii="宋体" w:hAnsi="宋体" w:eastAsia="宋体" w:cs="宋体"/>
          <w:b/>
          <w:bCs w:val="0"/>
          <w:sz w:val="24"/>
          <w:szCs w:val="24"/>
          <w:highlight w:val="none"/>
          <w:lang w:eastAsia="zh-CN"/>
        </w:rPr>
        <w:t>五、评标</w:t>
      </w:r>
      <w:bookmarkEnd w:id="228"/>
      <w:bookmarkEnd w:id="229"/>
      <w:bookmarkEnd w:id="230"/>
    </w:p>
    <w:p w14:paraId="6B59C207">
      <w:pPr>
        <w:ind w:firstLine="640"/>
        <w:rPr>
          <w:highlight w:val="none"/>
          <w:lang w:eastAsia="zh-CN"/>
        </w:rPr>
      </w:pPr>
      <w:r>
        <w:rPr>
          <w:rFonts w:hint="eastAsia" w:ascii="宋体" w:hAnsi="宋体" w:eastAsia="宋体" w:cs="宋体"/>
          <w:sz w:val="24"/>
          <w:szCs w:val="24"/>
          <w:highlight w:val="none"/>
          <w:lang w:eastAsia="zh-CN"/>
        </w:rPr>
        <w:t>见第四篇“评标”内容。</w:t>
      </w:r>
    </w:p>
    <w:p w14:paraId="5D011446">
      <w:pPr>
        <w:pStyle w:val="3"/>
        <w:ind w:firstLine="640"/>
        <w:rPr>
          <w:rFonts w:hint="eastAsia" w:ascii="宋体" w:hAnsi="宋体" w:eastAsia="宋体" w:cs="宋体"/>
          <w:b/>
          <w:bCs w:val="0"/>
          <w:sz w:val="24"/>
          <w:szCs w:val="24"/>
          <w:highlight w:val="none"/>
          <w:lang w:eastAsia="zh-CN"/>
        </w:rPr>
      </w:pPr>
      <w:bookmarkStart w:id="231" w:name="_Toc7843"/>
      <w:bookmarkStart w:id="232" w:name="_Toc6175"/>
      <w:bookmarkStart w:id="233" w:name="_Toc9244"/>
      <w:r>
        <w:rPr>
          <w:rFonts w:hint="eastAsia" w:ascii="宋体" w:hAnsi="宋体" w:eastAsia="宋体" w:cs="宋体"/>
          <w:b/>
          <w:bCs w:val="0"/>
          <w:sz w:val="24"/>
          <w:szCs w:val="24"/>
          <w:highlight w:val="none"/>
          <w:lang w:eastAsia="zh-CN"/>
        </w:rPr>
        <w:t>六、定标</w:t>
      </w:r>
      <w:bookmarkEnd w:id="231"/>
      <w:bookmarkEnd w:id="232"/>
      <w:bookmarkEnd w:id="233"/>
    </w:p>
    <w:p w14:paraId="671BB9C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（一）定标原则</w:t>
      </w:r>
    </w:p>
    <w:p w14:paraId="56BC866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采购人或其授权的评标委员会应按照评标报告中推荐的中标候选人排名顺序确定中标人。</w:t>
      </w:r>
    </w:p>
    <w:p w14:paraId="7D15B23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（二）定标程序</w:t>
      </w:r>
    </w:p>
    <w:p w14:paraId="3D54B6D3">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1.采购代理机构应当在评标结束后2个工作日内将评标报告送采购人。</w:t>
      </w:r>
    </w:p>
    <w:p w14:paraId="30C4BDDB">
      <w:pPr>
        <w:ind w:firstLine="640"/>
        <w:rPr>
          <w:rFonts w:hint="eastAsia" w:ascii="宋体" w:hAnsi="宋体" w:eastAsia="宋体" w:cs="宋体"/>
          <w:sz w:val="24"/>
          <w:szCs w:val="24"/>
          <w:highlight w:val="none"/>
          <w:lang w:eastAsia="zh-TW"/>
        </w:rPr>
      </w:pPr>
      <w:r>
        <w:rPr>
          <w:rFonts w:hint="eastAsia" w:ascii="宋体" w:hAnsi="宋体" w:eastAsia="宋体" w:cs="宋体"/>
          <w:sz w:val="24"/>
          <w:szCs w:val="24"/>
          <w:highlight w:val="none"/>
          <w:lang w:eastAsia="zh-CN"/>
        </w:rPr>
        <w:t>2.采购人应当自收到评标报告之日起5个工作日内按评标报告推荐的中标候选人顺序确定中标人。</w:t>
      </w:r>
    </w:p>
    <w:p w14:paraId="0ADE36C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3.采购人或者采购代理机构应当自中标人确定之日起2个工作日内，在重庆市政府采购网或重庆市公共资源交易网（渝北区）上公告中标结果。中标公告期限为1个工作日。</w:t>
      </w:r>
    </w:p>
    <w:p w14:paraId="3CDA81E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4.中标人变更</w:t>
      </w:r>
    </w:p>
    <w:p w14:paraId="1919740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中标人拒绝与采购人签订合同的，采购人可以按照评标报告推荐的中标候选人顺序，确定排名下一位的候选人为中标人，也可以重新开展政府采购活动。</w:t>
      </w:r>
    </w:p>
    <w:p w14:paraId="44D18962">
      <w:pPr>
        <w:pStyle w:val="3"/>
        <w:ind w:firstLine="640"/>
        <w:rPr>
          <w:rFonts w:hint="eastAsia" w:ascii="宋体" w:hAnsi="宋体" w:eastAsia="宋体" w:cs="宋体"/>
          <w:b/>
          <w:bCs w:val="0"/>
          <w:sz w:val="24"/>
          <w:szCs w:val="24"/>
          <w:highlight w:val="none"/>
          <w:lang w:eastAsia="zh-CN"/>
        </w:rPr>
      </w:pPr>
      <w:bookmarkStart w:id="234" w:name="_Toc9103"/>
      <w:bookmarkStart w:id="235" w:name="_Toc2623"/>
      <w:bookmarkStart w:id="236" w:name="_Toc1287"/>
      <w:r>
        <w:rPr>
          <w:rFonts w:hint="eastAsia" w:ascii="宋体" w:hAnsi="宋体" w:eastAsia="宋体" w:cs="宋体"/>
          <w:b/>
          <w:bCs w:val="0"/>
          <w:sz w:val="24"/>
          <w:szCs w:val="24"/>
          <w:highlight w:val="none"/>
          <w:lang w:eastAsia="zh-CN"/>
        </w:rPr>
        <w:t>七、中标通知书</w:t>
      </w:r>
      <w:bookmarkEnd w:id="234"/>
      <w:bookmarkEnd w:id="235"/>
      <w:bookmarkEnd w:id="236"/>
    </w:p>
    <w:p w14:paraId="3C2CE9D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（一）采购人依法确定中标人后，采购代理机构发出中标通知书。</w:t>
      </w:r>
    </w:p>
    <w:p w14:paraId="7CC1F81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（二）中标通知书发出后，采购人改变中标结果，或者中标人放弃中标，应当承担相应的法律责任。</w:t>
      </w:r>
    </w:p>
    <w:p w14:paraId="1EEB4A45">
      <w:pPr>
        <w:pStyle w:val="3"/>
        <w:ind w:firstLine="640"/>
        <w:rPr>
          <w:rFonts w:hint="eastAsia" w:ascii="宋体" w:hAnsi="宋体" w:eastAsia="宋体" w:cs="宋体"/>
          <w:b/>
          <w:bCs w:val="0"/>
          <w:sz w:val="24"/>
          <w:szCs w:val="24"/>
          <w:highlight w:val="none"/>
          <w:lang w:eastAsia="zh-CN"/>
        </w:rPr>
      </w:pPr>
      <w:bookmarkStart w:id="237" w:name="_Toc1963"/>
      <w:bookmarkStart w:id="238" w:name="_Toc14185"/>
      <w:bookmarkStart w:id="239" w:name="_Toc32499"/>
      <w:r>
        <w:rPr>
          <w:rFonts w:hint="eastAsia" w:ascii="宋体" w:hAnsi="宋体" w:eastAsia="宋体" w:cs="宋体"/>
          <w:b/>
          <w:bCs w:val="0"/>
          <w:sz w:val="24"/>
          <w:szCs w:val="24"/>
          <w:highlight w:val="none"/>
          <w:lang w:eastAsia="zh-CN"/>
        </w:rPr>
        <w:t>八、询问、质疑和投诉</w:t>
      </w:r>
      <w:bookmarkEnd w:id="237"/>
      <w:bookmarkEnd w:id="238"/>
      <w:bookmarkEnd w:id="239"/>
    </w:p>
    <w:p w14:paraId="13BEEBB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（一）询问</w:t>
      </w:r>
    </w:p>
    <w:p w14:paraId="53490598">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采购人或者采购代理机构应当在3个工作日内对投标人依法提出的询问作出答复。投标人询问可以是口头或书面形式。</w:t>
      </w:r>
    </w:p>
    <w:p w14:paraId="651EED2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（二）质疑</w:t>
      </w:r>
    </w:p>
    <w:p w14:paraId="5116BAC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投标人认为采购文件、采购过程和中标结果使自己的权益受到伤害的，可向采购人或采购代理机构以书面形式提出质疑。</w:t>
      </w:r>
    </w:p>
    <w:p w14:paraId="0E5F4E1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提出质疑的应当是参与所质疑项目采购活动的投标人。</w:t>
      </w:r>
    </w:p>
    <w:p w14:paraId="504FDF3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1.质疑内容、时限</w:t>
      </w:r>
    </w:p>
    <w:p w14:paraId="4B12A54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1.1投标人对招标文件提出质疑的，应在依法获取招标文件之日起七个工作日内提出。</w:t>
      </w:r>
    </w:p>
    <w:p w14:paraId="334ACE9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1.2 投标人对采购过程提出质疑的，应在各采购程序环节结束之日起七个工作日内提出。</w:t>
      </w:r>
    </w:p>
    <w:p w14:paraId="1A4A65C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1.3投标人对中标结果提出质疑的，应当在中标结果公告期限届满之日起七个工作日内提出。</w:t>
      </w:r>
    </w:p>
    <w:p w14:paraId="41F9941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1.4投标人提出质疑应当提交质疑函和必要的证明材料，质疑函应当包括下列内容：</w:t>
      </w:r>
    </w:p>
    <w:p w14:paraId="26C578F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1.4.1供应商的姓名或者名称、地址、邮编、联系人及联系电话；</w:t>
      </w:r>
    </w:p>
    <w:p w14:paraId="74E03E69">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1.4.2质疑项目的名称、项目编号以及采购执行编号；</w:t>
      </w:r>
    </w:p>
    <w:p w14:paraId="41C5FBE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1.4.3具体、明确的质疑事项和与质疑事项相关的请求；</w:t>
      </w:r>
    </w:p>
    <w:p w14:paraId="049E955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1.4.4事实依据；</w:t>
      </w:r>
    </w:p>
    <w:p w14:paraId="42084BB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1.4.5必要的法律依据；</w:t>
      </w:r>
    </w:p>
    <w:p w14:paraId="517A077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1.4.6提出质疑的日期；</w:t>
      </w:r>
    </w:p>
    <w:p w14:paraId="2ED8591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1.4.7营业执照（或事业单位法人证书，或个体工商户营业执照或有效的自然人身份证明）复印件；</w:t>
      </w:r>
    </w:p>
    <w:p w14:paraId="348160C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1.4.8法定代表人授权委托书原件、法定代表人身份证复印件和其授权代表的身份证复印件（供应商为自然人的提供自然人身份证复印件）；</w:t>
      </w:r>
    </w:p>
    <w:p w14:paraId="0BD655F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1.4.9在重庆市政府采购网电子招投标系统依法获取招标文件截图证明（获取招标文件状态截图证明流程：“重庆市政府采购网”→“在线开评标”→“我的投标项目”→找到该项目点击“查看详情”进行项目获取招标文件信息截图）。</w:t>
      </w:r>
    </w:p>
    <w:p w14:paraId="1AEA99B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1.5供应商为自然人的，质疑函应当由本人签字；供应商为法人或者其他组织的，质疑函应当由法定代表人、主要负责人，或者其授权代表签字或者盖章，并加盖公章。</w:t>
      </w:r>
    </w:p>
    <w:p w14:paraId="42B4909D">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1.6 质疑文件的递交：一式两份，采购人和采购代理机构各一份。</w:t>
      </w:r>
    </w:p>
    <w:p w14:paraId="073A1C1F">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2.质疑答复</w:t>
      </w:r>
    </w:p>
    <w:p w14:paraId="2CAC543A">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采购人或采购代理机构应当在收到投标人的书面质疑后七个工作日内作出答复，并以书面形式通知质疑投标人和其他有关投标人。</w:t>
      </w:r>
    </w:p>
    <w:p w14:paraId="544F791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3.其他</w:t>
      </w:r>
    </w:p>
    <w:p w14:paraId="714585A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3.1投标人应按照《政府采购质疑和投诉办法》（财政部令第94号）及相关法律法规要求，在法定质疑期内一次性提出针对同一采购程序环节的质疑。</w:t>
      </w:r>
    </w:p>
    <w:p w14:paraId="66AFCBB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3.2质疑函范本可在财政部门户网站和中国政府采购网下载。</w:t>
      </w:r>
    </w:p>
    <w:p w14:paraId="56659B01">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4.质疑联系方式详见第一篇“联系方式”。</w:t>
      </w:r>
    </w:p>
    <w:p w14:paraId="3C62C43B">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（三）投诉</w:t>
      </w:r>
    </w:p>
    <w:p w14:paraId="13EF1E7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1.投标人对采购人、采购代理机构的答复不满意，或者采购人、采购代理机构未在规定时间内作出答复的，可以在答复期满后15个工作日内按照相关法律法规向同级财政部门提起投诉。</w:t>
      </w:r>
    </w:p>
    <w:p w14:paraId="1E8A5F1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2.投标人应按照《政府采购质疑和投诉办法》（财政部令第94号）及相关法律法规要求递交投诉书和必要的证明材料。投诉书范本可在财政部门户网站和中国政府采购网下载。</w:t>
      </w:r>
    </w:p>
    <w:p w14:paraId="3733F9C0">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5EEE78D4">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4.在确定受理投诉后，财政部门自受理投诉之日起30个工作日内（需要检验、检测、鉴定、专家评审以及需要投诉人补正材料的，所需时间不计算在投诉处理期限内）对投诉事项做出处理决定。</w:t>
      </w:r>
    </w:p>
    <w:p w14:paraId="61095B19">
      <w:pPr>
        <w:pStyle w:val="3"/>
        <w:ind w:firstLine="640"/>
        <w:rPr>
          <w:rFonts w:hint="eastAsia" w:ascii="宋体" w:hAnsi="宋体" w:eastAsia="宋体" w:cs="宋体"/>
          <w:b/>
          <w:bCs w:val="0"/>
          <w:sz w:val="24"/>
          <w:szCs w:val="24"/>
          <w:highlight w:val="none"/>
          <w:lang w:eastAsia="zh-CN"/>
        </w:rPr>
      </w:pPr>
      <w:bookmarkStart w:id="240" w:name="_Toc14447"/>
      <w:bookmarkStart w:id="241" w:name="_Toc22803"/>
      <w:bookmarkStart w:id="242" w:name="_Toc16751"/>
      <w:r>
        <w:rPr>
          <w:rFonts w:hint="eastAsia" w:ascii="宋体" w:hAnsi="宋体" w:eastAsia="宋体" w:cs="宋体"/>
          <w:b/>
          <w:bCs w:val="0"/>
          <w:sz w:val="24"/>
          <w:szCs w:val="24"/>
          <w:highlight w:val="none"/>
          <w:lang w:eastAsia="zh-CN"/>
        </w:rPr>
        <w:t>九、签订合同</w:t>
      </w:r>
      <w:bookmarkEnd w:id="240"/>
      <w:bookmarkEnd w:id="241"/>
      <w:bookmarkEnd w:id="242"/>
    </w:p>
    <w:p w14:paraId="7B1E795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采购人原则上应在中标通知书发出之日起二十日内和中标人签订政府采购合同，无正当理由不得拒绝或拖延合同签订。所签订的合同不得对招标文件和中标人电子投标文件作实质性修改。其他未尽事宜由采购人和中标人在采购合同中详细约定。</w:t>
      </w:r>
    </w:p>
    <w:p w14:paraId="06B294E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采购人应当自合同签订之日起2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14:paraId="41B4FEAC">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（三）招标文件、中标人的电子投标文件及澄清文件等，均为签订政府采购合同的依据。</w:t>
      </w:r>
    </w:p>
    <w:p w14:paraId="0166971E">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（四）合同生效条款由供需双方约定，法律、行政法规规定应当办理批准、登记等手续后生效的合同，依照其规定。</w:t>
      </w:r>
    </w:p>
    <w:p w14:paraId="173171E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（五）合同原则上应按照《重庆市政府采购合同》签订，相关单位要求适用合同通用格式版本的，应按其要求另行签订其他合同。</w:t>
      </w:r>
    </w:p>
    <w:p w14:paraId="19B96019">
      <w:pPr>
        <w:ind w:firstLine="640"/>
        <w:rPr>
          <w:highlight w:val="none"/>
          <w:lang w:eastAsia="zh-CN"/>
        </w:rPr>
      </w:pPr>
      <w:r>
        <w:rPr>
          <w:rFonts w:hint="eastAsia" w:ascii="宋体" w:hAnsi="宋体" w:eastAsia="宋体" w:cs="宋体"/>
          <w:sz w:val="24"/>
          <w:szCs w:val="24"/>
          <w:highlight w:val="none"/>
          <w:lang w:eastAsia="zh-CN"/>
        </w:rPr>
        <w:t>（六）合同条款中应规定，乙方完全遵守《中华人民共和国妇女儿童权益保障法》中关于：“劳动和社会保障权益”的有关要求。</w:t>
      </w:r>
    </w:p>
    <w:p w14:paraId="1F4FE190">
      <w:pPr>
        <w:pStyle w:val="3"/>
        <w:ind w:firstLine="640"/>
        <w:rPr>
          <w:rFonts w:hint="eastAsia" w:ascii="宋体" w:hAnsi="宋体" w:eastAsia="宋体" w:cs="宋体"/>
          <w:b/>
          <w:bCs w:val="0"/>
          <w:sz w:val="24"/>
          <w:szCs w:val="24"/>
          <w:highlight w:val="none"/>
          <w:lang w:val="en-US" w:eastAsia="zh-CN"/>
        </w:rPr>
      </w:pPr>
      <w:bookmarkStart w:id="243" w:name="_Toc22841"/>
      <w:bookmarkStart w:id="244" w:name="_Toc31918"/>
      <w:bookmarkStart w:id="245" w:name="_Toc13460"/>
      <w:bookmarkStart w:id="246" w:name="_Toc9665"/>
      <w:bookmarkStart w:id="247" w:name="_Toc18700"/>
      <w:bookmarkStart w:id="248" w:name="_Toc7831"/>
      <w:bookmarkStart w:id="249" w:name="_Toc30155"/>
      <w:bookmarkStart w:id="250" w:name="_Toc6357"/>
      <w:r>
        <w:rPr>
          <w:rFonts w:hint="eastAsia" w:ascii="宋体" w:hAnsi="宋体" w:eastAsia="宋体" w:cs="宋体"/>
          <w:b/>
          <w:bCs w:val="0"/>
          <w:sz w:val="24"/>
          <w:szCs w:val="24"/>
          <w:highlight w:val="none"/>
          <w:lang w:val="en-US" w:eastAsia="zh-CN"/>
        </w:rPr>
        <w:t>十、采购代理服务费</w:t>
      </w:r>
      <w:bookmarkEnd w:id="243"/>
    </w:p>
    <w:p w14:paraId="4C2A6E9E">
      <w:pPr>
        <w:spacing w:line="360" w:lineRule="auto"/>
        <w:ind w:firstLine="480" w:firstLineChars="200"/>
        <w:rPr>
          <w:rFonts w:hint="eastAsia" w:ascii="宋体" w:hAnsi="宋体"/>
          <w:sz w:val="24"/>
          <w:szCs w:val="24"/>
          <w:highlight w:val="none"/>
        </w:rPr>
      </w:pPr>
      <w:r>
        <w:rPr>
          <w:rFonts w:hint="eastAsia" w:ascii="宋体" w:hAnsi="宋体" w:eastAsia="宋体" w:cs="Times New Roman"/>
          <w:b w:val="0"/>
          <w:bCs/>
          <w:snapToGrid w:val="0"/>
          <w:color w:val="auto"/>
          <w:kern w:val="2"/>
          <w:sz w:val="24"/>
          <w:szCs w:val="24"/>
          <w:highlight w:val="none"/>
          <w:lang w:val="en-US" w:eastAsia="zh-CN" w:bidi="ar-SA"/>
        </w:rPr>
        <w:t>1、参照国家取费政策，结合市场行情，按照以下</w:t>
      </w:r>
      <w:r>
        <w:rPr>
          <w:rFonts w:hint="eastAsia" w:ascii="宋体" w:hAnsi="宋体" w:eastAsia="宋体" w:cs="Times New Roman"/>
          <w:b w:val="0"/>
          <w:bCs/>
          <w:snapToGrid w:val="0"/>
          <w:color w:val="auto"/>
          <w:kern w:val="2"/>
          <w:sz w:val="24"/>
          <w:szCs w:val="24"/>
          <w:highlight w:val="none"/>
          <w:u w:val="single"/>
          <w:lang w:val="en-US" w:eastAsia="zh-CN" w:bidi="ar-SA"/>
        </w:rPr>
        <w:t>（一）</w:t>
      </w:r>
      <w:r>
        <w:rPr>
          <w:rFonts w:hint="eastAsia" w:ascii="宋体" w:hAnsi="宋体" w:eastAsia="宋体" w:cs="Times New Roman"/>
          <w:b w:val="0"/>
          <w:bCs/>
          <w:snapToGrid w:val="0"/>
          <w:color w:val="auto"/>
          <w:kern w:val="2"/>
          <w:sz w:val="24"/>
          <w:szCs w:val="24"/>
          <w:highlight w:val="none"/>
          <w:lang w:val="en-US" w:eastAsia="zh-CN" w:bidi="ar-SA"/>
        </w:rPr>
        <w:t>方式计算方法确定招标代理服务费</w:t>
      </w:r>
      <w:r>
        <w:rPr>
          <w:rFonts w:hint="eastAsia" w:ascii="宋体" w:hAnsi="宋体"/>
          <w:sz w:val="24"/>
          <w:szCs w:val="24"/>
          <w:highlight w:val="none"/>
        </w:rPr>
        <w:t>金额。</w:t>
      </w:r>
    </w:p>
    <w:p w14:paraId="74FD898F">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51" w:name="OLE_LINK7"/>
      <w:bookmarkStart w:id="252" w:name="OLE_LINK8"/>
      <w:bookmarkStart w:id="253" w:name="_Toc15015"/>
      <w:r>
        <w:rPr>
          <w:rFonts w:hint="eastAsia" w:asciiTheme="majorEastAsia" w:hAnsiTheme="majorEastAsia" w:eastAsiaTheme="majorEastAsia" w:cstheme="majorEastAsia"/>
          <w:sz w:val="24"/>
          <w:highlight w:val="none"/>
        </w:rPr>
        <w:t>（一）</w:t>
      </w:r>
      <w:bookmarkEnd w:id="251"/>
      <w:bookmarkEnd w:id="252"/>
      <w:r>
        <w:rPr>
          <w:rFonts w:hint="eastAsia" w:ascii="宋体" w:hAnsi="宋体" w:eastAsia="宋体" w:cs="Times New Roman"/>
          <w:b w:val="0"/>
          <w:color w:val="auto"/>
          <w:kern w:val="2"/>
          <w:sz w:val="24"/>
          <w:szCs w:val="24"/>
          <w:highlight w:val="none"/>
          <w:lang w:val="en-US" w:eastAsia="zh-CN" w:bidi="ar-SA"/>
        </w:rPr>
        <w:t>供应商成交后向采购代理机构缴纳采购代理服务费的，采购代理服务费的收取标准按照以下服务采购类标准执行。</w:t>
      </w:r>
      <w:bookmarkEnd w:id="253"/>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2273"/>
        <w:gridCol w:w="2272"/>
      </w:tblGrid>
      <w:tr w14:paraId="38E6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10" w:type="dxa"/>
            <w:tcBorders>
              <w:tl2br w:val="single" w:color="auto" w:sz="4" w:space="0"/>
            </w:tcBorders>
            <w:noWrap w:val="0"/>
            <w:vAlign w:val="top"/>
          </w:tcPr>
          <w:p w14:paraId="473C47E7">
            <w:pPr>
              <w:pStyle w:val="3"/>
              <w:adjustRightInd w:val="0"/>
              <w:snapToGrid w:val="0"/>
              <w:spacing w:before="0" w:after="0" w:line="400" w:lineRule="exact"/>
              <w:ind w:firstLine="1440" w:firstLineChars="600"/>
              <w:rPr>
                <w:rFonts w:hint="eastAsia" w:ascii="宋体" w:hAnsi="宋体" w:eastAsia="宋体" w:cs="Times New Roman"/>
                <w:b w:val="0"/>
                <w:color w:val="auto"/>
                <w:kern w:val="2"/>
                <w:sz w:val="24"/>
                <w:szCs w:val="24"/>
                <w:highlight w:val="none"/>
                <w:lang w:val="en-US" w:eastAsia="zh-CN" w:bidi="ar-SA"/>
              </w:rPr>
            </w:pPr>
            <w:bookmarkStart w:id="254" w:name="_Toc2152"/>
            <w:r>
              <w:rPr>
                <w:rFonts w:hint="eastAsia" w:ascii="宋体" w:hAnsi="宋体" w:eastAsia="宋体" w:cs="Times New Roman"/>
                <w:b w:val="0"/>
                <w:color w:val="auto"/>
                <w:kern w:val="2"/>
                <w:sz w:val="24"/>
                <w:szCs w:val="24"/>
                <w:highlight w:val="none"/>
                <w:lang w:val="zh-CN" w:eastAsia="zh-CN" w:bidi="ar-SA"/>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05pt;width:0.05pt;z-index:251661312;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z75g9YAAAAIAQAADwAAAAAAAAABACAAAAAiAAAAZHJzL2Rvd25yZXYueG1sUEsBAhQAFAAAAAgA&#10;h07iQEok0gfuAQAA4gMAAA4AAAAAAAAAAQAgAAAAJQ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Times New Roman"/>
                <w:b w:val="0"/>
                <w:color w:val="auto"/>
                <w:kern w:val="2"/>
                <w:sz w:val="24"/>
                <w:szCs w:val="24"/>
                <w:highlight w:val="none"/>
                <w:lang w:val="en-US" w:eastAsia="zh-CN" w:bidi="ar-SA"/>
              </w:rPr>
              <w:t>采购类型</w:t>
            </w:r>
            <w:bookmarkEnd w:id="254"/>
          </w:p>
          <w:p w14:paraId="7845BD05">
            <w:pPr>
              <w:pStyle w:val="3"/>
              <w:adjustRightInd w:val="0"/>
              <w:snapToGrid w:val="0"/>
              <w:spacing w:before="0" w:after="0" w:line="400" w:lineRule="exact"/>
              <w:ind w:left="0" w:leftChars="0" w:firstLine="0" w:firstLineChars="0"/>
              <w:rPr>
                <w:rFonts w:hint="eastAsia" w:ascii="宋体" w:hAnsi="宋体" w:eastAsia="宋体" w:cs="Times New Roman"/>
                <w:b w:val="0"/>
                <w:color w:val="auto"/>
                <w:kern w:val="2"/>
                <w:sz w:val="24"/>
                <w:szCs w:val="24"/>
                <w:highlight w:val="none"/>
                <w:lang w:val="en-US" w:eastAsia="zh-CN" w:bidi="ar-SA"/>
              </w:rPr>
            </w:pPr>
            <w:bookmarkStart w:id="255" w:name="_Toc16889"/>
            <w:r>
              <w:rPr>
                <w:rFonts w:hint="eastAsia" w:ascii="宋体" w:hAnsi="宋体" w:eastAsia="宋体" w:cs="Times New Roman"/>
                <w:b w:val="0"/>
                <w:color w:val="auto"/>
                <w:kern w:val="2"/>
                <w:sz w:val="24"/>
                <w:szCs w:val="24"/>
                <w:highlight w:val="none"/>
                <w:lang w:val="en-US" w:eastAsia="zh-CN" w:bidi="ar-SA"/>
              </w:rPr>
              <w:t>成交金额（万元）</w:t>
            </w:r>
            <w:bookmarkEnd w:id="255"/>
          </w:p>
        </w:tc>
        <w:tc>
          <w:tcPr>
            <w:tcW w:w="2273" w:type="dxa"/>
            <w:noWrap w:val="0"/>
            <w:vAlign w:val="center"/>
          </w:tcPr>
          <w:p w14:paraId="1BD17A95">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56" w:name="_Toc506"/>
            <w:r>
              <w:rPr>
                <w:rFonts w:hint="eastAsia" w:ascii="宋体" w:hAnsi="宋体" w:eastAsia="宋体" w:cs="Times New Roman"/>
                <w:b w:val="0"/>
                <w:color w:val="auto"/>
                <w:kern w:val="2"/>
                <w:sz w:val="24"/>
                <w:szCs w:val="24"/>
                <w:highlight w:val="none"/>
                <w:lang w:val="en-US" w:eastAsia="zh-CN" w:bidi="ar-SA"/>
              </w:rPr>
              <w:t>货物采购</w:t>
            </w:r>
            <w:bookmarkEnd w:id="256"/>
          </w:p>
        </w:tc>
        <w:tc>
          <w:tcPr>
            <w:tcW w:w="2273" w:type="dxa"/>
            <w:noWrap w:val="0"/>
            <w:vAlign w:val="center"/>
          </w:tcPr>
          <w:p w14:paraId="2DF2B486">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57" w:name="_Toc15432"/>
            <w:r>
              <w:rPr>
                <w:rFonts w:hint="eastAsia" w:ascii="宋体" w:hAnsi="宋体" w:eastAsia="宋体" w:cs="Times New Roman"/>
                <w:b w:val="0"/>
                <w:color w:val="auto"/>
                <w:kern w:val="2"/>
                <w:sz w:val="24"/>
                <w:szCs w:val="24"/>
                <w:highlight w:val="none"/>
                <w:lang w:val="en-US" w:eastAsia="zh-CN" w:bidi="ar-SA"/>
              </w:rPr>
              <w:t>服务采购</w:t>
            </w:r>
            <w:bookmarkEnd w:id="257"/>
          </w:p>
        </w:tc>
        <w:tc>
          <w:tcPr>
            <w:tcW w:w="2272" w:type="dxa"/>
            <w:noWrap w:val="0"/>
            <w:vAlign w:val="center"/>
          </w:tcPr>
          <w:p w14:paraId="3F2F4254">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58" w:name="_Toc7454"/>
            <w:r>
              <w:rPr>
                <w:rFonts w:hint="eastAsia" w:ascii="宋体" w:hAnsi="宋体" w:eastAsia="宋体" w:cs="Times New Roman"/>
                <w:b w:val="0"/>
                <w:color w:val="auto"/>
                <w:kern w:val="2"/>
                <w:sz w:val="24"/>
                <w:szCs w:val="24"/>
                <w:highlight w:val="none"/>
                <w:lang w:val="en-US" w:eastAsia="zh-CN" w:bidi="ar-SA"/>
              </w:rPr>
              <w:t>工程采购</w:t>
            </w:r>
            <w:bookmarkEnd w:id="258"/>
          </w:p>
        </w:tc>
      </w:tr>
      <w:tr w14:paraId="537C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810" w:type="dxa"/>
            <w:noWrap w:val="0"/>
            <w:vAlign w:val="center"/>
          </w:tcPr>
          <w:p w14:paraId="4EC9CAD5">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59" w:name="_Toc3915"/>
            <w:r>
              <w:rPr>
                <w:rFonts w:hint="eastAsia" w:ascii="宋体" w:hAnsi="宋体" w:eastAsia="宋体" w:cs="Times New Roman"/>
                <w:b w:val="0"/>
                <w:color w:val="auto"/>
                <w:kern w:val="2"/>
                <w:sz w:val="24"/>
                <w:szCs w:val="24"/>
                <w:highlight w:val="none"/>
                <w:lang w:val="en-US" w:eastAsia="zh-CN" w:bidi="ar-SA"/>
              </w:rPr>
              <w:t>100以下</w:t>
            </w:r>
            <w:bookmarkEnd w:id="259"/>
          </w:p>
        </w:tc>
        <w:tc>
          <w:tcPr>
            <w:tcW w:w="2273" w:type="dxa"/>
            <w:noWrap w:val="0"/>
            <w:vAlign w:val="center"/>
          </w:tcPr>
          <w:p w14:paraId="00E0EE5F">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0" w:name="_Toc28389"/>
            <w:r>
              <w:rPr>
                <w:rFonts w:hint="eastAsia" w:ascii="宋体" w:hAnsi="宋体" w:eastAsia="宋体" w:cs="Times New Roman"/>
                <w:b w:val="0"/>
                <w:color w:val="auto"/>
                <w:kern w:val="2"/>
                <w:sz w:val="24"/>
                <w:szCs w:val="24"/>
                <w:highlight w:val="none"/>
                <w:lang w:val="en-US" w:eastAsia="zh-CN" w:bidi="ar-SA"/>
              </w:rPr>
              <w:t>1.5%</w:t>
            </w:r>
            <w:bookmarkEnd w:id="260"/>
          </w:p>
        </w:tc>
        <w:tc>
          <w:tcPr>
            <w:tcW w:w="2273" w:type="dxa"/>
            <w:noWrap w:val="0"/>
            <w:vAlign w:val="center"/>
          </w:tcPr>
          <w:p w14:paraId="5EB21FA4">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1" w:name="_Toc4386"/>
            <w:r>
              <w:rPr>
                <w:rFonts w:hint="eastAsia" w:ascii="宋体" w:hAnsi="宋体" w:eastAsia="宋体" w:cs="Times New Roman"/>
                <w:b w:val="0"/>
                <w:color w:val="auto"/>
                <w:kern w:val="2"/>
                <w:sz w:val="24"/>
                <w:szCs w:val="24"/>
                <w:highlight w:val="none"/>
                <w:lang w:val="en-US" w:eastAsia="zh-CN" w:bidi="ar-SA"/>
              </w:rPr>
              <w:t>1.5%</w:t>
            </w:r>
            <w:bookmarkEnd w:id="261"/>
          </w:p>
        </w:tc>
        <w:tc>
          <w:tcPr>
            <w:tcW w:w="2272" w:type="dxa"/>
            <w:noWrap w:val="0"/>
            <w:vAlign w:val="center"/>
          </w:tcPr>
          <w:p w14:paraId="5D7873C7">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2" w:name="_Toc31998"/>
            <w:r>
              <w:rPr>
                <w:rFonts w:hint="eastAsia" w:ascii="宋体" w:hAnsi="宋体" w:eastAsia="宋体" w:cs="Times New Roman"/>
                <w:b w:val="0"/>
                <w:color w:val="auto"/>
                <w:kern w:val="2"/>
                <w:sz w:val="24"/>
                <w:szCs w:val="24"/>
                <w:highlight w:val="none"/>
                <w:lang w:val="en-US" w:eastAsia="zh-CN" w:bidi="ar-SA"/>
              </w:rPr>
              <w:t>1.0%</w:t>
            </w:r>
            <w:bookmarkEnd w:id="262"/>
          </w:p>
        </w:tc>
      </w:tr>
      <w:tr w14:paraId="0BE2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10" w:type="dxa"/>
            <w:noWrap w:val="0"/>
            <w:vAlign w:val="center"/>
          </w:tcPr>
          <w:p w14:paraId="066A9458">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3" w:name="_Toc16546"/>
            <w:r>
              <w:rPr>
                <w:rFonts w:hint="eastAsia" w:ascii="宋体" w:hAnsi="宋体" w:eastAsia="宋体" w:cs="Times New Roman"/>
                <w:b w:val="0"/>
                <w:color w:val="auto"/>
                <w:kern w:val="2"/>
                <w:sz w:val="24"/>
                <w:szCs w:val="24"/>
                <w:highlight w:val="none"/>
                <w:lang w:val="en-US" w:eastAsia="zh-CN" w:bidi="ar-SA"/>
              </w:rPr>
              <w:t>100-500</w:t>
            </w:r>
            <w:bookmarkEnd w:id="263"/>
          </w:p>
        </w:tc>
        <w:tc>
          <w:tcPr>
            <w:tcW w:w="2273" w:type="dxa"/>
            <w:noWrap w:val="0"/>
            <w:vAlign w:val="center"/>
          </w:tcPr>
          <w:p w14:paraId="045E972A">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4" w:name="_Toc9023"/>
            <w:r>
              <w:rPr>
                <w:rFonts w:hint="eastAsia" w:ascii="宋体" w:hAnsi="宋体" w:eastAsia="宋体" w:cs="Times New Roman"/>
                <w:b w:val="0"/>
                <w:color w:val="auto"/>
                <w:kern w:val="2"/>
                <w:sz w:val="24"/>
                <w:szCs w:val="24"/>
                <w:highlight w:val="none"/>
                <w:lang w:val="en-US" w:eastAsia="zh-CN" w:bidi="ar-SA"/>
              </w:rPr>
              <w:t>1.1%</w:t>
            </w:r>
            <w:bookmarkEnd w:id="264"/>
          </w:p>
        </w:tc>
        <w:tc>
          <w:tcPr>
            <w:tcW w:w="2273" w:type="dxa"/>
            <w:noWrap w:val="0"/>
            <w:vAlign w:val="center"/>
          </w:tcPr>
          <w:p w14:paraId="2A49BD86">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5" w:name="_Toc26937"/>
            <w:r>
              <w:rPr>
                <w:rFonts w:hint="eastAsia" w:ascii="宋体" w:hAnsi="宋体" w:eastAsia="宋体" w:cs="Times New Roman"/>
                <w:b w:val="0"/>
                <w:color w:val="auto"/>
                <w:kern w:val="2"/>
                <w:sz w:val="24"/>
                <w:szCs w:val="24"/>
                <w:highlight w:val="none"/>
                <w:lang w:val="en-US" w:eastAsia="zh-CN" w:bidi="ar-SA"/>
              </w:rPr>
              <w:t>0.8%</w:t>
            </w:r>
            <w:bookmarkEnd w:id="265"/>
          </w:p>
        </w:tc>
        <w:tc>
          <w:tcPr>
            <w:tcW w:w="2272" w:type="dxa"/>
            <w:noWrap w:val="0"/>
            <w:vAlign w:val="center"/>
          </w:tcPr>
          <w:p w14:paraId="72019418">
            <w:pPr>
              <w:pStyle w:val="3"/>
              <w:adjustRightInd w:val="0"/>
              <w:snapToGrid w:val="0"/>
              <w:spacing w:before="0" w:after="0" w:line="400" w:lineRule="exact"/>
              <w:ind w:firstLine="480" w:firstLineChars="200"/>
              <w:rPr>
                <w:rFonts w:hint="eastAsia" w:ascii="宋体" w:hAnsi="宋体" w:eastAsia="宋体" w:cs="Times New Roman"/>
                <w:b w:val="0"/>
                <w:color w:val="auto"/>
                <w:kern w:val="2"/>
                <w:sz w:val="24"/>
                <w:szCs w:val="24"/>
                <w:highlight w:val="none"/>
                <w:lang w:val="en-US" w:eastAsia="zh-CN" w:bidi="ar-SA"/>
              </w:rPr>
            </w:pPr>
            <w:bookmarkStart w:id="266" w:name="_Toc10892"/>
            <w:r>
              <w:rPr>
                <w:rFonts w:hint="eastAsia" w:ascii="宋体" w:hAnsi="宋体" w:eastAsia="宋体" w:cs="Times New Roman"/>
                <w:b w:val="0"/>
                <w:color w:val="auto"/>
                <w:kern w:val="2"/>
                <w:sz w:val="24"/>
                <w:szCs w:val="24"/>
                <w:highlight w:val="none"/>
                <w:lang w:val="en-US" w:eastAsia="zh-CN" w:bidi="ar-SA"/>
              </w:rPr>
              <w:t>0.7%</w:t>
            </w:r>
            <w:bookmarkEnd w:id="266"/>
          </w:p>
        </w:tc>
      </w:tr>
    </w:tbl>
    <w:p w14:paraId="47DC1283">
      <w:pPr>
        <w:pStyle w:val="3"/>
        <w:ind w:firstLine="640"/>
        <w:rPr>
          <w:rFonts w:hint="eastAsia" w:ascii="宋体" w:hAnsi="宋体"/>
          <w:b/>
          <w:sz w:val="24"/>
          <w:szCs w:val="24"/>
          <w:highlight w:val="none"/>
          <w:u w:val="single"/>
        </w:rPr>
      </w:pPr>
      <w:bookmarkStart w:id="267" w:name="_Toc22205"/>
      <w:r>
        <w:rPr>
          <w:rFonts w:hint="eastAsia" w:asciiTheme="majorEastAsia" w:hAnsiTheme="majorEastAsia" w:eastAsiaTheme="majorEastAsia" w:cstheme="majorEastAsia"/>
          <w:color w:val="000000" w:themeColor="text1"/>
          <w:sz w:val="24"/>
          <w:highlight w:val="none"/>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highlight w:val="none"/>
          <w14:textFill>
            <w14:solidFill>
              <w14:schemeClr w14:val="tx1"/>
            </w14:solidFill>
          </w14:textFill>
        </w:rPr>
        <w:t>支付招标代理服务费的时间：</w:t>
      </w:r>
      <w:r>
        <w:rPr>
          <w:rFonts w:hint="eastAsia" w:ascii="宋体" w:hAnsi="宋体"/>
          <w:b/>
          <w:sz w:val="24"/>
          <w:szCs w:val="24"/>
          <w:highlight w:val="none"/>
          <w:u w:val="single"/>
        </w:rPr>
        <w:t>在中标通知书发出时，由中标人一次性付清。</w:t>
      </w:r>
      <w:bookmarkEnd w:id="267"/>
    </w:p>
    <w:p w14:paraId="16BDCF57">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default"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pPr>
      <w:r>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t>3、采购代理服务费缴纳账户</w:t>
      </w:r>
    </w:p>
    <w:p w14:paraId="4FA0CF8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pPr>
      <w:r>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t>单位名称：重庆正华工程管理咨询有限公司</w:t>
      </w:r>
    </w:p>
    <w:p w14:paraId="443ED9E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pPr>
      <w:r>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t>账户号码：630102029004915980</w:t>
      </w:r>
    </w:p>
    <w:p w14:paraId="0D8978BB">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pPr>
      <w:r>
        <w:rPr>
          <w:rFonts w:hint="eastAsia" w:asciiTheme="majorEastAsia" w:hAnsiTheme="majorEastAsia" w:eastAsiaTheme="majorEastAsia" w:cstheme="majorEastAsia"/>
          <w:bCs/>
          <w:snapToGrid w:val="0"/>
          <w:color w:val="000000" w:themeColor="text1"/>
          <w:sz w:val="24"/>
          <w:szCs w:val="36"/>
          <w:highlight w:val="none"/>
          <w:lang w:val="en-US" w:eastAsia="zh-CN" w:bidi="ar-SA"/>
          <w14:textFill>
            <w14:solidFill>
              <w14:schemeClr w14:val="tx1"/>
            </w14:solidFill>
          </w14:textFill>
        </w:rPr>
        <w:t>开户银行：重庆银行荣昌支行</w:t>
      </w:r>
    </w:p>
    <w:p w14:paraId="0A61D22B">
      <w:pPr>
        <w:rPr>
          <w:rFonts w:hint="eastAsia"/>
          <w:highlight w:val="none"/>
        </w:rPr>
      </w:pPr>
    </w:p>
    <w:p w14:paraId="25B2797A">
      <w:pPr>
        <w:pStyle w:val="3"/>
        <w:ind w:firstLine="640"/>
        <w:rPr>
          <w:rFonts w:hint="eastAsia" w:ascii="宋体" w:hAnsi="宋体" w:eastAsia="宋体" w:cs="宋体"/>
          <w:b/>
          <w:bCs w:val="0"/>
          <w:sz w:val="24"/>
          <w:szCs w:val="24"/>
          <w:highlight w:val="none"/>
          <w:lang w:val="en-US" w:eastAsia="zh-CN"/>
        </w:rPr>
      </w:pPr>
      <w:bookmarkStart w:id="268" w:name="_Toc17372"/>
      <w:r>
        <w:rPr>
          <w:rFonts w:hint="eastAsia" w:ascii="宋体" w:hAnsi="宋体" w:eastAsia="宋体" w:cs="宋体"/>
          <w:b/>
          <w:bCs w:val="0"/>
          <w:sz w:val="24"/>
          <w:szCs w:val="24"/>
          <w:highlight w:val="none"/>
          <w:lang w:val="en-US" w:eastAsia="zh-CN"/>
        </w:rPr>
        <w:t>十一、交易服务费</w:t>
      </w:r>
      <w:bookmarkEnd w:id="244"/>
      <w:bookmarkEnd w:id="245"/>
      <w:bookmarkEnd w:id="246"/>
      <w:bookmarkEnd w:id="247"/>
      <w:bookmarkEnd w:id="248"/>
      <w:bookmarkEnd w:id="249"/>
      <w:bookmarkEnd w:id="250"/>
      <w:bookmarkEnd w:id="268"/>
    </w:p>
    <w:p w14:paraId="04309C82">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供应商成交后向“重庆联合产权交易所集团股份有限公司”缴纳交易服务费，服务费的收取标准按重庆市发展和改革委员会渝发改收费〔2023〕115号文件执行。</w:t>
      </w:r>
    </w:p>
    <w:p w14:paraId="39351D45">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重庆市公共资源交易中心咨询电话：023-63625633</w:t>
      </w:r>
    </w:p>
    <w:p w14:paraId="306C7FE5">
      <w:pPr>
        <w:pStyle w:val="3"/>
        <w:ind w:firstLine="640"/>
        <w:rPr>
          <w:rFonts w:hint="eastAsia" w:ascii="宋体" w:hAnsi="宋体" w:eastAsia="宋体" w:cs="宋体"/>
          <w:b/>
          <w:bCs w:val="0"/>
          <w:sz w:val="24"/>
          <w:szCs w:val="24"/>
          <w:highlight w:val="none"/>
          <w:lang w:val="en-US" w:eastAsia="zh-CN"/>
        </w:rPr>
      </w:pPr>
      <w:bookmarkStart w:id="269" w:name="_Toc8242"/>
      <w:bookmarkStart w:id="270" w:name="_Toc8415"/>
      <w:bookmarkStart w:id="271" w:name="_Toc5340"/>
      <w:r>
        <w:rPr>
          <w:rFonts w:hint="eastAsia" w:ascii="宋体" w:hAnsi="宋体" w:eastAsia="宋体" w:cs="宋体"/>
          <w:b/>
          <w:bCs w:val="0"/>
          <w:sz w:val="24"/>
          <w:szCs w:val="24"/>
          <w:highlight w:val="none"/>
          <w:lang w:val="en-US" w:eastAsia="zh-CN"/>
        </w:rPr>
        <w:t>十二、政府采购信用融资</w:t>
      </w:r>
      <w:bookmarkEnd w:id="269"/>
      <w:bookmarkEnd w:id="270"/>
      <w:bookmarkEnd w:id="271"/>
    </w:p>
    <w:p w14:paraId="4D403845">
      <w:pPr>
        <w:ind w:firstLine="64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12" w:charSpace="0"/>
        </w:sectPr>
      </w:pPr>
      <w:r>
        <w:rPr>
          <w:rFonts w:hint="eastAsia" w:ascii="宋体" w:hAnsi="宋体" w:eastAsia="宋体" w:cs="宋体"/>
          <w:sz w:val="24"/>
          <w:szCs w:val="24"/>
          <w:highlight w:val="none"/>
          <w:lang w:eastAsia="zh-CN"/>
        </w:rPr>
        <w:t>投标人参与重庆市政府采购活动，成为中标人，并与采购人签订政府采购合同后，可按照重庆市政府采购支持中小企业信用融资办法的规定，向开展政府采购信用融资业务的银行申请贷款。具体内容详见重庆市政府采购网“信用融资”信息专栏。</w:t>
      </w:r>
    </w:p>
    <w:p w14:paraId="37926D77">
      <w:pPr>
        <w:pStyle w:val="2"/>
        <w:rPr>
          <w:highlight w:val="none"/>
          <w:lang w:eastAsia="zh-CN"/>
        </w:rPr>
      </w:pPr>
      <w:bookmarkStart w:id="272" w:name="_Toc13749"/>
      <w:bookmarkStart w:id="273" w:name="_Toc27098"/>
      <w:bookmarkStart w:id="274" w:name="_Toc28771"/>
      <w:r>
        <w:rPr>
          <w:rFonts w:hint="eastAsia"/>
          <w:highlight w:val="none"/>
          <w:lang w:eastAsia="zh-CN"/>
        </w:rPr>
        <w:t>第六篇  合同主要条款和格式合同（样本）</w:t>
      </w:r>
      <w:bookmarkEnd w:id="272"/>
      <w:bookmarkEnd w:id="273"/>
      <w:bookmarkEnd w:id="274"/>
    </w:p>
    <w:p w14:paraId="1956A281">
      <w:pPr>
        <w:pStyle w:val="3"/>
        <w:ind w:firstLine="640"/>
        <w:rPr>
          <w:rFonts w:hint="eastAsia" w:asciiTheme="majorEastAsia" w:hAnsiTheme="majorEastAsia" w:eastAsiaTheme="majorEastAsia" w:cstheme="majorEastAsia"/>
          <w:sz w:val="24"/>
          <w:szCs w:val="24"/>
          <w:highlight w:val="none"/>
          <w:lang w:eastAsia="zh-CN"/>
        </w:rPr>
      </w:pPr>
      <w:bookmarkStart w:id="275" w:name="_Toc277084870"/>
      <w:bookmarkStart w:id="276" w:name="_Toc285722712"/>
      <w:bookmarkStart w:id="277" w:name="_Toc4898"/>
      <w:r>
        <w:rPr>
          <w:rFonts w:hint="eastAsia" w:asciiTheme="majorEastAsia" w:hAnsiTheme="majorEastAsia" w:eastAsiaTheme="majorEastAsia" w:cstheme="majorEastAsia"/>
          <w:sz w:val="24"/>
          <w:szCs w:val="24"/>
          <w:highlight w:val="none"/>
          <w:lang w:eastAsia="zh-CN"/>
        </w:rPr>
        <w:t>一、合同主要条款</w:t>
      </w:r>
      <w:bookmarkEnd w:id="275"/>
      <w:bookmarkEnd w:id="276"/>
      <w:bookmarkEnd w:id="277"/>
    </w:p>
    <w:p w14:paraId="0C86E048">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1.定义</w:t>
      </w:r>
    </w:p>
    <w:p w14:paraId="05EBD61D">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1.1甲方（需方）即采购人，是指通过招标采购，接受合同货物及服务的各级国家机关、事业单位和团体组织。</w:t>
      </w:r>
    </w:p>
    <w:p w14:paraId="726F008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1.2乙方（供方）即中标人，是指中标后提供合同货物和服务的自然人、法人及其他组织。</w:t>
      </w:r>
    </w:p>
    <w:p w14:paraId="0DB09554">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1.3合同是指由甲乙双方按照招标文件和投标文件的实质性内容，通过协商一致达成的书面协议。</w:t>
      </w:r>
    </w:p>
    <w:p w14:paraId="73B89036">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1.4合同价格指以中标价格为依据，在供方全面履行合同义务后，需方（或财政部门）应支付给供方的金额。</w:t>
      </w:r>
    </w:p>
    <w:p w14:paraId="6E9C9A4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1.5技术资料是指合同货物及其相关的设计、制造、监造、检验、验收等文件（包括图纸、各种文字说明、标准）。</w:t>
      </w:r>
    </w:p>
    <w:p w14:paraId="4956156D">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2.服务内容</w:t>
      </w:r>
    </w:p>
    <w:p w14:paraId="45541503">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合同包括以下内容：项目名称、项目内容及要求、数量（单位）等内容。</w:t>
      </w:r>
    </w:p>
    <w:p w14:paraId="7B2DE30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3.合同价格</w:t>
      </w:r>
    </w:p>
    <w:p w14:paraId="36E8524A">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3.1合同价格即合同总价。</w:t>
      </w:r>
    </w:p>
    <w:p w14:paraId="3DE1F23D">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3.2合同价格包括合同货物、技术资料、合同货物的税费、运杂费、保险费、包装费、装卸费及与货物有关的供方应纳的税费，所有税费由乙方负担。</w:t>
      </w:r>
    </w:p>
    <w:p w14:paraId="31C2B118">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3.3合同货物单价为不变价。</w:t>
      </w:r>
    </w:p>
    <w:p w14:paraId="4A6726F8">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4.转包或分包</w:t>
      </w:r>
    </w:p>
    <w:p w14:paraId="1211669E">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val="en-US" w:eastAsia="zh-CN"/>
        </w:rPr>
        <w:t>根据</w:t>
      </w:r>
      <w:r>
        <w:rPr>
          <w:rFonts w:hint="eastAsia" w:asciiTheme="majorEastAsia" w:hAnsiTheme="majorEastAsia" w:eastAsiaTheme="majorEastAsia" w:cstheme="majorEastAsia"/>
          <w:sz w:val="24"/>
          <w:szCs w:val="24"/>
          <w:highlight w:val="none"/>
          <w:lang w:eastAsia="zh-CN"/>
        </w:rPr>
        <w:t>政府采购政策需满足的资格要求进行合同分包。</w:t>
      </w:r>
    </w:p>
    <w:p w14:paraId="162FBFB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5.质量保证及售后服务</w:t>
      </w:r>
    </w:p>
    <w:p w14:paraId="572F4D84">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5.1乙方应按招标文件规定的货物性能、技术要求、质量标准向甲方提供未经使用的全新产品。</w:t>
      </w:r>
    </w:p>
    <w:p w14:paraId="0024F579">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5.2乙方提供的货物在质保期内因货物本身的质量问题发生故障，乙方应负责免费更换。对达不到技术要求者，根据实际情况，双方协商处理。</w:t>
      </w:r>
    </w:p>
    <w:p w14:paraId="68F91533">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5.3如在使用过程中发生质量问题，乙方应按本项目“第三篇 项目商务需求”中的要求处理。</w:t>
      </w:r>
    </w:p>
    <w:p w14:paraId="2C221A1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5.4在质保期内，乙方应对货物出现的质量及安全问题负责处理解决并承担一切费用。</w:t>
      </w:r>
    </w:p>
    <w:p w14:paraId="27C5EE9F">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6.付款</w:t>
      </w:r>
    </w:p>
    <w:p w14:paraId="250883D8">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6.1本合同使用货币币制如未作特别说明均为人民币。</w:t>
      </w:r>
    </w:p>
    <w:p w14:paraId="05B3B8D2">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6.2付款方式：银行转账、现金支票。</w:t>
      </w:r>
    </w:p>
    <w:p w14:paraId="20F3BA8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6.3付款方法：同本项目“第三篇 项目商务需求”中关于付款方式的约定。</w:t>
      </w:r>
    </w:p>
    <w:p w14:paraId="5A97696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7.检查验收</w:t>
      </w:r>
    </w:p>
    <w:p w14:paraId="168647DB">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7.1供方应随货物提供合格证和质量证明文件，如是国外进口的货物还须提供入关证明。</w:t>
      </w:r>
    </w:p>
    <w:p w14:paraId="3242FABF">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7.2货物验收</w:t>
      </w:r>
    </w:p>
    <w:p w14:paraId="7AD8F7E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14:paraId="653C1EFA">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7.3货物验收报告应由需方、供方经办人签字，并加盖双方公章，以此作为支付凭据。</w:t>
      </w:r>
    </w:p>
    <w:p w14:paraId="282B11C8">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8.索赔</w:t>
      </w:r>
    </w:p>
    <w:p w14:paraId="3858255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供方对货物与合同要求不符负有责任，并且需方已于规定交货内和质量保证期内提出索赔，供方应按需方同意的下述一种或多种方法解决索赔事宜。</w:t>
      </w:r>
    </w:p>
    <w:p w14:paraId="3604CECE">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14:paraId="37F2C31D">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8.2根据货物的疵劣和受损程度以及需方遭受损失的金额，经双方同意降低货物价格。</w:t>
      </w:r>
    </w:p>
    <w:p w14:paraId="46A692EC">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9.知识产权</w:t>
      </w:r>
    </w:p>
    <w:p w14:paraId="191BB34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甲方在中华人民共和国境内使用乙方提供的货物及服务时免受第三方提出的侵犯其专利权或其它知识产权的起诉。如果第三方提出侵权指控，乙方应承担由此而引起的一切法律责任和费用。</w:t>
      </w:r>
    </w:p>
    <w:p w14:paraId="0C914882">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10.合同争议的解决</w:t>
      </w:r>
    </w:p>
    <w:p w14:paraId="56087D86">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10.1当事人友好协商达成一致</w:t>
      </w:r>
    </w:p>
    <w:p w14:paraId="70A78F36">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10.2在60天内当事人协商不能达成协议的，可提请采购人当地仲裁机构仲裁。</w:t>
      </w:r>
    </w:p>
    <w:p w14:paraId="3B322444">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11.违约责任</w:t>
      </w:r>
    </w:p>
    <w:p w14:paraId="5E9D4482">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按《中华人民共和国民法典》、《中华人民共和国政府采购法》有关条款，或由供需双方约定。</w:t>
      </w:r>
    </w:p>
    <w:p w14:paraId="08578F1F">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12.合同生效及其它</w:t>
      </w:r>
    </w:p>
    <w:p w14:paraId="64FBEBA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12.1合同生效及其效力应符合《中华人民共和国民法典》有关规定。</w:t>
      </w:r>
    </w:p>
    <w:p w14:paraId="16F03C76">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12.2合同应经当事人法定代表人或委托代理人签字，加盖双方合同专用章或公章。</w:t>
      </w:r>
    </w:p>
    <w:p w14:paraId="3DA1FBA3">
      <w:pPr>
        <w:ind w:firstLine="64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12.3合同所包括附件，是合同不可分割的一部分，具有同等法法律效力。</w:t>
      </w:r>
    </w:p>
    <w:p w14:paraId="359609D2">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12.4合同需提供担保的，按《中华人民共和国民法典》规定执行。</w:t>
      </w:r>
    </w:p>
    <w:p w14:paraId="2E7B22C7">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12.5本合同条件未尽事宜依照《中华人民共和国民法典》，由供需双方共同协商确定。</w:t>
      </w:r>
    </w:p>
    <w:p w14:paraId="7F9230C4">
      <w:pPr>
        <w:ind w:firstLine="880"/>
        <w:rPr>
          <w:rFonts w:hint="eastAsia" w:asciiTheme="majorEastAsia" w:hAnsiTheme="majorEastAsia" w:eastAsiaTheme="majorEastAsia" w:cstheme="majorEastAsia"/>
          <w:sz w:val="24"/>
          <w:szCs w:val="24"/>
          <w:highlight w:val="none"/>
          <w:lang w:eastAsia="zh-CN"/>
        </w:rPr>
        <w:sectPr>
          <w:pgSz w:w="11907" w:h="16840"/>
          <w:pgMar w:top="1134" w:right="1191" w:bottom="1134" w:left="1304" w:header="964" w:footer="992" w:gutter="0"/>
          <w:pgNumType w:fmt="decimal"/>
          <w:cols w:space="720" w:num="1"/>
          <w:docGrid w:linePitch="312" w:charSpace="0"/>
        </w:sectPr>
      </w:pPr>
    </w:p>
    <w:p w14:paraId="7E6A0776">
      <w:pPr>
        <w:pStyle w:val="3"/>
        <w:ind w:firstLine="640"/>
        <w:rPr>
          <w:highlight w:val="none"/>
          <w:lang w:eastAsia="zh-CN"/>
        </w:rPr>
      </w:pPr>
      <w:bookmarkStart w:id="278" w:name="_Toc501008698"/>
      <w:bookmarkStart w:id="279" w:name="_Toc285722713"/>
      <w:bookmarkStart w:id="280" w:name="_Toc25143"/>
      <w:bookmarkStart w:id="281" w:name="_Toc277084871"/>
      <w:bookmarkStart w:id="282" w:name="_Toc26677"/>
      <w:r>
        <w:rPr>
          <w:rFonts w:hint="eastAsia"/>
          <w:highlight w:val="none"/>
          <w:lang w:eastAsia="zh-CN"/>
        </w:rPr>
        <w:t>二、政府采购合同</w:t>
      </w:r>
      <w:bookmarkEnd w:id="278"/>
      <w:bookmarkEnd w:id="279"/>
      <w:bookmarkEnd w:id="280"/>
      <w:bookmarkEnd w:id="281"/>
      <w:bookmarkEnd w:id="282"/>
    </w:p>
    <w:p w14:paraId="4D681863">
      <w:pPr>
        <w:spacing w:line="440" w:lineRule="exact"/>
        <w:ind w:firstLine="643"/>
        <w:rPr>
          <w:rFonts w:hint="eastAsia" w:ascii="宋体" w:hAnsi="宋体" w:cs="宋体"/>
          <w:b/>
          <w:bCs/>
          <w:szCs w:val="32"/>
          <w:highlight w:val="none"/>
          <w:lang w:eastAsia="zh-CN"/>
        </w:rPr>
      </w:pPr>
    </w:p>
    <w:p w14:paraId="52225D35">
      <w:pPr>
        <w:ind w:firstLine="64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中标后由甲乙双方拟定。</w:t>
      </w:r>
    </w:p>
    <w:p w14:paraId="6375FA00">
      <w:pPr>
        <w:spacing w:line="500" w:lineRule="exact"/>
        <w:ind w:firstLine="480"/>
        <w:rPr>
          <w:rFonts w:hint="eastAsia" w:ascii="宋体" w:hAnsi="宋体" w:cs="宋体"/>
          <w:sz w:val="24"/>
          <w:szCs w:val="24"/>
          <w:highlight w:val="none"/>
          <w:lang w:eastAsia="zh-CN"/>
        </w:rPr>
      </w:pPr>
    </w:p>
    <w:p w14:paraId="67552DD2">
      <w:pPr>
        <w:spacing w:line="500" w:lineRule="exact"/>
        <w:ind w:firstLine="480"/>
        <w:rPr>
          <w:rFonts w:hint="eastAsia" w:ascii="宋体" w:hAnsi="宋体" w:cs="宋体"/>
          <w:sz w:val="24"/>
          <w:szCs w:val="24"/>
          <w:highlight w:val="none"/>
          <w:lang w:eastAsia="zh-CN"/>
        </w:rPr>
      </w:pPr>
    </w:p>
    <w:p w14:paraId="05BF3E88">
      <w:pPr>
        <w:spacing w:line="500" w:lineRule="exact"/>
        <w:ind w:firstLine="480"/>
        <w:rPr>
          <w:rFonts w:hint="eastAsia" w:ascii="宋体" w:hAnsi="宋体" w:cs="宋体"/>
          <w:sz w:val="24"/>
          <w:szCs w:val="24"/>
          <w:highlight w:val="none"/>
          <w:lang w:eastAsia="zh-CN"/>
        </w:rPr>
        <w:sectPr>
          <w:headerReference r:id="rId15" w:type="default"/>
          <w:pgSz w:w="11907" w:h="16840"/>
          <w:pgMar w:top="1134" w:right="1191" w:bottom="1134" w:left="1304" w:header="964" w:footer="992" w:gutter="0"/>
          <w:pgNumType w:fmt="decimal"/>
          <w:cols w:space="720" w:num="1"/>
          <w:docGrid w:linePitch="312" w:charSpace="0"/>
        </w:sectPr>
      </w:pPr>
    </w:p>
    <w:p w14:paraId="364C8673">
      <w:pPr>
        <w:pStyle w:val="2"/>
        <w:rPr>
          <w:highlight w:val="none"/>
          <w:lang w:eastAsia="zh-CN"/>
        </w:rPr>
      </w:pPr>
      <w:bookmarkStart w:id="283" w:name="_Toc7546"/>
      <w:bookmarkStart w:id="284" w:name="_Toc23541"/>
      <w:bookmarkStart w:id="285" w:name="_Toc3359"/>
      <w:r>
        <w:rPr>
          <w:rFonts w:hint="eastAsia"/>
          <w:highlight w:val="none"/>
          <w:lang w:eastAsia="zh-CN"/>
        </w:rPr>
        <w:t>第七篇  电子投标文件格式</w:t>
      </w:r>
      <w:bookmarkEnd w:id="283"/>
      <w:bookmarkEnd w:id="284"/>
      <w:bookmarkEnd w:id="285"/>
    </w:p>
    <w:p w14:paraId="7A04DE50">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一、经济文件</w:t>
      </w:r>
    </w:p>
    <w:p w14:paraId="4991EA6A">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（一）开标一览表</w:t>
      </w:r>
    </w:p>
    <w:p w14:paraId="7F4DD542">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（二）分项报价明细表</w:t>
      </w:r>
    </w:p>
    <w:p w14:paraId="36BAFEB3">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二、服务文件</w:t>
      </w:r>
    </w:p>
    <w:p w14:paraId="78E03440">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（一）服务条款差异表</w:t>
      </w:r>
    </w:p>
    <w:p w14:paraId="7DD13F97">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（二）其他技术（质量）资料</w:t>
      </w:r>
    </w:p>
    <w:p w14:paraId="528048D9">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三、商务文件</w:t>
      </w:r>
    </w:p>
    <w:p w14:paraId="347656D6">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（一）投标函（格式）</w:t>
      </w:r>
    </w:p>
    <w:p w14:paraId="233E8831">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（二）商务条款差异表</w:t>
      </w:r>
    </w:p>
    <w:p w14:paraId="76935427">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（三）其他商务资料</w:t>
      </w:r>
    </w:p>
    <w:p w14:paraId="5B78AEF3">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四、其他</w:t>
      </w:r>
    </w:p>
    <w:p w14:paraId="0B8F9258">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（一）中小企业声明函、监狱企业证明文件、残疾人福利性单位声明函</w:t>
      </w:r>
    </w:p>
    <w:p w14:paraId="37F0C7DE">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（二）联合体协议（如有，格式自拟）</w:t>
      </w:r>
    </w:p>
    <w:p w14:paraId="1832739F">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（三）其他与项目有关的资料（自附）</w:t>
      </w:r>
    </w:p>
    <w:p w14:paraId="1541DC2B">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五、资格文件</w:t>
      </w:r>
    </w:p>
    <w:p w14:paraId="046E6E47">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（一）法人营业执照（副本）或事业单位法人证书（副本）或个体工商户营业执照或有效的自然人身份证明或社会团体法人登记证书复印件</w:t>
      </w:r>
    </w:p>
    <w:p w14:paraId="138376D2">
      <w:pPr>
        <w:spacing w:line="520" w:lineRule="exact"/>
        <w:ind w:firstLine="640"/>
        <w:rPr>
          <w:rFonts w:hint="eastAsia" w:ascii="宋体" w:hAnsi="宋体" w:eastAsia="宋体" w:cs="宋体"/>
          <w:sz w:val="24"/>
          <w:szCs w:val="24"/>
          <w:highlight w:val="none"/>
          <w:lang w:eastAsia="zh-CN"/>
        </w:rPr>
      </w:pPr>
      <w:bookmarkStart w:id="286" w:name="_Toc492721037"/>
      <w:bookmarkStart w:id="287" w:name="_Toc429584884"/>
      <w:r>
        <w:rPr>
          <w:rFonts w:hint="eastAsia" w:ascii="宋体" w:hAnsi="宋体" w:eastAsia="宋体" w:cs="宋体"/>
          <w:sz w:val="24"/>
          <w:szCs w:val="24"/>
          <w:highlight w:val="none"/>
          <w:lang w:eastAsia="zh-CN"/>
        </w:rPr>
        <w:t>（二）法定代表人身份证明书（格式）</w:t>
      </w:r>
    </w:p>
    <w:p w14:paraId="28EDB786">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（三）法定代表人授权委托书（格式）</w:t>
      </w:r>
    </w:p>
    <w:p w14:paraId="4A299374">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（四）基本资格条件承诺函（格式）</w:t>
      </w:r>
    </w:p>
    <w:p w14:paraId="456A357E">
      <w:pPr>
        <w:spacing w:line="520" w:lineRule="exact"/>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（五）特定资格条件证书或证明文件（如有）</w:t>
      </w:r>
    </w:p>
    <w:p w14:paraId="1B09223B">
      <w:pPr>
        <w:spacing w:line="520" w:lineRule="exact"/>
        <w:ind w:firstLine="640"/>
        <w:rPr>
          <w:rFonts w:hint="eastAsia" w:ascii="宋体" w:hAnsi="宋体" w:eastAsia="宋体" w:cs="宋体"/>
          <w:sz w:val="24"/>
          <w:szCs w:val="24"/>
          <w:highlight w:val="none"/>
          <w:lang w:eastAsia="zh-CN"/>
        </w:rPr>
        <w:sectPr>
          <w:headerReference r:id="rId16" w:type="default"/>
          <w:footerReference r:id="rId17" w:type="default"/>
          <w:type w:val="nextColumn"/>
          <w:pgSz w:w="11907" w:h="16840"/>
          <w:pgMar w:top="1134" w:right="1191" w:bottom="1134" w:left="1304" w:header="964" w:footer="992" w:gutter="0"/>
          <w:pgNumType w:fmt="decimal"/>
          <w:cols w:space="720" w:num="1"/>
          <w:docGrid w:linePitch="380" w:charSpace="-5735"/>
        </w:sectPr>
      </w:pPr>
      <w:r>
        <w:rPr>
          <w:rFonts w:hint="eastAsia" w:ascii="宋体" w:hAnsi="宋体" w:eastAsia="宋体" w:cs="宋体"/>
          <w:sz w:val="24"/>
          <w:szCs w:val="24"/>
          <w:highlight w:val="none"/>
          <w:lang w:eastAsia="zh-CN"/>
        </w:rPr>
        <w:t>（六）联合体协议书（如有）</w:t>
      </w:r>
    </w:p>
    <w:p w14:paraId="11B13E04">
      <w:pPr>
        <w:pStyle w:val="3"/>
        <w:ind w:firstLine="0" w:firstLineChars="0"/>
        <w:rPr>
          <w:rFonts w:hint="eastAsia" w:ascii="宋体" w:hAnsi="宋体" w:eastAsia="宋体" w:cs="宋体"/>
          <w:highlight w:val="none"/>
          <w:lang w:eastAsia="zh-CN"/>
        </w:rPr>
      </w:pPr>
      <w:bookmarkStart w:id="288" w:name="_Toc23385"/>
      <w:bookmarkStart w:id="289" w:name="_Toc24415"/>
      <w:bookmarkStart w:id="290" w:name="_Toc23263"/>
      <w:r>
        <w:rPr>
          <w:rFonts w:hint="eastAsia" w:ascii="宋体" w:hAnsi="宋体" w:eastAsia="宋体" w:cs="宋体"/>
          <w:highlight w:val="none"/>
          <w:lang w:eastAsia="zh-CN"/>
        </w:rPr>
        <w:t>一、经济文件</w:t>
      </w:r>
      <w:bookmarkEnd w:id="286"/>
      <w:bookmarkEnd w:id="287"/>
      <w:bookmarkEnd w:id="288"/>
      <w:bookmarkEnd w:id="289"/>
      <w:bookmarkEnd w:id="290"/>
    </w:p>
    <w:p w14:paraId="092BE40C">
      <w:pPr>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（一）开标一览表</w:t>
      </w:r>
    </w:p>
    <w:p w14:paraId="314ADB88">
      <w:pPr>
        <w:spacing w:line="4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项目号：</w:t>
      </w:r>
    </w:p>
    <w:p w14:paraId="1F7C3B8A">
      <w:pPr>
        <w:spacing w:line="4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招标项目名称：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148"/>
        <w:gridCol w:w="1330"/>
        <w:gridCol w:w="4362"/>
      </w:tblGrid>
      <w:tr w14:paraId="192C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788" w:type="dxa"/>
            <w:vAlign w:val="center"/>
          </w:tcPr>
          <w:p w14:paraId="3FFAE2ED">
            <w:pPr>
              <w:spacing w:line="50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p>
        </w:tc>
        <w:tc>
          <w:tcPr>
            <w:tcW w:w="7840" w:type="dxa"/>
            <w:gridSpan w:val="3"/>
            <w:vAlign w:val="center"/>
          </w:tcPr>
          <w:p w14:paraId="038700C0">
            <w:pPr>
              <w:spacing w:line="500" w:lineRule="exact"/>
              <w:ind w:firstLine="0" w:firstLineChars="0"/>
              <w:jc w:val="center"/>
              <w:rPr>
                <w:rFonts w:hint="eastAsia" w:ascii="宋体" w:hAnsi="宋体" w:eastAsia="宋体" w:cs="宋体"/>
                <w:sz w:val="24"/>
                <w:szCs w:val="24"/>
                <w:highlight w:val="none"/>
              </w:rPr>
            </w:pPr>
          </w:p>
        </w:tc>
      </w:tr>
      <w:tr w14:paraId="047D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936" w:type="dxa"/>
            <w:gridSpan w:val="2"/>
            <w:vAlign w:val="center"/>
          </w:tcPr>
          <w:p w14:paraId="640969C3">
            <w:pPr>
              <w:spacing w:line="50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1330" w:type="dxa"/>
            <w:vAlign w:val="center"/>
          </w:tcPr>
          <w:p w14:paraId="3DB447C1">
            <w:pPr>
              <w:spacing w:line="50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4362" w:type="dxa"/>
            <w:vAlign w:val="center"/>
          </w:tcPr>
          <w:p w14:paraId="381197C2">
            <w:pPr>
              <w:spacing w:line="500" w:lineRule="exact"/>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投标报价（小写）</w:t>
            </w:r>
          </w:p>
        </w:tc>
      </w:tr>
      <w:tr w14:paraId="55F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3936" w:type="dxa"/>
            <w:gridSpan w:val="2"/>
            <w:tcBorders>
              <w:bottom w:val="single" w:color="auto" w:sz="4" w:space="0"/>
            </w:tcBorders>
            <w:vAlign w:val="center"/>
          </w:tcPr>
          <w:p w14:paraId="194BF46F">
            <w:pPr>
              <w:spacing w:line="500" w:lineRule="exact"/>
              <w:ind w:firstLine="0" w:firstLineChars="0"/>
              <w:rPr>
                <w:rFonts w:hint="eastAsia" w:ascii="宋体" w:hAnsi="宋体" w:eastAsia="宋体" w:cs="宋体"/>
                <w:sz w:val="24"/>
                <w:szCs w:val="24"/>
                <w:highlight w:val="none"/>
              </w:rPr>
            </w:pPr>
          </w:p>
        </w:tc>
        <w:tc>
          <w:tcPr>
            <w:tcW w:w="1330" w:type="dxa"/>
            <w:tcBorders>
              <w:bottom w:val="single" w:color="auto" w:sz="4" w:space="0"/>
            </w:tcBorders>
          </w:tcPr>
          <w:p w14:paraId="5833389C">
            <w:pPr>
              <w:spacing w:line="500" w:lineRule="exact"/>
              <w:ind w:firstLine="0" w:firstLineChars="0"/>
              <w:rPr>
                <w:rFonts w:hint="eastAsia" w:ascii="宋体" w:hAnsi="宋体" w:eastAsia="宋体" w:cs="宋体"/>
                <w:sz w:val="24"/>
                <w:szCs w:val="24"/>
                <w:highlight w:val="none"/>
              </w:rPr>
            </w:pPr>
          </w:p>
        </w:tc>
        <w:tc>
          <w:tcPr>
            <w:tcW w:w="4362" w:type="dxa"/>
            <w:tcBorders>
              <w:bottom w:val="single" w:color="auto" w:sz="4" w:space="0"/>
            </w:tcBorders>
          </w:tcPr>
          <w:p w14:paraId="6C41C3BC">
            <w:pPr>
              <w:spacing w:line="500" w:lineRule="exact"/>
              <w:ind w:firstLine="0" w:firstLineChars="0"/>
              <w:rPr>
                <w:rFonts w:hint="eastAsia" w:ascii="宋体" w:hAnsi="宋体" w:eastAsia="宋体" w:cs="宋体"/>
                <w:sz w:val="24"/>
                <w:szCs w:val="24"/>
                <w:highlight w:val="none"/>
              </w:rPr>
            </w:pPr>
          </w:p>
        </w:tc>
      </w:tr>
      <w:tr w14:paraId="3EBD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628" w:type="dxa"/>
            <w:gridSpan w:val="4"/>
            <w:tcBorders>
              <w:bottom w:val="single" w:color="auto" w:sz="4" w:space="0"/>
            </w:tcBorders>
            <w:vAlign w:val="center"/>
          </w:tcPr>
          <w:p w14:paraId="0EC86D58">
            <w:pPr>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投标报价（大写）：                           </w:t>
            </w:r>
          </w:p>
        </w:tc>
      </w:tr>
      <w:tr w14:paraId="3FEB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9628" w:type="dxa"/>
            <w:gridSpan w:val="4"/>
            <w:vAlign w:val="center"/>
          </w:tcPr>
          <w:p w14:paraId="00B1F102">
            <w:pPr>
              <w:spacing w:line="50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bl>
    <w:p w14:paraId="6D876A01">
      <w:pPr>
        <w:spacing w:line="500" w:lineRule="exact"/>
        <w:ind w:firstLine="480"/>
        <w:rPr>
          <w:rFonts w:hint="eastAsia" w:ascii="宋体" w:hAnsi="宋体" w:eastAsia="宋体" w:cs="宋体"/>
          <w:sz w:val="24"/>
          <w:szCs w:val="24"/>
          <w:highlight w:val="none"/>
        </w:rPr>
      </w:pPr>
    </w:p>
    <w:p w14:paraId="2392CDDC">
      <w:pPr>
        <w:ind w:firstLine="480"/>
        <w:rPr>
          <w:rFonts w:hint="eastAsia" w:ascii="宋体" w:hAnsi="宋体" w:eastAsia="宋体" w:cs="宋体"/>
          <w:sz w:val="24"/>
          <w:szCs w:val="24"/>
          <w:highlight w:val="none"/>
        </w:rPr>
      </w:pPr>
    </w:p>
    <w:p w14:paraId="34F5EED0">
      <w:pPr>
        <w:spacing w:line="500" w:lineRule="exact"/>
        <w:ind w:firstLine="480"/>
        <w:rPr>
          <w:rFonts w:hint="eastAsia" w:ascii="宋体" w:hAnsi="宋体" w:eastAsia="宋体" w:cs="宋体"/>
          <w:sz w:val="24"/>
          <w:szCs w:val="24"/>
          <w:highlight w:val="none"/>
        </w:rPr>
      </w:pPr>
    </w:p>
    <w:p w14:paraId="339BFE75">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                      法定代表人（或法定代表人授权代表）或自然人：</w:t>
      </w:r>
    </w:p>
    <w:p w14:paraId="11C2608A">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（投标人公章）                               （签署或盖章）</w:t>
      </w:r>
    </w:p>
    <w:p w14:paraId="511E7EA9">
      <w:pPr>
        <w:spacing w:line="500" w:lineRule="exact"/>
        <w:ind w:firstLine="480"/>
        <w:rPr>
          <w:rFonts w:hint="eastAsia" w:ascii="宋体" w:hAnsi="宋体" w:eastAsia="宋体" w:cs="宋体"/>
          <w:sz w:val="24"/>
          <w:szCs w:val="24"/>
          <w:highlight w:val="none"/>
          <w:lang w:eastAsia="zh-CN"/>
        </w:rPr>
      </w:pPr>
    </w:p>
    <w:p w14:paraId="68B04056">
      <w:pPr>
        <w:spacing w:line="500" w:lineRule="exact"/>
        <w:ind w:firstLine="480"/>
        <w:rPr>
          <w:rFonts w:hint="eastAsia" w:ascii="宋体" w:hAnsi="宋体" w:eastAsia="宋体" w:cs="宋体"/>
          <w:sz w:val="24"/>
          <w:szCs w:val="24"/>
          <w:highlight w:val="none"/>
          <w:lang w:eastAsia="zh-CN"/>
        </w:rPr>
      </w:pPr>
    </w:p>
    <w:p w14:paraId="5BCCCEEF">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年     月     日</w:t>
      </w:r>
    </w:p>
    <w:p w14:paraId="41519D65">
      <w:pPr>
        <w:spacing w:line="500" w:lineRule="exact"/>
        <w:ind w:firstLine="480"/>
        <w:rPr>
          <w:rFonts w:hint="eastAsia" w:ascii="宋体" w:hAnsi="宋体" w:eastAsia="宋体" w:cs="宋体"/>
          <w:sz w:val="24"/>
          <w:szCs w:val="24"/>
          <w:highlight w:val="none"/>
          <w:lang w:eastAsia="zh-CN"/>
        </w:rPr>
      </w:pPr>
    </w:p>
    <w:p w14:paraId="2608D6F7">
      <w:pPr>
        <w:spacing w:line="500" w:lineRule="exact"/>
        <w:ind w:firstLine="480"/>
        <w:rPr>
          <w:rFonts w:hint="eastAsia" w:ascii="宋体" w:hAnsi="宋体" w:eastAsia="宋体" w:cs="宋体"/>
          <w:sz w:val="24"/>
          <w:szCs w:val="24"/>
          <w:highlight w:val="none"/>
          <w:lang w:eastAsia="zh-CN"/>
        </w:rPr>
      </w:pPr>
    </w:p>
    <w:p w14:paraId="1F0E8D6F">
      <w:pPr>
        <w:spacing w:line="500" w:lineRule="exact"/>
        <w:ind w:firstLine="480"/>
        <w:rPr>
          <w:rFonts w:hint="eastAsia" w:ascii="宋体" w:hAnsi="宋体" w:eastAsia="宋体" w:cs="宋体"/>
          <w:sz w:val="24"/>
          <w:szCs w:val="24"/>
          <w:highlight w:val="none"/>
          <w:lang w:eastAsia="zh-CN"/>
        </w:rPr>
      </w:pPr>
    </w:p>
    <w:p w14:paraId="0A4BAA16">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说明：</w:t>
      </w:r>
    </w:p>
    <w:p w14:paraId="4D036054">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1.开标一览表按格式填列；</w:t>
      </w:r>
    </w:p>
    <w:p w14:paraId="59CB3746">
      <w:pPr>
        <w:spacing w:line="500" w:lineRule="exact"/>
        <w:ind w:firstLine="48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ascii="宋体" w:hAnsi="宋体" w:eastAsia="宋体" w:cs="宋体"/>
          <w:sz w:val="24"/>
          <w:szCs w:val="24"/>
          <w:highlight w:val="none"/>
          <w:lang w:eastAsia="zh-CN"/>
        </w:rPr>
        <w:t>2.开标一览表在开标大会上当众宣读，务必填写清楚，准确无误；</w:t>
      </w:r>
    </w:p>
    <w:p w14:paraId="28B9D845">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highlight w:val="none"/>
          <w:lang w:eastAsia="zh-CN"/>
        </w:rPr>
        <w:t>（二）分项报价明细表</w:t>
      </w:r>
    </w:p>
    <w:p w14:paraId="68B63988">
      <w:pPr>
        <w:spacing w:line="4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项目号：</w:t>
      </w:r>
    </w:p>
    <w:p w14:paraId="1393B1F2">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招标项目名称：</w:t>
      </w:r>
    </w:p>
    <w:p w14:paraId="542D70EB">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单位：元</w:t>
      </w:r>
    </w:p>
    <w:tbl>
      <w:tblPr>
        <w:tblStyle w:val="19"/>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229"/>
        <w:gridCol w:w="2286"/>
        <w:gridCol w:w="857"/>
        <w:gridCol w:w="975"/>
        <w:gridCol w:w="1245"/>
        <w:gridCol w:w="1245"/>
      </w:tblGrid>
      <w:tr w14:paraId="2A0A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780" w:type="dxa"/>
            <w:vAlign w:val="center"/>
          </w:tcPr>
          <w:p w14:paraId="0703E756">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229" w:type="dxa"/>
            <w:vAlign w:val="center"/>
          </w:tcPr>
          <w:p w14:paraId="08D75FBF">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名称</w:t>
            </w:r>
          </w:p>
        </w:tc>
        <w:tc>
          <w:tcPr>
            <w:tcW w:w="2286" w:type="dxa"/>
            <w:vAlign w:val="center"/>
          </w:tcPr>
          <w:p w14:paraId="22001491">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相关信息</w:t>
            </w:r>
          </w:p>
        </w:tc>
        <w:tc>
          <w:tcPr>
            <w:tcW w:w="857" w:type="dxa"/>
            <w:vAlign w:val="center"/>
          </w:tcPr>
          <w:p w14:paraId="77818257">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975" w:type="dxa"/>
            <w:vAlign w:val="center"/>
          </w:tcPr>
          <w:p w14:paraId="473DF2EF">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1245" w:type="dxa"/>
            <w:vAlign w:val="center"/>
          </w:tcPr>
          <w:p w14:paraId="0076C55C">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单价</w:t>
            </w:r>
          </w:p>
        </w:tc>
        <w:tc>
          <w:tcPr>
            <w:tcW w:w="1245" w:type="dxa"/>
            <w:vAlign w:val="center"/>
          </w:tcPr>
          <w:p w14:paraId="31740612">
            <w:pPr>
              <w:ind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合计</w:t>
            </w:r>
          </w:p>
        </w:tc>
      </w:tr>
      <w:tr w14:paraId="7638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80" w:type="dxa"/>
            <w:vAlign w:val="center"/>
          </w:tcPr>
          <w:p w14:paraId="49C018B6">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p>
        </w:tc>
        <w:tc>
          <w:tcPr>
            <w:tcW w:w="2229" w:type="dxa"/>
            <w:vAlign w:val="center"/>
          </w:tcPr>
          <w:p w14:paraId="1B38BE92">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159483BB">
            <w:pPr>
              <w:ind w:firstLine="0" w:firstLineChars="0"/>
              <w:jc w:val="center"/>
              <w:rPr>
                <w:rFonts w:hint="eastAsia" w:ascii="宋体" w:hAnsi="宋体" w:eastAsia="宋体" w:cs="宋体"/>
                <w:sz w:val="24"/>
                <w:szCs w:val="24"/>
                <w:highlight w:val="none"/>
              </w:rPr>
            </w:pPr>
          </w:p>
        </w:tc>
        <w:tc>
          <w:tcPr>
            <w:tcW w:w="857" w:type="dxa"/>
            <w:vAlign w:val="center"/>
          </w:tcPr>
          <w:p w14:paraId="7F511D86">
            <w:pPr>
              <w:ind w:firstLine="0" w:firstLineChars="0"/>
              <w:jc w:val="center"/>
              <w:rPr>
                <w:rFonts w:hint="eastAsia" w:ascii="宋体" w:hAnsi="宋体" w:eastAsia="宋体" w:cs="宋体"/>
                <w:sz w:val="24"/>
                <w:szCs w:val="24"/>
                <w:highlight w:val="none"/>
              </w:rPr>
            </w:pPr>
          </w:p>
        </w:tc>
        <w:tc>
          <w:tcPr>
            <w:tcW w:w="975" w:type="dxa"/>
            <w:vAlign w:val="center"/>
          </w:tcPr>
          <w:p w14:paraId="433E0240">
            <w:pPr>
              <w:ind w:firstLine="0" w:firstLineChars="0"/>
              <w:jc w:val="center"/>
              <w:rPr>
                <w:rFonts w:hint="eastAsia" w:ascii="宋体" w:hAnsi="宋体" w:eastAsia="宋体" w:cs="宋体"/>
                <w:sz w:val="24"/>
                <w:szCs w:val="24"/>
                <w:highlight w:val="none"/>
              </w:rPr>
            </w:pPr>
          </w:p>
        </w:tc>
        <w:tc>
          <w:tcPr>
            <w:tcW w:w="1245" w:type="dxa"/>
            <w:vAlign w:val="center"/>
          </w:tcPr>
          <w:p w14:paraId="762044DB">
            <w:pPr>
              <w:ind w:firstLine="0" w:firstLineChars="0"/>
              <w:jc w:val="center"/>
              <w:rPr>
                <w:rFonts w:hint="eastAsia" w:ascii="宋体" w:hAnsi="宋体" w:eastAsia="宋体" w:cs="宋体"/>
                <w:sz w:val="24"/>
                <w:szCs w:val="24"/>
                <w:highlight w:val="none"/>
              </w:rPr>
            </w:pPr>
          </w:p>
        </w:tc>
        <w:tc>
          <w:tcPr>
            <w:tcW w:w="1245" w:type="dxa"/>
            <w:vAlign w:val="center"/>
          </w:tcPr>
          <w:p w14:paraId="0C893914">
            <w:pPr>
              <w:ind w:firstLine="0" w:firstLineChars="0"/>
              <w:jc w:val="center"/>
              <w:rPr>
                <w:rFonts w:hint="eastAsia" w:ascii="宋体" w:hAnsi="宋体" w:eastAsia="宋体" w:cs="宋体"/>
                <w:sz w:val="24"/>
                <w:szCs w:val="24"/>
                <w:highlight w:val="none"/>
              </w:rPr>
            </w:pPr>
          </w:p>
        </w:tc>
      </w:tr>
      <w:tr w14:paraId="7301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780" w:type="dxa"/>
            <w:vAlign w:val="center"/>
          </w:tcPr>
          <w:p w14:paraId="68EE0256">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p>
        </w:tc>
        <w:tc>
          <w:tcPr>
            <w:tcW w:w="2229" w:type="dxa"/>
            <w:vAlign w:val="center"/>
          </w:tcPr>
          <w:p w14:paraId="03F07336">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78424994">
            <w:pPr>
              <w:ind w:firstLine="0" w:firstLineChars="0"/>
              <w:jc w:val="center"/>
              <w:rPr>
                <w:rFonts w:hint="eastAsia" w:ascii="宋体" w:hAnsi="宋体" w:eastAsia="宋体" w:cs="宋体"/>
                <w:sz w:val="24"/>
                <w:szCs w:val="24"/>
                <w:highlight w:val="none"/>
              </w:rPr>
            </w:pPr>
          </w:p>
        </w:tc>
        <w:tc>
          <w:tcPr>
            <w:tcW w:w="857" w:type="dxa"/>
            <w:vAlign w:val="center"/>
          </w:tcPr>
          <w:p w14:paraId="3ABE68C2">
            <w:pPr>
              <w:ind w:firstLine="0" w:firstLineChars="0"/>
              <w:jc w:val="center"/>
              <w:rPr>
                <w:rFonts w:hint="eastAsia" w:ascii="宋体" w:hAnsi="宋体" w:eastAsia="宋体" w:cs="宋体"/>
                <w:sz w:val="24"/>
                <w:szCs w:val="24"/>
                <w:highlight w:val="none"/>
              </w:rPr>
            </w:pPr>
          </w:p>
        </w:tc>
        <w:tc>
          <w:tcPr>
            <w:tcW w:w="975" w:type="dxa"/>
            <w:vAlign w:val="center"/>
          </w:tcPr>
          <w:p w14:paraId="2B9063C7">
            <w:pPr>
              <w:ind w:firstLine="0" w:firstLineChars="0"/>
              <w:jc w:val="center"/>
              <w:rPr>
                <w:rFonts w:hint="eastAsia" w:ascii="宋体" w:hAnsi="宋体" w:eastAsia="宋体" w:cs="宋体"/>
                <w:sz w:val="24"/>
                <w:szCs w:val="24"/>
                <w:highlight w:val="none"/>
              </w:rPr>
            </w:pPr>
          </w:p>
        </w:tc>
        <w:tc>
          <w:tcPr>
            <w:tcW w:w="1245" w:type="dxa"/>
            <w:vAlign w:val="center"/>
          </w:tcPr>
          <w:p w14:paraId="02835E02">
            <w:pPr>
              <w:ind w:firstLine="0" w:firstLineChars="0"/>
              <w:jc w:val="center"/>
              <w:rPr>
                <w:rFonts w:hint="eastAsia" w:ascii="宋体" w:hAnsi="宋体" w:eastAsia="宋体" w:cs="宋体"/>
                <w:sz w:val="24"/>
                <w:szCs w:val="24"/>
                <w:highlight w:val="none"/>
              </w:rPr>
            </w:pPr>
          </w:p>
        </w:tc>
        <w:tc>
          <w:tcPr>
            <w:tcW w:w="1245" w:type="dxa"/>
            <w:vAlign w:val="center"/>
          </w:tcPr>
          <w:p w14:paraId="2EFD8430">
            <w:pPr>
              <w:ind w:firstLine="0" w:firstLineChars="0"/>
              <w:jc w:val="center"/>
              <w:rPr>
                <w:rFonts w:hint="eastAsia" w:ascii="宋体" w:hAnsi="宋体" w:eastAsia="宋体" w:cs="宋体"/>
                <w:sz w:val="24"/>
                <w:szCs w:val="24"/>
                <w:highlight w:val="none"/>
              </w:rPr>
            </w:pPr>
          </w:p>
        </w:tc>
      </w:tr>
      <w:tr w14:paraId="3970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1BA9C322">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3</w:t>
            </w:r>
          </w:p>
        </w:tc>
        <w:tc>
          <w:tcPr>
            <w:tcW w:w="2229" w:type="dxa"/>
            <w:vAlign w:val="center"/>
          </w:tcPr>
          <w:p w14:paraId="3AD160E9">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19570D62">
            <w:pPr>
              <w:ind w:firstLine="0" w:firstLineChars="0"/>
              <w:jc w:val="center"/>
              <w:rPr>
                <w:rFonts w:hint="eastAsia" w:ascii="宋体" w:hAnsi="宋体" w:eastAsia="宋体" w:cs="宋体"/>
                <w:sz w:val="24"/>
                <w:szCs w:val="24"/>
                <w:highlight w:val="none"/>
              </w:rPr>
            </w:pPr>
          </w:p>
        </w:tc>
        <w:tc>
          <w:tcPr>
            <w:tcW w:w="857" w:type="dxa"/>
            <w:vAlign w:val="center"/>
          </w:tcPr>
          <w:p w14:paraId="00357D70">
            <w:pPr>
              <w:ind w:firstLine="0" w:firstLineChars="0"/>
              <w:jc w:val="center"/>
              <w:rPr>
                <w:rFonts w:hint="eastAsia" w:ascii="宋体" w:hAnsi="宋体" w:eastAsia="宋体" w:cs="宋体"/>
                <w:sz w:val="24"/>
                <w:szCs w:val="24"/>
                <w:highlight w:val="none"/>
              </w:rPr>
            </w:pPr>
          </w:p>
        </w:tc>
        <w:tc>
          <w:tcPr>
            <w:tcW w:w="975" w:type="dxa"/>
            <w:vAlign w:val="center"/>
          </w:tcPr>
          <w:p w14:paraId="4345F54E">
            <w:pPr>
              <w:ind w:firstLine="0" w:firstLineChars="0"/>
              <w:jc w:val="center"/>
              <w:rPr>
                <w:rFonts w:hint="eastAsia" w:ascii="宋体" w:hAnsi="宋体" w:eastAsia="宋体" w:cs="宋体"/>
                <w:sz w:val="24"/>
                <w:szCs w:val="24"/>
                <w:highlight w:val="none"/>
              </w:rPr>
            </w:pPr>
          </w:p>
        </w:tc>
        <w:tc>
          <w:tcPr>
            <w:tcW w:w="1245" w:type="dxa"/>
            <w:vAlign w:val="center"/>
          </w:tcPr>
          <w:p w14:paraId="49C14B67">
            <w:pPr>
              <w:ind w:firstLine="0" w:firstLineChars="0"/>
              <w:jc w:val="center"/>
              <w:rPr>
                <w:rFonts w:hint="eastAsia" w:ascii="宋体" w:hAnsi="宋体" w:eastAsia="宋体" w:cs="宋体"/>
                <w:sz w:val="24"/>
                <w:szCs w:val="24"/>
                <w:highlight w:val="none"/>
              </w:rPr>
            </w:pPr>
          </w:p>
        </w:tc>
        <w:tc>
          <w:tcPr>
            <w:tcW w:w="1245" w:type="dxa"/>
            <w:vAlign w:val="center"/>
          </w:tcPr>
          <w:p w14:paraId="5F1DBD73">
            <w:pPr>
              <w:ind w:firstLine="0" w:firstLineChars="0"/>
              <w:jc w:val="center"/>
              <w:rPr>
                <w:rFonts w:hint="eastAsia" w:ascii="宋体" w:hAnsi="宋体" w:eastAsia="宋体" w:cs="宋体"/>
                <w:sz w:val="24"/>
                <w:szCs w:val="24"/>
                <w:highlight w:val="none"/>
              </w:rPr>
            </w:pPr>
          </w:p>
        </w:tc>
      </w:tr>
      <w:tr w14:paraId="0FC5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58362155">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4</w:t>
            </w:r>
          </w:p>
        </w:tc>
        <w:tc>
          <w:tcPr>
            <w:tcW w:w="2229" w:type="dxa"/>
            <w:vAlign w:val="center"/>
          </w:tcPr>
          <w:p w14:paraId="04E2FF63">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6D2E3CC3">
            <w:pPr>
              <w:ind w:firstLine="0" w:firstLineChars="0"/>
              <w:jc w:val="center"/>
              <w:rPr>
                <w:rFonts w:hint="eastAsia" w:ascii="宋体" w:hAnsi="宋体" w:eastAsia="宋体" w:cs="宋体"/>
                <w:sz w:val="24"/>
                <w:szCs w:val="24"/>
                <w:highlight w:val="none"/>
              </w:rPr>
            </w:pPr>
          </w:p>
        </w:tc>
        <w:tc>
          <w:tcPr>
            <w:tcW w:w="857" w:type="dxa"/>
            <w:vAlign w:val="center"/>
          </w:tcPr>
          <w:p w14:paraId="73C850DF">
            <w:pPr>
              <w:ind w:firstLine="0" w:firstLineChars="0"/>
              <w:jc w:val="center"/>
              <w:rPr>
                <w:rFonts w:hint="eastAsia" w:ascii="宋体" w:hAnsi="宋体" w:eastAsia="宋体" w:cs="宋体"/>
                <w:sz w:val="24"/>
                <w:szCs w:val="24"/>
                <w:highlight w:val="none"/>
              </w:rPr>
            </w:pPr>
          </w:p>
        </w:tc>
        <w:tc>
          <w:tcPr>
            <w:tcW w:w="975" w:type="dxa"/>
            <w:vAlign w:val="center"/>
          </w:tcPr>
          <w:p w14:paraId="7816DCA9">
            <w:pPr>
              <w:ind w:firstLine="0" w:firstLineChars="0"/>
              <w:jc w:val="center"/>
              <w:rPr>
                <w:rFonts w:hint="eastAsia" w:ascii="宋体" w:hAnsi="宋体" w:eastAsia="宋体" w:cs="宋体"/>
                <w:sz w:val="24"/>
                <w:szCs w:val="24"/>
                <w:highlight w:val="none"/>
              </w:rPr>
            </w:pPr>
          </w:p>
        </w:tc>
        <w:tc>
          <w:tcPr>
            <w:tcW w:w="1245" w:type="dxa"/>
            <w:vAlign w:val="center"/>
          </w:tcPr>
          <w:p w14:paraId="681DBD79">
            <w:pPr>
              <w:ind w:firstLine="0" w:firstLineChars="0"/>
              <w:jc w:val="center"/>
              <w:rPr>
                <w:rFonts w:hint="eastAsia" w:ascii="宋体" w:hAnsi="宋体" w:eastAsia="宋体" w:cs="宋体"/>
                <w:sz w:val="24"/>
                <w:szCs w:val="24"/>
                <w:highlight w:val="none"/>
              </w:rPr>
            </w:pPr>
          </w:p>
        </w:tc>
        <w:tc>
          <w:tcPr>
            <w:tcW w:w="1245" w:type="dxa"/>
            <w:vAlign w:val="center"/>
          </w:tcPr>
          <w:p w14:paraId="096ACDF2">
            <w:pPr>
              <w:ind w:firstLine="0" w:firstLineChars="0"/>
              <w:jc w:val="center"/>
              <w:rPr>
                <w:rFonts w:hint="eastAsia" w:ascii="宋体" w:hAnsi="宋体" w:eastAsia="宋体" w:cs="宋体"/>
                <w:sz w:val="24"/>
                <w:szCs w:val="24"/>
                <w:highlight w:val="none"/>
              </w:rPr>
            </w:pPr>
          </w:p>
        </w:tc>
      </w:tr>
      <w:tr w14:paraId="2C73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430F58C2">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5</w:t>
            </w:r>
          </w:p>
        </w:tc>
        <w:tc>
          <w:tcPr>
            <w:tcW w:w="2229" w:type="dxa"/>
            <w:vAlign w:val="center"/>
          </w:tcPr>
          <w:p w14:paraId="32C7C18B">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0207CA5D">
            <w:pPr>
              <w:ind w:firstLine="0" w:firstLineChars="0"/>
              <w:jc w:val="center"/>
              <w:rPr>
                <w:rFonts w:hint="eastAsia" w:ascii="宋体" w:hAnsi="宋体" w:eastAsia="宋体" w:cs="宋体"/>
                <w:sz w:val="24"/>
                <w:szCs w:val="24"/>
                <w:highlight w:val="none"/>
              </w:rPr>
            </w:pPr>
          </w:p>
        </w:tc>
        <w:tc>
          <w:tcPr>
            <w:tcW w:w="857" w:type="dxa"/>
            <w:vAlign w:val="center"/>
          </w:tcPr>
          <w:p w14:paraId="2FA1C2F4">
            <w:pPr>
              <w:ind w:firstLine="0" w:firstLineChars="0"/>
              <w:jc w:val="center"/>
              <w:rPr>
                <w:rFonts w:hint="eastAsia" w:ascii="宋体" w:hAnsi="宋体" w:eastAsia="宋体" w:cs="宋体"/>
                <w:sz w:val="24"/>
                <w:szCs w:val="24"/>
                <w:highlight w:val="none"/>
              </w:rPr>
            </w:pPr>
          </w:p>
        </w:tc>
        <w:tc>
          <w:tcPr>
            <w:tcW w:w="975" w:type="dxa"/>
            <w:vAlign w:val="center"/>
          </w:tcPr>
          <w:p w14:paraId="69FB87C3">
            <w:pPr>
              <w:ind w:firstLine="0" w:firstLineChars="0"/>
              <w:jc w:val="center"/>
              <w:rPr>
                <w:rFonts w:hint="eastAsia" w:ascii="宋体" w:hAnsi="宋体" w:eastAsia="宋体" w:cs="宋体"/>
                <w:sz w:val="24"/>
                <w:szCs w:val="24"/>
                <w:highlight w:val="none"/>
              </w:rPr>
            </w:pPr>
          </w:p>
        </w:tc>
        <w:tc>
          <w:tcPr>
            <w:tcW w:w="1245" w:type="dxa"/>
            <w:vAlign w:val="center"/>
          </w:tcPr>
          <w:p w14:paraId="007BDFBF">
            <w:pPr>
              <w:ind w:firstLine="0" w:firstLineChars="0"/>
              <w:jc w:val="center"/>
              <w:rPr>
                <w:rFonts w:hint="eastAsia" w:ascii="宋体" w:hAnsi="宋体" w:eastAsia="宋体" w:cs="宋体"/>
                <w:sz w:val="24"/>
                <w:szCs w:val="24"/>
                <w:highlight w:val="none"/>
              </w:rPr>
            </w:pPr>
          </w:p>
        </w:tc>
        <w:tc>
          <w:tcPr>
            <w:tcW w:w="1245" w:type="dxa"/>
            <w:vAlign w:val="center"/>
          </w:tcPr>
          <w:p w14:paraId="4AE23698">
            <w:pPr>
              <w:ind w:firstLine="0" w:firstLineChars="0"/>
              <w:jc w:val="center"/>
              <w:rPr>
                <w:rFonts w:hint="eastAsia" w:ascii="宋体" w:hAnsi="宋体" w:eastAsia="宋体" w:cs="宋体"/>
                <w:sz w:val="24"/>
                <w:szCs w:val="24"/>
                <w:highlight w:val="none"/>
              </w:rPr>
            </w:pPr>
          </w:p>
        </w:tc>
      </w:tr>
      <w:tr w14:paraId="30D7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5721814C">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p>
        </w:tc>
        <w:tc>
          <w:tcPr>
            <w:tcW w:w="2229" w:type="dxa"/>
            <w:vAlign w:val="center"/>
          </w:tcPr>
          <w:p w14:paraId="650F29BD">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508B5613">
            <w:pPr>
              <w:ind w:firstLine="0" w:firstLineChars="0"/>
              <w:jc w:val="center"/>
              <w:rPr>
                <w:rFonts w:hint="eastAsia" w:ascii="宋体" w:hAnsi="宋体" w:eastAsia="宋体" w:cs="宋体"/>
                <w:sz w:val="24"/>
                <w:szCs w:val="24"/>
                <w:highlight w:val="none"/>
              </w:rPr>
            </w:pPr>
          </w:p>
        </w:tc>
        <w:tc>
          <w:tcPr>
            <w:tcW w:w="857" w:type="dxa"/>
            <w:vAlign w:val="center"/>
          </w:tcPr>
          <w:p w14:paraId="06285EB0">
            <w:pPr>
              <w:ind w:firstLine="0" w:firstLineChars="0"/>
              <w:jc w:val="center"/>
              <w:rPr>
                <w:rFonts w:hint="eastAsia" w:ascii="宋体" w:hAnsi="宋体" w:eastAsia="宋体" w:cs="宋体"/>
                <w:sz w:val="24"/>
                <w:szCs w:val="24"/>
                <w:highlight w:val="none"/>
              </w:rPr>
            </w:pPr>
          </w:p>
        </w:tc>
        <w:tc>
          <w:tcPr>
            <w:tcW w:w="975" w:type="dxa"/>
            <w:vAlign w:val="center"/>
          </w:tcPr>
          <w:p w14:paraId="71217EE1">
            <w:pPr>
              <w:ind w:firstLine="0" w:firstLineChars="0"/>
              <w:jc w:val="center"/>
              <w:rPr>
                <w:rFonts w:hint="eastAsia" w:ascii="宋体" w:hAnsi="宋体" w:eastAsia="宋体" w:cs="宋体"/>
                <w:sz w:val="24"/>
                <w:szCs w:val="24"/>
                <w:highlight w:val="none"/>
              </w:rPr>
            </w:pPr>
          </w:p>
        </w:tc>
        <w:tc>
          <w:tcPr>
            <w:tcW w:w="1245" w:type="dxa"/>
            <w:vAlign w:val="center"/>
          </w:tcPr>
          <w:p w14:paraId="015FE647">
            <w:pPr>
              <w:ind w:firstLine="0" w:firstLineChars="0"/>
              <w:jc w:val="center"/>
              <w:rPr>
                <w:rFonts w:hint="eastAsia" w:ascii="宋体" w:hAnsi="宋体" w:eastAsia="宋体" w:cs="宋体"/>
                <w:sz w:val="24"/>
                <w:szCs w:val="24"/>
                <w:highlight w:val="none"/>
              </w:rPr>
            </w:pPr>
          </w:p>
        </w:tc>
        <w:tc>
          <w:tcPr>
            <w:tcW w:w="1245" w:type="dxa"/>
            <w:vAlign w:val="center"/>
          </w:tcPr>
          <w:p w14:paraId="63A2B3AA">
            <w:pPr>
              <w:ind w:firstLine="0" w:firstLineChars="0"/>
              <w:jc w:val="center"/>
              <w:rPr>
                <w:rFonts w:hint="eastAsia" w:ascii="宋体" w:hAnsi="宋体" w:eastAsia="宋体" w:cs="宋体"/>
                <w:sz w:val="24"/>
                <w:szCs w:val="24"/>
                <w:highlight w:val="none"/>
              </w:rPr>
            </w:pPr>
          </w:p>
        </w:tc>
      </w:tr>
      <w:tr w14:paraId="258B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20B803E8">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7</w:t>
            </w:r>
          </w:p>
        </w:tc>
        <w:tc>
          <w:tcPr>
            <w:tcW w:w="2229" w:type="dxa"/>
            <w:vAlign w:val="center"/>
          </w:tcPr>
          <w:p w14:paraId="7B1EA4BD">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4ABD24CC">
            <w:pPr>
              <w:ind w:firstLine="0" w:firstLineChars="0"/>
              <w:jc w:val="center"/>
              <w:rPr>
                <w:rFonts w:hint="eastAsia" w:ascii="宋体" w:hAnsi="宋体" w:eastAsia="宋体" w:cs="宋体"/>
                <w:sz w:val="24"/>
                <w:szCs w:val="24"/>
                <w:highlight w:val="none"/>
              </w:rPr>
            </w:pPr>
          </w:p>
        </w:tc>
        <w:tc>
          <w:tcPr>
            <w:tcW w:w="857" w:type="dxa"/>
            <w:vAlign w:val="center"/>
          </w:tcPr>
          <w:p w14:paraId="20DFC2F1">
            <w:pPr>
              <w:ind w:firstLine="0" w:firstLineChars="0"/>
              <w:jc w:val="center"/>
              <w:rPr>
                <w:rFonts w:hint="eastAsia" w:ascii="宋体" w:hAnsi="宋体" w:eastAsia="宋体" w:cs="宋体"/>
                <w:sz w:val="24"/>
                <w:szCs w:val="24"/>
                <w:highlight w:val="none"/>
              </w:rPr>
            </w:pPr>
          </w:p>
        </w:tc>
        <w:tc>
          <w:tcPr>
            <w:tcW w:w="975" w:type="dxa"/>
            <w:vAlign w:val="center"/>
          </w:tcPr>
          <w:p w14:paraId="753FB5AD">
            <w:pPr>
              <w:ind w:firstLine="0" w:firstLineChars="0"/>
              <w:jc w:val="center"/>
              <w:rPr>
                <w:rFonts w:hint="eastAsia" w:ascii="宋体" w:hAnsi="宋体" w:eastAsia="宋体" w:cs="宋体"/>
                <w:sz w:val="24"/>
                <w:szCs w:val="24"/>
                <w:highlight w:val="none"/>
              </w:rPr>
            </w:pPr>
          </w:p>
        </w:tc>
        <w:tc>
          <w:tcPr>
            <w:tcW w:w="1245" w:type="dxa"/>
            <w:vAlign w:val="center"/>
          </w:tcPr>
          <w:p w14:paraId="335F8B0A">
            <w:pPr>
              <w:ind w:firstLine="0" w:firstLineChars="0"/>
              <w:jc w:val="center"/>
              <w:rPr>
                <w:rFonts w:hint="eastAsia" w:ascii="宋体" w:hAnsi="宋体" w:eastAsia="宋体" w:cs="宋体"/>
                <w:sz w:val="24"/>
                <w:szCs w:val="24"/>
                <w:highlight w:val="none"/>
              </w:rPr>
            </w:pPr>
          </w:p>
        </w:tc>
        <w:tc>
          <w:tcPr>
            <w:tcW w:w="1245" w:type="dxa"/>
            <w:vAlign w:val="center"/>
          </w:tcPr>
          <w:p w14:paraId="115BBF46">
            <w:pPr>
              <w:ind w:firstLine="0" w:firstLineChars="0"/>
              <w:jc w:val="center"/>
              <w:rPr>
                <w:rFonts w:hint="eastAsia" w:ascii="宋体" w:hAnsi="宋体" w:eastAsia="宋体" w:cs="宋体"/>
                <w:sz w:val="24"/>
                <w:szCs w:val="24"/>
                <w:highlight w:val="none"/>
              </w:rPr>
            </w:pPr>
          </w:p>
        </w:tc>
      </w:tr>
      <w:tr w14:paraId="0024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7BF10F98">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8</w:t>
            </w:r>
          </w:p>
        </w:tc>
        <w:tc>
          <w:tcPr>
            <w:tcW w:w="2229" w:type="dxa"/>
            <w:vAlign w:val="center"/>
          </w:tcPr>
          <w:p w14:paraId="2E224BFC">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468540EA">
            <w:pPr>
              <w:ind w:firstLine="0" w:firstLineChars="0"/>
              <w:jc w:val="center"/>
              <w:rPr>
                <w:rFonts w:hint="eastAsia" w:ascii="宋体" w:hAnsi="宋体" w:eastAsia="宋体" w:cs="宋体"/>
                <w:sz w:val="24"/>
                <w:szCs w:val="24"/>
                <w:highlight w:val="none"/>
              </w:rPr>
            </w:pPr>
          </w:p>
        </w:tc>
        <w:tc>
          <w:tcPr>
            <w:tcW w:w="857" w:type="dxa"/>
            <w:vAlign w:val="center"/>
          </w:tcPr>
          <w:p w14:paraId="3FF68FBF">
            <w:pPr>
              <w:ind w:firstLine="0" w:firstLineChars="0"/>
              <w:jc w:val="center"/>
              <w:rPr>
                <w:rFonts w:hint="eastAsia" w:ascii="宋体" w:hAnsi="宋体" w:eastAsia="宋体" w:cs="宋体"/>
                <w:sz w:val="24"/>
                <w:szCs w:val="24"/>
                <w:highlight w:val="none"/>
              </w:rPr>
            </w:pPr>
          </w:p>
        </w:tc>
        <w:tc>
          <w:tcPr>
            <w:tcW w:w="975" w:type="dxa"/>
            <w:vAlign w:val="center"/>
          </w:tcPr>
          <w:p w14:paraId="5DBF3FE4">
            <w:pPr>
              <w:ind w:firstLine="0" w:firstLineChars="0"/>
              <w:jc w:val="center"/>
              <w:rPr>
                <w:rFonts w:hint="eastAsia" w:ascii="宋体" w:hAnsi="宋体" w:eastAsia="宋体" w:cs="宋体"/>
                <w:sz w:val="24"/>
                <w:szCs w:val="24"/>
                <w:highlight w:val="none"/>
              </w:rPr>
            </w:pPr>
          </w:p>
        </w:tc>
        <w:tc>
          <w:tcPr>
            <w:tcW w:w="1245" w:type="dxa"/>
            <w:vAlign w:val="center"/>
          </w:tcPr>
          <w:p w14:paraId="1AC9461A">
            <w:pPr>
              <w:ind w:firstLine="0" w:firstLineChars="0"/>
              <w:jc w:val="center"/>
              <w:rPr>
                <w:rFonts w:hint="eastAsia" w:ascii="宋体" w:hAnsi="宋体" w:eastAsia="宋体" w:cs="宋体"/>
                <w:sz w:val="24"/>
                <w:szCs w:val="24"/>
                <w:highlight w:val="none"/>
              </w:rPr>
            </w:pPr>
          </w:p>
        </w:tc>
        <w:tc>
          <w:tcPr>
            <w:tcW w:w="1245" w:type="dxa"/>
            <w:vAlign w:val="center"/>
          </w:tcPr>
          <w:p w14:paraId="1ED4FFAF">
            <w:pPr>
              <w:ind w:firstLine="0" w:firstLineChars="0"/>
              <w:jc w:val="center"/>
              <w:rPr>
                <w:rFonts w:hint="eastAsia" w:ascii="宋体" w:hAnsi="宋体" w:eastAsia="宋体" w:cs="宋体"/>
                <w:sz w:val="24"/>
                <w:szCs w:val="24"/>
                <w:highlight w:val="none"/>
              </w:rPr>
            </w:pPr>
          </w:p>
        </w:tc>
      </w:tr>
      <w:tr w14:paraId="3F7D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5EFD17B3">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9</w:t>
            </w:r>
          </w:p>
        </w:tc>
        <w:tc>
          <w:tcPr>
            <w:tcW w:w="2229" w:type="dxa"/>
            <w:vAlign w:val="center"/>
          </w:tcPr>
          <w:p w14:paraId="5A37D1D8">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4F10C21D">
            <w:pPr>
              <w:ind w:firstLine="0" w:firstLineChars="0"/>
              <w:jc w:val="center"/>
              <w:rPr>
                <w:rFonts w:hint="eastAsia" w:ascii="宋体" w:hAnsi="宋体" w:eastAsia="宋体" w:cs="宋体"/>
                <w:sz w:val="24"/>
                <w:szCs w:val="24"/>
                <w:highlight w:val="none"/>
              </w:rPr>
            </w:pPr>
          </w:p>
        </w:tc>
        <w:tc>
          <w:tcPr>
            <w:tcW w:w="857" w:type="dxa"/>
            <w:vAlign w:val="center"/>
          </w:tcPr>
          <w:p w14:paraId="09DB2D42">
            <w:pPr>
              <w:ind w:firstLine="0" w:firstLineChars="0"/>
              <w:jc w:val="center"/>
              <w:rPr>
                <w:rFonts w:hint="eastAsia" w:ascii="宋体" w:hAnsi="宋体" w:eastAsia="宋体" w:cs="宋体"/>
                <w:sz w:val="24"/>
                <w:szCs w:val="24"/>
                <w:highlight w:val="none"/>
              </w:rPr>
            </w:pPr>
          </w:p>
        </w:tc>
        <w:tc>
          <w:tcPr>
            <w:tcW w:w="975" w:type="dxa"/>
            <w:vAlign w:val="center"/>
          </w:tcPr>
          <w:p w14:paraId="005AA51C">
            <w:pPr>
              <w:ind w:firstLine="0" w:firstLineChars="0"/>
              <w:jc w:val="center"/>
              <w:rPr>
                <w:rFonts w:hint="eastAsia" w:ascii="宋体" w:hAnsi="宋体" w:eastAsia="宋体" w:cs="宋体"/>
                <w:sz w:val="24"/>
                <w:szCs w:val="24"/>
                <w:highlight w:val="none"/>
              </w:rPr>
            </w:pPr>
          </w:p>
        </w:tc>
        <w:tc>
          <w:tcPr>
            <w:tcW w:w="1245" w:type="dxa"/>
            <w:vAlign w:val="center"/>
          </w:tcPr>
          <w:p w14:paraId="5EFE1CCC">
            <w:pPr>
              <w:ind w:firstLine="0" w:firstLineChars="0"/>
              <w:jc w:val="center"/>
              <w:rPr>
                <w:rFonts w:hint="eastAsia" w:ascii="宋体" w:hAnsi="宋体" w:eastAsia="宋体" w:cs="宋体"/>
                <w:sz w:val="24"/>
                <w:szCs w:val="24"/>
                <w:highlight w:val="none"/>
              </w:rPr>
            </w:pPr>
          </w:p>
        </w:tc>
        <w:tc>
          <w:tcPr>
            <w:tcW w:w="1245" w:type="dxa"/>
            <w:vAlign w:val="center"/>
          </w:tcPr>
          <w:p w14:paraId="6CBF7A2A">
            <w:pPr>
              <w:ind w:firstLine="0" w:firstLineChars="0"/>
              <w:jc w:val="center"/>
              <w:rPr>
                <w:rFonts w:hint="eastAsia" w:ascii="宋体" w:hAnsi="宋体" w:eastAsia="宋体" w:cs="宋体"/>
                <w:sz w:val="24"/>
                <w:szCs w:val="24"/>
                <w:highlight w:val="none"/>
              </w:rPr>
            </w:pPr>
          </w:p>
        </w:tc>
      </w:tr>
      <w:tr w14:paraId="7100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2A46A18D">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10</w:t>
            </w:r>
          </w:p>
        </w:tc>
        <w:tc>
          <w:tcPr>
            <w:tcW w:w="2229" w:type="dxa"/>
            <w:vAlign w:val="center"/>
          </w:tcPr>
          <w:p w14:paraId="5593548A">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1006A3C1">
            <w:pPr>
              <w:ind w:firstLine="0" w:firstLineChars="0"/>
              <w:jc w:val="center"/>
              <w:rPr>
                <w:rFonts w:hint="eastAsia" w:ascii="宋体" w:hAnsi="宋体" w:eastAsia="宋体" w:cs="宋体"/>
                <w:sz w:val="24"/>
                <w:szCs w:val="24"/>
                <w:highlight w:val="none"/>
              </w:rPr>
            </w:pPr>
          </w:p>
        </w:tc>
        <w:tc>
          <w:tcPr>
            <w:tcW w:w="857" w:type="dxa"/>
            <w:vAlign w:val="center"/>
          </w:tcPr>
          <w:p w14:paraId="29245CF9">
            <w:pPr>
              <w:ind w:firstLine="0" w:firstLineChars="0"/>
              <w:jc w:val="center"/>
              <w:rPr>
                <w:rFonts w:hint="eastAsia" w:ascii="宋体" w:hAnsi="宋体" w:eastAsia="宋体" w:cs="宋体"/>
                <w:sz w:val="24"/>
                <w:szCs w:val="24"/>
                <w:highlight w:val="none"/>
              </w:rPr>
            </w:pPr>
          </w:p>
        </w:tc>
        <w:tc>
          <w:tcPr>
            <w:tcW w:w="975" w:type="dxa"/>
            <w:vAlign w:val="center"/>
          </w:tcPr>
          <w:p w14:paraId="32ED50BA">
            <w:pPr>
              <w:ind w:firstLine="0" w:firstLineChars="0"/>
              <w:jc w:val="center"/>
              <w:rPr>
                <w:rFonts w:hint="eastAsia" w:ascii="宋体" w:hAnsi="宋体" w:eastAsia="宋体" w:cs="宋体"/>
                <w:sz w:val="24"/>
                <w:szCs w:val="24"/>
                <w:highlight w:val="none"/>
              </w:rPr>
            </w:pPr>
          </w:p>
        </w:tc>
        <w:tc>
          <w:tcPr>
            <w:tcW w:w="1245" w:type="dxa"/>
            <w:vAlign w:val="center"/>
          </w:tcPr>
          <w:p w14:paraId="5AF32AFB">
            <w:pPr>
              <w:ind w:firstLine="0" w:firstLineChars="0"/>
              <w:jc w:val="center"/>
              <w:rPr>
                <w:rFonts w:hint="eastAsia" w:ascii="宋体" w:hAnsi="宋体" w:eastAsia="宋体" w:cs="宋体"/>
                <w:sz w:val="24"/>
                <w:szCs w:val="24"/>
                <w:highlight w:val="none"/>
              </w:rPr>
            </w:pPr>
          </w:p>
        </w:tc>
        <w:tc>
          <w:tcPr>
            <w:tcW w:w="1245" w:type="dxa"/>
            <w:vAlign w:val="center"/>
          </w:tcPr>
          <w:p w14:paraId="048F24B3">
            <w:pPr>
              <w:ind w:firstLine="0" w:firstLineChars="0"/>
              <w:jc w:val="center"/>
              <w:rPr>
                <w:rFonts w:hint="eastAsia" w:ascii="宋体" w:hAnsi="宋体" w:eastAsia="宋体" w:cs="宋体"/>
                <w:sz w:val="24"/>
                <w:szCs w:val="24"/>
                <w:highlight w:val="none"/>
              </w:rPr>
            </w:pPr>
          </w:p>
        </w:tc>
      </w:tr>
      <w:tr w14:paraId="4F2B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80" w:type="dxa"/>
            <w:vAlign w:val="center"/>
          </w:tcPr>
          <w:p w14:paraId="2530B027">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11</w:t>
            </w:r>
          </w:p>
        </w:tc>
        <w:tc>
          <w:tcPr>
            <w:tcW w:w="2229" w:type="dxa"/>
            <w:vAlign w:val="center"/>
          </w:tcPr>
          <w:p w14:paraId="7C0CB558">
            <w:pPr>
              <w:spacing w:line="360" w:lineRule="auto"/>
              <w:ind w:firstLine="0" w:firstLineChars="0"/>
              <w:jc w:val="center"/>
              <w:rPr>
                <w:rFonts w:hint="eastAsia" w:ascii="宋体" w:hAnsi="宋体" w:eastAsia="宋体" w:cs="宋体"/>
                <w:bCs/>
                <w:sz w:val="24"/>
                <w:szCs w:val="24"/>
                <w:highlight w:val="none"/>
              </w:rPr>
            </w:pPr>
          </w:p>
        </w:tc>
        <w:tc>
          <w:tcPr>
            <w:tcW w:w="2286" w:type="dxa"/>
            <w:vAlign w:val="center"/>
          </w:tcPr>
          <w:p w14:paraId="77A6B7DA">
            <w:pPr>
              <w:ind w:firstLine="0" w:firstLineChars="0"/>
              <w:jc w:val="center"/>
              <w:rPr>
                <w:rFonts w:hint="eastAsia" w:ascii="宋体" w:hAnsi="宋体" w:eastAsia="宋体" w:cs="宋体"/>
                <w:sz w:val="24"/>
                <w:szCs w:val="24"/>
                <w:highlight w:val="none"/>
              </w:rPr>
            </w:pPr>
          </w:p>
        </w:tc>
        <w:tc>
          <w:tcPr>
            <w:tcW w:w="857" w:type="dxa"/>
            <w:vAlign w:val="center"/>
          </w:tcPr>
          <w:p w14:paraId="6C233096">
            <w:pPr>
              <w:ind w:firstLine="0" w:firstLineChars="0"/>
              <w:jc w:val="center"/>
              <w:rPr>
                <w:rFonts w:hint="eastAsia" w:ascii="宋体" w:hAnsi="宋体" w:eastAsia="宋体" w:cs="宋体"/>
                <w:sz w:val="24"/>
                <w:szCs w:val="24"/>
                <w:highlight w:val="none"/>
              </w:rPr>
            </w:pPr>
          </w:p>
        </w:tc>
        <w:tc>
          <w:tcPr>
            <w:tcW w:w="975" w:type="dxa"/>
            <w:vAlign w:val="center"/>
          </w:tcPr>
          <w:p w14:paraId="226A11BC">
            <w:pPr>
              <w:ind w:firstLine="0" w:firstLineChars="0"/>
              <w:jc w:val="center"/>
              <w:rPr>
                <w:rFonts w:hint="eastAsia" w:ascii="宋体" w:hAnsi="宋体" w:eastAsia="宋体" w:cs="宋体"/>
                <w:sz w:val="24"/>
                <w:szCs w:val="24"/>
                <w:highlight w:val="none"/>
              </w:rPr>
            </w:pPr>
          </w:p>
        </w:tc>
        <w:tc>
          <w:tcPr>
            <w:tcW w:w="1245" w:type="dxa"/>
            <w:vAlign w:val="center"/>
          </w:tcPr>
          <w:p w14:paraId="7A295477">
            <w:pPr>
              <w:ind w:firstLine="0" w:firstLineChars="0"/>
              <w:jc w:val="center"/>
              <w:rPr>
                <w:rFonts w:hint="eastAsia" w:ascii="宋体" w:hAnsi="宋体" w:eastAsia="宋体" w:cs="宋体"/>
                <w:sz w:val="24"/>
                <w:szCs w:val="24"/>
                <w:highlight w:val="none"/>
              </w:rPr>
            </w:pPr>
          </w:p>
        </w:tc>
        <w:tc>
          <w:tcPr>
            <w:tcW w:w="1245" w:type="dxa"/>
            <w:vAlign w:val="center"/>
          </w:tcPr>
          <w:p w14:paraId="3E7B0240">
            <w:pPr>
              <w:ind w:firstLine="0" w:firstLineChars="0"/>
              <w:jc w:val="center"/>
              <w:rPr>
                <w:rFonts w:hint="eastAsia" w:ascii="宋体" w:hAnsi="宋体" w:eastAsia="宋体" w:cs="宋体"/>
                <w:sz w:val="24"/>
                <w:szCs w:val="24"/>
                <w:highlight w:val="none"/>
              </w:rPr>
            </w:pPr>
          </w:p>
        </w:tc>
      </w:tr>
      <w:tr w14:paraId="67B1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780" w:type="dxa"/>
            <w:vAlign w:val="center"/>
          </w:tcPr>
          <w:p w14:paraId="4EDEA87A">
            <w:pPr>
              <w:ind w:firstLine="0" w:firstLineChars="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12</w:t>
            </w:r>
          </w:p>
        </w:tc>
        <w:tc>
          <w:tcPr>
            <w:tcW w:w="2229" w:type="dxa"/>
            <w:vAlign w:val="center"/>
          </w:tcPr>
          <w:p w14:paraId="521D1837">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总计</w:t>
            </w:r>
          </w:p>
        </w:tc>
        <w:tc>
          <w:tcPr>
            <w:tcW w:w="6608" w:type="dxa"/>
            <w:gridSpan w:val="5"/>
          </w:tcPr>
          <w:p w14:paraId="7F7BE2F0">
            <w:pPr>
              <w:ind w:firstLine="0" w:firstLineChars="0"/>
              <w:rPr>
                <w:rFonts w:hint="eastAsia" w:ascii="宋体" w:hAnsi="宋体" w:eastAsia="宋体" w:cs="宋体"/>
                <w:sz w:val="24"/>
                <w:szCs w:val="24"/>
                <w:highlight w:val="none"/>
              </w:rPr>
            </w:pPr>
          </w:p>
        </w:tc>
      </w:tr>
    </w:tbl>
    <w:p w14:paraId="35C5F8C1">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                   法定代表人（或法定代表人授权代表）或自然人：</w:t>
      </w:r>
    </w:p>
    <w:p w14:paraId="5B848BAC">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                               （签署或盖章）</w:t>
      </w:r>
    </w:p>
    <w:p w14:paraId="12580BBF">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年     月     日</w:t>
      </w:r>
    </w:p>
    <w:p w14:paraId="1E409359">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注：1.请投标人完整填写本表；</w:t>
      </w:r>
    </w:p>
    <w:p w14:paraId="5380D3C2">
      <w:pPr>
        <w:spacing w:line="500" w:lineRule="exact"/>
        <w:ind w:firstLine="0" w:firstLineChars="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ascii="宋体" w:hAnsi="宋体" w:eastAsia="宋体" w:cs="宋体"/>
          <w:sz w:val="24"/>
          <w:szCs w:val="24"/>
          <w:highlight w:val="none"/>
          <w:lang w:eastAsia="zh-CN"/>
        </w:rPr>
        <w:t>2.该表可细化扩展。</w:t>
      </w:r>
    </w:p>
    <w:p w14:paraId="60C2BDFE">
      <w:pPr>
        <w:pStyle w:val="3"/>
        <w:ind w:firstLine="0" w:firstLineChars="0"/>
        <w:rPr>
          <w:rFonts w:hint="eastAsia" w:ascii="宋体" w:hAnsi="宋体" w:eastAsia="宋体" w:cs="宋体"/>
          <w:highlight w:val="none"/>
          <w:lang w:eastAsia="zh-CN"/>
        </w:rPr>
      </w:pPr>
      <w:bookmarkStart w:id="291" w:name="_Toc21315"/>
      <w:bookmarkStart w:id="292" w:name="_Toc23303"/>
      <w:bookmarkStart w:id="293" w:name="_Toc16280"/>
      <w:r>
        <w:rPr>
          <w:rFonts w:hint="eastAsia" w:ascii="宋体" w:hAnsi="宋体" w:eastAsia="宋体" w:cs="宋体"/>
          <w:highlight w:val="none"/>
          <w:lang w:eastAsia="zh-CN"/>
        </w:rPr>
        <w:t>二、服务文件</w:t>
      </w:r>
      <w:bookmarkEnd w:id="291"/>
      <w:bookmarkEnd w:id="292"/>
      <w:bookmarkEnd w:id="293"/>
    </w:p>
    <w:p w14:paraId="674D12B3">
      <w:pPr>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（一）服务条款差异表</w:t>
      </w:r>
    </w:p>
    <w:p w14:paraId="781882C6">
      <w:pPr>
        <w:spacing w:line="4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项目号：</w:t>
      </w:r>
    </w:p>
    <w:p w14:paraId="26E6C10E">
      <w:pPr>
        <w:spacing w:line="400" w:lineRule="exact"/>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招标项目名称：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3407"/>
        <w:gridCol w:w="2771"/>
        <w:gridCol w:w="2076"/>
      </w:tblGrid>
      <w:tr w14:paraId="7260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11" w:type="dxa"/>
            <w:vAlign w:val="center"/>
          </w:tcPr>
          <w:p w14:paraId="3F88F73D">
            <w:pPr>
              <w:tabs>
                <w:tab w:val="left" w:pos="6300"/>
              </w:tabs>
              <w:spacing w:line="4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3407" w:type="dxa"/>
            <w:vAlign w:val="center"/>
          </w:tcPr>
          <w:p w14:paraId="75849C9E">
            <w:pPr>
              <w:tabs>
                <w:tab w:val="left" w:pos="6300"/>
              </w:tabs>
              <w:spacing w:line="4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招标要求</w:t>
            </w:r>
          </w:p>
        </w:tc>
        <w:tc>
          <w:tcPr>
            <w:tcW w:w="2771" w:type="dxa"/>
            <w:vAlign w:val="center"/>
          </w:tcPr>
          <w:p w14:paraId="2ECC4734">
            <w:pPr>
              <w:tabs>
                <w:tab w:val="left" w:pos="6300"/>
              </w:tabs>
              <w:spacing w:line="4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投标应答</w:t>
            </w:r>
          </w:p>
        </w:tc>
        <w:tc>
          <w:tcPr>
            <w:tcW w:w="2076" w:type="dxa"/>
            <w:vAlign w:val="center"/>
          </w:tcPr>
          <w:p w14:paraId="5080243A">
            <w:pPr>
              <w:tabs>
                <w:tab w:val="left" w:pos="6300"/>
              </w:tabs>
              <w:spacing w:line="4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差异说明</w:t>
            </w:r>
          </w:p>
        </w:tc>
      </w:tr>
      <w:tr w14:paraId="254F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111" w:type="dxa"/>
            <w:vAlign w:val="center"/>
          </w:tcPr>
          <w:p w14:paraId="09963085">
            <w:pPr>
              <w:tabs>
                <w:tab w:val="left" w:pos="6300"/>
              </w:tabs>
              <w:spacing w:line="400" w:lineRule="exact"/>
              <w:ind w:firstLine="0" w:firstLineChars="0"/>
              <w:jc w:val="center"/>
              <w:outlineLvl w:val="0"/>
              <w:rPr>
                <w:rFonts w:hint="eastAsia" w:ascii="宋体" w:hAnsi="宋体" w:eastAsia="宋体" w:cs="宋体"/>
                <w:sz w:val="24"/>
                <w:szCs w:val="24"/>
                <w:highlight w:val="none"/>
              </w:rPr>
            </w:pPr>
          </w:p>
        </w:tc>
        <w:tc>
          <w:tcPr>
            <w:tcW w:w="3407" w:type="dxa"/>
            <w:vAlign w:val="center"/>
          </w:tcPr>
          <w:p w14:paraId="495D1AED">
            <w:pPr>
              <w:tabs>
                <w:tab w:val="left" w:pos="6300"/>
              </w:tabs>
              <w:spacing w:line="400" w:lineRule="exact"/>
              <w:ind w:firstLine="0" w:firstLineChars="0"/>
              <w:outlineLvl w:val="0"/>
              <w:rPr>
                <w:rFonts w:hint="eastAsia" w:ascii="宋体" w:hAnsi="宋体" w:eastAsia="宋体" w:cs="宋体"/>
                <w:sz w:val="24"/>
                <w:szCs w:val="24"/>
                <w:highlight w:val="none"/>
              </w:rPr>
            </w:pPr>
          </w:p>
        </w:tc>
        <w:tc>
          <w:tcPr>
            <w:tcW w:w="2771" w:type="dxa"/>
            <w:vAlign w:val="center"/>
          </w:tcPr>
          <w:p w14:paraId="04E742D4">
            <w:pPr>
              <w:tabs>
                <w:tab w:val="left" w:pos="6300"/>
              </w:tabs>
              <w:spacing w:line="400" w:lineRule="exact"/>
              <w:ind w:firstLine="0" w:firstLineChars="0"/>
              <w:outlineLvl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提醒：请注明具体内容以及电子投标文件中具体内容的位置（页码）</w:t>
            </w:r>
          </w:p>
        </w:tc>
        <w:tc>
          <w:tcPr>
            <w:tcW w:w="2076" w:type="dxa"/>
            <w:vAlign w:val="center"/>
          </w:tcPr>
          <w:p w14:paraId="23A2A617">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15D7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40F36AD0">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6C64D5C9">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56E791CE">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3638D5AC">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058A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32C977A4">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77CB0317">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01054A0F">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0F3B31CB">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0CB0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1BA830D5">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021ABE7D">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41B3D221">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661DAB10">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1605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0BEA77F6">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24B3C007">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78FA9A6A">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210E6FBA">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2E91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1C63DCED">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52848B49">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4C666017">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712B9FA9">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3B33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7047EFBD">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5426D18B">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4C647CA7">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5819FA82">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0642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1" w:type="dxa"/>
            <w:vAlign w:val="center"/>
          </w:tcPr>
          <w:p w14:paraId="659DBC12">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4F60AA50">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1E5F4CE6">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0B682FD8">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r w14:paraId="2125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11" w:type="dxa"/>
            <w:vAlign w:val="center"/>
          </w:tcPr>
          <w:p w14:paraId="2788690C">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3407" w:type="dxa"/>
            <w:vAlign w:val="center"/>
          </w:tcPr>
          <w:p w14:paraId="533068DF">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771" w:type="dxa"/>
            <w:vAlign w:val="center"/>
          </w:tcPr>
          <w:p w14:paraId="0152C7B1">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c>
          <w:tcPr>
            <w:tcW w:w="2076" w:type="dxa"/>
            <w:vAlign w:val="center"/>
          </w:tcPr>
          <w:p w14:paraId="5FE891D0">
            <w:pPr>
              <w:tabs>
                <w:tab w:val="left" w:pos="6300"/>
              </w:tabs>
              <w:spacing w:line="400" w:lineRule="exact"/>
              <w:ind w:firstLine="0" w:firstLineChars="0"/>
              <w:jc w:val="center"/>
              <w:outlineLvl w:val="0"/>
              <w:rPr>
                <w:rFonts w:hint="eastAsia" w:ascii="宋体" w:hAnsi="宋体" w:eastAsia="宋体" w:cs="宋体"/>
                <w:sz w:val="24"/>
                <w:szCs w:val="24"/>
                <w:highlight w:val="none"/>
                <w:lang w:eastAsia="zh-CN"/>
              </w:rPr>
            </w:pPr>
          </w:p>
        </w:tc>
      </w:tr>
    </w:tbl>
    <w:p w14:paraId="5EB561C8">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                      法定代表人（或法定代表人授权代表）或自然人：</w:t>
      </w:r>
    </w:p>
    <w:p w14:paraId="7FFA49E9">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w:t>
      </w:r>
    </w:p>
    <w:p w14:paraId="44ADC8A4">
      <w:pPr>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                               （签署或盖章）</w:t>
      </w:r>
    </w:p>
    <w:p w14:paraId="561D865C">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年     月     日</w:t>
      </w:r>
    </w:p>
    <w:p w14:paraId="6A71E782">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p>
    <w:p w14:paraId="2303A764">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1.本表即为对本项目“第二篇  项目技术（服务）需求”中所列条款进行比较和响应；</w:t>
      </w:r>
    </w:p>
    <w:p w14:paraId="75F40934">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2.本表可扩展；</w:t>
      </w:r>
    </w:p>
    <w:p w14:paraId="1A378ECB">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3.可附相关技术（质量）支撑材料。（格式自定）</w:t>
      </w:r>
    </w:p>
    <w:p w14:paraId="481B9AAA">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4.投标应答栏中应当注明具体内容。</w:t>
      </w:r>
    </w:p>
    <w:p w14:paraId="0A515B26">
      <w:pPr>
        <w:tabs>
          <w:tab w:val="left" w:pos="6300"/>
        </w:tabs>
        <w:spacing w:line="500" w:lineRule="exact"/>
        <w:ind w:firstLine="480"/>
        <w:rPr>
          <w:rFonts w:hint="eastAsia" w:ascii="宋体" w:hAnsi="宋体" w:cs="宋体"/>
          <w:sz w:val="24"/>
          <w:szCs w:val="24"/>
          <w:highlight w:val="none"/>
          <w:lang w:eastAsia="zh-CN"/>
        </w:rPr>
      </w:pPr>
    </w:p>
    <w:p w14:paraId="400E64D8">
      <w:pPr>
        <w:spacing w:line="440" w:lineRule="exact"/>
        <w:ind w:firstLine="480"/>
        <w:rPr>
          <w:rFonts w:hint="eastAsia" w:ascii="宋体" w:hAnsi="宋体" w:cs="宋体"/>
          <w:sz w:val="24"/>
          <w:szCs w:val="24"/>
          <w:highlight w:val="none"/>
          <w:lang w:eastAsia="zh-CN"/>
        </w:rPr>
      </w:pPr>
    </w:p>
    <w:p w14:paraId="15382AE2">
      <w:pPr>
        <w:ind w:firstLine="640"/>
        <w:rPr>
          <w:highlight w:val="none"/>
          <w:lang w:eastAsia="zh-CN"/>
        </w:rPr>
      </w:pPr>
      <w:r>
        <w:rPr>
          <w:rFonts w:hint="eastAsia"/>
          <w:highlight w:val="none"/>
          <w:lang w:eastAsia="zh-CN"/>
        </w:rPr>
        <w:br w:type="page"/>
      </w:r>
      <w:r>
        <w:rPr>
          <w:rFonts w:hint="eastAsia" w:ascii="宋体" w:hAnsi="宋体" w:eastAsia="宋体" w:cs="宋体"/>
          <w:highlight w:val="none"/>
          <w:lang w:eastAsia="zh-CN"/>
        </w:rPr>
        <w:t>（二）其他技术（质量）资料</w:t>
      </w:r>
    </w:p>
    <w:p w14:paraId="656F34DB">
      <w:pPr>
        <w:tabs>
          <w:tab w:val="left" w:pos="6300"/>
        </w:tabs>
        <w:spacing w:line="500" w:lineRule="exact"/>
        <w:ind w:firstLine="480"/>
        <w:rPr>
          <w:rFonts w:hint="eastAsia" w:ascii="宋体" w:hAnsi="宋体" w:cs="宋体"/>
          <w:sz w:val="24"/>
          <w:szCs w:val="24"/>
          <w:highlight w:val="none"/>
          <w:lang w:eastAsia="zh-CN"/>
        </w:rPr>
      </w:pPr>
    </w:p>
    <w:p w14:paraId="549C69E2">
      <w:pPr>
        <w:spacing w:line="500" w:lineRule="exact"/>
        <w:ind w:firstLine="480"/>
        <w:rPr>
          <w:rFonts w:hint="eastAsia" w:ascii="宋体" w:hAnsi="宋体" w:cs="宋体"/>
          <w:sz w:val="24"/>
          <w:szCs w:val="28"/>
          <w:highlight w:val="none"/>
          <w:lang w:eastAsia="zh-CN"/>
        </w:rPr>
        <w:sectPr>
          <w:pgSz w:w="11907" w:h="16840"/>
          <w:pgMar w:top="1134" w:right="1191" w:bottom="1134" w:left="1304" w:header="964" w:footer="992" w:gutter="0"/>
          <w:pgNumType w:fmt="decimal"/>
          <w:cols w:space="720" w:num="1"/>
          <w:docGrid w:linePitch="380" w:charSpace="-5735"/>
        </w:sectPr>
      </w:pPr>
    </w:p>
    <w:p w14:paraId="279ABE21">
      <w:pPr>
        <w:pStyle w:val="3"/>
        <w:ind w:firstLine="640"/>
        <w:rPr>
          <w:highlight w:val="none"/>
          <w:lang w:eastAsia="zh-CN"/>
        </w:rPr>
      </w:pPr>
      <w:bookmarkStart w:id="294" w:name="_Toc492721039"/>
      <w:bookmarkStart w:id="295" w:name="_Toc443"/>
      <w:bookmarkStart w:id="296" w:name="_Toc14517"/>
      <w:bookmarkStart w:id="297" w:name="_Toc25530"/>
      <w:bookmarkStart w:id="298" w:name="_Toc429584886"/>
      <w:r>
        <w:rPr>
          <w:rFonts w:hint="eastAsia"/>
          <w:highlight w:val="none"/>
          <w:lang w:eastAsia="zh-CN"/>
        </w:rPr>
        <w:t>三、商务文件</w:t>
      </w:r>
      <w:bookmarkEnd w:id="294"/>
      <w:bookmarkEnd w:id="295"/>
      <w:bookmarkEnd w:id="296"/>
      <w:bookmarkEnd w:id="297"/>
      <w:bookmarkEnd w:id="298"/>
    </w:p>
    <w:p w14:paraId="0719D260">
      <w:pPr>
        <w:spacing w:before="120" w:beforeLines="50" w:line="500" w:lineRule="exact"/>
        <w:ind w:firstLine="48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（一）投标函（格式）</w:t>
      </w:r>
    </w:p>
    <w:p w14:paraId="3C6A6B6F">
      <w:pPr>
        <w:spacing w:line="500" w:lineRule="exact"/>
        <w:ind w:firstLine="480"/>
        <w:rPr>
          <w:rFonts w:hint="eastAsia" w:ascii="宋体" w:hAnsi="宋体" w:eastAsia="宋体" w:cs="宋体"/>
          <w:sz w:val="24"/>
          <w:szCs w:val="24"/>
          <w:highlight w:val="none"/>
          <w:lang w:eastAsia="zh-CN"/>
        </w:rPr>
      </w:pPr>
    </w:p>
    <w:p w14:paraId="6482705F">
      <w:pPr>
        <w:spacing w:line="500" w:lineRule="exact"/>
        <w:ind w:firstLine="480"/>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招标项目名称：</w:t>
      </w:r>
      <w:r>
        <w:rPr>
          <w:rFonts w:hint="eastAsia" w:ascii="宋体" w:hAnsi="宋体" w:eastAsia="宋体" w:cs="宋体"/>
          <w:sz w:val="24"/>
          <w:szCs w:val="24"/>
          <w:highlight w:val="none"/>
          <w:u w:val="single"/>
          <w:lang w:eastAsia="zh-CN"/>
        </w:rPr>
        <w:t xml:space="preserve">                                             </w:t>
      </w:r>
    </w:p>
    <w:p w14:paraId="3B8DC4B9">
      <w:pPr>
        <w:spacing w:line="500" w:lineRule="exact"/>
        <w:ind w:firstLine="480"/>
        <w:rPr>
          <w:rFonts w:hint="eastAsia" w:ascii="宋体" w:hAnsi="宋体" w:eastAsia="宋体" w:cs="宋体"/>
          <w:sz w:val="24"/>
          <w:szCs w:val="24"/>
          <w:highlight w:val="none"/>
          <w:lang w:eastAsia="zh-CN"/>
        </w:rPr>
      </w:pPr>
    </w:p>
    <w:p w14:paraId="1D239CF5">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（采购代理机构名称）：</w:t>
      </w:r>
    </w:p>
    <w:p w14:paraId="1179A03E">
      <w:pPr>
        <w:spacing w:before="120" w:beforeLines="50"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（投标人名称）系中华人民共和国合法企业，注册地址：</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。我方就参加本次投标有关事项郑重声明如下：</w:t>
      </w:r>
    </w:p>
    <w:p w14:paraId="25948EC6">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一、我方完全理解并接受该项目招标文件所有要求。</w:t>
      </w:r>
    </w:p>
    <w:p w14:paraId="2E136370">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二、我方提交的所有投标文件、资料都是准确和真实的，如有虚假或隐瞒，我方愿意承担一切法律责任。</w:t>
      </w:r>
    </w:p>
    <w:p w14:paraId="4DCB4B75">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三、我方承诺按照招标文件要求，提供招标项目的技术服务。</w:t>
      </w:r>
    </w:p>
    <w:p w14:paraId="4547AFBF">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四、我方按招标文件要求提交的投标文件为：电子投标文件1份。</w:t>
      </w:r>
    </w:p>
    <w:p w14:paraId="775744AA">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五、我方承诺：本次投标的投标有效期为投标截止时间起90天。</w:t>
      </w:r>
    </w:p>
    <w:p w14:paraId="7C7C0701">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六、我方投标报价为闭口价。即在投标有效期和合同有效期内，该报价固定不变。</w:t>
      </w:r>
    </w:p>
    <w:p w14:paraId="345F1667">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七、如果我方中标，我方将履行招标文件中规定的各项要求以及我方投标文件的各项承诺，按《中华人民共和国政府采购法》、《中华人民共和国民法典》及合同约定条款承担我方责任。</w:t>
      </w:r>
    </w:p>
    <w:p w14:paraId="23DE7BEF">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八、我方未为采购项目提供整体设计、规范编制或者项目管理、监理、检测等服务。</w:t>
      </w:r>
    </w:p>
    <w:p w14:paraId="068A3800">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九、我方理解，最低报价不是中标的唯一条件。</w:t>
      </w:r>
    </w:p>
    <w:p w14:paraId="6CB349D0">
      <w:pPr>
        <w:tabs>
          <w:tab w:val="left" w:pos="6300"/>
        </w:tabs>
        <w:spacing w:line="500" w:lineRule="exact"/>
        <w:ind w:firstLine="480"/>
        <w:rPr>
          <w:rFonts w:hint="eastAsia" w:ascii="宋体" w:hAnsi="宋体" w:eastAsia="宋体" w:cs="宋体"/>
          <w:sz w:val="24"/>
          <w:szCs w:val="24"/>
          <w:highlight w:val="none"/>
          <w:lang w:eastAsia="zh-CN"/>
        </w:rPr>
      </w:pPr>
    </w:p>
    <w:p w14:paraId="0FC0D195">
      <w:pPr>
        <w:tabs>
          <w:tab w:val="left" w:pos="6300"/>
        </w:tabs>
        <w:spacing w:line="500" w:lineRule="exact"/>
        <w:ind w:firstLine="480"/>
        <w:rPr>
          <w:rFonts w:hint="eastAsia" w:ascii="宋体" w:hAnsi="宋体" w:eastAsia="宋体" w:cs="宋体"/>
          <w:sz w:val="24"/>
          <w:szCs w:val="24"/>
          <w:highlight w:val="none"/>
          <w:lang w:eastAsia="zh-CN"/>
        </w:rPr>
      </w:pPr>
    </w:p>
    <w:p w14:paraId="722D1E59">
      <w:pPr>
        <w:tabs>
          <w:tab w:val="left" w:pos="6300"/>
        </w:tabs>
        <w:spacing w:line="500" w:lineRule="exact"/>
        <w:ind w:firstLine="5460" w:firstLineChars="2275"/>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（投标人公章或自然人签署）</w:t>
      </w:r>
    </w:p>
    <w:p w14:paraId="2C3FD598">
      <w:pPr>
        <w:tabs>
          <w:tab w:val="left" w:pos="6300"/>
        </w:tabs>
        <w:spacing w:line="500" w:lineRule="exact"/>
        <w:ind w:firstLine="480"/>
        <w:rPr>
          <w:rFonts w:hint="eastAsia" w:ascii="宋体" w:hAnsi="宋体" w:eastAsia="宋体" w:cs="宋体"/>
          <w:sz w:val="24"/>
          <w:szCs w:val="24"/>
          <w:highlight w:val="none"/>
          <w:lang w:eastAsia="zh-CN"/>
        </w:rPr>
      </w:pPr>
    </w:p>
    <w:p w14:paraId="72639B19">
      <w:pPr>
        <w:tabs>
          <w:tab w:val="left" w:pos="6300"/>
        </w:tabs>
        <w:spacing w:line="500" w:lineRule="exact"/>
        <w:ind w:firstLine="5760" w:firstLineChars="24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年    月   日</w:t>
      </w:r>
    </w:p>
    <w:p w14:paraId="774C4FE7">
      <w:pPr>
        <w:ind w:firstLine="0" w:firstLineChars="0"/>
        <w:jc w:val="center"/>
        <w:rPr>
          <w:highlight w:val="none"/>
          <w:lang w:eastAsia="zh-CN"/>
        </w:rPr>
      </w:pPr>
      <w:r>
        <w:rPr>
          <w:rFonts w:hint="eastAsia" w:ascii="宋体" w:hAnsi="宋体" w:eastAsia="宋体" w:cs="宋体"/>
          <w:sz w:val="24"/>
          <w:szCs w:val="24"/>
          <w:highlight w:val="none"/>
          <w:lang w:eastAsia="zh-CN"/>
        </w:rPr>
        <w:br w:type="page"/>
      </w:r>
      <w:r>
        <w:rPr>
          <w:rFonts w:hint="eastAsia" w:ascii="宋体" w:hAnsi="宋体" w:eastAsia="宋体" w:cs="宋体"/>
          <w:szCs w:val="44"/>
          <w:highlight w:val="none"/>
          <w:lang w:eastAsia="zh-CN"/>
        </w:rPr>
        <w:t xml:space="preserve">   </w:t>
      </w:r>
      <w:r>
        <w:rPr>
          <w:rFonts w:hint="eastAsia" w:ascii="宋体" w:hAnsi="宋体" w:eastAsia="宋体" w:cs="宋体"/>
          <w:highlight w:val="none"/>
          <w:lang w:eastAsia="zh-CN"/>
        </w:rPr>
        <w:t>（二）商务条款差异表</w:t>
      </w:r>
    </w:p>
    <w:p w14:paraId="788974BD">
      <w:pPr>
        <w:spacing w:line="4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项目号：</w:t>
      </w:r>
    </w:p>
    <w:p w14:paraId="1AF62E1F">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688"/>
        <w:gridCol w:w="2790"/>
        <w:gridCol w:w="2090"/>
      </w:tblGrid>
      <w:tr w14:paraId="2819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50" w:type="dxa"/>
            <w:vAlign w:val="center"/>
          </w:tcPr>
          <w:p w14:paraId="2EBD38EF">
            <w:pPr>
              <w:tabs>
                <w:tab w:val="left" w:pos="6300"/>
              </w:tabs>
              <w:spacing w:line="5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2688" w:type="dxa"/>
            <w:vAlign w:val="center"/>
          </w:tcPr>
          <w:p w14:paraId="7A57C85B">
            <w:pPr>
              <w:tabs>
                <w:tab w:val="left" w:pos="6300"/>
              </w:tabs>
              <w:spacing w:line="5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招标商务要求</w:t>
            </w:r>
          </w:p>
        </w:tc>
        <w:tc>
          <w:tcPr>
            <w:tcW w:w="2790" w:type="dxa"/>
            <w:vAlign w:val="center"/>
          </w:tcPr>
          <w:p w14:paraId="219BF2B8">
            <w:pPr>
              <w:tabs>
                <w:tab w:val="left" w:pos="6300"/>
              </w:tabs>
              <w:spacing w:line="5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投标商务应答</w:t>
            </w:r>
          </w:p>
        </w:tc>
        <w:tc>
          <w:tcPr>
            <w:tcW w:w="2090" w:type="dxa"/>
            <w:vAlign w:val="center"/>
          </w:tcPr>
          <w:p w14:paraId="696F3ABF">
            <w:pPr>
              <w:tabs>
                <w:tab w:val="left" w:pos="6300"/>
              </w:tabs>
              <w:spacing w:line="500" w:lineRule="exact"/>
              <w:ind w:firstLine="0" w:firstLineChars="0"/>
              <w:jc w:val="center"/>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差异说明</w:t>
            </w:r>
          </w:p>
        </w:tc>
      </w:tr>
      <w:tr w14:paraId="504D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150" w:type="dxa"/>
            <w:vAlign w:val="center"/>
          </w:tcPr>
          <w:p w14:paraId="77F6E9BD">
            <w:pPr>
              <w:tabs>
                <w:tab w:val="left" w:pos="6300"/>
              </w:tabs>
              <w:spacing w:line="500" w:lineRule="exact"/>
              <w:ind w:firstLine="0" w:firstLineChars="0"/>
              <w:jc w:val="center"/>
              <w:outlineLvl w:val="0"/>
              <w:rPr>
                <w:rFonts w:hint="eastAsia" w:ascii="宋体" w:hAnsi="宋体" w:eastAsia="宋体" w:cs="宋体"/>
                <w:sz w:val="24"/>
                <w:szCs w:val="24"/>
                <w:highlight w:val="none"/>
              </w:rPr>
            </w:pPr>
          </w:p>
        </w:tc>
        <w:tc>
          <w:tcPr>
            <w:tcW w:w="2688" w:type="dxa"/>
            <w:vAlign w:val="center"/>
          </w:tcPr>
          <w:p w14:paraId="0137FB2E">
            <w:pPr>
              <w:tabs>
                <w:tab w:val="left" w:pos="6300"/>
              </w:tabs>
              <w:spacing w:line="500" w:lineRule="exact"/>
              <w:ind w:firstLine="0" w:firstLineChars="0"/>
              <w:outlineLvl w:val="0"/>
              <w:rPr>
                <w:rFonts w:hint="eastAsia" w:ascii="宋体" w:hAnsi="宋体" w:eastAsia="宋体" w:cs="宋体"/>
                <w:sz w:val="24"/>
                <w:szCs w:val="24"/>
                <w:highlight w:val="none"/>
              </w:rPr>
            </w:pPr>
          </w:p>
        </w:tc>
        <w:tc>
          <w:tcPr>
            <w:tcW w:w="2790" w:type="dxa"/>
            <w:vAlign w:val="center"/>
          </w:tcPr>
          <w:p w14:paraId="53F7D4E8">
            <w:pPr>
              <w:tabs>
                <w:tab w:val="left" w:pos="6300"/>
              </w:tabs>
              <w:spacing w:line="500" w:lineRule="exact"/>
              <w:ind w:firstLine="0" w:firstLineChars="0"/>
              <w:outlineLvl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提醒：请注明具体内容以及电子投标文件中具体内容的位置（页码）</w:t>
            </w:r>
          </w:p>
        </w:tc>
        <w:tc>
          <w:tcPr>
            <w:tcW w:w="2090" w:type="dxa"/>
            <w:vAlign w:val="center"/>
          </w:tcPr>
          <w:p w14:paraId="6E88AB57">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7382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486499B4">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55DAE0A8">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7A5964B9">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7188B6CF">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4E22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0EDD05EF">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69F7917C">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1A853FFA">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03D322DB">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5163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6E51DD5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6C529C6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306478E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6D7FB2DA">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7DC1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04DA33A6">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2CF48886">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376E32C6">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57EACDA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3936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43613849">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5D2408F7">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69DDBB57">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12184D43">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4FE7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72D9E7F5">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4D6B44B8">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582C56A1">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77AA80DC">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7EA1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32E07A4D">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707D9E6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4BD2C8D0">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361D8F79">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7C52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38F3E1D1">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3A5F2DB8">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35958999">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5BCDB901">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6C9F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50" w:type="dxa"/>
            <w:vAlign w:val="center"/>
          </w:tcPr>
          <w:p w14:paraId="519BCBA9">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5BC59524">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174E619E">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5645786A">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r w14:paraId="33E8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0" w:type="dxa"/>
            <w:vAlign w:val="center"/>
          </w:tcPr>
          <w:p w14:paraId="4A897EDD">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688" w:type="dxa"/>
            <w:vAlign w:val="center"/>
          </w:tcPr>
          <w:p w14:paraId="2CFAEB0E">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790" w:type="dxa"/>
            <w:vAlign w:val="center"/>
          </w:tcPr>
          <w:p w14:paraId="256E799F">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c>
          <w:tcPr>
            <w:tcW w:w="2090" w:type="dxa"/>
            <w:vAlign w:val="center"/>
          </w:tcPr>
          <w:p w14:paraId="74DD3D74">
            <w:pPr>
              <w:tabs>
                <w:tab w:val="left" w:pos="6300"/>
              </w:tabs>
              <w:spacing w:line="500" w:lineRule="exact"/>
              <w:ind w:firstLine="0" w:firstLineChars="0"/>
              <w:jc w:val="center"/>
              <w:outlineLvl w:val="0"/>
              <w:rPr>
                <w:rFonts w:hint="eastAsia" w:ascii="宋体" w:hAnsi="宋体" w:eastAsia="宋体" w:cs="宋体"/>
                <w:sz w:val="24"/>
                <w:szCs w:val="24"/>
                <w:highlight w:val="none"/>
                <w:lang w:eastAsia="zh-CN"/>
              </w:rPr>
            </w:pPr>
          </w:p>
        </w:tc>
      </w:tr>
    </w:tbl>
    <w:p w14:paraId="6E3B8F01">
      <w:pPr>
        <w:spacing w:line="500" w:lineRule="exact"/>
        <w:ind w:firstLine="600" w:firstLineChars="2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                     法定代表人（或法定代表人授权代表）或自然人：</w:t>
      </w:r>
    </w:p>
    <w:p w14:paraId="1A2B5DD0">
      <w:pPr>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（投标人公章）                               （签署或盖章）</w:t>
      </w:r>
    </w:p>
    <w:p w14:paraId="65911781">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年     月     日</w:t>
      </w:r>
    </w:p>
    <w:p w14:paraId="2975BB36">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p>
    <w:p w14:paraId="6ABB340E">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1.本表即为对本项目“第三篇 项目商务需求”中所列条款进行比较和响应；</w:t>
      </w:r>
    </w:p>
    <w:p w14:paraId="6C6E69CE">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2.本表可扩展。</w:t>
      </w:r>
    </w:p>
    <w:p w14:paraId="14B9188D">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3.投标商务应答栏中应当注明具体内容。</w:t>
      </w:r>
    </w:p>
    <w:p w14:paraId="651E3977">
      <w:pPr>
        <w:ind w:firstLine="640"/>
        <w:rPr>
          <w:highlight w:val="none"/>
          <w:lang w:eastAsia="zh-CN"/>
        </w:rPr>
      </w:pPr>
      <w:r>
        <w:rPr>
          <w:rFonts w:hint="eastAsia" w:ascii="宋体" w:hAnsi="宋体" w:eastAsia="宋体" w:cs="宋体"/>
          <w:sz w:val="24"/>
          <w:szCs w:val="24"/>
          <w:highlight w:val="none"/>
          <w:lang w:eastAsia="zh-CN"/>
        </w:rPr>
        <w:br w:type="page"/>
      </w:r>
      <w:r>
        <w:rPr>
          <w:rFonts w:hint="eastAsia"/>
          <w:highlight w:val="none"/>
          <w:lang w:eastAsia="zh-CN"/>
        </w:rPr>
        <w:t xml:space="preserve">   </w:t>
      </w:r>
      <w:r>
        <w:rPr>
          <w:rFonts w:hint="eastAsia" w:ascii="宋体" w:hAnsi="宋体" w:eastAsia="宋体" w:cs="宋体"/>
          <w:sz w:val="32"/>
          <w:szCs w:val="32"/>
          <w:highlight w:val="none"/>
          <w:lang w:eastAsia="zh-CN"/>
        </w:rPr>
        <w:t>（三）其他商务资料</w:t>
      </w:r>
    </w:p>
    <w:p w14:paraId="01CBCF97">
      <w:pPr>
        <w:tabs>
          <w:tab w:val="left" w:pos="6300"/>
        </w:tabs>
        <w:spacing w:line="500" w:lineRule="exact"/>
        <w:ind w:firstLine="480"/>
        <w:rPr>
          <w:rFonts w:hint="eastAsia" w:ascii="宋体" w:hAnsi="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ascii="宋体" w:hAnsi="宋体" w:cs="宋体"/>
          <w:sz w:val="24"/>
          <w:szCs w:val="24"/>
          <w:highlight w:val="none"/>
          <w:lang w:eastAsia="zh-CN"/>
        </w:rPr>
        <w:t xml:space="preserve"> </w:t>
      </w:r>
    </w:p>
    <w:p w14:paraId="61967154">
      <w:pPr>
        <w:pStyle w:val="3"/>
        <w:ind w:firstLine="640"/>
        <w:jc w:val="center"/>
        <w:rPr>
          <w:highlight w:val="none"/>
          <w:lang w:eastAsia="zh-CN"/>
        </w:rPr>
      </w:pPr>
      <w:bookmarkStart w:id="299" w:name="_Toc492721041"/>
      <w:bookmarkStart w:id="300" w:name="_Toc26503"/>
      <w:bookmarkStart w:id="301" w:name="_Toc429584888"/>
      <w:bookmarkStart w:id="302" w:name="_Toc31335"/>
      <w:bookmarkStart w:id="303" w:name="_Toc25588"/>
      <w:r>
        <w:rPr>
          <w:rFonts w:hint="eastAsia"/>
          <w:highlight w:val="none"/>
          <w:lang w:eastAsia="zh-CN"/>
        </w:rPr>
        <w:t>四、其他</w:t>
      </w:r>
      <w:bookmarkEnd w:id="299"/>
      <w:bookmarkEnd w:id="300"/>
      <w:bookmarkEnd w:id="301"/>
      <w:bookmarkEnd w:id="302"/>
      <w:bookmarkEnd w:id="303"/>
    </w:p>
    <w:p w14:paraId="30C361F2">
      <w:pPr>
        <w:ind w:firstLine="640"/>
        <w:rPr>
          <w:highlight w:val="none"/>
          <w:lang w:eastAsia="zh-CN"/>
        </w:rPr>
      </w:pPr>
      <w:bookmarkStart w:id="304" w:name="_Toc25542"/>
      <w:bookmarkStart w:id="305" w:name="_Toc24875"/>
      <w:r>
        <w:rPr>
          <w:rFonts w:hint="eastAsia"/>
          <w:highlight w:val="none"/>
          <w:lang w:eastAsia="zh-CN"/>
        </w:rPr>
        <w:t>（一）中小企业声明函、监狱企业证明文件、残疾人福利性单位声明函</w:t>
      </w:r>
      <w:bookmarkEnd w:id="304"/>
      <w:bookmarkEnd w:id="305"/>
    </w:p>
    <w:p w14:paraId="24D91923">
      <w:pPr>
        <w:tabs>
          <w:tab w:val="left" w:pos="6300"/>
        </w:tabs>
        <w:spacing w:line="500" w:lineRule="exact"/>
        <w:ind w:firstLine="643"/>
        <w:jc w:val="center"/>
        <w:rPr>
          <w:rFonts w:hint="eastAsia" w:ascii="宋体" w:hAnsi="宋体" w:cs="宋体"/>
          <w:sz w:val="22"/>
          <w:szCs w:val="22"/>
          <w:highlight w:val="none"/>
          <w:lang w:eastAsia="zh-CN"/>
        </w:rPr>
      </w:pPr>
      <w:r>
        <w:rPr>
          <w:rFonts w:hint="eastAsia" w:ascii="宋体" w:hAnsi="宋体" w:cs="宋体"/>
          <w:b/>
          <w:bCs/>
          <w:szCs w:val="28"/>
          <w:highlight w:val="none"/>
          <w:lang w:eastAsia="zh-CN"/>
        </w:rPr>
        <w:t>1.中小企业声明函</w:t>
      </w:r>
    </w:p>
    <w:p w14:paraId="7FB70DC2">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本公司（联合体）郑重声明，根据《政府采购促进中小企业发展管理办法》（财库﹝2020﹞4 6号）的规定，本公司</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参加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(单位名称)采购活动，服务全部由符合政策要求的中小企业承接。相关企业（含联合体中的中小企业、签订分包意向协议的中小企业）的具体情况如下：</w:t>
      </w:r>
    </w:p>
    <w:p w14:paraId="12DE4444">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r>
        <w:rPr>
          <w:rFonts w:hint="eastAsia" w:ascii="宋体" w:hAnsi="宋体" w:eastAsia="宋体" w:cs="宋体"/>
          <w:sz w:val="24"/>
          <w:szCs w:val="24"/>
          <w:highlight w:val="none"/>
          <w:u w:val="single"/>
          <w:lang w:eastAsia="zh-CN"/>
        </w:rPr>
        <w:t xml:space="preserve"> （标的名称）</w:t>
      </w:r>
      <w:r>
        <w:rPr>
          <w:rFonts w:hint="eastAsia" w:ascii="宋体" w:hAnsi="宋体" w:eastAsia="宋体" w:cs="宋体"/>
          <w:sz w:val="24"/>
          <w:szCs w:val="24"/>
          <w:highlight w:val="none"/>
          <w:lang w:eastAsia="zh-CN"/>
        </w:rPr>
        <w:t>，属于</w:t>
      </w:r>
      <w:r>
        <w:rPr>
          <w:rFonts w:hint="eastAsia" w:ascii="宋体" w:hAnsi="宋体" w:eastAsia="宋体" w:cs="宋体"/>
          <w:sz w:val="24"/>
          <w:szCs w:val="24"/>
          <w:highlight w:val="none"/>
          <w:u w:val="single"/>
          <w:lang w:eastAsia="zh-CN"/>
        </w:rPr>
        <w:t>（采购文件中明确的所属行业）</w:t>
      </w:r>
      <w:r>
        <w:rPr>
          <w:rFonts w:hint="eastAsia" w:ascii="宋体" w:hAnsi="宋体" w:eastAsia="宋体" w:cs="宋体"/>
          <w:sz w:val="24"/>
          <w:szCs w:val="24"/>
          <w:highlight w:val="none"/>
          <w:lang w:eastAsia="zh-CN"/>
        </w:rPr>
        <w:t>；承接企业为</w:t>
      </w:r>
      <w:r>
        <w:rPr>
          <w:rFonts w:hint="eastAsia" w:ascii="宋体" w:hAnsi="宋体" w:eastAsia="宋体" w:cs="宋体"/>
          <w:sz w:val="24"/>
          <w:szCs w:val="24"/>
          <w:highlight w:val="none"/>
          <w:u w:val="single"/>
          <w:lang w:eastAsia="zh-CN"/>
        </w:rPr>
        <w:t>(企业名称)</w:t>
      </w:r>
      <w:r>
        <w:rPr>
          <w:rFonts w:hint="eastAsia" w:ascii="宋体" w:hAnsi="宋体" w:eastAsia="宋体" w:cs="宋体"/>
          <w:sz w:val="24"/>
          <w:szCs w:val="24"/>
          <w:highlight w:val="none"/>
          <w:lang w:eastAsia="zh-CN"/>
        </w:rPr>
        <w:t>，从业人员</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人，营业收入为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万元，资产总额为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万元'，属于</w:t>
      </w:r>
      <w:r>
        <w:rPr>
          <w:rFonts w:hint="eastAsia" w:ascii="宋体" w:hAnsi="宋体" w:eastAsia="宋体" w:cs="宋体"/>
          <w:sz w:val="24"/>
          <w:szCs w:val="24"/>
          <w:highlight w:val="none"/>
          <w:u w:val="single"/>
          <w:lang w:eastAsia="zh-CN"/>
        </w:rPr>
        <w:t>（中型企业、小型企业、微型企业）</w:t>
      </w:r>
      <w:r>
        <w:rPr>
          <w:rFonts w:hint="eastAsia" w:ascii="宋体" w:hAnsi="宋体" w:eastAsia="宋体" w:cs="宋体"/>
          <w:sz w:val="24"/>
          <w:szCs w:val="24"/>
          <w:highlight w:val="none"/>
          <w:lang w:eastAsia="zh-CN"/>
        </w:rPr>
        <w:t>。</w:t>
      </w:r>
    </w:p>
    <w:p w14:paraId="42CBF839">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为本标的提供的服务人员</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人，其中与本企业签订劳动合同</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人，其他人员     人。有其他人员的不符合中小企业扶持政策;</w:t>
      </w:r>
    </w:p>
    <w:p w14:paraId="329F135A">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u w:val="single"/>
          <w:lang w:eastAsia="zh-CN"/>
        </w:rPr>
        <w:t xml:space="preserve"> （标的名称）</w:t>
      </w:r>
      <w:r>
        <w:rPr>
          <w:rFonts w:hint="eastAsia" w:ascii="宋体" w:hAnsi="宋体" w:eastAsia="宋体" w:cs="宋体"/>
          <w:sz w:val="24"/>
          <w:szCs w:val="24"/>
          <w:highlight w:val="none"/>
          <w:lang w:eastAsia="zh-CN"/>
        </w:rPr>
        <w:t>，属于</w:t>
      </w:r>
      <w:r>
        <w:rPr>
          <w:rFonts w:hint="eastAsia" w:ascii="宋体" w:hAnsi="宋体" w:eastAsia="宋体" w:cs="宋体"/>
          <w:sz w:val="24"/>
          <w:szCs w:val="24"/>
          <w:highlight w:val="none"/>
          <w:u w:val="single"/>
          <w:lang w:eastAsia="zh-CN"/>
        </w:rPr>
        <w:t>（采购文件中明确的所属行业）</w:t>
      </w:r>
      <w:r>
        <w:rPr>
          <w:rFonts w:hint="eastAsia" w:ascii="宋体" w:hAnsi="宋体" w:eastAsia="宋体" w:cs="宋体"/>
          <w:sz w:val="24"/>
          <w:szCs w:val="24"/>
          <w:highlight w:val="none"/>
          <w:lang w:eastAsia="zh-CN"/>
        </w:rPr>
        <w:t>；承接企业为</w:t>
      </w:r>
      <w:r>
        <w:rPr>
          <w:rFonts w:hint="eastAsia" w:ascii="宋体" w:hAnsi="宋体" w:eastAsia="宋体" w:cs="宋体"/>
          <w:sz w:val="24"/>
          <w:szCs w:val="24"/>
          <w:highlight w:val="none"/>
          <w:u w:val="single"/>
          <w:lang w:eastAsia="zh-CN"/>
        </w:rPr>
        <w:t>(企业名称)</w:t>
      </w:r>
      <w:r>
        <w:rPr>
          <w:rFonts w:hint="eastAsia" w:ascii="宋体" w:hAnsi="宋体" w:eastAsia="宋体" w:cs="宋体"/>
          <w:sz w:val="24"/>
          <w:szCs w:val="24"/>
          <w:highlight w:val="none"/>
          <w:lang w:eastAsia="zh-CN"/>
        </w:rPr>
        <w:t>，从业人员</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人，营业收入为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万元，资产总额为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万元'，属于</w:t>
      </w:r>
      <w:r>
        <w:rPr>
          <w:rFonts w:hint="eastAsia" w:ascii="宋体" w:hAnsi="宋体" w:eastAsia="宋体" w:cs="宋体"/>
          <w:sz w:val="24"/>
          <w:szCs w:val="24"/>
          <w:highlight w:val="none"/>
          <w:u w:val="single"/>
          <w:lang w:eastAsia="zh-CN"/>
        </w:rPr>
        <w:t>（中型企业、小型企业、微型企业）</w:t>
      </w:r>
      <w:r>
        <w:rPr>
          <w:rFonts w:hint="eastAsia" w:ascii="宋体" w:hAnsi="宋体" w:eastAsia="宋体" w:cs="宋体"/>
          <w:sz w:val="24"/>
          <w:szCs w:val="24"/>
          <w:highlight w:val="none"/>
          <w:lang w:eastAsia="zh-CN"/>
        </w:rPr>
        <w:t>。</w:t>
      </w:r>
    </w:p>
    <w:p w14:paraId="30E6B38E">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为本标的提供的服务人员</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人，其中与本企业签订劳动合同</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人，其他人员     人。有其他人员的不符合中小企业扶持政策;</w:t>
      </w:r>
    </w:p>
    <w:p w14:paraId="2A4984B3">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p>
    <w:p w14:paraId="196B521D">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以上企业，不属于大企业的分支机构，不存在控股股东为大企业的情形，也不存在与大企业的负责人为同一人的情形。</w:t>
      </w:r>
    </w:p>
    <w:p w14:paraId="708BF3D1">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本企业对上述声明内容的真实性负责。如有虚假，将依法承担相应责任。</w:t>
      </w:r>
    </w:p>
    <w:p w14:paraId="2C78AAF7">
      <w:pPr>
        <w:tabs>
          <w:tab w:val="left" w:pos="6300"/>
        </w:tabs>
        <w:spacing w:line="500" w:lineRule="exact"/>
        <w:ind w:firstLine="482"/>
        <w:rPr>
          <w:rFonts w:hint="eastAsia" w:ascii="宋体" w:hAnsi="宋体" w:eastAsia="宋体" w:cs="宋体"/>
          <w:b/>
          <w:bCs/>
          <w:sz w:val="24"/>
          <w:szCs w:val="24"/>
          <w:highlight w:val="none"/>
          <w:lang w:eastAsia="zh-CN"/>
        </w:rPr>
      </w:pPr>
    </w:p>
    <w:p w14:paraId="474430DB">
      <w:pPr>
        <w:tabs>
          <w:tab w:val="left" w:pos="6300"/>
        </w:tabs>
        <w:spacing w:line="500" w:lineRule="exact"/>
        <w:ind w:firstLine="482"/>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 xml:space="preserve">                             企业名称（盖章）：</w:t>
      </w:r>
    </w:p>
    <w:p w14:paraId="3C8CF69A">
      <w:pPr>
        <w:tabs>
          <w:tab w:val="left" w:pos="6300"/>
        </w:tabs>
        <w:spacing w:line="500" w:lineRule="exact"/>
        <w:ind w:firstLine="482"/>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lang w:eastAsia="zh-CN"/>
        </w:rPr>
        <w:t xml:space="preserve">                                        日 期：</w:t>
      </w:r>
    </w:p>
    <w:p w14:paraId="30A2B3CD">
      <w:pPr>
        <w:tabs>
          <w:tab w:val="left" w:pos="6300"/>
        </w:tabs>
        <w:ind w:firstLine="480"/>
        <w:rPr>
          <w:rFonts w:hint="eastAsia" w:ascii="宋体" w:hAnsi="宋体" w:eastAsia="宋体" w:cs="宋体"/>
          <w:sz w:val="24"/>
          <w:szCs w:val="24"/>
          <w:highlight w:val="none"/>
          <w:lang w:eastAsia="zh-CN"/>
        </w:rPr>
      </w:pPr>
    </w:p>
    <w:p w14:paraId="0F981AF5">
      <w:pPr>
        <w:tabs>
          <w:tab w:val="left" w:pos="6300"/>
        </w:tabs>
        <w:ind w:firstLine="480"/>
        <w:rPr>
          <w:rFonts w:hint="eastAsia" w:ascii="宋体" w:hAnsi="宋体" w:eastAsia="宋体" w:cs="宋体"/>
          <w:sz w:val="24"/>
          <w:szCs w:val="24"/>
          <w:highlight w:val="none"/>
          <w:lang w:eastAsia="zh-CN"/>
        </w:rPr>
      </w:pPr>
    </w:p>
    <w:p w14:paraId="6B9B346D">
      <w:pPr>
        <w:tabs>
          <w:tab w:val="left" w:pos="6300"/>
        </w:tabs>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填写时应注意以下事项：</w:t>
      </w:r>
    </w:p>
    <w:p w14:paraId="022297C4">
      <w:pPr>
        <w:tabs>
          <w:tab w:val="left" w:pos="6300"/>
        </w:tabs>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1.从业人员、营业收入、资产总额填报上一年度数据，无上一年度数据的新成立企业可不填报。</w:t>
      </w:r>
    </w:p>
    <w:p w14:paraId="678AEE2C">
      <w:pPr>
        <w:tabs>
          <w:tab w:val="left" w:pos="6300"/>
        </w:tabs>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2.投标人未按照采购文件第一篇“采购标的对应的中小企业划分标准所属行业”填写所属行业，或所填写企业类型与相应行业划型标准不一致的，视为未提供《中小企业声明函》，不享受中小企业扶持政策。</w:t>
      </w:r>
    </w:p>
    <w:p w14:paraId="6C416ACF">
      <w:pPr>
        <w:tabs>
          <w:tab w:val="left" w:pos="6300"/>
        </w:tabs>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3.中小企业应当按照《中小企业划型标准规定》（工信部联企业〔2011〕300号），如实填写并提交《中小企业声明函》。</w:t>
      </w:r>
    </w:p>
    <w:p w14:paraId="38297BAB">
      <w:pPr>
        <w:tabs>
          <w:tab w:val="left" w:pos="6300"/>
        </w:tabs>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4.本声明函“企业名称（盖章）”处为投标人盖章。</w:t>
      </w:r>
    </w:p>
    <w:p w14:paraId="2A521911">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注：各行业划型标准：</w:t>
      </w:r>
    </w:p>
    <w:p w14:paraId="63D80555">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（一）农、林、牧、渔业。营业收入20000万元以下的为中小微型企业。其中，营业收入500万元及以上的为中型企业，营业收入50万元及以上的为小型企业，营业收入50万元以下的为微型企业。</w:t>
      </w:r>
    </w:p>
    <w:p w14:paraId="2862ACAB">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906FB3C">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1BFEBF3">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D4226CB">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42C00DE">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45ADC1F">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7FA352">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86FE26">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4ACC7DB">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4195D38">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79D88A7">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27E3E64">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32BA10A">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A9BF138">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CB86265">
      <w:pPr>
        <w:tabs>
          <w:tab w:val="left" w:pos="6300"/>
        </w:tabs>
        <w:spacing w:line="500" w:lineRule="exact"/>
        <w:ind w:firstLine="42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（十六）其他未列明行业。从业人员300人以下的为中小微型企业。其中，从业人员100人及以上的为中型企业；从业人员10人及以上的为小型企业；从业人员10人以下的为微型企业。</w:t>
      </w:r>
    </w:p>
    <w:p w14:paraId="22488256">
      <w:pPr>
        <w:tabs>
          <w:tab w:val="left" w:pos="6300"/>
        </w:tabs>
        <w:spacing w:line="500" w:lineRule="exact"/>
        <w:ind w:firstLine="480"/>
        <w:rPr>
          <w:rFonts w:hint="eastAsia" w:ascii="宋体" w:hAnsi="宋体" w:eastAsia="宋体" w:cs="宋体"/>
          <w:sz w:val="21"/>
          <w:szCs w:val="21"/>
          <w:highlight w:val="none"/>
          <w:lang w:eastAsia="zh-CN"/>
        </w:rPr>
      </w:pPr>
    </w:p>
    <w:p w14:paraId="10B44BC9">
      <w:pPr>
        <w:ind w:firstLine="640"/>
        <w:jc w:val="center"/>
        <w:rPr>
          <w:b/>
          <w:bCs/>
          <w:highlight w:val="none"/>
          <w:lang w:eastAsia="zh-CN"/>
        </w:rPr>
      </w:pPr>
      <w:r>
        <w:rPr>
          <w:rFonts w:hint="eastAsia" w:ascii="宋体" w:hAnsi="宋体" w:eastAsia="宋体" w:cs="宋体"/>
          <w:sz w:val="21"/>
          <w:szCs w:val="21"/>
          <w:highlight w:val="none"/>
          <w:lang w:eastAsia="zh-CN"/>
        </w:rPr>
        <w:br w:type="page"/>
      </w:r>
      <w:bookmarkStart w:id="306" w:name="_Toc10136"/>
      <w:bookmarkStart w:id="307" w:name="_Toc12036"/>
      <w:r>
        <w:rPr>
          <w:rFonts w:hint="eastAsia"/>
          <w:b/>
          <w:bCs/>
          <w:highlight w:val="none"/>
          <w:lang w:eastAsia="zh-CN"/>
        </w:rPr>
        <w:t>2.监狱企业证明文件</w:t>
      </w:r>
      <w:bookmarkEnd w:id="306"/>
      <w:bookmarkEnd w:id="307"/>
    </w:p>
    <w:p w14:paraId="0E173D15">
      <w:pPr>
        <w:tabs>
          <w:tab w:val="left" w:pos="6300"/>
        </w:tabs>
        <w:spacing w:line="500" w:lineRule="exact"/>
        <w:ind w:firstLine="640"/>
        <w:jc w:val="center"/>
        <w:rPr>
          <w:b/>
          <w:bCs/>
          <w:highlight w:val="none"/>
          <w:lang w:eastAsia="zh-CN"/>
        </w:rPr>
      </w:pPr>
      <w:bookmarkStart w:id="308" w:name="_Toc9952"/>
      <w:bookmarkStart w:id="309" w:name="_Toc10699"/>
      <w:r>
        <w:rPr>
          <w:rFonts w:hint="eastAsia" w:ascii="宋体" w:hAnsi="宋体" w:eastAsia="宋体" w:cs="宋体"/>
          <w:sz w:val="24"/>
          <w:szCs w:val="24"/>
          <w:highlight w:val="none"/>
          <w:lang w:eastAsia="zh-CN"/>
        </w:rPr>
        <w:t>以省级以上监狱管理局、戒毒管理局（含新疆生产建设兵团）出具的属于监狱企业的证明文件为准。</w:t>
      </w:r>
      <w:r>
        <w:rPr>
          <w:rFonts w:hint="eastAsia" w:ascii="宋体" w:hAnsi="宋体" w:cs="宋体"/>
          <w:sz w:val="24"/>
          <w:szCs w:val="24"/>
          <w:highlight w:val="none"/>
          <w:lang w:eastAsia="zh-CN"/>
        </w:rPr>
        <w:br w:type="page"/>
      </w:r>
      <w:r>
        <w:rPr>
          <w:rFonts w:hint="eastAsia" w:ascii="宋体" w:hAnsi="宋体" w:eastAsia="宋体" w:cs="宋体"/>
          <w:b/>
          <w:bCs/>
          <w:highlight w:val="none"/>
          <w:lang w:eastAsia="zh-CN"/>
        </w:rPr>
        <w:t>3.残疾人福利性单位声明函</w:t>
      </w:r>
      <w:bookmarkEnd w:id="308"/>
      <w:bookmarkEnd w:id="309"/>
    </w:p>
    <w:p w14:paraId="5CC6B207">
      <w:pPr>
        <w:tabs>
          <w:tab w:val="left" w:pos="6300"/>
        </w:tabs>
        <w:spacing w:line="500" w:lineRule="exact"/>
        <w:ind w:firstLine="480"/>
        <w:rPr>
          <w:rFonts w:hint="eastAsia" w:ascii="宋体" w:hAnsi="宋体" w:eastAsia="宋体" w:cs="宋体"/>
          <w:sz w:val="24"/>
          <w:szCs w:val="24"/>
          <w:highlight w:val="none"/>
          <w:lang w:eastAsia="zh-CN"/>
        </w:rPr>
      </w:pPr>
      <w:bookmarkStart w:id="310" w:name="_Toc20669"/>
      <w:bookmarkStart w:id="311" w:name="_Toc15926"/>
      <w:r>
        <w:rPr>
          <w:rFonts w:hint="eastAsia" w:ascii="宋体" w:hAnsi="宋体" w:eastAsia="宋体" w:cs="宋体"/>
          <w:sz w:val="24"/>
          <w:szCs w:val="24"/>
          <w:highlight w:val="none"/>
          <w:lang w:eastAsia="zh-CN"/>
        </w:rPr>
        <w:t>残疾人福利性单位声明函</w:t>
      </w:r>
      <w:bookmarkEnd w:id="310"/>
      <w:bookmarkEnd w:id="311"/>
    </w:p>
    <w:p w14:paraId="460DD0A2">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1E47F7B">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本单位对上述声明的真实性负责。如有虚假，将依法承担相应责任。</w:t>
      </w:r>
    </w:p>
    <w:p w14:paraId="191AD448">
      <w:pPr>
        <w:tabs>
          <w:tab w:val="left" w:pos="6300"/>
        </w:tabs>
        <w:spacing w:line="500" w:lineRule="exact"/>
        <w:ind w:firstLine="480"/>
        <w:rPr>
          <w:rFonts w:hint="eastAsia" w:ascii="宋体" w:hAnsi="宋体" w:eastAsia="宋体" w:cs="宋体"/>
          <w:sz w:val="24"/>
          <w:szCs w:val="24"/>
          <w:highlight w:val="none"/>
          <w:lang w:eastAsia="zh-CN"/>
        </w:rPr>
      </w:pPr>
    </w:p>
    <w:p w14:paraId="749C7A98">
      <w:pPr>
        <w:tabs>
          <w:tab w:val="left" w:pos="6300"/>
        </w:tabs>
        <w:spacing w:line="500" w:lineRule="exact"/>
        <w:ind w:firstLine="480"/>
        <w:rPr>
          <w:rFonts w:hint="eastAsia" w:ascii="宋体" w:hAnsi="宋体" w:eastAsia="宋体" w:cs="宋体"/>
          <w:sz w:val="24"/>
          <w:szCs w:val="24"/>
          <w:highlight w:val="none"/>
          <w:lang w:eastAsia="zh-CN"/>
        </w:rPr>
      </w:pPr>
    </w:p>
    <w:p w14:paraId="46B013FF">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投标人名称（盖章）：</w:t>
      </w:r>
    </w:p>
    <w:p w14:paraId="05DBFD3D">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日  期：</w:t>
      </w:r>
    </w:p>
    <w:p w14:paraId="1FA793CA">
      <w:pPr>
        <w:tabs>
          <w:tab w:val="left" w:pos="6300"/>
        </w:tabs>
        <w:spacing w:line="500" w:lineRule="exact"/>
        <w:ind w:firstLine="480"/>
        <w:rPr>
          <w:rFonts w:hint="eastAsia" w:ascii="宋体" w:hAnsi="宋体" w:eastAsia="宋体" w:cs="宋体"/>
          <w:sz w:val="24"/>
          <w:szCs w:val="24"/>
          <w:highlight w:val="none"/>
          <w:lang w:eastAsia="zh-CN"/>
        </w:rPr>
      </w:pPr>
    </w:p>
    <w:p w14:paraId="485DBF9C">
      <w:pPr>
        <w:tabs>
          <w:tab w:val="left" w:pos="6300"/>
        </w:tabs>
        <w:spacing w:line="500" w:lineRule="exact"/>
        <w:ind w:firstLine="480"/>
        <w:rPr>
          <w:rFonts w:hint="eastAsia" w:ascii="宋体" w:hAnsi="宋体" w:eastAsia="宋体" w:cs="宋体"/>
          <w:sz w:val="24"/>
          <w:szCs w:val="24"/>
          <w:highlight w:val="none"/>
          <w:lang w:eastAsia="zh-CN"/>
        </w:rPr>
      </w:pPr>
    </w:p>
    <w:p w14:paraId="50C27F43">
      <w:pPr>
        <w:tabs>
          <w:tab w:val="left" w:pos="6300"/>
        </w:tabs>
        <w:spacing w:line="500" w:lineRule="exact"/>
        <w:ind w:firstLine="480"/>
        <w:rPr>
          <w:rFonts w:hint="eastAsia" w:ascii="宋体" w:hAnsi="宋体" w:eastAsia="宋体" w:cs="宋体"/>
          <w:sz w:val="24"/>
          <w:szCs w:val="24"/>
          <w:highlight w:val="none"/>
          <w:lang w:eastAsia="zh-CN"/>
        </w:rPr>
      </w:pPr>
    </w:p>
    <w:p w14:paraId="7AF5B878">
      <w:pPr>
        <w:tabs>
          <w:tab w:val="left" w:pos="6300"/>
        </w:tabs>
        <w:spacing w:line="500" w:lineRule="exact"/>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若中标人为残疾人福利性单位的，将在结果公告时公告其《残疾人福利性单位声明函》</w:t>
      </w:r>
    </w:p>
    <w:p w14:paraId="1C019617">
      <w:pPr>
        <w:tabs>
          <w:tab w:val="left" w:pos="6300"/>
        </w:tabs>
        <w:spacing w:line="500" w:lineRule="exact"/>
        <w:ind w:firstLine="480"/>
        <w:rPr>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ascii="宋体" w:hAnsi="宋体" w:cs="宋体"/>
          <w:sz w:val="24"/>
          <w:szCs w:val="24"/>
          <w:highlight w:val="none"/>
          <w:lang w:eastAsia="zh-CN"/>
        </w:rPr>
        <w:br w:type="page"/>
      </w:r>
      <w:r>
        <w:rPr>
          <w:rFonts w:hint="eastAsia" w:ascii="宋体" w:hAnsi="宋体" w:eastAsia="宋体" w:cs="宋体"/>
          <w:highlight w:val="none"/>
          <w:lang w:eastAsia="zh-CN"/>
        </w:rPr>
        <w:t>（二）联合体协议（如有，格式自拟）</w:t>
      </w:r>
      <w:r>
        <w:rPr>
          <w:rFonts w:hint="eastAsia"/>
          <w:highlight w:val="none"/>
          <w:lang w:eastAsia="zh-CN"/>
        </w:rPr>
        <w:br w:type="page"/>
      </w:r>
      <w:r>
        <w:rPr>
          <w:rFonts w:hint="eastAsia" w:ascii="宋体" w:hAnsi="宋体" w:eastAsia="宋体" w:cs="宋体"/>
          <w:highlight w:val="none"/>
          <w:lang w:eastAsia="zh-CN"/>
        </w:rPr>
        <w:t>（三）其他与项目有关的资料（自附）</w:t>
      </w:r>
    </w:p>
    <w:p w14:paraId="75C2A91C">
      <w:pPr>
        <w:pStyle w:val="3"/>
        <w:ind w:firstLine="640"/>
        <w:rPr>
          <w:rFonts w:hint="eastAsia" w:ascii="宋体" w:hAnsi="宋体" w:eastAsia="宋体" w:cs="宋体"/>
          <w:highlight w:val="none"/>
          <w:lang w:eastAsia="zh-CN"/>
        </w:rPr>
      </w:pPr>
      <w:bookmarkStart w:id="312" w:name="_Toc492721038"/>
      <w:bookmarkStart w:id="313" w:name="_Toc3094"/>
      <w:bookmarkStart w:id="314" w:name="_Toc12960"/>
      <w:bookmarkStart w:id="315" w:name="_Toc429584885"/>
      <w:bookmarkStart w:id="316" w:name="_Toc31257"/>
      <w:r>
        <w:rPr>
          <w:rFonts w:hint="eastAsia" w:ascii="宋体" w:hAnsi="宋体" w:eastAsia="宋体" w:cs="宋体"/>
          <w:highlight w:val="none"/>
          <w:lang w:eastAsia="zh-CN"/>
        </w:rPr>
        <w:t>五、资格文件</w:t>
      </w:r>
      <w:bookmarkEnd w:id="312"/>
      <w:bookmarkEnd w:id="313"/>
      <w:bookmarkEnd w:id="314"/>
      <w:bookmarkEnd w:id="315"/>
      <w:bookmarkEnd w:id="316"/>
    </w:p>
    <w:p w14:paraId="7D06C1E6">
      <w:pPr>
        <w:ind w:firstLine="64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（一）法人营业执照（副本）或事业单位法人证书（副本）或个体工商户营业执照或有效的自然人身份证明或社会团体法人登记证书复印件</w:t>
      </w:r>
    </w:p>
    <w:p w14:paraId="5AF10605">
      <w:pPr>
        <w:spacing w:line="400" w:lineRule="exact"/>
        <w:ind w:firstLine="482"/>
        <w:rPr>
          <w:rFonts w:hint="eastAsia" w:ascii="宋体" w:hAnsi="宋体" w:eastAsia="宋体" w:cs="宋体"/>
          <w:b/>
          <w:bCs/>
          <w:sz w:val="24"/>
          <w:szCs w:val="24"/>
          <w:highlight w:val="none"/>
          <w:lang w:eastAsia="zh-CN"/>
        </w:rPr>
      </w:pPr>
    </w:p>
    <w:p w14:paraId="0B1CAAB8">
      <w:pPr>
        <w:spacing w:line="400" w:lineRule="exact"/>
        <w:ind w:firstLine="482"/>
        <w:rPr>
          <w:rFonts w:hint="eastAsia" w:ascii="宋体" w:hAnsi="宋体" w:eastAsia="宋体" w:cs="宋体"/>
          <w:b/>
          <w:bCs/>
          <w:sz w:val="24"/>
          <w:szCs w:val="24"/>
          <w:highlight w:val="none"/>
          <w:lang w:eastAsia="zh-CN"/>
        </w:rPr>
      </w:pPr>
    </w:p>
    <w:p w14:paraId="7E136AF3">
      <w:pPr>
        <w:spacing w:line="400" w:lineRule="exact"/>
        <w:ind w:firstLine="482"/>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注：若是联合体参与投标的，联合体所有单位均需提供营业执照复印件。</w:t>
      </w:r>
    </w:p>
    <w:p w14:paraId="1E9AA2BC">
      <w:pPr>
        <w:tabs>
          <w:tab w:val="left" w:pos="6300"/>
        </w:tabs>
        <w:spacing w:line="500" w:lineRule="exact"/>
        <w:ind w:firstLine="48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p>
    <w:p w14:paraId="6104E78A">
      <w:pPr>
        <w:ind w:firstLine="640"/>
        <w:rPr>
          <w:rFonts w:hint="eastAsia" w:ascii="宋体" w:hAnsi="宋体" w:eastAsia="宋体" w:cs="宋体"/>
          <w:highlight w:val="none"/>
          <w:lang w:eastAsia="zh-CN"/>
        </w:rPr>
      </w:pPr>
      <w:r>
        <w:rPr>
          <w:rFonts w:hint="eastAsia" w:ascii="宋体" w:hAnsi="宋体" w:eastAsia="宋体" w:cs="宋体"/>
          <w:highlight w:val="none"/>
          <w:lang w:eastAsia="zh-CN"/>
        </w:rPr>
        <w:t>（二）法定代表人身份证明书（格式）</w:t>
      </w:r>
    </w:p>
    <w:p w14:paraId="3D381B5B">
      <w:pPr>
        <w:tabs>
          <w:tab w:val="left" w:pos="6300"/>
        </w:tabs>
        <w:spacing w:line="500" w:lineRule="exact"/>
        <w:ind w:firstLine="480"/>
        <w:rPr>
          <w:rFonts w:hint="eastAsia" w:ascii="宋体" w:hAnsi="宋体" w:cs="宋体"/>
          <w:sz w:val="24"/>
          <w:szCs w:val="24"/>
          <w:highlight w:val="none"/>
          <w:lang w:eastAsia="zh-CN"/>
        </w:rPr>
      </w:pPr>
    </w:p>
    <w:p w14:paraId="7DDD3646">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招标项目名称：</w:t>
      </w:r>
      <w:r>
        <w:rPr>
          <w:rFonts w:hint="eastAsia" w:ascii="宋体" w:hAnsi="宋体" w:eastAsia="宋体" w:cs="宋体"/>
          <w:sz w:val="24"/>
          <w:szCs w:val="24"/>
          <w:highlight w:val="none"/>
          <w:u w:val="single"/>
          <w:lang w:eastAsia="zh-CN"/>
        </w:rPr>
        <w:t xml:space="preserve">                                                </w:t>
      </w:r>
    </w:p>
    <w:p w14:paraId="4E5CE5DB">
      <w:pPr>
        <w:tabs>
          <w:tab w:val="left" w:pos="6300"/>
        </w:tabs>
        <w:spacing w:line="500" w:lineRule="exact"/>
        <w:ind w:firstLine="480"/>
        <w:rPr>
          <w:rFonts w:hint="eastAsia" w:ascii="宋体" w:hAnsi="宋体" w:eastAsia="宋体" w:cs="宋体"/>
          <w:sz w:val="24"/>
          <w:szCs w:val="24"/>
          <w:highlight w:val="none"/>
          <w:lang w:eastAsia="zh-CN"/>
        </w:rPr>
      </w:pPr>
    </w:p>
    <w:p w14:paraId="450EA16F">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（采购代理机构名称）：</w:t>
      </w:r>
    </w:p>
    <w:p w14:paraId="7159A6A2">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（法定代表人姓名）在</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（投标人名称）任</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（职务名称）职务，是（投标人名称）</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的法定代表人。</w:t>
      </w:r>
    </w:p>
    <w:p w14:paraId="481FD559">
      <w:pPr>
        <w:tabs>
          <w:tab w:val="left" w:pos="6300"/>
        </w:tabs>
        <w:spacing w:line="500" w:lineRule="exact"/>
        <w:ind w:firstLine="480"/>
        <w:rPr>
          <w:rFonts w:hint="eastAsia" w:ascii="宋体" w:hAnsi="宋体" w:eastAsia="宋体" w:cs="宋体"/>
          <w:sz w:val="24"/>
          <w:szCs w:val="24"/>
          <w:highlight w:val="none"/>
          <w:lang w:eastAsia="zh-CN"/>
        </w:rPr>
      </w:pPr>
    </w:p>
    <w:p w14:paraId="11B38135">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特此证明。</w:t>
      </w:r>
    </w:p>
    <w:p w14:paraId="2FCD4DAF">
      <w:pPr>
        <w:tabs>
          <w:tab w:val="left" w:pos="6300"/>
        </w:tabs>
        <w:spacing w:line="500" w:lineRule="exact"/>
        <w:ind w:firstLine="480"/>
        <w:rPr>
          <w:rFonts w:hint="eastAsia" w:ascii="宋体" w:hAnsi="宋体" w:eastAsia="宋体" w:cs="宋体"/>
          <w:sz w:val="24"/>
          <w:szCs w:val="24"/>
          <w:highlight w:val="none"/>
          <w:lang w:eastAsia="zh-CN"/>
        </w:rPr>
      </w:pPr>
    </w:p>
    <w:p w14:paraId="520FEA68">
      <w:pPr>
        <w:tabs>
          <w:tab w:val="left" w:pos="6300"/>
        </w:tabs>
        <w:spacing w:line="500" w:lineRule="exact"/>
        <w:ind w:firstLine="480"/>
        <w:rPr>
          <w:rFonts w:hint="eastAsia" w:ascii="宋体" w:hAnsi="宋体" w:eastAsia="宋体" w:cs="宋体"/>
          <w:sz w:val="24"/>
          <w:szCs w:val="24"/>
          <w:highlight w:val="none"/>
          <w:lang w:eastAsia="zh-CN"/>
        </w:rPr>
      </w:pPr>
    </w:p>
    <w:p w14:paraId="39CB3502">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投标人：</w:t>
      </w:r>
    </w:p>
    <w:p w14:paraId="48434123">
      <w:pPr>
        <w:tabs>
          <w:tab w:val="left" w:pos="6300"/>
        </w:tabs>
        <w:spacing w:line="500" w:lineRule="exact"/>
        <w:ind w:firstLine="5848" w:firstLineChars="2437"/>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w:t>
      </w:r>
    </w:p>
    <w:p w14:paraId="174BC7A2">
      <w:pPr>
        <w:tabs>
          <w:tab w:val="left" w:pos="6300"/>
        </w:tabs>
        <w:spacing w:line="500" w:lineRule="exact"/>
        <w:ind w:firstLine="480"/>
        <w:rPr>
          <w:rFonts w:hint="eastAsia" w:ascii="宋体" w:hAnsi="宋体" w:eastAsia="宋体" w:cs="宋体"/>
          <w:sz w:val="24"/>
          <w:szCs w:val="24"/>
          <w:highlight w:val="none"/>
          <w:lang w:eastAsia="zh-CN"/>
        </w:rPr>
      </w:pPr>
    </w:p>
    <w:p w14:paraId="66C94260">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年   月   日</w:t>
      </w:r>
    </w:p>
    <w:p w14:paraId="64CD4DF4">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法定代表人电话：XXXXXXX      电子邮箱：XXXXXX@XXXXX（若授权他人办理并签署电子投标文件的可不填写）</w:t>
      </w:r>
    </w:p>
    <w:p w14:paraId="60EC6C22">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（附：法定代表人身份证正反面复印件）</w:t>
      </w:r>
    </w:p>
    <w:p w14:paraId="379B12EC">
      <w:pPr>
        <w:tabs>
          <w:tab w:val="left" w:pos="6300"/>
        </w:tabs>
        <w:spacing w:line="500" w:lineRule="exact"/>
        <w:ind w:firstLine="199" w:firstLineChars="83"/>
        <w:rPr>
          <w:rFonts w:hint="eastAsia" w:ascii="宋体" w:hAnsi="宋体" w:cs="宋体"/>
          <w:sz w:val="24"/>
          <w:szCs w:val="24"/>
          <w:highlight w:val="none"/>
          <w:lang w:eastAsia="zh-CN"/>
        </w:rPr>
      </w:pPr>
    </w:p>
    <w:p w14:paraId="582B2CB8">
      <w:pPr>
        <w:ind w:firstLine="640"/>
        <w:rPr>
          <w:highlight w:val="none"/>
          <w:lang w:eastAsia="zh-CN"/>
        </w:rPr>
      </w:pPr>
      <w:r>
        <w:rPr>
          <w:rFonts w:hint="eastAsia"/>
          <w:highlight w:val="none"/>
          <w:lang w:eastAsia="zh-CN"/>
        </w:rPr>
        <w:br w:type="column"/>
      </w:r>
      <w:r>
        <w:rPr>
          <w:rFonts w:hint="eastAsia" w:ascii="宋体" w:hAnsi="宋体" w:eastAsia="宋体" w:cs="宋体"/>
          <w:highlight w:val="none"/>
          <w:lang w:eastAsia="zh-CN"/>
        </w:rPr>
        <w:t>（三）法定代表人授权委托书（格式）</w:t>
      </w:r>
    </w:p>
    <w:p w14:paraId="20A74A5D">
      <w:pPr>
        <w:tabs>
          <w:tab w:val="left" w:pos="6300"/>
        </w:tabs>
        <w:spacing w:line="500" w:lineRule="exact"/>
        <w:ind w:firstLine="480"/>
        <w:rPr>
          <w:rFonts w:hint="eastAsia" w:ascii="宋体" w:hAnsi="宋体" w:cs="宋体"/>
          <w:sz w:val="24"/>
          <w:szCs w:val="24"/>
          <w:highlight w:val="none"/>
          <w:lang w:eastAsia="zh-CN"/>
        </w:rPr>
      </w:pPr>
      <w:r>
        <w:rPr>
          <w:rFonts w:hint="eastAsia" w:ascii="宋体" w:hAnsi="宋体" w:cs="宋体"/>
          <w:sz w:val="24"/>
          <w:szCs w:val="24"/>
          <w:highlight w:val="none"/>
          <w:lang w:eastAsia="zh-CN"/>
        </w:rPr>
        <w:t xml:space="preserve">    </w:t>
      </w:r>
    </w:p>
    <w:p w14:paraId="570EB995">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招标项目名称：</w:t>
      </w:r>
      <w:r>
        <w:rPr>
          <w:rFonts w:hint="eastAsia" w:ascii="宋体" w:hAnsi="宋体" w:eastAsia="宋体" w:cs="宋体"/>
          <w:sz w:val="24"/>
          <w:szCs w:val="24"/>
          <w:highlight w:val="none"/>
          <w:u w:val="single"/>
          <w:lang w:eastAsia="zh-CN"/>
        </w:rPr>
        <w:t xml:space="preserve">                                                </w:t>
      </w:r>
    </w:p>
    <w:p w14:paraId="683FA0CA">
      <w:pPr>
        <w:tabs>
          <w:tab w:val="left" w:pos="6300"/>
        </w:tabs>
        <w:spacing w:line="500" w:lineRule="exact"/>
        <w:ind w:firstLine="480"/>
        <w:rPr>
          <w:rFonts w:hint="eastAsia" w:ascii="宋体" w:hAnsi="宋体" w:eastAsia="宋体" w:cs="宋体"/>
          <w:sz w:val="24"/>
          <w:szCs w:val="24"/>
          <w:highlight w:val="none"/>
          <w:lang w:eastAsia="zh-CN"/>
        </w:rPr>
      </w:pPr>
    </w:p>
    <w:p w14:paraId="515182CA">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（采购代理机构名称）：</w:t>
      </w:r>
    </w:p>
    <w:p w14:paraId="0BF826D6">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（投标人法定代表人名称）是</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（投标人名称）的法定代表人，特授权</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（被授权人姓名及身份证代码）代表我单位全权办理上述项目的投标、谈判、签约等具体工作，并签署全部有关文件、协议及合同。</w:t>
      </w:r>
    </w:p>
    <w:p w14:paraId="677A31D9">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我单位对被授权人的签署负全部责任。</w:t>
      </w:r>
    </w:p>
    <w:p w14:paraId="55976BB5">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在撤消授权的书面通知以前，本授权书一直有效。被授权人在授权书有效期内签署的所有文件不因授权的撤消而失效。</w:t>
      </w:r>
    </w:p>
    <w:p w14:paraId="4BA9274B">
      <w:pPr>
        <w:tabs>
          <w:tab w:val="left" w:pos="6300"/>
        </w:tabs>
        <w:spacing w:line="500" w:lineRule="exact"/>
        <w:ind w:firstLine="480"/>
        <w:rPr>
          <w:rFonts w:hint="eastAsia" w:ascii="宋体" w:hAnsi="宋体" w:eastAsia="宋体" w:cs="宋体"/>
          <w:sz w:val="24"/>
          <w:szCs w:val="24"/>
          <w:highlight w:val="none"/>
          <w:lang w:eastAsia="zh-CN"/>
        </w:rPr>
      </w:pPr>
    </w:p>
    <w:p w14:paraId="17F22674">
      <w:pPr>
        <w:tabs>
          <w:tab w:val="left" w:pos="6300"/>
        </w:tabs>
        <w:spacing w:line="500" w:lineRule="exact"/>
        <w:ind w:firstLine="480"/>
        <w:rPr>
          <w:rFonts w:hint="eastAsia" w:ascii="宋体" w:hAnsi="宋体" w:eastAsia="宋体" w:cs="宋体"/>
          <w:sz w:val="24"/>
          <w:szCs w:val="24"/>
          <w:highlight w:val="none"/>
          <w:lang w:eastAsia="zh-CN"/>
        </w:rPr>
      </w:pPr>
    </w:p>
    <w:p w14:paraId="59D011DC">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被授权人：                                 投标人法定代表人：</w:t>
      </w:r>
    </w:p>
    <w:p w14:paraId="29849657">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（签署或盖章）                                （签署或盖章）</w:t>
      </w:r>
    </w:p>
    <w:p w14:paraId="18D8E885">
      <w:pPr>
        <w:tabs>
          <w:tab w:val="left" w:pos="6300"/>
        </w:tabs>
        <w:spacing w:line="500" w:lineRule="exact"/>
        <w:ind w:firstLine="480"/>
        <w:rPr>
          <w:rFonts w:hint="eastAsia" w:ascii="宋体" w:hAnsi="宋体" w:eastAsia="宋体" w:cs="宋体"/>
          <w:sz w:val="24"/>
          <w:szCs w:val="24"/>
          <w:highlight w:val="none"/>
          <w:lang w:eastAsia="zh-CN"/>
        </w:rPr>
      </w:pPr>
    </w:p>
    <w:p w14:paraId="0379D109">
      <w:pPr>
        <w:tabs>
          <w:tab w:val="left" w:pos="6300"/>
        </w:tabs>
        <w:spacing w:line="500" w:lineRule="exact"/>
        <w:ind w:firstLine="480"/>
        <w:rPr>
          <w:rFonts w:hint="eastAsia" w:ascii="宋体" w:hAnsi="宋体" w:eastAsia="宋体" w:cs="宋体"/>
          <w:sz w:val="24"/>
          <w:szCs w:val="24"/>
          <w:highlight w:val="none"/>
          <w:lang w:eastAsia="zh-CN"/>
        </w:rPr>
      </w:pPr>
    </w:p>
    <w:p w14:paraId="1F53694A">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（附：被授权人身份证正反面复印件）</w:t>
      </w:r>
    </w:p>
    <w:p w14:paraId="6A85B4E4">
      <w:pPr>
        <w:tabs>
          <w:tab w:val="left" w:pos="6300"/>
        </w:tabs>
        <w:spacing w:line="500" w:lineRule="exact"/>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w:t>
      </w:r>
    </w:p>
    <w:p w14:paraId="58ACC647">
      <w:pPr>
        <w:tabs>
          <w:tab w:val="left" w:pos="6300"/>
        </w:tabs>
        <w:spacing w:line="500" w:lineRule="exact"/>
        <w:ind w:firstLine="480"/>
        <w:rPr>
          <w:rFonts w:hint="eastAsia" w:ascii="宋体" w:hAnsi="宋体" w:eastAsia="宋体" w:cs="宋体"/>
          <w:sz w:val="24"/>
          <w:szCs w:val="24"/>
          <w:highlight w:val="none"/>
          <w:lang w:eastAsia="zh-CN"/>
        </w:rPr>
      </w:pPr>
    </w:p>
    <w:p w14:paraId="2D20CC77">
      <w:pPr>
        <w:tabs>
          <w:tab w:val="left" w:pos="6300"/>
        </w:tabs>
        <w:spacing w:line="500" w:lineRule="exact"/>
        <w:ind w:right="480" w:firstLine="48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w:t>
      </w:r>
    </w:p>
    <w:p w14:paraId="01155CF5">
      <w:pPr>
        <w:tabs>
          <w:tab w:val="left" w:pos="6300"/>
        </w:tabs>
        <w:spacing w:line="500" w:lineRule="exact"/>
        <w:ind w:right="480" w:firstLine="48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年   月   日</w:t>
      </w:r>
    </w:p>
    <w:p w14:paraId="51B47565">
      <w:pPr>
        <w:tabs>
          <w:tab w:val="left" w:pos="6300"/>
        </w:tabs>
        <w:spacing w:line="500" w:lineRule="exact"/>
        <w:ind w:right="720" w:firstLine="480"/>
        <w:jc w:val="right"/>
        <w:rPr>
          <w:rFonts w:hint="eastAsia" w:ascii="宋体" w:hAnsi="宋体" w:eastAsia="宋体" w:cs="宋体"/>
          <w:sz w:val="24"/>
          <w:szCs w:val="24"/>
          <w:highlight w:val="none"/>
          <w:lang w:eastAsia="zh-CN"/>
        </w:rPr>
      </w:pPr>
    </w:p>
    <w:p w14:paraId="73D4A23E">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被授权人电话：XXXXXXX     电子邮箱：XXXXXX@XXXXX（若法定代表人办理并签署电子投标文件的可不填写）</w:t>
      </w:r>
    </w:p>
    <w:p w14:paraId="3D69D90C">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p>
    <w:p w14:paraId="1014FEB7">
      <w:pPr>
        <w:tabs>
          <w:tab w:val="left" w:pos="6300"/>
        </w:tabs>
        <w:spacing w:line="500" w:lineRule="exact"/>
        <w:ind w:right="480" w:firstLine="480"/>
        <w:rPr>
          <w:rFonts w:hint="eastAsia" w:ascii="宋体" w:hAnsi="宋体" w:eastAsia="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ascii="宋体" w:hAnsi="宋体" w:eastAsia="宋体" w:cs="宋体"/>
          <w:sz w:val="24"/>
          <w:szCs w:val="24"/>
          <w:highlight w:val="none"/>
          <w:lang w:eastAsia="zh-CN"/>
        </w:rPr>
        <w:t>1.若为法定代表人办理并签署电子投标文件的，不提供此文件。</w:t>
      </w:r>
    </w:p>
    <w:p w14:paraId="0088ADA4">
      <w:pPr>
        <w:ind w:firstLine="640"/>
        <w:rPr>
          <w:rFonts w:hint="eastAsia" w:ascii="宋体" w:hAnsi="宋体" w:eastAsia="宋体" w:cs="宋体"/>
          <w:highlight w:val="none"/>
          <w:lang w:eastAsia="zh-CN"/>
        </w:rPr>
      </w:pPr>
      <w:r>
        <w:rPr>
          <w:rFonts w:hint="eastAsia" w:ascii="宋体" w:hAnsi="宋体" w:eastAsia="宋体" w:cs="宋体"/>
          <w:highlight w:val="none"/>
          <w:lang w:eastAsia="zh-CN"/>
        </w:rPr>
        <w:t>（四）基本资格条件承诺函</w:t>
      </w:r>
    </w:p>
    <w:p w14:paraId="491AA3D1">
      <w:pPr>
        <w:tabs>
          <w:tab w:val="left" w:pos="6300"/>
        </w:tabs>
        <w:spacing w:line="530" w:lineRule="exact"/>
        <w:ind w:firstLine="480"/>
        <w:rPr>
          <w:rFonts w:hint="eastAsia" w:ascii="宋体" w:hAnsi="宋体" w:cs="宋体"/>
          <w:sz w:val="24"/>
          <w:szCs w:val="24"/>
          <w:highlight w:val="none"/>
          <w:lang w:eastAsia="zh-CN"/>
        </w:rPr>
      </w:pPr>
    </w:p>
    <w:p w14:paraId="749AA98F">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（采购代理机构名称）：</w:t>
      </w:r>
    </w:p>
    <w:p w14:paraId="47C51A68">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（投标人名称）郑重承诺：</w:t>
      </w:r>
    </w:p>
    <w:p w14:paraId="65CAAB5F">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1.我方具有良好的商业信誉和健全的财务会计制度，具有履行合同所必需的设备和专业技术能力，具</w:t>
      </w:r>
      <w:r>
        <w:rPr>
          <w:rFonts w:hint="eastAsia" w:ascii="宋体" w:hAnsi="宋体" w:eastAsia="宋体" w:cs="宋体"/>
          <w:sz w:val="24"/>
          <w:szCs w:val="24"/>
          <w:highlight w:val="none"/>
          <w:lang w:val="zh-CN" w:eastAsia="zh-CN"/>
        </w:rPr>
        <w:t>有依法缴纳税收和社会保障金的良好记录</w:t>
      </w:r>
      <w:r>
        <w:rPr>
          <w:rFonts w:hint="eastAsia" w:ascii="宋体" w:hAnsi="宋体" w:eastAsia="宋体" w:cs="宋体"/>
          <w:sz w:val="24"/>
          <w:szCs w:val="24"/>
          <w:highlight w:val="none"/>
          <w:lang w:eastAsia="zh-CN"/>
        </w:rPr>
        <w:t>，参加本项目采购活动前三年内无重大违法活动记录。</w:t>
      </w:r>
    </w:p>
    <w:p w14:paraId="34AE298B">
      <w:pPr>
        <w:tabs>
          <w:tab w:val="left" w:pos="6300"/>
        </w:tabs>
        <w:spacing w:line="500" w:lineRule="exact"/>
        <w:ind w:right="48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3DA44C7D">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678F7E7A">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我方对以上承诺负全部法律责任。</w:t>
      </w:r>
    </w:p>
    <w:p w14:paraId="624F59AF">
      <w:pPr>
        <w:tabs>
          <w:tab w:val="left" w:pos="6300"/>
        </w:tabs>
        <w:spacing w:line="500" w:lineRule="exact"/>
        <w:ind w:right="480"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特此承诺。</w:t>
      </w:r>
    </w:p>
    <w:p w14:paraId="79398D64">
      <w:pPr>
        <w:tabs>
          <w:tab w:val="left" w:pos="6300"/>
        </w:tabs>
        <w:spacing w:line="500" w:lineRule="exact"/>
        <w:ind w:right="480" w:firstLine="480"/>
        <w:jc w:val="right"/>
        <w:rPr>
          <w:rFonts w:hint="eastAsia" w:ascii="宋体" w:hAnsi="宋体" w:eastAsia="宋体" w:cs="宋体"/>
          <w:sz w:val="24"/>
          <w:szCs w:val="24"/>
          <w:highlight w:val="none"/>
          <w:lang w:eastAsia="zh-CN"/>
        </w:rPr>
      </w:pPr>
    </w:p>
    <w:p w14:paraId="3FC5D650">
      <w:pPr>
        <w:tabs>
          <w:tab w:val="left" w:pos="6300"/>
        </w:tabs>
        <w:spacing w:line="500" w:lineRule="exact"/>
        <w:ind w:right="480" w:firstLine="48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（投标人公章）</w:t>
      </w:r>
    </w:p>
    <w:p w14:paraId="768EE8BB">
      <w:pPr>
        <w:tabs>
          <w:tab w:val="left" w:pos="6300"/>
        </w:tabs>
        <w:spacing w:line="500" w:lineRule="exact"/>
        <w:ind w:right="480" w:firstLine="48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年   月   日</w:t>
      </w:r>
    </w:p>
    <w:p w14:paraId="42B7D23B">
      <w:pPr>
        <w:tabs>
          <w:tab w:val="left" w:pos="6300"/>
        </w:tabs>
        <w:spacing w:line="500" w:lineRule="exact"/>
        <w:ind w:right="480" w:firstLine="480"/>
        <w:jc w:val="right"/>
        <w:rPr>
          <w:rFonts w:hint="eastAsia" w:ascii="宋体" w:hAnsi="宋体" w:cs="宋体"/>
          <w:sz w:val="24"/>
          <w:szCs w:val="24"/>
          <w:highlight w:val="none"/>
          <w:lang w:eastAsia="zh-CN"/>
        </w:rPr>
      </w:pPr>
    </w:p>
    <w:p w14:paraId="1AF2673E">
      <w:pPr>
        <w:spacing w:line="440" w:lineRule="exact"/>
        <w:ind w:firstLine="480"/>
        <w:rPr>
          <w:rFonts w:hint="eastAsia" w:ascii="宋体" w:hAnsi="宋体" w:cs="宋体"/>
          <w:sz w:val="24"/>
          <w:szCs w:val="24"/>
          <w:highlight w:val="none"/>
          <w:lang w:eastAsia="zh-CN"/>
        </w:rPr>
      </w:pPr>
    </w:p>
    <w:p w14:paraId="0E577F18">
      <w:pPr>
        <w:spacing w:line="400" w:lineRule="exact"/>
        <w:ind w:firstLine="480"/>
        <w:rPr>
          <w:rFonts w:hint="eastAsia" w:ascii="宋体" w:hAnsi="宋体" w:cs="宋体"/>
          <w:sz w:val="24"/>
          <w:szCs w:val="24"/>
          <w:highlight w:val="none"/>
          <w:lang w:eastAsia="zh-CN"/>
        </w:rPr>
      </w:pPr>
    </w:p>
    <w:p w14:paraId="23B9CA8F">
      <w:pPr>
        <w:spacing w:line="400" w:lineRule="exact"/>
        <w:ind w:firstLine="480"/>
        <w:rPr>
          <w:rFonts w:hint="eastAsia" w:ascii="宋体" w:hAnsi="宋体" w:cs="宋体"/>
          <w:sz w:val="24"/>
          <w:szCs w:val="24"/>
          <w:highlight w:val="none"/>
          <w:lang w:eastAsia="zh-CN"/>
        </w:rPr>
      </w:pPr>
    </w:p>
    <w:p w14:paraId="7408C109">
      <w:pPr>
        <w:spacing w:line="400" w:lineRule="exact"/>
        <w:ind w:firstLine="480"/>
        <w:rPr>
          <w:rFonts w:hint="eastAsia" w:ascii="宋体" w:hAnsi="宋体" w:cs="宋体"/>
          <w:sz w:val="24"/>
          <w:szCs w:val="24"/>
          <w:highlight w:val="none"/>
          <w:lang w:eastAsia="zh-CN"/>
        </w:rPr>
      </w:pPr>
    </w:p>
    <w:p w14:paraId="290B7B9F">
      <w:pPr>
        <w:spacing w:line="400" w:lineRule="exact"/>
        <w:ind w:firstLine="480"/>
        <w:rPr>
          <w:rFonts w:hint="eastAsia" w:ascii="宋体" w:hAnsi="宋体" w:cs="宋体"/>
          <w:sz w:val="24"/>
          <w:szCs w:val="24"/>
          <w:highlight w:val="none"/>
          <w:lang w:eastAsia="zh-CN"/>
        </w:rPr>
      </w:pPr>
    </w:p>
    <w:p w14:paraId="61F03124">
      <w:pPr>
        <w:spacing w:line="400" w:lineRule="exact"/>
        <w:ind w:firstLine="480"/>
        <w:rPr>
          <w:rFonts w:hint="eastAsia" w:ascii="宋体" w:hAnsi="宋体" w:cs="宋体"/>
          <w:sz w:val="24"/>
          <w:szCs w:val="24"/>
          <w:highlight w:val="none"/>
          <w:lang w:eastAsia="zh-CN"/>
        </w:rPr>
      </w:pPr>
    </w:p>
    <w:p w14:paraId="2CA105A5">
      <w:pPr>
        <w:ind w:firstLine="640"/>
        <w:rPr>
          <w:rFonts w:hint="eastAsia" w:ascii="宋体" w:hAnsi="宋体" w:cs="宋体"/>
          <w:sz w:val="24"/>
          <w:szCs w:val="24"/>
          <w:highlight w:val="none"/>
          <w:lang w:eastAsia="zh-CN"/>
        </w:rPr>
        <w:sectPr>
          <w:pgSz w:w="11907" w:h="16840"/>
          <w:pgMar w:top="1134" w:right="1191" w:bottom="1134" w:left="1304" w:header="964" w:footer="992" w:gutter="0"/>
          <w:pgNumType w:fmt="decimal"/>
          <w:cols w:space="720" w:num="1"/>
          <w:docGrid w:linePitch="380" w:charSpace="-5735"/>
        </w:sectPr>
      </w:pPr>
      <w:r>
        <w:rPr>
          <w:rFonts w:hint="eastAsia"/>
          <w:highlight w:val="none"/>
          <w:lang w:eastAsia="zh-CN"/>
        </w:rPr>
        <w:br w:type="page"/>
      </w:r>
      <w:r>
        <w:rPr>
          <w:rFonts w:hint="eastAsia" w:ascii="宋体" w:hAnsi="宋体" w:eastAsia="宋体" w:cs="宋体"/>
          <w:highlight w:val="none"/>
          <w:lang w:eastAsia="zh-CN"/>
        </w:rPr>
        <w:t>（五）特定资格条件证书或证明文件（如有）</w:t>
      </w:r>
    </w:p>
    <w:p w14:paraId="07380E33">
      <w:pPr>
        <w:tabs>
          <w:tab w:val="left" w:pos="6300"/>
        </w:tabs>
        <w:spacing w:line="500" w:lineRule="exact"/>
        <w:ind w:left="0" w:leftChars="0" w:firstLine="0" w:firstLineChars="0"/>
        <w:jc w:val="both"/>
        <w:rPr>
          <w:rFonts w:hint="eastAsia" w:ascii="宋体" w:hAnsi="宋体" w:cs="宋体"/>
          <w:sz w:val="24"/>
          <w:szCs w:val="24"/>
          <w:highlight w:val="none"/>
        </w:rPr>
      </w:pPr>
    </w:p>
    <w:sectPr>
      <w:pgSz w:w="11907" w:h="16840"/>
      <w:pgMar w:top="1134" w:right="1191" w:bottom="1134" w:left="1304" w:header="964" w:footer="992" w:gutter="0"/>
      <w:pgNumType w:fmt="decimal"/>
      <w:cols w:space="720" w:num="1"/>
      <w:docGrid w:linePitch="380"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embedRegular r:id="rId1" w:fontKey="{9C271DEC-C21B-469D-B961-8997E3481937}"/>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2000000000000000000"/>
    <w:charset w:val="86"/>
    <w:family w:val="script"/>
    <w:pitch w:val="default"/>
    <w:sig w:usb0="00000000" w:usb1="00000000" w:usb2="00082016" w:usb3="00000000" w:csb0="00040001" w:csb1="00000000"/>
  </w:font>
  <w:font w:name="方正楷体_GBK">
    <w:altName w:val="微软雅黑"/>
    <w:panose1 w:val="02000000000000000000"/>
    <w:charset w:val="86"/>
    <w:family w:val="auto"/>
    <w:pitch w:val="default"/>
    <w:sig w:usb0="00000000" w:usb1="00000000" w:usb2="00082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文鼎粗魏碑体">
    <w:altName w:val="宋体"/>
    <w:panose1 w:val="00000000000000000000"/>
    <w:charset w:val="86"/>
    <w:family w:val="auto"/>
    <w:pitch w:val="default"/>
    <w:sig w:usb0="00000000" w:usb1="00000000" w:usb2="00000012" w:usb3="00000000" w:csb0="00040001" w:csb1="00000000"/>
    <w:embedRegular r:id="rId2" w:fontKey="{93D7A111-6F91-45C1-B1C9-49A54EB9E032}"/>
  </w:font>
  <w:font w:name="Segoe UI">
    <w:panose1 w:val="020B0502040204020203"/>
    <w:charset w:val="00"/>
    <w:family w:val="auto"/>
    <w:pitch w:val="default"/>
    <w:sig w:usb0="E4002EFF" w:usb1="C000E47F" w:usb2="00000009" w:usb3="00000000" w:csb0="200001FF" w:csb1="00000000"/>
    <w:embedRegular r:id="rId3" w:fontKey="{8BAD3DA7-23B3-40C8-BB24-3CDD6B11BB93}"/>
  </w:font>
  <w:font w:name="Segoe UI Emoji">
    <w:panose1 w:val="020B0502040204020203"/>
    <w:charset w:val="00"/>
    <w:family w:val="auto"/>
    <w:pitch w:val="default"/>
    <w:sig w:usb0="00000001" w:usb1="02000000" w:usb2="00000000" w:usb3="00000000" w:csb0="00000001" w:csb1="00000000"/>
    <w:embedRegular r:id="rId4" w:fontKey="{629735DB-AD31-4DD5-9251-D21C323B2287}"/>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36233">
    <w:pPr>
      <w:pStyle w:val="1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C7A8F">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5C7A8F">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87BE">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A0CEE">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13DAA">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5513DAA">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065A7">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4752D">
    <w:pPr>
      <w:ind w:right="360" w:firstLine="640"/>
      <w:jc w:val="center"/>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0CEE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4C0CEE5">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8DD90">
    <w:pPr>
      <w:pStyle w:val="15"/>
      <w:ind w:right="360" w:firstLine="360"/>
      <w:rPr>
        <w:sz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DBE99">
                          <w:pPr>
                            <w:pStyle w:val="1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2DBE99">
                    <w:pPr>
                      <w:pStyle w:val="1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5DDCE">
    <w:pPr>
      <w:ind w:firstLine="480"/>
      <w:rPr>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9B4EE">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349B4EE">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4886">
    <w:pPr>
      <w:pBdr>
        <w:top w:val="none" w:color="auto" w:sz="0" w:space="1"/>
        <w:left w:val="none" w:color="auto" w:sz="0" w:space="4"/>
        <w:bottom w:val="none" w:color="auto" w:sz="0" w:space="1"/>
        <w:right w:val="none" w:color="auto" w:sz="0" w:space="4"/>
      </w:pBd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7EFA5">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C2AE2">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721FB">
    <w:pPr>
      <w:pBdr>
        <w:top w:val="none" w:color="auto" w:sz="0" w:space="1"/>
        <w:left w:val="none" w:color="auto" w:sz="0" w:space="4"/>
        <w:bottom w:val="none" w:color="auto" w:sz="0" w:space="1"/>
        <w:right w:val="none" w:color="auto" w:sz="0" w:space="4"/>
      </w:pBdr>
      <w:ind w:firstLine="420"/>
      <w:jc w:val="both"/>
      <w:rPr>
        <w:rFonts w:hint="eastAsia" w:ascii="宋体" w:hAnsi="宋体" w:cs="宋体"/>
        <w:sz w:val="21"/>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0179E">
    <w:pPr>
      <w:pBdr>
        <w:top w:val="none" w:color="auto" w:sz="0" w:space="1"/>
        <w:left w:val="none" w:color="auto" w:sz="0" w:space="4"/>
        <w:bottom w:val="none" w:color="auto" w:sz="0" w:space="1"/>
        <w:right w:val="none" w:color="auto" w:sz="0" w:space="4"/>
      </w:pBdr>
      <w:ind w:firstLine="420"/>
      <w:rPr>
        <w:rFonts w:hint="eastAsia" w:ascii="宋体" w:hAnsi="宋体" w:cs="宋体"/>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6817D">
    <w:pPr>
      <w:pBdr>
        <w:top w:val="none" w:color="auto" w:sz="0" w:space="1"/>
        <w:left w:val="none" w:color="auto" w:sz="0" w:space="4"/>
        <w:bottom w:val="none" w:color="auto" w:sz="0" w:space="1"/>
        <w:right w:val="none" w:color="auto" w:sz="0" w:space="4"/>
      </w:pBdr>
      <w:ind w:firstLine="420"/>
      <w:rPr>
        <w:rFonts w:hint="eastAsia" w:ascii="宋体" w:hAnsi="宋体" w:cs="宋体"/>
        <w:sz w:val="21"/>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A22048"/>
    <w:multiLevelType w:val="singleLevel"/>
    <w:tmpl w:val="04A22048"/>
    <w:lvl w:ilvl="0" w:tentative="0">
      <w:start w:val="2"/>
      <w:numFmt w:val="chineseCounting"/>
      <w:suff w:val="space"/>
      <w:lvlText w:val="第%1篇"/>
      <w:lvlJc w:val="left"/>
      <w:pPr>
        <w:ind w:left="1846" w:firstLine="0"/>
      </w:pPr>
      <w:rPr>
        <w:rFonts w:hint="eastAsia"/>
      </w:rPr>
    </w:lvl>
  </w:abstractNum>
  <w:abstractNum w:abstractNumId="1">
    <w:nsid w:val="0FE5453E"/>
    <w:multiLevelType w:val="singleLevel"/>
    <w:tmpl w:val="0FE5453E"/>
    <w:lvl w:ilvl="0" w:tentative="0">
      <w:start w:val="1"/>
      <w:numFmt w:val="decimal"/>
      <w:lvlText w:val="%1."/>
      <w:lvlJc w:val="left"/>
      <w:pPr>
        <w:tabs>
          <w:tab w:val="left" w:pos="312"/>
        </w:tabs>
      </w:pPr>
    </w:lvl>
  </w:abstractNum>
  <w:abstractNum w:abstractNumId="2">
    <w:nsid w:val="281CE557"/>
    <w:multiLevelType w:val="singleLevel"/>
    <w:tmpl w:val="281CE557"/>
    <w:lvl w:ilvl="0" w:tentative="0">
      <w:start w:val="3"/>
      <w:numFmt w:val="chineseCounting"/>
      <w:suff w:val="nothing"/>
      <w:lvlText w:val="%1、"/>
      <w:lvlJc w:val="left"/>
      <w:rPr>
        <w:rFonts w:hint="eastAsia"/>
      </w:rPr>
    </w:lvl>
  </w:abstractNum>
  <w:abstractNum w:abstractNumId="3">
    <w:nsid w:val="44FB8041"/>
    <w:multiLevelType w:val="singleLevel"/>
    <w:tmpl w:val="44FB8041"/>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defaultTabStop w:val="280"/>
  <w:drawingGridHorizontalSpacing w:val="0"/>
  <w:drawingGridVerticalSpacing w:val="381"/>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liOWM2MzNlZjk4NTNhNjlmZThmZjcxNGE1Y2Q0ZmIifQ=="/>
  </w:docVars>
  <w:rsids>
    <w:rsidRoot w:val="00172A27"/>
    <w:rsid w:val="00012B6E"/>
    <w:rsid w:val="00026E23"/>
    <w:rsid w:val="0005074D"/>
    <w:rsid w:val="000528BD"/>
    <w:rsid w:val="00052F1D"/>
    <w:rsid w:val="000562CB"/>
    <w:rsid w:val="0006009B"/>
    <w:rsid w:val="00064AC0"/>
    <w:rsid w:val="0006618D"/>
    <w:rsid w:val="000849AE"/>
    <w:rsid w:val="00092831"/>
    <w:rsid w:val="000938AA"/>
    <w:rsid w:val="000B4880"/>
    <w:rsid w:val="000B5739"/>
    <w:rsid w:val="000B6281"/>
    <w:rsid w:val="000C733D"/>
    <w:rsid w:val="000D218F"/>
    <w:rsid w:val="000E12D9"/>
    <w:rsid w:val="000F2B23"/>
    <w:rsid w:val="00103242"/>
    <w:rsid w:val="00110709"/>
    <w:rsid w:val="00126DCF"/>
    <w:rsid w:val="00135135"/>
    <w:rsid w:val="0014631D"/>
    <w:rsid w:val="00147F0F"/>
    <w:rsid w:val="00156BA9"/>
    <w:rsid w:val="001605F6"/>
    <w:rsid w:val="0017254D"/>
    <w:rsid w:val="00172A27"/>
    <w:rsid w:val="00184321"/>
    <w:rsid w:val="001A1841"/>
    <w:rsid w:val="001A2968"/>
    <w:rsid w:val="001A5169"/>
    <w:rsid w:val="001C1AB8"/>
    <w:rsid w:val="001D112F"/>
    <w:rsid w:val="001E77D5"/>
    <w:rsid w:val="001F2D7D"/>
    <w:rsid w:val="0020159D"/>
    <w:rsid w:val="00207D3A"/>
    <w:rsid w:val="00226131"/>
    <w:rsid w:val="00254D32"/>
    <w:rsid w:val="00260393"/>
    <w:rsid w:val="00265E26"/>
    <w:rsid w:val="00266570"/>
    <w:rsid w:val="00277047"/>
    <w:rsid w:val="00293222"/>
    <w:rsid w:val="002B0935"/>
    <w:rsid w:val="002B6306"/>
    <w:rsid w:val="002C1D2C"/>
    <w:rsid w:val="002D07E4"/>
    <w:rsid w:val="002D2A5F"/>
    <w:rsid w:val="002D5AE9"/>
    <w:rsid w:val="002D6FD0"/>
    <w:rsid w:val="002F4B21"/>
    <w:rsid w:val="00302ED9"/>
    <w:rsid w:val="00313AE6"/>
    <w:rsid w:val="00314636"/>
    <w:rsid w:val="00314E57"/>
    <w:rsid w:val="003152F3"/>
    <w:rsid w:val="00316336"/>
    <w:rsid w:val="00325BFD"/>
    <w:rsid w:val="003469DF"/>
    <w:rsid w:val="00351E8C"/>
    <w:rsid w:val="00354E7B"/>
    <w:rsid w:val="00361D37"/>
    <w:rsid w:val="00365ED7"/>
    <w:rsid w:val="00371597"/>
    <w:rsid w:val="003752C6"/>
    <w:rsid w:val="003779A7"/>
    <w:rsid w:val="003812BA"/>
    <w:rsid w:val="00383CC6"/>
    <w:rsid w:val="003871B6"/>
    <w:rsid w:val="00395695"/>
    <w:rsid w:val="003A27C4"/>
    <w:rsid w:val="003A6B8F"/>
    <w:rsid w:val="003B726C"/>
    <w:rsid w:val="003C53FB"/>
    <w:rsid w:val="003E2D0C"/>
    <w:rsid w:val="003F7C93"/>
    <w:rsid w:val="0040262A"/>
    <w:rsid w:val="00433D94"/>
    <w:rsid w:val="00442B34"/>
    <w:rsid w:val="0046575E"/>
    <w:rsid w:val="00471224"/>
    <w:rsid w:val="00475C26"/>
    <w:rsid w:val="004849C9"/>
    <w:rsid w:val="00485294"/>
    <w:rsid w:val="00494143"/>
    <w:rsid w:val="0049440B"/>
    <w:rsid w:val="004A1CC9"/>
    <w:rsid w:val="004A21D1"/>
    <w:rsid w:val="004A2217"/>
    <w:rsid w:val="004B5791"/>
    <w:rsid w:val="004C0F3D"/>
    <w:rsid w:val="004D5D0F"/>
    <w:rsid w:val="004E081C"/>
    <w:rsid w:val="004F4F6A"/>
    <w:rsid w:val="004F5384"/>
    <w:rsid w:val="00505039"/>
    <w:rsid w:val="00507D4C"/>
    <w:rsid w:val="00511AB9"/>
    <w:rsid w:val="0051237B"/>
    <w:rsid w:val="00537DFF"/>
    <w:rsid w:val="00542C85"/>
    <w:rsid w:val="00545F1B"/>
    <w:rsid w:val="0054688C"/>
    <w:rsid w:val="005509CC"/>
    <w:rsid w:val="00552F4E"/>
    <w:rsid w:val="00567AF3"/>
    <w:rsid w:val="00582895"/>
    <w:rsid w:val="00590498"/>
    <w:rsid w:val="005A08C1"/>
    <w:rsid w:val="005A2813"/>
    <w:rsid w:val="005B3AD7"/>
    <w:rsid w:val="005B62E8"/>
    <w:rsid w:val="005B7868"/>
    <w:rsid w:val="00601FC1"/>
    <w:rsid w:val="00602323"/>
    <w:rsid w:val="00603F71"/>
    <w:rsid w:val="00606F5B"/>
    <w:rsid w:val="0062362E"/>
    <w:rsid w:val="00624F2D"/>
    <w:rsid w:val="00626730"/>
    <w:rsid w:val="00632FB7"/>
    <w:rsid w:val="0063604E"/>
    <w:rsid w:val="006402AD"/>
    <w:rsid w:val="0064428B"/>
    <w:rsid w:val="0065002F"/>
    <w:rsid w:val="00650EB7"/>
    <w:rsid w:val="00667C2A"/>
    <w:rsid w:val="00673718"/>
    <w:rsid w:val="0067733C"/>
    <w:rsid w:val="006812AB"/>
    <w:rsid w:val="00690C85"/>
    <w:rsid w:val="0069364A"/>
    <w:rsid w:val="00694A81"/>
    <w:rsid w:val="006A50B4"/>
    <w:rsid w:val="006A5ECF"/>
    <w:rsid w:val="006C20F8"/>
    <w:rsid w:val="006C71AF"/>
    <w:rsid w:val="006D5D8A"/>
    <w:rsid w:val="006D71D0"/>
    <w:rsid w:val="006F3B63"/>
    <w:rsid w:val="006F486E"/>
    <w:rsid w:val="006F65BF"/>
    <w:rsid w:val="00702938"/>
    <w:rsid w:val="00704275"/>
    <w:rsid w:val="007048DB"/>
    <w:rsid w:val="0071209F"/>
    <w:rsid w:val="00715F65"/>
    <w:rsid w:val="0071664E"/>
    <w:rsid w:val="00723010"/>
    <w:rsid w:val="00736546"/>
    <w:rsid w:val="00737796"/>
    <w:rsid w:val="00743D5B"/>
    <w:rsid w:val="007652B9"/>
    <w:rsid w:val="007846BD"/>
    <w:rsid w:val="007A6F63"/>
    <w:rsid w:val="007B0AC9"/>
    <w:rsid w:val="007B2FF0"/>
    <w:rsid w:val="007E01DD"/>
    <w:rsid w:val="007E0B75"/>
    <w:rsid w:val="007F168C"/>
    <w:rsid w:val="007F3169"/>
    <w:rsid w:val="007F5DF3"/>
    <w:rsid w:val="008022AB"/>
    <w:rsid w:val="008156AD"/>
    <w:rsid w:val="00820ACB"/>
    <w:rsid w:val="008216E1"/>
    <w:rsid w:val="008305E3"/>
    <w:rsid w:val="0084152E"/>
    <w:rsid w:val="00854AFB"/>
    <w:rsid w:val="00870ED9"/>
    <w:rsid w:val="00871224"/>
    <w:rsid w:val="00877856"/>
    <w:rsid w:val="00877CCF"/>
    <w:rsid w:val="00881C87"/>
    <w:rsid w:val="008836AD"/>
    <w:rsid w:val="00891203"/>
    <w:rsid w:val="008A1FF4"/>
    <w:rsid w:val="008A4C80"/>
    <w:rsid w:val="008A7044"/>
    <w:rsid w:val="008B2B70"/>
    <w:rsid w:val="008B618E"/>
    <w:rsid w:val="008C4D0E"/>
    <w:rsid w:val="008D2C33"/>
    <w:rsid w:val="008E2DD4"/>
    <w:rsid w:val="008E3F0E"/>
    <w:rsid w:val="008E651A"/>
    <w:rsid w:val="008F39CA"/>
    <w:rsid w:val="008F5F61"/>
    <w:rsid w:val="008F7C5C"/>
    <w:rsid w:val="00912F79"/>
    <w:rsid w:val="009202DE"/>
    <w:rsid w:val="00924FB8"/>
    <w:rsid w:val="00925E72"/>
    <w:rsid w:val="009267A2"/>
    <w:rsid w:val="0093267B"/>
    <w:rsid w:val="009418AB"/>
    <w:rsid w:val="009423CF"/>
    <w:rsid w:val="00946954"/>
    <w:rsid w:val="009602BF"/>
    <w:rsid w:val="00960537"/>
    <w:rsid w:val="00960E5D"/>
    <w:rsid w:val="0096241C"/>
    <w:rsid w:val="009658B2"/>
    <w:rsid w:val="009668A0"/>
    <w:rsid w:val="00984E5E"/>
    <w:rsid w:val="00987595"/>
    <w:rsid w:val="009922C1"/>
    <w:rsid w:val="00997EEE"/>
    <w:rsid w:val="009A524A"/>
    <w:rsid w:val="009B5C1B"/>
    <w:rsid w:val="009C2CCE"/>
    <w:rsid w:val="009D78D0"/>
    <w:rsid w:val="009E1D3C"/>
    <w:rsid w:val="009E2929"/>
    <w:rsid w:val="009F4C1B"/>
    <w:rsid w:val="00A01715"/>
    <w:rsid w:val="00A1181C"/>
    <w:rsid w:val="00A11E7A"/>
    <w:rsid w:val="00A13F8E"/>
    <w:rsid w:val="00A25040"/>
    <w:rsid w:val="00A30044"/>
    <w:rsid w:val="00A370ED"/>
    <w:rsid w:val="00A53434"/>
    <w:rsid w:val="00A56983"/>
    <w:rsid w:val="00A60122"/>
    <w:rsid w:val="00A65FA9"/>
    <w:rsid w:val="00A83788"/>
    <w:rsid w:val="00A83DEA"/>
    <w:rsid w:val="00A846AD"/>
    <w:rsid w:val="00A85FCE"/>
    <w:rsid w:val="00AA14B4"/>
    <w:rsid w:val="00AA28A6"/>
    <w:rsid w:val="00AA67F5"/>
    <w:rsid w:val="00AD51E6"/>
    <w:rsid w:val="00AF2CF6"/>
    <w:rsid w:val="00AF424B"/>
    <w:rsid w:val="00B07EB5"/>
    <w:rsid w:val="00B126E4"/>
    <w:rsid w:val="00B13DA8"/>
    <w:rsid w:val="00B2649F"/>
    <w:rsid w:val="00B32CFD"/>
    <w:rsid w:val="00B32EBA"/>
    <w:rsid w:val="00B4534A"/>
    <w:rsid w:val="00B56F84"/>
    <w:rsid w:val="00B6277A"/>
    <w:rsid w:val="00B82460"/>
    <w:rsid w:val="00B84AF3"/>
    <w:rsid w:val="00BA08E6"/>
    <w:rsid w:val="00BA63A8"/>
    <w:rsid w:val="00BB5E3C"/>
    <w:rsid w:val="00BB6085"/>
    <w:rsid w:val="00BB6AC4"/>
    <w:rsid w:val="00BC0A14"/>
    <w:rsid w:val="00BD4970"/>
    <w:rsid w:val="00BE41E3"/>
    <w:rsid w:val="00BE45B4"/>
    <w:rsid w:val="00BF1425"/>
    <w:rsid w:val="00BF2568"/>
    <w:rsid w:val="00BF4ED8"/>
    <w:rsid w:val="00C02F35"/>
    <w:rsid w:val="00C21F90"/>
    <w:rsid w:val="00C23242"/>
    <w:rsid w:val="00C31697"/>
    <w:rsid w:val="00C46247"/>
    <w:rsid w:val="00C47AFF"/>
    <w:rsid w:val="00C6628B"/>
    <w:rsid w:val="00C71397"/>
    <w:rsid w:val="00C97EB9"/>
    <w:rsid w:val="00CA0D5F"/>
    <w:rsid w:val="00CA54A2"/>
    <w:rsid w:val="00CB2200"/>
    <w:rsid w:val="00CD465F"/>
    <w:rsid w:val="00CD708D"/>
    <w:rsid w:val="00CE0065"/>
    <w:rsid w:val="00CE633C"/>
    <w:rsid w:val="00CF0D1D"/>
    <w:rsid w:val="00CF3D2C"/>
    <w:rsid w:val="00D03D39"/>
    <w:rsid w:val="00D34EC4"/>
    <w:rsid w:val="00D35DC2"/>
    <w:rsid w:val="00D42C98"/>
    <w:rsid w:val="00D50B77"/>
    <w:rsid w:val="00D51855"/>
    <w:rsid w:val="00D52942"/>
    <w:rsid w:val="00D53F4D"/>
    <w:rsid w:val="00D61AC6"/>
    <w:rsid w:val="00D673EF"/>
    <w:rsid w:val="00D67EC2"/>
    <w:rsid w:val="00D73751"/>
    <w:rsid w:val="00D850ED"/>
    <w:rsid w:val="00D85A56"/>
    <w:rsid w:val="00D87442"/>
    <w:rsid w:val="00DA3D87"/>
    <w:rsid w:val="00DA505C"/>
    <w:rsid w:val="00DC0D49"/>
    <w:rsid w:val="00DD495C"/>
    <w:rsid w:val="00DE2BB6"/>
    <w:rsid w:val="00DE4301"/>
    <w:rsid w:val="00DE571B"/>
    <w:rsid w:val="00DE58C9"/>
    <w:rsid w:val="00DF07DA"/>
    <w:rsid w:val="00DF22D9"/>
    <w:rsid w:val="00E0685C"/>
    <w:rsid w:val="00E102B5"/>
    <w:rsid w:val="00E1034A"/>
    <w:rsid w:val="00E21126"/>
    <w:rsid w:val="00E2172C"/>
    <w:rsid w:val="00E22CB6"/>
    <w:rsid w:val="00E240F0"/>
    <w:rsid w:val="00E37DF3"/>
    <w:rsid w:val="00E41A90"/>
    <w:rsid w:val="00E459A4"/>
    <w:rsid w:val="00E465EE"/>
    <w:rsid w:val="00E47052"/>
    <w:rsid w:val="00E474CD"/>
    <w:rsid w:val="00E51317"/>
    <w:rsid w:val="00E60A9C"/>
    <w:rsid w:val="00E6167B"/>
    <w:rsid w:val="00E64361"/>
    <w:rsid w:val="00E91311"/>
    <w:rsid w:val="00E929BC"/>
    <w:rsid w:val="00E973FB"/>
    <w:rsid w:val="00E97EDF"/>
    <w:rsid w:val="00EB5D0C"/>
    <w:rsid w:val="00EC22D0"/>
    <w:rsid w:val="00EC37DB"/>
    <w:rsid w:val="00ED3CEE"/>
    <w:rsid w:val="00ED76E5"/>
    <w:rsid w:val="00EE4496"/>
    <w:rsid w:val="00EE4684"/>
    <w:rsid w:val="00EE6E44"/>
    <w:rsid w:val="00EF569E"/>
    <w:rsid w:val="00F0489E"/>
    <w:rsid w:val="00F2238A"/>
    <w:rsid w:val="00F23C12"/>
    <w:rsid w:val="00F3432D"/>
    <w:rsid w:val="00F6364D"/>
    <w:rsid w:val="00F63A16"/>
    <w:rsid w:val="00F67ECF"/>
    <w:rsid w:val="00F71A4F"/>
    <w:rsid w:val="00F776F2"/>
    <w:rsid w:val="00F93207"/>
    <w:rsid w:val="00F934D8"/>
    <w:rsid w:val="00FA3209"/>
    <w:rsid w:val="00FA3CA9"/>
    <w:rsid w:val="00FA4761"/>
    <w:rsid w:val="00FA6C2E"/>
    <w:rsid w:val="00FB0AF6"/>
    <w:rsid w:val="00FB6B8F"/>
    <w:rsid w:val="00FC4647"/>
    <w:rsid w:val="00FD449E"/>
    <w:rsid w:val="010521ED"/>
    <w:rsid w:val="012042F5"/>
    <w:rsid w:val="0136557F"/>
    <w:rsid w:val="01401F5A"/>
    <w:rsid w:val="01973B44"/>
    <w:rsid w:val="01993D60"/>
    <w:rsid w:val="01AA1AC9"/>
    <w:rsid w:val="01D37272"/>
    <w:rsid w:val="01EE19B6"/>
    <w:rsid w:val="02091039"/>
    <w:rsid w:val="020E2058"/>
    <w:rsid w:val="0213141D"/>
    <w:rsid w:val="022C24DE"/>
    <w:rsid w:val="02334100"/>
    <w:rsid w:val="02405F8A"/>
    <w:rsid w:val="027B384C"/>
    <w:rsid w:val="027E647B"/>
    <w:rsid w:val="02930F60"/>
    <w:rsid w:val="02A804C2"/>
    <w:rsid w:val="02CB619B"/>
    <w:rsid w:val="02DF39F5"/>
    <w:rsid w:val="02DF57A3"/>
    <w:rsid w:val="03123DCA"/>
    <w:rsid w:val="03716061"/>
    <w:rsid w:val="038F541B"/>
    <w:rsid w:val="039136A7"/>
    <w:rsid w:val="03A964DC"/>
    <w:rsid w:val="03C5243A"/>
    <w:rsid w:val="03D77626"/>
    <w:rsid w:val="03E10356"/>
    <w:rsid w:val="03E84175"/>
    <w:rsid w:val="03F50305"/>
    <w:rsid w:val="03FB7C54"/>
    <w:rsid w:val="040E6340"/>
    <w:rsid w:val="0421145D"/>
    <w:rsid w:val="042504D2"/>
    <w:rsid w:val="04293179"/>
    <w:rsid w:val="0465764B"/>
    <w:rsid w:val="04936845"/>
    <w:rsid w:val="04B70785"/>
    <w:rsid w:val="04BF378E"/>
    <w:rsid w:val="04CC6409"/>
    <w:rsid w:val="04D8694E"/>
    <w:rsid w:val="04E076C3"/>
    <w:rsid w:val="04F75026"/>
    <w:rsid w:val="04FD0A58"/>
    <w:rsid w:val="0508525D"/>
    <w:rsid w:val="050D2A9B"/>
    <w:rsid w:val="050E253A"/>
    <w:rsid w:val="05534E65"/>
    <w:rsid w:val="055554CC"/>
    <w:rsid w:val="0556575D"/>
    <w:rsid w:val="05917228"/>
    <w:rsid w:val="05A21435"/>
    <w:rsid w:val="05AD7DDA"/>
    <w:rsid w:val="06023C82"/>
    <w:rsid w:val="06127C3D"/>
    <w:rsid w:val="06361B7E"/>
    <w:rsid w:val="063F057B"/>
    <w:rsid w:val="064918B1"/>
    <w:rsid w:val="06976AC0"/>
    <w:rsid w:val="06976FD0"/>
    <w:rsid w:val="06AC5890"/>
    <w:rsid w:val="06B70F10"/>
    <w:rsid w:val="06BA27AF"/>
    <w:rsid w:val="070F66CC"/>
    <w:rsid w:val="075C73C2"/>
    <w:rsid w:val="076562D9"/>
    <w:rsid w:val="076D15CF"/>
    <w:rsid w:val="07724207"/>
    <w:rsid w:val="078B20DF"/>
    <w:rsid w:val="079C0106"/>
    <w:rsid w:val="07A31C9D"/>
    <w:rsid w:val="07A76B96"/>
    <w:rsid w:val="07FF215A"/>
    <w:rsid w:val="082C3238"/>
    <w:rsid w:val="08301237"/>
    <w:rsid w:val="08BF3118"/>
    <w:rsid w:val="09035499"/>
    <w:rsid w:val="091F37F6"/>
    <w:rsid w:val="09246605"/>
    <w:rsid w:val="093F646C"/>
    <w:rsid w:val="094E71DE"/>
    <w:rsid w:val="09BF1E8A"/>
    <w:rsid w:val="09FB1114"/>
    <w:rsid w:val="0A2763AD"/>
    <w:rsid w:val="0A496C6B"/>
    <w:rsid w:val="0A5E78F5"/>
    <w:rsid w:val="0A93759F"/>
    <w:rsid w:val="0A9652E1"/>
    <w:rsid w:val="0AA43F7D"/>
    <w:rsid w:val="0AB87005"/>
    <w:rsid w:val="0AE42C84"/>
    <w:rsid w:val="0AFC3138"/>
    <w:rsid w:val="0B2B4CE0"/>
    <w:rsid w:val="0B3C128D"/>
    <w:rsid w:val="0B512FB6"/>
    <w:rsid w:val="0B7C19D6"/>
    <w:rsid w:val="0B907F82"/>
    <w:rsid w:val="0BAA1044"/>
    <w:rsid w:val="0BCA5276"/>
    <w:rsid w:val="0BF73B5D"/>
    <w:rsid w:val="0BFC1173"/>
    <w:rsid w:val="0C143429"/>
    <w:rsid w:val="0C477076"/>
    <w:rsid w:val="0C4A65F8"/>
    <w:rsid w:val="0C5D60B6"/>
    <w:rsid w:val="0C6235F3"/>
    <w:rsid w:val="0C923886"/>
    <w:rsid w:val="0CA50068"/>
    <w:rsid w:val="0CC2416B"/>
    <w:rsid w:val="0CCF6241"/>
    <w:rsid w:val="0CE117AB"/>
    <w:rsid w:val="0CEC11E8"/>
    <w:rsid w:val="0CF34325"/>
    <w:rsid w:val="0D1436BE"/>
    <w:rsid w:val="0D205DEA"/>
    <w:rsid w:val="0D2C7836"/>
    <w:rsid w:val="0D2F53B3"/>
    <w:rsid w:val="0D5C45C0"/>
    <w:rsid w:val="0D66199D"/>
    <w:rsid w:val="0D69333C"/>
    <w:rsid w:val="0D857EFE"/>
    <w:rsid w:val="0DE46363"/>
    <w:rsid w:val="0E0D6C5F"/>
    <w:rsid w:val="0E176739"/>
    <w:rsid w:val="0E1C3D4F"/>
    <w:rsid w:val="0E3F5851"/>
    <w:rsid w:val="0E576B35"/>
    <w:rsid w:val="0E5E1D42"/>
    <w:rsid w:val="0E813BB2"/>
    <w:rsid w:val="0EAA3109"/>
    <w:rsid w:val="0EC117B9"/>
    <w:rsid w:val="0EEC672F"/>
    <w:rsid w:val="0F001172"/>
    <w:rsid w:val="0F07255B"/>
    <w:rsid w:val="0F104088"/>
    <w:rsid w:val="0F2F1860"/>
    <w:rsid w:val="0F3155D8"/>
    <w:rsid w:val="0F9279E1"/>
    <w:rsid w:val="0FB71F81"/>
    <w:rsid w:val="0FD77F2D"/>
    <w:rsid w:val="0FDD12BC"/>
    <w:rsid w:val="0FEB39D9"/>
    <w:rsid w:val="0FF56606"/>
    <w:rsid w:val="103630CF"/>
    <w:rsid w:val="104A4BA3"/>
    <w:rsid w:val="10613C9B"/>
    <w:rsid w:val="10803007"/>
    <w:rsid w:val="10AF4A06"/>
    <w:rsid w:val="10D64453"/>
    <w:rsid w:val="10D80401"/>
    <w:rsid w:val="11140D0D"/>
    <w:rsid w:val="117F6ACF"/>
    <w:rsid w:val="11821582"/>
    <w:rsid w:val="118637FD"/>
    <w:rsid w:val="11C45EC6"/>
    <w:rsid w:val="11CC0D8F"/>
    <w:rsid w:val="11CF5A6C"/>
    <w:rsid w:val="11E15362"/>
    <w:rsid w:val="11E64458"/>
    <w:rsid w:val="11F56D2B"/>
    <w:rsid w:val="125F42AD"/>
    <w:rsid w:val="126A3EBE"/>
    <w:rsid w:val="12883761"/>
    <w:rsid w:val="128D521B"/>
    <w:rsid w:val="12B02CB8"/>
    <w:rsid w:val="12BB30FB"/>
    <w:rsid w:val="12CB18A0"/>
    <w:rsid w:val="12D60970"/>
    <w:rsid w:val="12FE7EC7"/>
    <w:rsid w:val="13082AF4"/>
    <w:rsid w:val="133F5561"/>
    <w:rsid w:val="134A67AA"/>
    <w:rsid w:val="13561580"/>
    <w:rsid w:val="13790FC6"/>
    <w:rsid w:val="13A051C1"/>
    <w:rsid w:val="13A3769D"/>
    <w:rsid w:val="13CE33F5"/>
    <w:rsid w:val="13D604FC"/>
    <w:rsid w:val="13E62E35"/>
    <w:rsid w:val="13FC0A2D"/>
    <w:rsid w:val="142604FE"/>
    <w:rsid w:val="142851FC"/>
    <w:rsid w:val="142A6202"/>
    <w:rsid w:val="143036E4"/>
    <w:rsid w:val="143F2545"/>
    <w:rsid w:val="14524396"/>
    <w:rsid w:val="14827F5D"/>
    <w:rsid w:val="14B76B45"/>
    <w:rsid w:val="14BE790E"/>
    <w:rsid w:val="14C80263"/>
    <w:rsid w:val="14F35F62"/>
    <w:rsid w:val="150728B7"/>
    <w:rsid w:val="15230E4E"/>
    <w:rsid w:val="152A6D51"/>
    <w:rsid w:val="1568787A"/>
    <w:rsid w:val="15785D0F"/>
    <w:rsid w:val="158A7BA0"/>
    <w:rsid w:val="158C17BA"/>
    <w:rsid w:val="158E7957"/>
    <w:rsid w:val="15CF5EA2"/>
    <w:rsid w:val="1611311F"/>
    <w:rsid w:val="161D2412"/>
    <w:rsid w:val="162B4B2F"/>
    <w:rsid w:val="16411760"/>
    <w:rsid w:val="165A5414"/>
    <w:rsid w:val="165C2D58"/>
    <w:rsid w:val="165E1922"/>
    <w:rsid w:val="168D3A3C"/>
    <w:rsid w:val="16BC3EE5"/>
    <w:rsid w:val="16C667CB"/>
    <w:rsid w:val="16F20321"/>
    <w:rsid w:val="1715758D"/>
    <w:rsid w:val="17265AEA"/>
    <w:rsid w:val="17425B54"/>
    <w:rsid w:val="17704C05"/>
    <w:rsid w:val="18133ACD"/>
    <w:rsid w:val="181D0DEF"/>
    <w:rsid w:val="1844012A"/>
    <w:rsid w:val="1844637C"/>
    <w:rsid w:val="186657D1"/>
    <w:rsid w:val="18695DE3"/>
    <w:rsid w:val="186D58D3"/>
    <w:rsid w:val="186E51A7"/>
    <w:rsid w:val="18B26C9F"/>
    <w:rsid w:val="18C4126B"/>
    <w:rsid w:val="18FA4C8D"/>
    <w:rsid w:val="19013F4B"/>
    <w:rsid w:val="191A239C"/>
    <w:rsid w:val="193C3D9C"/>
    <w:rsid w:val="19432E30"/>
    <w:rsid w:val="194C6179"/>
    <w:rsid w:val="19726F19"/>
    <w:rsid w:val="1990455A"/>
    <w:rsid w:val="19D61256"/>
    <w:rsid w:val="19EC0A79"/>
    <w:rsid w:val="1A0062D3"/>
    <w:rsid w:val="1A196173"/>
    <w:rsid w:val="1A241497"/>
    <w:rsid w:val="1A7E4D26"/>
    <w:rsid w:val="1A9A2283"/>
    <w:rsid w:val="1AB53561"/>
    <w:rsid w:val="1AC83294"/>
    <w:rsid w:val="1AFE6ECC"/>
    <w:rsid w:val="1B1028A4"/>
    <w:rsid w:val="1B522B5E"/>
    <w:rsid w:val="1B5D42A4"/>
    <w:rsid w:val="1B60171F"/>
    <w:rsid w:val="1B6C61B5"/>
    <w:rsid w:val="1BBE5191"/>
    <w:rsid w:val="1C062C22"/>
    <w:rsid w:val="1C093B64"/>
    <w:rsid w:val="1C0E1F47"/>
    <w:rsid w:val="1C2E2CAE"/>
    <w:rsid w:val="1C4055B1"/>
    <w:rsid w:val="1C5823F6"/>
    <w:rsid w:val="1C6F14EE"/>
    <w:rsid w:val="1C705992"/>
    <w:rsid w:val="1CB33AD0"/>
    <w:rsid w:val="1CD15BF2"/>
    <w:rsid w:val="1CE41EDC"/>
    <w:rsid w:val="1D69418F"/>
    <w:rsid w:val="1D7E7C3A"/>
    <w:rsid w:val="1D9C27B6"/>
    <w:rsid w:val="1DB541B2"/>
    <w:rsid w:val="1DBD1A17"/>
    <w:rsid w:val="1DD41F50"/>
    <w:rsid w:val="1E0458EE"/>
    <w:rsid w:val="1E394932"/>
    <w:rsid w:val="1E483A23"/>
    <w:rsid w:val="1E4B540F"/>
    <w:rsid w:val="1E65704C"/>
    <w:rsid w:val="1E733517"/>
    <w:rsid w:val="1E7D4396"/>
    <w:rsid w:val="1E803E86"/>
    <w:rsid w:val="1EC11CD6"/>
    <w:rsid w:val="1EE52B69"/>
    <w:rsid w:val="1EFA1543"/>
    <w:rsid w:val="1EFB52BB"/>
    <w:rsid w:val="1F155F39"/>
    <w:rsid w:val="1F230979"/>
    <w:rsid w:val="1F4F41F4"/>
    <w:rsid w:val="1F59095F"/>
    <w:rsid w:val="1F7742B3"/>
    <w:rsid w:val="1F925C1F"/>
    <w:rsid w:val="1FC3675F"/>
    <w:rsid w:val="20322F5E"/>
    <w:rsid w:val="204D1B46"/>
    <w:rsid w:val="204D7D98"/>
    <w:rsid w:val="20552AFA"/>
    <w:rsid w:val="20653333"/>
    <w:rsid w:val="206C2914"/>
    <w:rsid w:val="208714FC"/>
    <w:rsid w:val="20916ACC"/>
    <w:rsid w:val="20961007"/>
    <w:rsid w:val="20B322F1"/>
    <w:rsid w:val="20E41EFC"/>
    <w:rsid w:val="20F070A1"/>
    <w:rsid w:val="21101DF9"/>
    <w:rsid w:val="214921EE"/>
    <w:rsid w:val="2171276E"/>
    <w:rsid w:val="217D6C15"/>
    <w:rsid w:val="218C6310"/>
    <w:rsid w:val="21CE04C4"/>
    <w:rsid w:val="22356D36"/>
    <w:rsid w:val="2237177E"/>
    <w:rsid w:val="2238151A"/>
    <w:rsid w:val="224E4334"/>
    <w:rsid w:val="22577015"/>
    <w:rsid w:val="22851A6B"/>
    <w:rsid w:val="22B271E2"/>
    <w:rsid w:val="22E348AC"/>
    <w:rsid w:val="22F369D5"/>
    <w:rsid w:val="230E1A60"/>
    <w:rsid w:val="231132FF"/>
    <w:rsid w:val="23564D8B"/>
    <w:rsid w:val="23625866"/>
    <w:rsid w:val="23CF38CC"/>
    <w:rsid w:val="23DC56BB"/>
    <w:rsid w:val="240B5FA0"/>
    <w:rsid w:val="242471C8"/>
    <w:rsid w:val="24374FE7"/>
    <w:rsid w:val="24B2466D"/>
    <w:rsid w:val="24D45157"/>
    <w:rsid w:val="24EA02AB"/>
    <w:rsid w:val="25043E00"/>
    <w:rsid w:val="25046FA1"/>
    <w:rsid w:val="250B2F31"/>
    <w:rsid w:val="252E0198"/>
    <w:rsid w:val="252F0ABB"/>
    <w:rsid w:val="253908EB"/>
    <w:rsid w:val="25407ECB"/>
    <w:rsid w:val="25BD07D4"/>
    <w:rsid w:val="25E60A73"/>
    <w:rsid w:val="26016398"/>
    <w:rsid w:val="261A18FE"/>
    <w:rsid w:val="263537A8"/>
    <w:rsid w:val="26467763"/>
    <w:rsid w:val="265005E2"/>
    <w:rsid w:val="2657371E"/>
    <w:rsid w:val="265C777C"/>
    <w:rsid w:val="268F2EB8"/>
    <w:rsid w:val="269312C5"/>
    <w:rsid w:val="26A12BEB"/>
    <w:rsid w:val="26CD2CA2"/>
    <w:rsid w:val="26D1527F"/>
    <w:rsid w:val="27160EE4"/>
    <w:rsid w:val="27271C69"/>
    <w:rsid w:val="276B096A"/>
    <w:rsid w:val="27700B28"/>
    <w:rsid w:val="2777633C"/>
    <w:rsid w:val="27AA1FC1"/>
    <w:rsid w:val="27E2170E"/>
    <w:rsid w:val="28090A48"/>
    <w:rsid w:val="282835C4"/>
    <w:rsid w:val="282F2844"/>
    <w:rsid w:val="284A0A93"/>
    <w:rsid w:val="287B7B98"/>
    <w:rsid w:val="28A10C81"/>
    <w:rsid w:val="28F11E8F"/>
    <w:rsid w:val="28F41659"/>
    <w:rsid w:val="2939710B"/>
    <w:rsid w:val="29543F45"/>
    <w:rsid w:val="297421E7"/>
    <w:rsid w:val="29982084"/>
    <w:rsid w:val="29BB2216"/>
    <w:rsid w:val="2A006359"/>
    <w:rsid w:val="2A0E67EA"/>
    <w:rsid w:val="2A17569E"/>
    <w:rsid w:val="2A204E51"/>
    <w:rsid w:val="2A2F71FD"/>
    <w:rsid w:val="2A3F4BF5"/>
    <w:rsid w:val="2A4E7AC9"/>
    <w:rsid w:val="2A7C3754"/>
    <w:rsid w:val="2A922F77"/>
    <w:rsid w:val="2AF24895"/>
    <w:rsid w:val="2B230073"/>
    <w:rsid w:val="2B6827D1"/>
    <w:rsid w:val="2B7D7783"/>
    <w:rsid w:val="2BB94533"/>
    <w:rsid w:val="2BC90C1A"/>
    <w:rsid w:val="2BDD0222"/>
    <w:rsid w:val="2C040D76"/>
    <w:rsid w:val="2C047EA4"/>
    <w:rsid w:val="2C3B13EC"/>
    <w:rsid w:val="2C416A03"/>
    <w:rsid w:val="2C5D1363"/>
    <w:rsid w:val="2C7343F1"/>
    <w:rsid w:val="2C91021D"/>
    <w:rsid w:val="2CEA02B1"/>
    <w:rsid w:val="2D03108C"/>
    <w:rsid w:val="2D0E2097"/>
    <w:rsid w:val="2D1D5BCE"/>
    <w:rsid w:val="2D2C72BF"/>
    <w:rsid w:val="2D7C3A6A"/>
    <w:rsid w:val="2D7D7C61"/>
    <w:rsid w:val="2D962D7E"/>
    <w:rsid w:val="2DD37B2E"/>
    <w:rsid w:val="2DE55AB4"/>
    <w:rsid w:val="2E3305CD"/>
    <w:rsid w:val="2E47573E"/>
    <w:rsid w:val="2E496043"/>
    <w:rsid w:val="2E930E17"/>
    <w:rsid w:val="2EC904BB"/>
    <w:rsid w:val="2ECE479A"/>
    <w:rsid w:val="2EDA6C9B"/>
    <w:rsid w:val="2EE9492D"/>
    <w:rsid w:val="2EEE2746"/>
    <w:rsid w:val="2EF57F78"/>
    <w:rsid w:val="2F454A5C"/>
    <w:rsid w:val="2F4B7E65"/>
    <w:rsid w:val="2F6D5D61"/>
    <w:rsid w:val="2F7B33A2"/>
    <w:rsid w:val="2F98278C"/>
    <w:rsid w:val="2FA554FB"/>
    <w:rsid w:val="2FC71915"/>
    <w:rsid w:val="2FD23E16"/>
    <w:rsid w:val="2FFD5233"/>
    <w:rsid w:val="30307C97"/>
    <w:rsid w:val="304F5466"/>
    <w:rsid w:val="305A4537"/>
    <w:rsid w:val="30760C45"/>
    <w:rsid w:val="30FC114A"/>
    <w:rsid w:val="311E0BBB"/>
    <w:rsid w:val="312468F3"/>
    <w:rsid w:val="313A7EC4"/>
    <w:rsid w:val="31562520"/>
    <w:rsid w:val="315A40C3"/>
    <w:rsid w:val="3166515D"/>
    <w:rsid w:val="318A0AB7"/>
    <w:rsid w:val="31BB38BB"/>
    <w:rsid w:val="31C854D0"/>
    <w:rsid w:val="31FE7144"/>
    <w:rsid w:val="32144A36"/>
    <w:rsid w:val="32223C57"/>
    <w:rsid w:val="322C0FD6"/>
    <w:rsid w:val="32333292"/>
    <w:rsid w:val="323446FA"/>
    <w:rsid w:val="32493405"/>
    <w:rsid w:val="32502009"/>
    <w:rsid w:val="32516ED6"/>
    <w:rsid w:val="325925CC"/>
    <w:rsid w:val="326B4952"/>
    <w:rsid w:val="32BB6DE3"/>
    <w:rsid w:val="32E93950"/>
    <w:rsid w:val="3302701B"/>
    <w:rsid w:val="330E1609"/>
    <w:rsid w:val="331D35FA"/>
    <w:rsid w:val="33386686"/>
    <w:rsid w:val="335C6DED"/>
    <w:rsid w:val="33661445"/>
    <w:rsid w:val="33946ABD"/>
    <w:rsid w:val="339A10EE"/>
    <w:rsid w:val="33B03068"/>
    <w:rsid w:val="33CC21B2"/>
    <w:rsid w:val="34057BB2"/>
    <w:rsid w:val="341B48A9"/>
    <w:rsid w:val="342F3235"/>
    <w:rsid w:val="343E5F1E"/>
    <w:rsid w:val="348339DB"/>
    <w:rsid w:val="34933892"/>
    <w:rsid w:val="34C226AB"/>
    <w:rsid w:val="34E24AFB"/>
    <w:rsid w:val="34F05490"/>
    <w:rsid w:val="34F24BF6"/>
    <w:rsid w:val="3501390A"/>
    <w:rsid w:val="350E3B42"/>
    <w:rsid w:val="354E2190"/>
    <w:rsid w:val="355377A7"/>
    <w:rsid w:val="357D0C50"/>
    <w:rsid w:val="358D0F0B"/>
    <w:rsid w:val="35967A09"/>
    <w:rsid w:val="35E05EE6"/>
    <w:rsid w:val="35E26969"/>
    <w:rsid w:val="3608233F"/>
    <w:rsid w:val="360F7B72"/>
    <w:rsid w:val="36602DB8"/>
    <w:rsid w:val="36977958"/>
    <w:rsid w:val="36A91D74"/>
    <w:rsid w:val="36AB3E1C"/>
    <w:rsid w:val="36CB2DD9"/>
    <w:rsid w:val="36D41FCD"/>
    <w:rsid w:val="36EE7787"/>
    <w:rsid w:val="370720CA"/>
    <w:rsid w:val="370C1C5B"/>
    <w:rsid w:val="371B42F4"/>
    <w:rsid w:val="371F5BA8"/>
    <w:rsid w:val="373027FD"/>
    <w:rsid w:val="373553B6"/>
    <w:rsid w:val="3747333B"/>
    <w:rsid w:val="37B87D95"/>
    <w:rsid w:val="37BA66F9"/>
    <w:rsid w:val="37C87FD8"/>
    <w:rsid w:val="37D43ABA"/>
    <w:rsid w:val="37EE2776"/>
    <w:rsid w:val="37F73305"/>
    <w:rsid w:val="37FE0959"/>
    <w:rsid w:val="38174ABC"/>
    <w:rsid w:val="38206066"/>
    <w:rsid w:val="38211DDE"/>
    <w:rsid w:val="387055F1"/>
    <w:rsid w:val="38833F40"/>
    <w:rsid w:val="38B62753"/>
    <w:rsid w:val="38BA6025"/>
    <w:rsid w:val="38EC5F48"/>
    <w:rsid w:val="38F1355F"/>
    <w:rsid w:val="390414E4"/>
    <w:rsid w:val="39453DF6"/>
    <w:rsid w:val="39567866"/>
    <w:rsid w:val="395D2BE0"/>
    <w:rsid w:val="39673821"/>
    <w:rsid w:val="397E2E25"/>
    <w:rsid w:val="39AA09C7"/>
    <w:rsid w:val="3A015A23"/>
    <w:rsid w:val="3A1058FE"/>
    <w:rsid w:val="3A2B484E"/>
    <w:rsid w:val="3A43428E"/>
    <w:rsid w:val="3A52002D"/>
    <w:rsid w:val="3A812DD8"/>
    <w:rsid w:val="3AB92FEC"/>
    <w:rsid w:val="3AC754AE"/>
    <w:rsid w:val="3ACD582D"/>
    <w:rsid w:val="3B003B1F"/>
    <w:rsid w:val="3B21669E"/>
    <w:rsid w:val="3B2C5C1C"/>
    <w:rsid w:val="3B484D11"/>
    <w:rsid w:val="3B596336"/>
    <w:rsid w:val="3B5B1163"/>
    <w:rsid w:val="3B681D64"/>
    <w:rsid w:val="3B6C3370"/>
    <w:rsid w:val="3B7913F9"/>
    <w:rsid w:val="3B7B1C49"/>
    <w:rsid w:val="3B93148C"/>
    <w:rsid w:val="3B965F1A"/>
    <w:rsid w:val="3B9D177C"/>
    <w:rsid w:val="3BA41146"/>
    <w:rsid w:val="3BB078EF"/>
    <w:rsid w:val="3BBA40DC"/>
    <w:rsid w:val="3BDF7FE6"/>
    <w:rsid w:val="3BEE1FD7"/>
    <w:rsid w:val="3BFE1609"/>
    <w:rsid w:val="3C067321"/>
    <w:rsid w:val="3C101F4E"/>
    <w:rsid w:val="3C12216A"/>
    <w:rsid w:val="3C1F03E3"/>
    <w:rsid w:val="3C2846F1"/>
    <w:rsid w:val="3C44609B"/>
    <w:rsid w:val="3C6745D8"/>
    <w:rsid w:val="3C8969C8"/>
    <w:rsid w:val="3CC1149A"/>
    <w:rsid w:val="3CCF60D3"/>
    <w:rsid w:val="3D526C65"/>
    <w:rsid w:val="3DA2751D"/>
    <w:rsid w:val="3DAA2619"/>
    <w:rsid w:val="3DB04103"/>
    <w:rsid w:val="3DB61941"/>
    <w:rsid w:val="3DC22592"/>
    <w:rsid w:val="3DE713D4"/>
    <w:rsid w:val="3E1029EC"/>
    <w:rsid w:val="3E3647E7"/>
    <w:rsid w:val="3E815385"/>
    <w:rsid w:val="3EE171EF"/>
    <w:rsid w:val="3EE737C3"/>
    <w:rsid w:val="3EEE2D82"/>
    <w:rsid w:val="3EF341FB"/>
    <w:rsid w:val="3EFF6BE9"/>
    <w:rsid w:val="3F012022"/>
    <w:rsid w:val="3F5900B0"/>
    <w:rsid w:val="3F705525"/>
    <w:rsid w:val="3F7D097A"/>
    <w:rsid w:val="3F830C89"/>
    <w:rsid w:val="3F8A0269"/>
    <w:rsid w:val="3FBB0B9A"/>
    <w:rsid w:val="3FF83425"/>
    <w:rsid w:val="40026051"/>
    <w:rsid w:val="406B1E48"/>
    <w:rsid w:val="407F661D"/>
    <w:rsid w:val="40A1377E"/>
    <w:rsid w:val="40B1759F"/>
    <w:rsid w:val="40C27CDA"/>
    <w:rsid w:val="40E02836"/>
    <w:rsid w:val="410246D0"/>
    <w:rsid w:val="41146DC8"/>
    <w:rsid w:val="411E6EBB"/>
    <w:rsid w:val="412344D1"/>
    <w:rsid w:val="4159130B"/>
    <w:rsid w:val="41870F04"/>
    <w:rsid w:val="419929E5"/>
    <w:rsid w:val="41A41AB6"/>
    <w:rsid w:val="41C45CB4"/>
    <w:rsid w:val="41E81BDE"/>
    <w:rsid w:val="420E2D9F"/>
    <w:rsid w:val="42484954"/>
    <w:rsid w:val="425F3C2F"/>
    <w:rsid w:val="426C58D8"/>
    <w:rsid w:val="42F73E67"/>
    <w:rsid w:val="42F75C15"/>
    <w:rsid w:val="430622FC"/>
    <w:rsid w:val="432760FF"/>
    <w:rsid w:val="433429C6"/>
    <w:rsid w:val="433F136A"/>
    <w:rsid w:val="434150E2"/>
    <w:rsid w:val="43456981"/>
    <w:rsid w:val="437E0D26"/>
    <w:rsid w:val="437E45EA"/>
    <w:rsid w:val="43A365D8"/>
    <w:rsid w:val="43AF64F0"/>
    <w:rsid w:val="43B14016"/>
    <w:rsid w:val="43BF2BD7"/>
    <w:rsid w:val="43F152CD"/>
    <w:rsid w:val="43F46123"/>
    <w:rsid w:val="44045264"/>
    <w:rsid w:val="440920A4"/>
    <w:rsid w:val="4489278B"/>
    <w:rsid w:val="448E5BF2"/>
    <w:rsid w:val="44D0671E"/>
    <w:rsid w:val="45060392"/>
    <w:rsid w:val="45342AE5"/>
    <w:rsid w:val="456355C9"/>
    <w:rsid w:val="45667082"/>
    <w:rsid w:val="4585575A"/>
    <w:rsid w:val="45A33E32"/>
    <w:rsid w:val="45B60710"/>
    <w:rsid w:val="45BE4F83"/>
    <w:rsid w:val="45CF2E79"/>
    <w:rsid w:val="45E16709"/>
    <w:rsid w:val="464A7C99"/>
    <w:rsid w:val="46805690"/>
    <w:rsid w:val="474F213B"/>
    <w:rsid w:val="477535AD"/>
    <w:rsid w:val="48210196"/>
    <w:rsid w:val="483A6329"/>
    <w:rsid w:val="48657AC5"/>
    <w:rsid w:val="489B08DD"/>
    <w:rsid w:val="48AF2AEE"/>
    <w:rsid w:val="48CF36D9"/>
    <w:rsid w:val="48EA008E"/>
    <w:rsid w:val="48EA585E"/>
    <w:rsid w:val="48F21359"/>
    <w:rsid w:val="490746D8"/>
    <w:rsid w:val="49180694"/>
    <w:rsid w:val="49276B29"/>
    <w:rsid w:val="4930059C"/>
    <w:rsid w:val="493D40BA"/>
    <w:rsid w:val="49463453"/>
    <w:rsid w:val="49465201"/>
    <w:rsid w:val="495C4A24"/>
    <w:rsid w:val="497B4830"/>
    <w:rsid w:val="49BF6D61"/>
    <w:rsid w:val="49C10D2B"/>
    <w:rsid w:val="4A201EF6"/>
    <w:rsid w:val="4A33314B"/>
    <w:rsid w:val="4A8049D3"/>
    <w:rsid w:val="4A8F4985"/>
    <w:rsid w:val="4A95067F"/>
    <w:rsid w:val="4AB12B4E"/>
    <w:rsid w:val="4AB46DB6"/>
    <w:rsid w:val="4AE41175"/>
    <w:rsid w:val="4AEA549C"/>
    <w:rsid w:val="4B1650A7"/>
    <w:rsid w:val="4B215F25"/>
    <w:rsid w:val="4B3258E7"/>
    <w:rsid w:val="4BB723E6"/>
    <w:rsid w:val="4BCE772F"/>
    <w:rsid w:val="4BD05255"/>
    <w:rsid w:val="4BF067E6"/>
    <w:rsid w:val="4BFA0524"/>
    <w:rsid w:val="4C520360"/>
    <w:rsid w:val="4C5D21A5"/>
    <w:rsid w:val="4C7107E7"/>
    <w:rsid w:val="4CB94A90"/>
    <w:rsid w:val="4CCD0192"/>
    <w:rsid w:val="4CCF375F"/>
    <w:rsid w:val="4CD25D39"/>
    <w:rsid w:val="4CDC62E9"/>
    <w:rsid w:val="4CDD7C2A"/>
    <w:rsid w:val="4D04165B"/>
    <w:rsid w:val="4D085040"/>
    <w:rsid w:val="4D106251"/>
    <w:rsid w:val="4D1E3A2B"/>
    <w:rsid w:val="4D364693"/>
    <w:rsid w:val="4D4B54DB"/>
    <w:rsid w:val="4D6D546C"/>
    <w:rsid w:val="4D714816"/>
    <w:rsid w:val="4D9C7AE5"/>
    <w:rsid w:val="4DBA286F"/>
    <w:rsid w:val="4DC753EA"/>
    <w:rsid w:val="4DCD4142"/>
    <w:rsid w:val="4DD059E1"/>
    <w:rsid w:val="4DEE5E67"/>
    <w:rsid w:val="4E0818C3"/>
    <w:rsid w:val="4E174B50"/>
    <w:rsid w:val="4E2D2E33"/>
    <w:rsid w:val="4E571C5E"/>
    <w:rsid w:val="4E6A1991"/>
    <w:rsid w:val="4E834801"/>
    <w:rsid w:val="4E870795"/>
    <w:rsid w:val="4E9B1B4B"/>
    <w:rsid w:val="4EC015B1"/>
    <w:rsid w:val="4ED44099"/>
    <w:rsid w:val="4F130C2F"/>
    <w:rsid w:val="4F1D6A04"/>
    <w:rsid w:val="4F297460"/>
    <w:rsid w:val="4F2B60AB"/>
    <w:rsid w:val="4F3039F0"/>
    <w:rsid w:val="4F4977F9"/>
    <w:rsid w:val="4F6D44D3"/>
    <w:rsid w:val="4F9B0E7B"/>
    <w:rsid w:val="4FAD6D95"/>
    <w:rsid w:val="4FBB6656"/>
    <w:rsid w:val="4FBC637E"/>
    <w:rsid w:val="502344EE"/>
    <w:rsid w:val="50342257"/>
    <w:rsid w:val="504831C6"/>
    <w:rsid w:val="506A0AAC"/>
    <w:rsid w:val="506D10FA"/>
    <w:rsid w:val="507774D1"/>
    <w:rsid w:val="507F5170"/>
    <w:rsid w:val="50904E7E"/>
    <w:rsid w:val="50DC13EB"/>
    <w:rsid w:val="5133250E"/>
    <w:rsid w:val="513718A7"/>
    <w:rsid w:val="51450494"/>
    <w:rsid w:val="514635F6"/>
    <w:rsid w:val="51571E03"/>
    <w:rsid w:val="515759B9"/>
    <w:rsid w:val="515D3A2F"/>
    <w:rsid w:val="516F0714"/>
    <w:rsid w:val="51735001"/>
    <w:rsid w:val="517B5C63"/>
    <w:rsid w:val="51986815"/>
    <w:rsid w:val="51B00408"/>
    <w:rsid w:val="51FF131A"/>
    <w:rsid w:val="520B348B"/>
    <w:rsid w:val="5279269C"/>
    <w:rsid w:val="52950FA7"/>
    <w:rsid w:val="529C40E3"/>
    <w:rsid w:val="52E061B9"/>
    <w:rsid w:val="533662E6"/>
    <w:rsid w:val="534A3B3F"/>
    <w:rsid w:val="537B1F4B"/>
    <w:rsid w:val="537E1A3B"/>
    <w:rsid w:val="53BF62DB"/>
    <w:rsid w:val="53C25FCE"/>
    <w:rsid w:val="53C90F08"/>
    <w:rsid w:val="543F741C"/>
    <w:rsid w:val="54420CBA"/>
    <w:rsid w:val="54C77C44"/>
    <w:rsid w:val="54D560C7"/>
    <w:rsid w:val="55074707"/>
    <w:rsid w:val="552C79A0"/>
    <w:rsid w:val="553B35DF"/>
    <w:rsid w:val="5545504A"/>
    <w:rsid w:val="554C1DF1"/>
    <w:rsid w:val="555A25FB"/>
    <w:rsid w:val="555D66B2"/>
    <w:rsid w:val="556D1D67"/>
    <w:rsid w:val="557168F9"/>
    <w:rsid w:val="55F619BB"/>
    <w:rsid w:val="560C5D5A"/>
    <w:rsid w:val="5616156F"/>
    <w:rsid w:val="563A60ED"/>
    <w:rsid w:val="565957FA"/>
    <w:rsid w:val="56840A94"/>
    <w:rsid w:val="56BD45C6"/>
    <w:rsid w:val="56C02A96"/>
    <w:rsid w:val="56C43C09"/>
    <w:rsid w:val="57286987"/>
    <w:rsid w:val="572C41C4"/>
    <w:rsid w:val="57596A47"/>
    <w:rsid w:val="576733D9"/>
    <w:rsid w:val="57961A49"/>
    <w:rsid w:val="57A901A6"/>
    <w:rsid w:val="57D8796C"/>
    <w:rsid w:val="58214F74"/>
    <w:rsid w:val="582D0E61"/>
    <w:rsid w:val="583E1A0D"/>
    <w:rsid w:val="58527FC0"/>
    <w:rsid w:val="58557FBD"/>
    <w:rsid w:val="58611560"/>
    <w:rsid w:val="586631C9"/>
    <w:rsid w:val="58676F42"/>
    <w:rsid w:val="587B56B7"/>
    <w:rsid w:val="58A27F7A"/>
    <w:rsid w:val="58AD528C"/>
    <w:rsid w:val="592C4D06"/>
    <w:rsid w:val="59367040"/>
    <w:rsid w:val="593C3F2A"/>
    <w:rsid w:val="593F3A1A"/>
    <w:rsid w:val="59617E35"/>
    <w:rsid w:val="596A7D11"/>
    <w:rsid w:val="597933D0"/>
    <w:rsid w:val="59861649"/>
    <w:rsid w:val="59945B14"/>
    <w:rsid w:val="59CA3C2C"/>
    <w:rsid w:val="59F12F67"/>
    <w:rsid w:val="59F738FD"/>
    <w:rsid w:val="5A747EBA"/>
    <w:rsid w:val="5AB6072A"/>
    <w:rsid w:val="5AE44879"/>
    <w:rsid w:val="5AF05B0C"/>
    <w:rsid w:val="5B04316E"/>
    <w:rsid w:val="5B215ACE"/>
    <w:rsid w:val="5B3A6B8F"/>
    <w:rsid w:val="5B3B536B"/>
    <w:rsid w:val="5B3C2907"/>
    <w:rsid w:val="5B5F03A4"/>
    <w:rsid w:val="5B6336EB"/>
    <w:rsid w:val="5B914A01"/>
    <w:rsid w:val="5B972C8E"/>
    <w:rsid w:val="5BA81D4B"/>
    <w:rsid w:val="5BAF43F4"/>
    <w:rsid w:val="5BB16E51"/>
    <w:rsid w:val="5BE34B31"/>
    <w:rsid w:val="5C1F21E8"/>
    <w:rsid w:val="5C225659"/>
    <w:rsid w:val="5C286EA3"/>
    <w:rsid w:val="5C3B671B"/>
    <w:rsid w:val="5C5D48E3"/>
    <w:rsid w:val="5C643F86"/>
    <w:rsid w:val="5C844A63"/>
    <w:rsid w:val="5C9A78E6"/>
    <w:rsid w:val="5C9B1219"/>
    <w:rsid w:val="5CC6692D"/>
    <w:rsid w:val="5CD821BC"/>
    <w:rsid w:val="5CDC1CAC"/>
    <w:rsid w:val="5D7B4540"/>
    <w:rsid w:val="5D7F0397"/>
    <w:rsid w:val="5D873F07"/>
    <w:rsid w:val="5DA94792"/>
    <w:rsid w:val="5DB6074F"/>
    <w:rsid w:val="5DD72473"/>
    <w:rsid w:val="5E1C0840"/>
    <w:rsid w:val="5E437B09"/>
    <w:rsid w:val="5E7423B8"/>
    <w:rsid w:val="5EAE58CA"/>
    <w:rsid w:val="5ED6097D"/>
    <w:rsid w:val="5EEC5E21"/>
    <w:rsid w:val="5EF3152F"/>
    <w:rsid w:val="5EF3600D"/>
    <w:rsid w:val="5EF84D97"/>
    <w:rsid w:val="5EFB03E4"/>
    <w:rsid w:val="5F4973A1"/>
    <w:rsid w:val="5F847E7F"/>
    <w:rsid w:val="5FB40CBE"/>
    <w:rsid w:val="5FD819E0"/>
    <w:rsid w:val="5FF437B1"/>
    <w:rsid w:val="5FFC2665"/>
    <w:rsid w:val="5FFC4D22"/>
    <w:rsid w:val="60050ED1"/>
    <w:rsid w:val="600734E4"/>
    <w:rsid w:val="60130DF2"/>
    <w:rsid w:val="60316CD8"/>
    <w:rsid w:val="606814BC"/>
    <w:rsid w:val="6098642D"/>
    <w:rsid w:val="60A725D1"/>
    <w:rsid w:val="60AF592A"/>
    <w:rsid w:val="60BE72C0"/>
    <w:rsid w:val="60C42852"/>
    <w:rsid w:val="60DB671F"/>
    <w:rsid w:val="60EA6DB8"/>
    <w:rsid w:val="60EB5C13"/>
    <w:rsid w:val="61420112"/>
    <w:rsid w:val="61563F60"/>
    <w:rsid w:val="6160177E"/>
    <w:rsid w:val="619A0388"/>
    <w:rsid w:val="61BA6A63"/>
    <w:rsid w:val="61C84027"/>
    <w:rsid w:val="620F042E"/>
    <w:rsid w:val="62314848"/>
    <w:rsid w:val="62575546"/>
    <w:rsid w:val="625978FB"/>
    <w:rsid w:val="625C73EB"/>
    <w:rsid w:val="62634C1E"/>
    <w:rsid w:val="62705DC7"/>
    <w:rsid w:val="6280132C"/>
    <w:rsid w:val="6282359C"/>
    <w:rsid w:val="62B40FD5"/>
    <w:rsid w:val="62C3746A"/>
    <w:rsid w:val="62CB2E33"/>
    <w:rsid w:val="62EE0468"/>
    <w:rsid w:val="630E6937"/>
    <w:rsid w:val="632919C3"/>
    <w:rsid w:val="63514A76"/>
    <w:rsid w:val="636B5B38"/>
    <w:rsid w:val="636D065A"/>
    <w:rsid w:val="636E728E"/>
    <w:rsid w:val="638C120E"/>
    <w:rsid w:val="639D7CBB"/>
    <w:rsid w:val="642733A0"/>
    <w:rsid w:val="64326656"/>
    <w:rsid w:val="646E6C60"/>
    <w:rsid w:val="651A5A67"/>
    <w:rsid w:val="654D4A40"/>
    <w:rsid w:val="655645C6"/>
    <w:rsid w:val="65BD4645"/>
    <w:rsid w:val="65D06126"/>
    <w:rsid w:val="660051BA"/>
    <w:rsid w:val="664408C2"/>
    <w:rsid w:val="665054B9"/>
    <w:rsid w:val="66735454"/>
    <w:rsid w:val="66794A10"/>
    <w:rsid w:val="669730E8"/>
    <w:rsid w:val="66A001EE"/>
    <w:rsid w:val="66C13CC1"/>
    <w:rsid w:val="66DB4D83"/>
    <w:rsid w:val="6749668A"/>
    <w:rsid w:val="6750338D"/>
    <w:rsid w:val="6786344C"/>
    <w:rsid w:val="67B83316"/>
    <w:rsid w:val="67D14C88"/>
    <w:rsid w:val="67FD6846"/>
    <w:rsid w:val="6813129C"/>
    <w:rsid w:val="68620122"/>
    <w:rsid w:val="68721717"/>
    <w:rsid w:val="689710A3"/>
    <w:rsid w:val="68AD274F"/>
    <w:rsid w:val="68C161FA"/>
    <w:rsid w:val="68D41D30"/>
    <w:rsid w:val="68D67EF7"/>
    <w:rsid w:val="68FF3368"/>
    <w:rsid w:val="690836A5"/>
    <w:rsid w:val="692F6287"/>
    <w:rsid w:val="6939272B"/>
    <w:rsid w:val="69457A56"/>
    <w:rsid w:val="69470DF5"/>
    <w:rsid w:val="695F613F"/>
    <w:rsid w:val="69603C65"/>
    <w:rsid w:val="69792A6D"/>
    <w:rsid w:val="69931944"/>
    <w:rsid w:val="69AA4EE0"/>
    <w:rsid w:val="69E20B1E"/>
    <w:rsid w:val="69E95A08"/>
    <w:rsid w:val="6A425119"/>
    <w:rsid w:val="6ACB20FD"/>
    <w:rsid w:val="6B39476E"/>
    <w:rsid w:val="6B60619E"/>
    <w:rsid w:val="6B655563"/>
    <w:rsid w:val="6B711AB5"/>
    <w:rsid w:val="6B713F07"/>
    <w:rsid w:val="6B7E03D2"/>
    <w:rsid w:val="6B841E8D"/>
    <w:rsid w:val="6B88487B"/>
    <w:rsid w:val="6B961BC0"/>
    <w:rsid w:val="6BA632CD"/>
    <w:rsid w:val="6BAB35E7"/>
    <w:rsid w:val="6BC53DAE"/>
    <w:rsid w:val="6BEA27A4"/>
    <w:rsid w:val="6BF80185"/>
    <w:rsid w:val="6C005F67"/>
    <w:rsid w:val="6C335B67"/>
    <w:rsid w:val="6C3429B9"/>
    <w:rsid w:val="6C4B6506"/>
    <w:rsid w:val="6C9C3206"/>
    <w:rsid w:val="6CA81763"/>
    <w:rsid w:val="6CB41846"/>
    <w:rsid w:val="6CB57E24"/>
    <w:rsid w:val="6CF7043C"/>
    <w:rsid w:val="6D0D7C60"/>
    <w:rsid w:val="6D6D6020"/>
    <w:rsid w:val="6D7101EF"/>
    <w:rsid w:val="6D787DD8"/>
    <w:rsid w:val="6D8819DC"/>
    <w:rsid w:val="6D912FC0"/>
    <w:rsid w:val="6D9446E8"/>
    <w:rsid w:val="6DBC0163"/>
    <w:rsid w:val="6DDD2F6E"/>
    <w:rsid w:val="6DF56252"/>
    <w:rsid w:val="6DFE09EE"/>
    <w:rsid w:val="6E022D21"/>
    <w:rsid w:val="6E1F5A5B"/>
    <w:rsid w:val="6E6715F2"/>
    <w:rsid w:val="6E6C44F4"/>
    <w:rsid w:val="6E8E05BC"/>
    <w:rsid w:val="6E9B6407"/>
    <w:rsid w:val="6E9C0F62"/>
    <w:rsid w:val="6EEE586F"/>
    <w:rsid w:val="6F1355E1"/>
    <w:rsid w:val="6F2572E9"/>
    <w:rsid w:val="6F6B076B"/>
    <w:rsid w:val="6F983566"/>
    <w:rsid w:val="6FC54E6A"/>
    <w:rsid w:val="6FDC1B6B"/>
    <w:rsid w:val="70130F5B"/>
    <w:rsid w:val="70180DF5"/>
    <w:rsid w:val="7038712D"/>
    <w:rsid w:val="703D44F7"/>
    <w:rsid w:val="70585696"/>
    <w:rsid w:val="706579EC"/>
    <w:rsid w:val="706C2EEF"/>
    <w:rsid w:val="706C7393"/>
    <w:rsid w:val="707D334E"/>
    <w:rsid w:val="70820965"/>
    <w:rsid w:val="70A6197F"/>
    <w:rsid w:val="70C26FB3"/>
    <w:rsid w:val="70E17439"/>
    <w:rsid w:val="70F54A47"/>
    <w:rsid w:val="71121CE9"/>
    <w:rsid w:val="712562FD"/>
    <w:rsid w:val="712C58BD"/>
    <w:rsid w:val="714B51FB"/>
    <w:rsid w:val="716D3CED"/>
    <w:rsid w:val="7175492A"/>
    <w:rsid w:val="717E7688"/>
    <w:rsid w:val="71997D14"/>
    <w:rsid w:val="71D15700"/>
    <w:rsid w:val="72253C9E"/>
    <w:rsid w:val="72477770"/>
    <w:rsid w:val="725F0F5E"/>
    <w:rsid w:val="72833742"/>
    <w:rsid w:val="72897D89"/>
    <w:rsid w:val="72AE02DB"/>
    <w:rsid w:val="72B333C6"/>
    <w:rsid w:val="72C214EC"/>
    <w:rsid w:val="72DA0F7B"/>
    <w:rsid w:val="72EE22E1"/>
    <w:rsid w:val="733A4826"/>
    <w:rsid w:val="73C84129"/>
    <w:rsid w:val="74000DC1"/>
    <w:rsid w:val="744236B6"/>
    <w:rsid w:val="744A1799"/>
    <w:rsid w:val="744F5002"/>
    <w:rsid w:val="74511518"/>
    <w:rsid w:val="74561329"/>
    <w:rsid w:val="74610069"/>
    <w:rsid w:val="748B758C"/>
    <w:rsid w:val="74913AC3"/>
    <w:rsid w:val="74934977"/>
    <w:rsid w:val="74A470FC"/>
    <w:rsid w:val="74BB61F3"/>
    <w:rsid w:val="75795DF2"/>
    <w:rsid w:val="75A1188D"/>
    <w:rsid w:val="75AD1FE0"/>
    <w:rsid w:val="75C335B1"/>
    <w:rsid w:val="75F61D2B"/>
    <w:rsid w:val="761262E7"/>
    <w:rsid w:val="76926C8D"/>
    <w:rsid w:val="76B92E5C"/>
    <w:rsid w:val="76D161A2"/>
    <w:rsid w:val="76FB4FCD"/>
    <w:rsid w:val="7707789F"/>
    <w:rsid w:val="773521BD"/>
    <w:rsid w:val="77553692"/>
    <w:rsid w:val="775F674C"/>
    <w:rsid w:val="77636662"/>
    <w:rsid w:val="777C7EBC"/>
    <w:rsid w:val="777F175A"/>
    <w:rsid w:val="77CD33A4"/>
    <w:rsid w:val="77DC13E8"/>
    <w:rsid w:val="77EB3293"/>
    <w:rsid w:val="781068F1"/>
    <w:rsid w:val="7826607A"/>
    <w:rsid w:val="78340796"/>
    <w:rsid w:val="7851264A"/>
    <w:rsid w:val="788B412F"/>
    <w:rsid w:val="78B60113"/>
    <w:rsid w:val="78CE5117"/>
    <w:rsid w:val="78E202E3"/>
    <w:rsid w:val="78EA28A1"/>
    <w:rsid w:val="78F2388C"/>
    <w:rsid w:val="78F47F26"/>
    <w:rsid w:val="792544C2"/>
    <w:rsid w:val="792D64F4"/>
    <w:rsid w:val="7932743B"/>
    <w:rsid w:val="793E2073"/>
    <w:rsid w:val="79A24527"/>
    <w:rsid w:val="79C45B4A"/>
    <w:rsid w:val="79F152E1"/>
    <w:rsid w:val="7A13262E"/>
    <w:rsid w:val="7A305CB2"/>
    <w:rsid w:val="7A46272A"/>
    <w:rsid w:val="7A5A1319"/>
    <w:rsid w:val="7A6E7932"/>
    <w:rsid w:val="7A8D23E0"/>
    <w:rsid w:val="7A9B2D4F"/>
    <w:rsid w:val="7AAB2866"/>
    <w:rsid w:val="7AB91427"/>
    <w:rsid w:val="7AC51A7E"/>
    <w:rsid w:val="7AD0662C"/>
    <w:rsid w:val="7AD75E97"/>
    <w:rsid w:val="7AE85868"/>
    <w:rsid w:val="7AEB72D9"/>
    <w:rsid w:val="7B354F51"/>
    <w:rsid w:val="7B364826"/>
    <w:rsid w:val="7B432725"/>
    <w:rsid w:val="7B6E6CAE"/>
    <w:rsid w:val="7B803CF3"/>
    <w:rsid w:val="7B827A6B"/>
    <w:rsid w:val="7B93426A"/>
    <w:rsid w:val="7BA62B9D"/>
    <w:rsid w:val="7BB7104D"/>
    <w:rsid w:val="7BBA0FB3"/>
    <w:rsid w:val="7BC260B9"/>
    <w:rsid w:val="7BC35EF2"/>
    <w:rsid w:val="7BD1454E"/>
    <w:rsid w:val="7BE941B9"/>
    <w:rsid w:val="7BFF87B8"/>
    <w:rsid w:val="7C036DFE"/>
    <w:rsid w:val="7C1F52BA"/>
    <w:rsid w:val="7C354ADD"/>
    <w:rsid w:val="7C380DDF"/>
    <w:rsid w:val="7C6F7FEF"/>
    <w:rsid w:val="7CA12173"/>
    <w:rsid w:val="7CA917A9"/>
    <w:rsid w:val="7CB23881"/>
    <w:rsid w:val="7CDF5C73"/>
    <w:rsid w:val="7D172435"/>
    <w:rsid w:val="7D197F5B"/>
    <w:rsid w:val="7D20578D"/>
    <w:rsid w:val="7D562F5D"/>
    <w:rsid w:val="7D770D37"/>
    <w:rsid w:val="7D92262E"/>
    <w:rsid w:val="7DB56BA2"/>
    <w:rsid w:val="7DDA1DE0"/>
    <w:rsid w:val="7DF34C50"/>
    <w:rsid w:val="7E086968"/>
    <w:rsid w:val="7E0F7D05"/>
    <w:rsid w:val="7E166BD7"/>
    <w:rsid w:val="7E4F632A"/>
    <w:rsid w:val="7E5A6A7D"/>
    <w:rsid w:val="7E7F4735"/>
    <w:rsid w:val="7E991353"/>
    <w:rsid w:val="7E9E47D2"/>
    <w:rsid w:val="7EA36676"/>
    <w:rsid w:val="7EA85A3A"/>
    <w:rsid w:val="7EB2593D"/>
    <w:rsid w:val="7EB61F56"/>
    <w:rsid w:val="7ED002D9"/>
    <w:rsid w:val="7EE06F82"/>
    <w:rsid w:val="7EF24F07"/>
    <w:rsid w:val="7F166E48"/>
    <w:rsid w:val="7F220371"/>
    <w:rsid w:val="7F3217A8"/>
    <w:rsid w:val="7F34107C"/>
    <w:rsid w:val="7F3E39D3"/>
    <w:rsid w:val="7F477001"/>
    <w:rsid w:val="7F4907CF"/>
    <w:rsid w:val="7F547198"/>
    <w:rsid w:val="7F63449B"/>
    <w:rsid w:val="7F791EC6"/>
    <w:rsid w:val="7F9B1065"/>
    <w:rsid w:val="7FB1091F"/>
    <w:rsid w:val="7FC21497"/>
    <w:rsid w:val="7FDA7E75"/>
    <w:rsid w:val="EF777E7F"/>
    <w:rsid w:val="EFEF2544"/>
    <w:rsid w:val="FFFF3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560" w:lineRule="exact"/>
      <w:ind w:firstLine="200" w:firstLineChars="200"/>
      <w:textAlignment w:val="baseline"/>
    </w:pPr>
    <w:rPr>
      <w:rFonts w:ascii="Times New Roman" w:hAnsi="Times New Roman" w:eastAsia="方正仿宋_GBK" w:cs="Arial"/>
      <w:snapToGrid w:val="0"/>
      <w:color w:val="000000"/>
      <w:sz w:val="32"/>
      <w:szCs w:val="21"/>
      <w:lang w:val="en-US" w:eastAsia="en-US" w:bidi="ar-SA"/>
    </w:rPr>
  </w:style>
  <w:style w:type="paragraph" w:styleId="2">
    <w:name w:val="heading 1"/>
    <w:basedOn w:val="1"/>
    <w:next w:val="1"/>
    <w:link w:val="26"/>
    <w:qFormat/>
    <w:uiPriority w:val="9"/>
    <w:pPr>
      <w:keepNext/>
      <w:keepLines/>
      <w:ind w:firstLine="0" w:firstLineChars="0"/>
      <w:jc w:val="center"/>
      <w:outlineLvl w:val="0"/>
    </w:pPr>
    <w:rPr>
      <w:rFonts w:eastAsia="方正小标宋_GBK"/>
      <w:kern w:val="44"/>
      <w:sz w:val="44"/>
    </w:rPr>
  </w:style>
  <w:style w:type="paragraph" w:styleId="3">
    <w:name w:val="heading 2"/>
    <w:basedOn w:val="1"/>
    <w:next w:val="1"/>
    <w:link w:val="24"/>
    <w:qFormat/>
    <w:uiPriority w:val="0"/>
    <w:pPr>
      <w:outlineLvl w:val="1"/>
    </w:pPr>
    <w:rPr>
      <w:rFonts w:eastAsia="方正黑体_GBK" w:cs="Times New Roman"/>
      <w:bCs/>
      <w:szCs w:val="36"/>
    </w:rPr>
  </w:style>
  <w:style w:type="paragraph" w:styleId="4">
    <w:name w:val="heading 3"/>
    <w:basedOn w:val="1"/>
    <w:next w:val="1"/>
    <w:link w:val="27"/>
    <w:unhideWhenUsed/>
    <w:qFormat/>
    <w:uiPriority w:val="0"/>
    <w:pPr>
      <w:keepNext/>
      <w:keepLines/>
      <w:outlineLvl w:val="2"/>
    </w:pPr>
    <w:rPr>
      <w:rFonts w:eastAsia="方正楷体_GBK"/>
      <w:bCs/>
      <w:szCs w:val="32"/>
    </w:rPr>
  </w:style>
  <w:style w:type="paragraph" w:styleId="5">
    <w:name w:val="heading 4"/>
    <w:basedOn w:val="1"/>
    <w:next w:val="1"/>
    <w:qFormat/>
    <w:uiPriority w:val="0"/>
    <w:pPr>
      <w:keepNext/>
      <w:keepLines/>
      <w:tabs>
        <w:tab w:val="left" w:pos="720"/>
      </w:tabs>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spacing w:before="240" w:after="64" w:line="317" w:lineRule="auto"/>
      <w:ind w:left="1584" w:hanging="1584"/>
      <w:outlineLvl w:val="8"/>
    </w:pPr>
    <w:rPr>
      <w:rFonts w:ascii="Arial" w:hAnsi="Arial" w:eastAsia="黑体"/>
      <w:b/>
      <w:sz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kinsoku/>
      <w:autoSpaceDE/>
      <w:autoSpaceDN/>
      <w:spacing w:line="360" w:lineRule="auto"/>
      <w:ind w:firstLine="420" w:firstLineChars="0"/>
      <w:jc w:val="both"/>
      <w:textAlignment w:val="auto"/>
    </w:pPr>
    <w:rPr>
      <w:rFonts w:ascii="Calibri" w:hAnsi="Calibri" w:eastAsia="宋体" w:cs="Calibri"/>
      <w:snapToGrid/>
      <w:color w:val="auto"/>
      <w:kern w:val="2"/>
      <w:sz w:val="24"/>
      <w:szCs w:val="20"/>
      <w:lang w:eastAsia="zh-CN"/>
    </w:rPr>
  </w:style>
  <w:style w:type="paragraph" w:styleId="12">
    <w:name w:val="index 5"/>
    <w:basedOn w:val="1"/>
    <w:next w:val="1"/>
    <w:unhideWhenUsed/>
    <w:qFormat/>
    <w:uiPriority w:val="99"/>
    <w:pPr>
      <w:ind w:left="800" w:leftChars="800"/>
    </w:pPr>
  </w:style>
  <w:style w:type="paragraph" w:styleId="13">
    <w:name w:val="annotation text"/>
    <w:basedOn w:val="1"/>
    <w:qFormat/>
    <w:uiPriority w:val="0"/>
    <w:pPr>
      <w:jc w:val="left"/>
    </w:pPr>
  </w:style>
  <w:style w:type="paragraph" w:styleId="14">
    <w:name w:val="Body Text"/>
    <w:basedOn w:val="1"/>
    <w:link w:val="25"/>
    <w:unhideWhenUsed/>
    <w:qFormat/>
    <w:uiPriority w:val="99"/>
    <w:pPr>
      <w:spacing w:after="120"/>
    </w:pPr>
  </w:style>
  <w:style w:type="paragraph" w:styleId="15">
    <w:name w:val="footer"/>
    <w:basedOn w:val="1"/>
    <w:link w:val="29"/>
    <w:qFormat/>
    <w:uiPriority w:val="0"/>
    <w:pPr>
      <w:tabs>
        <w:tab w:val="center" w:pos="4153"/>
        <w:tab w:val="right" w:pos="8306"/>
      </w:tabs>
      <w:spacing w:line="240" w:lineRule="atLeast"/>
    </w:pPr>
    <w:rPr>
      <w:sz w:val="18"/>
      <w:szCs w:val="18"/>
    </w:rPr>
  </w:style>
  <w:style w:type="paragraph" w:styleId="16">
    <w:name w:val="header"/>
    <w:basedOn w:val="1"/>
    <w:link w:val="28"/>
    <w:qFormat/>
    <w:uiPriority w:val="0"/>
    <w:pPr>
      <w:tabs>
        <w:tab w:val="center" w:pos="4153"/>
        <w:tab w:val="right" w:pos="8306"/>
      </w:tabs>
      <w:spacing w:line="240" w:lineRule="atLeast"/>
      <w:jc w:val="center"/>
    </w:pPr>
    <w:rPr>
      <w:sz w:val="18"/>
      <w:szCs w:val="18"/>
    </w:rPr>
  </w:style>
  <w:style w:type="paragraph" w:styleId="17">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eastAsia="宋体"/>
      <w:b/>
    </w:rPr>
  </w:style>
  <w:style w:type="paragraph" w:styleId="18">
    <w:name w:val="toc 2"/>
    <w:basedOn w:val="1"/>
    <w:next w:val="1"/>
    <w:qFormat/>
    <w:uiPriority w:val="39"/>
    <w:pPr>
      <w:tabs>
        <w:tab w:val="right" w:leader="dot" w:pos="8400"/>
      </w:tabs>
      <w:spacing w:line="440" w:lineRule="exact"/>
      <w:ind w:left="280" w:leftChars="100" w:rightChars="-91"/>
    </w:pPr>
  </w:style>
  <w:style w:type="table" w:styleId="20">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character" w:styleId="23">
    <w:name w:val="Hyperlink"/>
    <w:qFormat/>
    <w:uiPriority w:val="99"/>
    <w:rPr>
      <w:color w:val="0000FF"/>
      <w:u w:val="single"/>
    </w:rPr>
  </w:style>
  <w:style w:type="character" w:customStyle="1" w:styleId="24">
    <w:name w:val="标题 2 字符"/>
    <w:basedOn w:val="21"/>
    <w:link w:val="3"/>
    <w:qFormat/>
    <w:uiPriority w:val="0"/>
    <w:rPr>
      <w:rFonts w:eastAsia="方正黑体_GBK"/>
      <w:bCs/>
      <w:snapToGrid w:val="0"/>
      <w:color w:val="000000"/>
      <w:sz w:val="32"/>
      <w:szCs w:val="36"/>
      <w:lang w:eastAsia="en-US"/>
    </w:rPr>
  </w:style>
  <w:style w:type="character" w:customStyle="1" w:styleId="25">
    <w:name w:val="正文文本 字符"/>
    <w:basedOn w:val="21"/>
    <w:link w:val="14"/>
    <w:qFormat/>
    <w:uiPriority w:val="99"/>
    <w:rPr>
      <w:rFonts w:eastAsia="方正仿宋_GBK" w:cs="Arial"/>
      <w:snapToGrid w:val="0"/>
      <w:color w:val="000000"/>
      <w:sz w:val="32"/>
      <w:szCs w:val="21"/>
      <w:lang w:eastAsia="en-US"/>
    </w:rPr>
  </w:style>
  <w:style w:type="character" w:customStyle="1" w:styleId="26">
    <w:name w:val="标题 1 字符"/>
    <w:basedOn w:val="21"/>
    <w:link w:val="2"/>
    <w:qFormat/>
    <w:uiPriority w:val="9"/>
    <w:rPr>
      <w:rFonts w:eastAsia="方正小标宋_GBK" w:cs="Arial"/>
      <w:snapToGrid w:val="0"/>
      <w:color w:val="000000"/>
      <w:kern w:val="44"/>
      <w:sz w:val="44"/>
      <w:szCs w:val="21"/>
      <w:lang w:eastAsia="en-US"/>
    </w:rPr>
  </w:style>
  <w:style w:type="character" w:customStyle="1" w:styleId="27">
    <w:name w:val="标题 3 字符"/>
    <w:basedOn w:val="21"/>
    <w:link w:val="4"/>
    <w:qFormat/>
    <w:uiPriority w:val="0"/>
    <w:rPr>
      <w:rFonts w:eastAsia="方正楷体_GBK" w:cs="Arial"/>
      <w:bCs/>
      <w:snapToGrid w:val="0"/>
      <w:color w:val="000000"/>
      <w:sz w:val="32"/>
      <w:szCs w:val="32"/>
      <w:lang w:eastAsia="en-US"/>
    </w:rPr>
  </w:style>
  <w:style w:type="character" w:customStyle="1" w:styleId="28">
    <w:name w:val="页眉 字符"/>
    <w:basedOn w:val="21"/>
    <w:link w:val="16"/>
    <w:qFormat/>
    <w:uiPriority w:val="0"/>
    <w:rPr>
      <w:rFonts w:eastAsia="方正仿宋_GBK" w:cs="Arial"/>
      <w:snapToGrid w:val="0"/>
      <w:color w:val="000000"/>
      <w:sz w:val="18"/>
      <w:szCs w:val="18"/>
      <w:lang w:eastAsia="en-US"/>
    </w:rPr>
  </w:style>
  <w:style w:type="character" w:customStyle="1" w:styleId="29">
    <w:name w:val="页脚 字符"/>
    <w:basedOn w:val="21"/>
    <w:link w:val="15"/>
    <w:qFormat/>
    <w:uiPriority w:val="0"/>
    <w:rPr>
      <w:rFonts w:eastAsia="方正仿宋_GBK" w:cs="Arial"/>
      <w:snapToGrid w:val="0"/>
      <w:color w:val="000000"/>
      <w:sz w:val="18"/>
      <w:szCs w:val="18"/>
      <w:lang w:eastAsia="en-US"/>
    </w:rPr>
  </w:style>
  <w:style w:type="paragraph" w:customStyle="1" w:styleId="30">
    <w:name w:val="公文1级标题"/>
    <w:basedOn w:val="1"/>
    <w:next w:val="1"/>
    <w:link w:val="31"/>
    <w:qFormat/>
    <w:uiPriority w:val="0"/>
    <w:pPr>
      <w:jc w:val="both"/>
      <w:outlineLvl w:val="0"/>
    </w:pPr>
    <w:rPr>
      <w:rFonts w:eastAsia="方正黑体_GBK" w:cs="宋体"/>
      <w:snapToGrid/>
      <w:color w:val="auto"/>
      <w:spacing w:val="-3"/>
      <w:kern w:val="2"/>
      <w:szCs w:val="24"/>
      <w:lang w:eastAsia="zh-CN"/>
      <w14:ligatures w14:val="standardContextual"/>
    </w:rPr>
  </w:style>
  <w:style w:type="character" w:customStyle="1" w:styleId="31">
    <w:name w:val="公文1级标题 字符"/>
    <w:basedOn w:val="21"/>
    <w:link w:val="30"/>
    <w:qFormat/>
    <w:uiPriority w:val="0"/>
    <w:rPr>
      <w:rFonts w:eastAsia="方正黑体_GBK" w:cs="宋体"/>
      <w:spacing w:val="-3"/>
      <w:kern w:val="2"/>
      <w:sz w:val="32"/>
      <w:szCs w:val="24"/>
      <w14:ligatures w14:val="standardContextual"/>
    </w:rPr>
  </w:style>
  <w:style w:type="paragraph" w:customStyle="1" w:styleId="32">
    <w:name w:val="公文正文"/>
    <w:basedOn w:val="14"/>
    <w:link w:val="33"/>
    <w:qFormat/>
    <w:uiPriority w:val="0"/>
    <w:pPr>
      <w:spacing w:after="0"/>
      <w:jc w:val="both"/>
    </w:pPr>
    <w:rPr>
      <w:rFonts w:cs="宋体"/>
      <w:snapToGrid/>
      <w:kern w:val="2"/>
      <w:szCs w:val="24"/>
      <w14:ligatures w14:val="standardContextual"/>
    </w:rPr>
  </w:style>
  <w:style w:type="character" w:customStyle="1" w:styleId="33">
    <w:name w:val="公文正文 字符"/>
    <w:basedOn w:val="25"/>
    <w:link w:val="32"/>
    <w:qFormat/>
    <w:uiPriority w:val="0"/>
    <w:rPr>
      <w:rFonts w:eastAsia="方正仿宋_GBK" w:cs="宋体"/>
      <w:snapToGrid/>
      <w:color w:val="000000"/>
      <w:kern w:val="2"/>
      <w:sz w:val="32"/>
      <w:szCs w:val="24"/>
      <w:lang w:eastAsia="en-US"/>
      <w14:ligatures w14:val="standardContextual"/>
    </w:rPr>
  </w:style>
  <w:style w:type="paragraph" w:customStyle="1" w:styleId="34">
    <w:name w:val="公文2级标题"/>
    <w:basedOn w:val="32"/>
    <w:next w:val="32"/>
    <w:link w:val="35"/>
    <w:qFormat/>
    <w:uiPriority w:val="0"/>
    <w:pPr>
      <w:outlineLvl w:val="1"/>
    </w:pPr>
    <w:rPr>
      <w:rFonts w:eastAsia="方正楷体_GBK"/>
    </w:rPr>
  </w:style>
  <w:style w:type="character" w:customStyle="1" w:styleId="35">
    <w:name w:val="公文2级标题 字符"/>
    <w:basedOn w:val="33"/>
    <w:link w:val="34"/>
    <w:qFormat/>
    <w:uiPriority w:val="0"/>
    <w:rPr>
      <w:rFonts w:eastAsia="方正楷体_GBK" w:cs="宋体"/>
      <w:snapToGrid/>
      <w:color w:val="000000"/>
      <w:kern w:val="2"/>
      <w:sz w:val="32"/>
      <w:szCs w:val="24"/>
      <w:lang w:eastAsia="en-US"/>
      <w14:ligatures w14:val="standardContextual"/>
    </w:rPr>
  </w:style>
  <w:style w:type="character" w:customStyle="1" w:styleId="36">
    <w:name w:val="NormalCharacter"/>
    <w:semiHidden/>
    <w:qFormat/>
    <w:uiPriority w:val="0"/>
    <w:rPr>
      <w:rFonts w:ascii="Verdana" w:hAnsi="Verdana" w:eastAsia="仿宋_GB2312"/>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DAD2B-29FE-4977-8EEF-24900F28DF7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78</Pages>
  <Words>5229</Words>
  <Characters>5567</Characters>
  <Lines>265</Lines>
  <Paragraphs>74</Paragraphs>
  <TotalTime>126</TotalTime>
  <ScaleCrop>false</ScaleCrop>
  <LinksUpToDate>false</LinksUpToDate>
  <CharactersWithSpaces>5629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2025-05-01T03:00:00Z</dcterms:created>
  <dc:creator>admin</dc:creator>
  <cp:lastModifiedBy>陈露</cp:lastModifiedBy>
  <cp:lastPrinted>2024-11-26T06:26:00Z</cp:lastPrinted>
  <dcterms:modified xsi:type="dcterms:W3CDTF">2025-11-14T03:07:45Z</dcterms:modified>
  <dc:title>货物</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C68D1E090C5541FFB80D3B867457F711_13</vt:lpwstr>
  </property>
  <property fmtid="{D5CDD505-2E9C-101B-9397-08002B2CF9AE}" pid="4" name="KSOTemplateDocerSaveRecord">
    <vt:lpwstr>eyJoZGlkIjoiYmMzMjdmMGEwYzU0NWY3NTQwMmM5N2FjOTk5NDlkOTMiLCJ1c2VySWQiOiIxMTYwNzIxODc4In0=</vt:lpwstr>
  </property>
</Properties>
</file>