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contextualSpacing/>
        <w:jc w:val="center"/>
        <w:textAlignment w:val="auto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大渡口区202</w:t>
      </w:r>
      <w:r>
        <w:rPr>
          <w:rFonts w:hint="eastAsia" w:ascii="Times New Roman" w:hAnsi="Times New Roman" w:eastAsia="方正小标宋_GBK"/>
          <w:color w:val="000000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年</w:t>
      </w:r>
      <w:r>
        <w:rPr>
          <w:rFonts w:hint="eastAsia" w:ascii="Times New Roman" w:hAnsi="Times New Roman" w:eastAsia="方正小标宋_GBK"/>
          <w:color w:val="000000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月份市场价格监测分析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643"/>
        <w:rPr>
          <w:rFonts w:hint="default" w:ascii="Times New Roman" w:hAnsi="Times New Roman" w:eastAsia="微软雅黑" w:cs="Times New Roman"/>
          <w:i w:val="0"/>
          <w:caps w:val="0"/>
          <w:spacing w:val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640"/>
        <w:jc w:val="both"/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区发展改革委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持续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密切关注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本区蔬菜、水果、水产、肉禽蛋、粮油等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重要民生商品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市场价格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和供应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情况，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加强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对大型超市和农贸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市场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的市场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价格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巡查。根据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市场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巡查情况及监测数据分析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5月份本区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重要民生商品市场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供应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充足，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市场价格总体平稳。具体价格情况如下：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640"/>
        <w:rPr>
          <w:rFonts w:hint="default" w:ascii="Times New Roman" w:hAnsi="Times New Roman" w:eastAsia="方正黑体_GBK" w:cs="Times New Roman"/>
          <w:i w:val="0"/>
          <w:caps w:val="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i w:val="0"/>
          <w:caps w:val="0"/>
          <w:spacing w:val="0"/>
          <w:sz w:val="32"/>
          <w:szCs w:val="32"/>
          <w:lang w:eastAsia="zh-CN"/>
        </w:rPr>
        <w:t>肉禽蛋类价格</w:t>
      </w:r>
      <w:r>
        <w:rPr>
          <w:rFonts w:hint="default" w:ascii="Times New Roman" w:hAnsi="Times New Roman" w:eastAsia="方正黑体_GBK" w:cs="Times New Roman"/>
          <w:i w:val="0"/>
          <w:caps w:val="0"/>
          <w:spacing w:val="0"/>
          <w:sz w:val="32"/>
          <w:szCs w:val="32"/>
          <w:lang w:eastAsia="zh-CN"/>
        </w:rPr>
        <w:t>涨跌互现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right="0" w:rightChars="0" w:firstLine="640" w:firstLineChars="200"/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5月，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纳入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价格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监测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范围的肉禽蛋类监测品种价格呈“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4升3降3平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”态势，价格小幅波动。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0"/>
        <w:jc w:val="center"/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</w:rPr>
        <w:t>表1肉</w:t>
      </w: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spacing w:val="0"/>
          <w:lang w:eastAsia="zh-CN"/>
        </w:rPr>
        <w:t>禽蛋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</w:rPr>
        <w:t>类价格变动情况表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0"/>
        <w:jc w:val="right"/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</w:rPr>
        <w:t>单位：元/500克</w:t>
      </w:r>
    </w:p>
    <w:tbl>
      <w:tblPr>
        <w:tblStyle w:val="3"/>
        <w:tblW w:w="851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1362"/>
        <w:gridCol w:w="1592"/>
        <w:gridCol w:w="1578"/>
        <w:gridCol w:w="1352"/>
        <w:gridCol w:w="15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6"/>
                <w:sz w:val="24"/>
                <w:szCs w:val="24"/>
              </w:rPr>
              <w:t>商品名称</w:t>
            </w:r>
          </w:p>
        </w:tc>
        <w:tc>
          <w:tcPr>
            <w:tcW w:w="136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规格等级</w:t>
            </w:r>
          </w:p>
        </w:tc>
        <w:tc>
          <w:tcPr>
            <w:tcW w:w="159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57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352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环比涨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  <w:t>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幅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36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  <w:t>涨跌幅大的原因备注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鲜猪肉</w:t>
            </w:r>
          </w:p>
        </w:tc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精瘦肉</w:t>
            </w: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13.31 </w:t>
            </w:r>
          </w:p>
        </w:tc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12.98 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2.57 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鲜猪肉</w:t>
            </w:r>
          </w:p>
        </w:tc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五花肉</w:t>
            </w: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12.47 </w:t>
            </w:r>
          </w:p>
        </w:tc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12.53 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-0.51 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鲜猪肉</w:t>
            </w:r>
          </w:p>
        </w:tc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带皮后腿肉</w:t>
            </w: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9.65 </w:t>
            </w:r>
          </w:p>
        </w:tc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9.51 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1.44 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鲜猪肉</w:t>
            </w:r>
          </w:p>
        </w:tc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肋排</w:t>
            </w: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20.86 </w:t>
            </w:r>
          </w:p>
        </w:tc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20.53 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1.61 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鲜牛肉</w:t>
            </w:r>
          </w:p>
        </w:tc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腱子肉</w:t>
            </w: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47.13 </w:t>
            </w:r>
          </w:p>
        </w:tc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50.80 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-7.22 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进价下降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鲜牛肉</w:t>
            </w:r>
          </w:p>
        </w:tc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牛腩</w:t>
            </w: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38.13 </w:t>
            </w:r>
          </w:p>
        </w:tc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38.19 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-0.15 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09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鲜羊肉</w:t>
            </w:r>
          </w:p>
        </w:tc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新鲜去骨    </w:t>
            </w: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鲜羊肉</w:t>
            </w:r>
          </w:p>
        </w:tc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新鲜带骨    </w:t>
            </w: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27.98 </w:t>
            </w:r>
          </w:p>
        </w:tc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27.98 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鸡肉</w:t>
            </w:r>
          </w:p>
        </w:tc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白条鸡</w:t>
            </w: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15.98 </w:t>
            </w:r>
          </w:p>
        </w:tc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15.98 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7" w:type="dxa"/>
            <w:tcBorders>
              <w:top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鸡蛋</w:t>
            </w:r>
          </w:p>
        </w:tc>
        <w:tc>
          <w:tcPr>
            <w:tcW w:w="136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新鲜</w:t>
            </w: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完整</w:t>
            </w: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鸡场蛋</w:t>
            </w: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4.32 </w:t>
            </w:r>
          </w:p>
        </w:tc>
        <w:tc>
          <w:tcPr>
            <w:tcW w:w="157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3.99 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8.35 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进价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上涨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leftChars="0" w:right="0" w:firstLine="640" w:firstLineChars="0"/>
        <w:rPr>
          <w:rFonts w:hint="default" w:ascii="Times New Roman" w:hAnsi="Times New Roman" w:eastAsia="方正黑体_GBK" w:cs="Times New Roman"/>
          <w:i w:val="0"/>
          <w:cap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i w:val="0"/>
          <w:caps w:val="0"/>
          <w:spacing w:val="0"/>
          <w:sz w:val="32"/>
          <w:szCs w:val="32"/>
        </w:rPr>
        <w:t>蔬菜价格</w:t>
      </w:r>
      <w:r>
        <w:rPr>
          <w:rFonts w:hint="eastAsia" w:ascii="Times New Roman" w:hAnsi="Times New Roman" w:eastAsia="方正黑体_GBK" w:cs="Times New Roman"/>
          <w:i w:val="0"/>
          <w:caps w:val="0"/>
          <w:spacing w:val="0"/>
          <w:sz w:val="32"/>
          <w:szCs w:val="32"/>
          <w:lang w:eastAsia="zh-CN"/>
        </w:rPr>
        <w:t>上下波动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right="0" w:rightChars="0" w:firstLine="640" w:firstLineChars="200"/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纳入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价格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监测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范围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个蔬菜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监测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品种价格呈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6涨8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跌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1平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态势，每500克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蔬菜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零售均价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3.77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元，环比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下跌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1.1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%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具体变动情况如下：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0"/>
        <w:jc w:val="center"/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sz w:val="24"/>
          <w:szCs w:val="24"/>
        </w:rPr>
        <w:t>表2蔬菜价格变动情况表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0"/>
        <w:jc w:val="right"/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sz w:val="24"/>
          <w:szCs w:val="24"/>
        </w:rPr>
        <w:t>单位：元/500克</w:t>
      </w:r>
    </w:p>
    <w:tbl>
      <w:tblPr>
        <w:tblStyle w:val="3"/>
        <w:tblW w:w="851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9"/>
        <w:gridCol w:w="1368"/>
        <w:gridCol w:w="1442"/>
        <w:gridCol w:w="1458"/>
        <w:gridCol w:w="1473"/>
        <w:gridCol w:w="16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tblHeader/>
          <w:jc w:val="center"/>
        </w:trPr>
        <w:tc>
          <w:tcPr>
            <w:tcW w:w="1119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商品名称</w:t>
            </w:r>
          </w:p>
        </w:tc>
        <w:tc>
          <w:tcPr>
            <w:tcW w:w="136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规格等级</w:t>
            </w:r>
          </w:p>
        </w:tc>
        <w:tc>
          <w:tcPr>
            <w:tcW w:w="144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45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473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环比涨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  <w:t>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幅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57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  <w:t>涨跌幅大的原因备注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11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土豆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新鲜一级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1.86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1.99 </w:t>
            </w: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-6.70 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11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白萝卜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新鲜一级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0.79 </w:t>
            </w: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29.11 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进价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上涨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11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胡萝卜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新鲜一级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2.32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2.41 </w:t>
            </w: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-3.87 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蒜苔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新鲜一级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6.38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7.38 </w:t>
            </w: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-13.55 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芹菜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新鲜一级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5.69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4.38 </w:t>
            </w: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29.91 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进价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上涨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1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韭菜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新鲜一级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6.65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6.80 </w:t>
            </w: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-2.25 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油菜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新鲜一级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2.79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3.18 </w:t>
            </w: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-12.37 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圆白菜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新鲜一级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0.78 </w:t>
            </w: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29.49 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进价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上涨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大白菜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新鲜一级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1.63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1.26 </w:t>
            </w: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29.37 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进价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上涨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西红柿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新鲜一级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3.81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12.82 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1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黄瓜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新鲜一级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2.38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2.99 </w:t>
            </w: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-20.29 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进价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下跌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茄子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新鲜一级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4.85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4.85 </w:t>
            </w: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豆角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新鲜一级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7.05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8.51 </w:t>
            </w: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-17.20 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青椒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新鲜一级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3.32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3.86 </w:t>
            </w: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-14.08 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尖椒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新鲜一级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5.85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4.65 </w:t>
            </w: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25.73 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进价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上涨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640" w:leftChars="0" w:right="0" w:rightChars="0"/>
        <w:rPr>
          <w:rFonts w:hint="eastAsia" w:ascii="Times New Roman" w:hAnsi="Times New Roman" w:eastAsia="方正黑体_GBK" w:cs="Times New Roman"/>
          <w:i w:val="0"/>
          <w:caps w:val="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i w:val="0"/>
          <w:caps w:val="0"/>
          <w:spacing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黑体_GBK" w:cs="Times New Roman"/>
          <w:i w:val="0"/>
          <w:caps w:val="0"/>
          <w:spacing w:val="0"/>
          <w:sz w:val="32"/>
          <w:szCs w:val="32"/>
        </w:rPr>
        <w:t>粮油价格</w:t>
      </w:r>
      <w:r>
        <w:rPr>
          <w:rFonts w:hint="eastAsia" w:ascii="Times New Roman" w:hAnsi="Times New Roman" w:eastAsia="方正黑体_GBK" w:cs="Times New Roman"/>
          <w:i w:val="0"/>
          <w:caps w:val="0"/>
          <w:spacing w:val="0"/>
          <w:sz w:val="32"/>
          <w:szCs w:val="32"/>
          <w:lang w:eastAsia="zh-CN"/>
        </w:rPr>
        <w:t>较为稳定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2" w:lineRule="atLeast"/>
        <w:ind w:right="105" w:rightChars="5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食用油类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均价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81.18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元/5升，环比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持平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粮食类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均价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3.01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元/500克，环比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微跌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0.44%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具体变动情况如下：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0"/>
        <w:jc w:val="center"/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0"/>
        <w:jc w:val="center"/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sz w:val="24"/>
          <w:szCs w:val="24"/>
        </w:rPr>
        <w:t>表3粮油价格变动情况表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0"/>
        <w:jc w:val="right"/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sz w:val="24"/>
          <w:szCs w:val="24"/>
        </w:rPr>
        <w:t>单位：元</w:t>
      </w:r>
    </w:p>
    <w:tbl>
      <w:tblPr>
        <w:tblStyle w:val="3"/>
        <w:tblW w:w="854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2385"/>
        <w:gridCol w:w="1271"/>
        <w:gridCol w:w="1265"/>
        <w:gridCol w:w="1178"/>
        <w:gridCol w:w="13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14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商品名称</w:t>
            </w:r>
          </w:p>
        </w:tc>
        <w:tc>
          <w:tcPr>
            <w:tcW w:w="238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规格等级</w:t>
            </w:r>
          </w:p>
        </w:tc>
        <w:tc>
          <w:tcPr>
            <w:tcW w:w="127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1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pacing w:val="-1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-1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pacing w:val="-1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-10"/>
                <w:sz w:val="24"/>
                <w:szCs w:val="24"/>
              </w:rPr>
              <w:t>月</w:t>
            </w:r>
          </w:p>
        </w:tc>
        <w:tc>
          <w:tcPr>
            <w:tcW w:w="126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1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pacing w:val="-1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-1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pacing w:val="-1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-10"/>
                <w:sz w:val="24"/>
                <w:szCs w:val="24"/>
              </w:rPr>
              <w:t>月</w:t>
            </w:r>
          </w:p>
        </w:tc>
        <w:tc>
          <w:tcPr>
            <w:tcW w:w="1178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环比涨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  <w:t>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幅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01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  <w:t>涨跌幅大的原因备注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花生油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桶装一级压榨（每5升）</w:t>
            </w: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109.90 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109.90 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菜籽油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桶装一级浸出（每5升）</w:t>
            </w: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79.90 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79.90 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大豆油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桶装一级压榨（每5升）</w:t>
            </w: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调和油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桶装（每5升）</w:t>
            </w: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79.90 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79.90 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14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晚籼米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标一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每500克</w:t>
            </w: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2.39 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2.39 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粳米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标一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每500克</w:t>
            </w: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2.38 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2.38 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面粉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特一粉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每500克</w:t>
            </w: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2.99 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2.99 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面粉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标准粉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每500克</w:t>
            </w: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2.32 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2.39 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-2.79 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144" w:type="dxa"/>
            <w:tcBorders>
              <w:top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玉米粉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精制玉米粉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每500克</w:t>
            </w: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4.99 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4.99 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800"/>
        <w:rPr>
          <w:rFonts w:hint="eastAsia" w:ascii="Times New Roman" w:hAnsi="Times New Roman" w:eastAsia="方正黑体_GBK" w:cs="Times New Roman"/>
          <w:i w:val="0"/>
          <w:caps w:val="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i w:val="0"/>
          <w:caps w:val="0"/>
          <w:spacing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黑体_GBK" w:cs="Times New Roman"/>
          <w:i w:val="0"/>
          <w:caps w:val="0"/>
          <w:spacing w:val="0"/>
          <w:sz w:val="32"/>
          <w:szCs w:val="32"/>
        </w:rPr>
        <w:t>、水产品价格</w:t>
      </w:r>
      <w:r>
        <w:rPr>
          <w:rFonts w:hint="eastAsia" w:ascii="Times New Roman" w:hAnsi="Times New Roman" w:eastAsia="方正黑体_GBK" w:cs="Times New Roman"/>
          <w:i w:val="0"/>
          <w:caps w:val="0"/>
          <w:spacing w:val="0"/>
          <w:sz w:val="32"/>
          <w:szCs w:val="32"/>
          <w:lang w:eastAsia="zh-CN"/>
        </w:rPr>
        <w:t>呈上涨趋势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640"/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5月，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纳入监测的水产品零售均价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14.6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元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/500克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，环比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微涨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2.16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%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具体变动情况如下：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0"/>
        <w:jc w:val="center"/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sz w:val="24"/>
          <w:szCs w:val="24"/>
        </w:rPr>
        <w:t>表</w:t>
      </w: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spacing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sz w:val="24"/>
          <w:szCs w:val="24"/>
        </w:rPr>
        <w:t>水产品价格变动情况表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0"/>
        <w:jc w:val="right"/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sz w:val="24"/>
          <w:szCs w:val="24"/>
        </w:rPr>
        <w:t>单位：元</w:t>
      </w:r>
    </w:p>
    <w:tbl>
      <w:tblPr>
        <w:tblStyle w:val="3"/>
        <w:tblW w:w="843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"/>
        <w:gridCol w:w="2294"/>
        <w:gridCol w:w="1359"/>
        <w:gridCol w:w="1413"/>
        <w:gridCol w:w="1009"/>
        <w:gridCol w:w="13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4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商品名称</w:t>
            </w:r>
          </w:p>
        </w:tc>
        <w:tc>
          <w:tcPr>
            <w:tcW w:w="229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规格等级</w:t>
            </w:r>
          </w:p>
        </w:tc>
        <w:tc>
          <w:tcPr>
            <w:tcW w:w="135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41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009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环比涨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  <w:t>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幅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09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  <w:t>涨跌幅大的原因备注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4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带鱼</w:t>
            </w:r>
          </w:p>
        </w:tc>
        <w:tc>
          <w:tcPr>
            <w:tcW w:w="2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冻250克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一条</w:t>
            </w:r>
          </w:p>
        </w:tc>
        <w:tc>
          <w:tcPr>
            <w:tcW w:w="1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19.98 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20.31 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-1.62 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4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草鱼</w:t>
            </w:r>
          </w:p>
        </w:tc>
        <w:tc>
          <w:tcPr>
            <w:tcW w:w="2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活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克左右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一条</w:t>
            </w:r>
          </w:p>
        </w:tc>
        <w:tc>
          <w:tcPr>
            <w:tcW w:w="1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9.98 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9.51 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4.94 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4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鲤鱼</w:t>
            </w:r>
          </w:p>
        </w:tc>
        <w:tc>
          <w:tcPr>
            <w:tcW w:w="2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活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500克以上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一条</w:t>
            </w:r>
          </w:p>
        </w:tc>
        <w:tc>
          <w:tcPr>
            <w:tcW w:w="1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4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白鲢</w:t>
            </w:r>
          </w:p>
        </w:tc>
        <w:tc>
          <w:tcPr>
            <w:tcW w:w="2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活750克左右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一条</w:t>
            </w:r>
          </w:p>
        </w:tc>
        <w:tc>
          <w:tcPr>
            <w:tcW w:w="1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4.85 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4.19 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15.75 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进价上涨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4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黄鱼</w:t>
            </w:r>
          </w:p>
        </w:tc>
        <w:tc>
          <w:tcPr>
            <w:tcW w:w="2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冻500克左右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一条</w:t>
            </w:r>
          </w:p>
        </w:tc>
        <w:tc>
          <w:tcPr>
            <w:tcW w:w="1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17.98 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17.98 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4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海虾</w:t>
            </w:r>
          </w:p>
        </w:tc>
        <w:tc>
          <w:tcPr>
            <w:tcW w:w="2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冻体长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10cm左右</w:t>
            </w:r>
          </w:p>
        </w:tc>
        <w:tc>
          <w:tcPr>
            <w:tcW w:w="1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33.65 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31.98 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5.21 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进价上涨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4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花鲢</w:t>
            </w:r>
          </w:p>
        </w:tc>
        <w:tc>
          <w:tcPr>
            <w:tcW w:w="2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活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1500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克左右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一条</w:t>
            </w:r>
          </w:p>
        </w:tc>
        <w:tc>
          <w:tcPr>
            <w:tcW w:w="1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12.98 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12.98 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4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鲫鱼</w:t>
            </w:r>
          </w:p>
        </w:tc>
        <w:tc>
          <w:tcPr>
            <w:tcW w:w="2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活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50克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左右一条</w:t>
            </w:r>
          </w:p>
        </w:tc>
        <w:tc>
          <w:tcPr>
            <w:tcW w:w="1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8.98 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8.98 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640" w:leftChars="0" w:right="0" w:rightChars="0"/>
        <w:rPr>
          <w:rFonts w:hint="eastAsia" w:ascii="Times New Roman" w:hAnsi="Times New Roman" w:eastAsia="方正黑体_GBK" w:cs="Times New Roman"/>
          <w:i w:val="0"/>
          <w:cap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i w:val="0"/>
          <w:caps w:val="0"/>
          <w:spacing w:val="0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方正黑体_GBK" w:cs="Times New Roman"/>
          <w:i w:val="0"/>
          <w:caps w:val="0"/>
          <w:spacing w:val="0"/>
          <w:sz w:val="32"/>
          <w:szCs w:val="32"/>
        </w:rPr>
        <w:t>水果价格</w:t>
      </w:r>
      <w:r>
        <w:rPr>
          <w:rFonts w:hint="default" w:ascii="Times New Roman" w:hAnsi="Times New Roman" w:eastAsia="方正黑体_GBK" w:cs="Times New Roman"/>
          <w:i w:val="0"/>
          <w:caps w:val="0"/>
          <w:spacing w:val="0"/>
          <w:sz w:val="32"/>
          <w:szCs w:val="32"/>
          <w:lang w:eastAsia="zh-CN"/>
        </w:rPr>
        <w:t>涨跌互现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right="0" w:rightChars="0" w:firstLine="640" w:firstLineChars="200"/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苹果、香蕉、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西瓜、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橙子、梨</w:t>
      </w:r>
      <w:r>
        <w:rPr>
          <w:rFonts w:hint="default" w:ascii="Times New Roman" w:hAnsi="Times New Roman" w:eastAsia="方正仿宋_GBK" w:cs="Times New Roman"/>
          <w:i w:val="0"/>
          <w:caps w:val="0"/>
          <w:spacing w:val="-4"/>
          <w:sz w:val="32"/>
          <w:szCs w:val="32"/>
        </w:rPr>
        <w:t>零售均价</w:t>
      </w:r>
      <w:r>
        <w:rPr>
          <w:rFonts w:hint="eastAsia" w:ascii="Times New Roman" w:hAnsi="Times New Roman" w:eastAsia="方正仿宋_GBK" w:cs="Times New Roman"/>
          <w:i w:val="0"/>
          <w:caps w:val="0"/>
          <w:spacing w:val="-4"/>
          <w:sz w:val="32"/>
          <w:szCs w:val="32"/>
          <w:lang w:val="en-US" w:eastAsia="zh-CN"/>
        </w:rPr>
        <w:t>3.82</w:t>
      </w:r>
      <w:r>
        <w:rPr>
          <w:rFonts w:hint="default" w:ascii="Times New Roman" w:hAnsi="Times New Roman" w:eastAsia="方正仿宋_GBK" w:cs="Times New Roman"/>
          <w:i w:val="0"/>
          <w:caps w:val="0"/>
          <w:spacing w:val="-4"/>
          <w:sz w:val="32"/>
          <w:szCs w:val="32"/>
        </w:rPr>
        <w:t>元</w:t>
      </w:r>
      <w:r>
        <w:rPr>
          <w:rFonts w:hint="default" w:ascii="Times New Roman" w:hAnsi="Times New Roman" w:eastAsia="方正仿宋_GBK" w:cs="Times New Roman"/>
          <w:i w:val="0"/>
          <w:caps w:val="0"/>
          <w:spacing w:val="-4"/>
          <w:sz w:val="32"/>
          <w:szCs w:val="32"/>
          <w:lang w:val="en-US" w:eastAsia="zh-CN"/>
        </w:rPr>
        <w:t>/500克</w:t>
      </w:r>
      <w:r>
        <w:rPr>
          <w:rFonts w:hint="eastAsia" w:ascii="Times New Roman" w:hAnsi="Times New Roman" w:eastAsia="方正仿宋_GBK" w:cs="Times New Roman"/>
          <w:i w:val="0"/>
          <w:caps w:val="0"/>
          <w:spacing w:val="-4"/>
          <w:sz w:val="32"/>
          <w:szCs w:val="32"/>
          <w:lang w:val="en-US" w:eastAsia="zh-CN"/>
        </w:rPr>
        <w:t>，环比下跌0.56%</w:t>
      </w:r>
      <w:r>
        <w:rPr>
          <w:rFonts w:hint="default" w:ascii="Times New Roman" w:hAnsi="Times New Roman" w:eastAsia="方正仿宋_GBK" w:cs="Times New Roman"/>
          <w:i w:val="0"/>
          <w:caps w:val="0"/>
          <w:spacing w:val="-4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spacing w:val="-4"/>
          <w:sz w:val="32"/>
          <w:szCs w:val="32"/>
        </w:rPr>
        <w:t>具体变动情况如下：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0"/>
        <w:jc w:val="center"/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sz w:val="24"/>
          <w:szCs w:val="24"/>
        </w:rPr>
        <w:t>表</w:t>
      </w: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spacing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sz w:val="24"/>
          <w:szCs w:val="24"/>
        </w:rPr>
        <w:t>水果价格变动情况表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0"/>
        <w:jc w:val="right"/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sz w:val="24"/>
          <w:szCs w:val="24"/>
        </w:rPr>
        <w:t>单位：元/500克</w:t>
      </w:r>
    </w:p>
    <w:tbl>
      <w:tblPr>
        <w:tblStyle w:val="3"/>
        <w:tblW w:w="833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7"/>
        <w:gridCol w:w="1569"/>
        <w:gridCol w:w="1484"/>
        <w:gridCol w:w="1416"/>
        <w:gridCol w:w="1258"/>
        <w:gridCol w:w="125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4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商品名称</w:t>
            </w:r>
          </w:p>
        </w:tc>
        <w:tc>
          <w:tcPr>
            <w:tcW w:w="156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规格等级</w:t>
            </w:r>
          </w:p>
        </w:tc>
        <w:tc>
          <w:tcPr>
            <w:tcW w:w="148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41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258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环比涨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  <w:t>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幅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58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  <w:t>涨跌幅大的原因备注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4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苹果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红富士一级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6.99 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6.67 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4.85 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4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香蕉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国产一级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3.42 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3.39 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4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西瓜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普通西瓜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2.28 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19.74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市场因素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4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橙子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国产一级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2.25 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2.28 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-1.17 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47" w:type="dxa"/>
            <w:tcBorders>
              <w:top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梨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鸭梨一级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3.69 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4.58 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-19.36 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进价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下跌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640"/>
        <w:rPr>
          <w:rFonts w:hint="default" w:ascii="Times New Roman" w:hAnsi="Times New Roman" w:eastAsia="方正黑体_GBK" w:cs="Times New Roman"/>
          <w:i w:val="0"/>
          <w:caps w:val="0"/>
          <w:spacing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i w:val="0"/>
          <w:caps w:val="0"/>
          <w:spacing w:val="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黑体_GBK" w:cs="Times New Roman"/>
          <w:i w:val="0"/>
          <w:caps w:val="0"/>
          <w:spacing w:val="0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i w:val="0"/>
          <w:caps w:val="0"/>
          <w:spacing w:val="0"/>
          <w:sz w:val="32"/>
          <w:szCs w:val="32"/>
          <w:lang w:eastAsia="zh-CN"/>
        </w:rPr>
        <w:t>下月</w:t>
      </w:r>
      <w:r>
        <w:rPr>
          <w:rFonts w:hint="default" w:ascii="Times New Roman" w:hAnsi="Times New Roman" w:eastAsia="方正黑体_GBK" w:cs="Times New Roman"/>
          <w:i w:val="0"/>
          <w:caps w:val="0"/>
          <w:spacing w:val="0"/>
          <w:sz w:val="32"/>
          <w:szCs w:val="32"/>
        </w:rPr>
        <w:t>市场价格走势预测</w:t>
      </w:r>
    </w:p>
    <w:p>
      <w:pPr>
        <w:ind w:firstLine="640" w:firstLineChars="200"/>
        <w:contextualSpacing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下月，由于季节性因素，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随着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夏季蔬菜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大量上市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，预测蔬菜价格将略有下调；受气温上升的影响，鸡蛋的产出量增加，预测下月鸡蛋价格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将小幅下跌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；肉禽类产品供需保持稳定，预测下月价格环比持平；由于季节性因素，下月当季水果大量上市，水果品种较多，市场供应充足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，但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6月天气较热，叠加端午节因素，需求将增加，因此水果供需相对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平衡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，预计6月水果价格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趋于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稳定。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right="0" w:firstLine="640" w:firstLineChars="200"/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right="0" w:firstLine="640" w:firstLineChars="200"/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right="0" w:firstLine="3840" w:firstLineChars="1200"/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大渡口区发展和改革委员会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right="0" w:firstLine="4800" w:firstLineChars="1500"/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0E6AA0"/>
    <w:multiLevelType w:val="singleLevel"/>
    <w:tmpl w:val="DA0E6A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4F72"/>
    <w:rsid w:val="004614EC"/>
    <w:rsid w:val="004C3D6A"/>
    <w:rsid w:val="004E0876"/>
    <w:rsid w:val="005725B4"/>
    <w:rsid w:val="0067713B"/>
    <w:rsid w:val="00863181"/>
    <w:rsid w:val="00A47BE1"/>
    <w:rsid w:val="00D00AB7"/>
    <w:rsid w:val="010E7E2D"/>
    <w:rsid w:val="0111727D"/>
    <w:rsid w:val="0156729E"/>
    <w:rsid w:val="015F2D5E"/>
    <w:rsid w:val="016A05F9"/>
    <w:rsid w:val="018950DC"/>
    <w:rsid w:val="01B270A5"/>
    <w:rsid w:val="01F924C0"/>
    <w:rsid w:val="01FF4361"/>
    <w:rsid w:val="020611E2"/>
    <w:rsid w:val="020F7850"/>
    <w:rsid w:val="022E26AC"/>
    <w:rsid w:val="02501AD1"/>
    <w:rsid w:val="0274005E"/>
    <w:rsid w:val="02873FC2"/>
    <w:rsid w:val="02A27A01"/>
    <w:rsid w:val="02D23254"/>
    <w:rsid w:val="02F270AB"/>
    <w:rsid w:val="030B404B"/>
    <w:rsid w:val="03372E31"/>
    <w:rsid w:val="03376627"/>
    <w:rsid w:val="034E760C"/>
    <w:rsid w:val="035138E7"/>
    <w:rsid w:val="038B7375"/>
    <w:rsid w:val="03BA036B"/>
    <w:rsid w:val="041360BF"/>
    <w:rsid w:val="04313979"/>
    <w:rsid w:val="045729DC"/>
    <w:rsid w:val="04700B20"/>
    <w:rsid w:val="047504DE"/>
    <w:rsid w:val="04872CD1"/>
    <w:rsid w:val="048823A0"/>
    <w:rsid w:val="04F62FFB"/>
    <w:rsid w:val="051C4F2A"/>
    <w:rsid w:val="05254352"/>
    <w:rsid w:val="05414D15"/>
    <w:rsid w:val="05451DA1"/>
    <w:rsid w:val="05924749"/>
    <w:rsid w:val="05983BF7"/>
    <w:rsid w:val="05AA4DA4"/>
    <w:rsid w:val="06221175"/>
    <w:rsid w:val="062337BA"/>
    <w:rsid w:val="063E17C4"/>
    <w:rsid w:val="06404D0E"/>
    <w:rsid w:val="0646381C"/>
    <w:rsid w:val="0660539E"/>
    <w:rsid w:val="06A718F5"/>
    <w:rsid w:val="06B72B1A"/>
    <w:rsid w:val="06C7402B"/>
    <w:rsid w:val="06D572EB"/>
    <w:rsid w:val="06D62C21"/>
    <w:rsid w:val="06E01BC8"/>
    <w:rsid w:val="06EA6D8D"/>
    <w:rsid w:val="07195082"/>
    <w:rsid w:val="07373490"/>
    <w:rsid w:val="079A4D25"/>
    <w:rsid w:val="07AC1855"/>
    <w:rsid w:val="07E94D0F"/>
    <w:rsid w:val="07EB5671"/>
    <w:rsid w:val="07F579B5"/>
    <w:rsid w:val="08141CFA"/>
    <w:rsid w:val="08154B58"/>
    <w:rsid w:val="08275C77"/>
    <w:rsid w:val="085811FB"/>
    <w:rsid w:val="08657277"/>
    <w:rsid w:val="08693CB2"/>
    <w:rsid w:val="0881780E"/>
    <w:rsid w:val="088C75EA"/>
    <w:rsid w:val="08A62109"/>
    <w:rsid w:val="08C506D4"/>
    <w:rsid w:val="08DB5C5B"/>
    <w:rsid w:val="090E035A"/>
    <w:rsid w:val="09257DCB"/>
    <w:rsid w:val="093813B3"/>
    <w:rsid w:val="09655441"/>
    <w:rsid w:val="097802EE"/>
    <w:rsid w:val="09865168"/>
    <w:rsid w:val="09947635"/>
    <w:rsid w:val="099E3457"/>
    <w:rsid w:val="09C53D5E"/>
    <w:rsid w:val="09CB61E6"/>
    <w:rsid w:val="09D05F82"/>
    <w:rsid w:val="09D527C5"/>
    <w:rsid w:val="09D91219"/>
    <w:rsid w:val="0A0A4EC2"/>
    <w:rsid w:val="0A2156DC"/>
    <w:rsid w:val="0A580760"/>
    <w:rsid w:val="0A58113D"/>
    <w:rsid w:val="0A714416"/>
    <w:rsid w:val="0A7649B0"/>
    <w:rsid w:val="0A8D6441"/>
    <w:rsid w:val="0AA132EC"/>
    <w:rsid w:val="0AAF6D8A"/>
    <w:rsid w:val="0AEC3252"/>
    <w:rsid w:val="0B247752"/>
    <w:rsid w:val="0B2743C0"/>
    <w:rsid w:val="0B3A4F29"/>
    <w:rsid w:val="0B8A366E"/>
    <w:rsid w:val="0B900760"/>
    <w:rsid w:val="0B9D595F"/>
    <w:rsid w:val="0BB44A5F"/>
    <w:rsid w:val="0BD32668"/>
    <w:rsid w:val="0BD424AC"/>
    <w:rsid w:val="0BEA7BAE"/>
    <w:rsid w:val="0BEB1290"/>
    <w:rsid w:val="0C143110"/>
    <w:rsid w:val="0C481D08"/>
    <w:rsid w:val="0C701D32"/>
    <w:rsid w:val="0C726EFD"/>
    <w:rsid w:val="0C7C60E7"/>
    <w:rsid w:val="0CA04513"/>
    <w:rsid w:val="0CBE11D8"/>
    <w:rsid w:val="0CC04154"/>
    <w:rsid w:val="0CD11B88"/>
    <w:rsid w:val="0D0E0FCE"/>
    <w:rsid w:val="0D196E8C"/>
    <w:rsid w:val="0D257F78"/>
    <w:rsid w:val="0D3124D3"/>
    <w:rsid w:val="0D415A1C"/>
    <w:rsid w:val="0D571FB3"/>
    <w:rsid w:val="0D6C43AB"/>
    <w:rsid w:val="0D735898"/>
    <w:rsid w:val="0D8647F1"/>
    <w:rsid w:val="0D8F2AFB"/>
    <w:rsid w:val="0D9B0DF6"/>
    <w:rsid w:val="0DCF487C"/>
    <w:rsid w:val="0DCF5730"/>
    <w:rsid w:val="0DD104C1"/>
    <w:rsid w:val="0DEA5403"/>
    <w:rsid w:val="0E2C5DDF"/>
    <w:rsid w:val="0E317433"/>
    <w:rsid w:val="0E3334E3"/>
    <w:rsid w:val="0ED75FA0"/>
    <w:rsid w:val="0F0324AA"/>
    <w:rsid w:val="0F16778B"/>
    <w:rsid w:val="0F1D657B"/>
    <w:rsid w:val="0F1F6C8E"/>
    <w:rsid w:val="0F385727"/>
    <w:rsid w:val="0F451F78"/>
    <w:rsid w:val="0F751A04"/>
    <w:rsid w:val="0FB8060D"/>
    <w:rsid w:val="0FBB37A0"/>
    <w:rsid w:val="0FC825D0"/>
    <w:rsid w:val="100925D9"/>
    <w:rsid w:val="100A2DAB"/>
    <w:rsid w:val="101B51AF"/>
    <w:rsid w:val="105016B9"/>
    <w:rsid w:val="1075251F"/>
    <w:rsid w:val="107537AF"/>
    <w:rsid w:val="108618F5"/>
    <w:rsid w:val="109216B5"/>
    <w:rsid w:val="10B9745F"/>
    <w:rsid w:val="10D41F51"/>
    <w:rsid w:val="10EC0AEE"/>
    <w:rsid w:val="10EF6191"/>
    <w:rsid w:val="11004947"/>
    <w:rsid w:val="111323EF"/>
    <w:rsid w:val="11173928"/>
    <w:rsid w:val="114474AB"/>
    <w:rsid w:val="11540BF7"/>
    <w:rsid w:val="11587F97"/>
    <w:rsid w:val="11C360DB"/>
    <w:rsid w:val="11CC40DB"/>
    <w:rsid w:val="11D3375C"/>
    <w:rsid w:val="12077E90"/>
    <w:rsid w:val="126704F8"/>
    <w:rsid w:val="126B2B9A"/>
    <w:rsid w:val="12AE4D2D"/>
    <w:rsid w:val="12B646B4"/>
    <w:rsid w:val="12EF16B4"/>
    <w:rsid w:val="12EF30EC"/>
    <w:rsid w:val="13140403"/>
    <w:rsid w:val="132C5261"/>
    <w:rsid w:val="132C5EF3"/>
    <w:rsid w:val="133F1E85"/>
    <w:rsid w:val="134A58D2"/>
    <w:rsid w:val="139B1C6B"/>
    <w:rsid w:val="13D333E4"/>
    <w:rsid w:val="13EE6C70"/>
    <w:rsid w:val="14030B83"/>
    <w:rsid w:val="141F75B4"/>
    <w:rsid w:val="14245123"/>
    <w:rsid w:val="14562593"/>
    <w:rsid w:val="148058CC"/>
    <w:rsid w:val="149363ED"/>
    <w:rsid w:val="14A538D7"/>
    <w:rsid w:val="14C25B91"/>
    <w:rsid w:val="14D70A76"/>
    <w:rsid w:val="14FE150C"/>
    <w:rsid w:val="150A7FDC"/>
    <w:rsid w:val="151118D2"/>
    <w:rsid w:val="15216738"/>
    <w:rsid w:val="15377650"/>
    <w:rsid w:val="15464D0E"/>
    <w:rsid w:val="15665458"/>
    <w:rsid w:val="156B593B"/>
    <w:rsid w:val="157419A1"/>
    <w:rsid w:val="15B46FB9"/>
    <w:rsid w:val="15CD2B86"/>
    <w:rsid w:val="15EB5266"/>
    <w:rsid w:val="15F4441F"/>
    <w:rsid w:val="164B188F"/>
    <w:rsid w:val="164F64D4"/>
    <w:rsid w:val="166361A3"/>
    <w:rsid w:val="166C7C2E"/>
    <w:rsid w:val="167F6FE2"/>
    <w:rsid w:val="16A659D5"/>
    <w:rsid w:val="16B27FC6"/>
    <w:rsid w:val="16C2006F"/>
    <w:rsid w:val="16DD0A98"/>
    <w:rsid w:val="16E667DD"/>
    <w:rsid w:val="170F7068"/>
    <w:rsid w:val="17242E3A"/>
    <w:rsid w:val="173F5191"/>
    <w:rsid w:val="17563B9A"/>
    <w:rsid w:val="176404AE"/>
    <w:rsid w:val="177946B4"/>
    <w:rsid w:val="17942D99"/>
    <w:rsid w:val="179C1513"/>
    <w:rsid w:val="17AE52BB"/>
    <w:rsid w:val="17CA1932"/>
    <w:rsid w:val="17DB49E3"/>
    <w:rsid w:val="17E21EA1"/>
    <w:rsid w:val="18083119"/>
    <w:rsid w:val="18122368"/>
    <w:rsid w:val="18194CCE"/>
    <w:rsid w:val="181E6E12"/>
    <w:rsid w:val="18323241"/>
    <w:rsid w:val="184453C0"/>
    <w:rsid w:val="184E1AF2"/>
    <w:rsid w:val="185D79E2"/>
    <w:rsid w:val="18623D12"/>
    <w:rsid w:val="1896048C"/>
    <w:rsid w:val="18A13E88"/>
    <w:rsid w:val="19102F6A"/>
    <w:rsid w:val="192D280E"/>
    <w:rsid w:val="19381A7A"/>
    <w:rsid w:val="19395630"/>
    <w:rsid w:val="194C650E"/>
    <w:rsid w:val="19540230"/>
    <w:rsid w:val="195819A5"/>
    <w:rsid w:val="1962644F"/>
    <w:rsid w:val="1984766D"/>
    <w:rsid w:val="19B22F38"/>
    <w:rsid w:val="19C32DD8"/>
    <w:rsid w:val="19C576BD"/>
    <w:rsid w:val="19D13007"/>
    <w:rsid w:val="19F7550D"/>
    <w:rsid w:val="1A0F2BE4"/>
    <w:rsid w:val="1A0F3CE4"/>
    <w:rsid w:val="1A113985"/>
    <w:rsid w:val="1A224778"/>
    <w:rsid w:val="1A413E0F"/>
    <w:rsid w:val="1A460B74"/>
    <w:rsid w:val="1A4705C8"/>
    <w:rsid w:val="1A4A0BB3"/>
    <w:rsid w:val="1A721FAD"/>
    <w:rsid w:val="1A786877"/>
    <w:rsid w:val="1A8717FD"/>
    <w:rsid w:val="1AAB0175"/>
    <w:rsid w:val="1AAB341B"/>
    <w:rsid w:val="1AB822C9"/>
    <w:rsid w:val="1AD74BED"/>
    <w:rsid w:val="1B1D3E7E"/>
    <w:rsid w:val="1B5B16F7"/>
    <w:rsid w:val="1B7B72D2"/>
    <w:rsid w:val="1BA60AC9"/>
    <w:rsid w:val="1BAA025E"/>
    <w:rsid w:val="1BC511D2"/>
    <w:rsid w:val="1C00234B"/>
    <w:rsid w:val="1C3358CE"/>
    <w:rsid w:val="1C57681F"/>
    <w:rsid w:val="1C5E7806"/>
    <w:rsid w:val="1C940ED7"/>
    <w:rsid w:val="1C9F4CD8"/>
    <w:rsid w:val="1CA775D8"/>
    <w:rsid w:val="1CAD2D68"/>
    <w:rsid w:val="1CB158A5"/>
    <w:rsid w:val="1CB87D66"/>
    <w:rsid w:val="1CDA5065"/>
    <w:rsid w:val="1CDE707F"/>
    <w:rsid w:val="1CFA008D"/>
    <w:rsid w:val="1D07719F"/>
    <w:rsid w:val="1D091420"/>
    <w:rsid w:val="1D2D6644"/>
    <w:rsid w:val="1DA244AA"/>
    <w:rsid w:val="1DAD3038"/>
    <w:rsid w:val="1DC64E76"/>
    <w:rsid w:val="1E0A2ECA"/>
    <w:rsid w:val="1E0D0A54"/>
    <w:rsid w:val="1E376C30"/>
    <w:rsid w:val="1E550C86"/>
    <w:rsid w:val="1EA76D3B"/>
    <w:rsid w:val="1EB21608"/>
    <w:rsid w:val="1EE24A10"/>
    <w:rsid w:val="1EF14B68"/>
    <w:rsid w:val="1F0B2890"/>
    <w:rsid w:val="1F1A6482"/>
    <w:rsid w:val="1F3F157D"/>
    <w:rsid w:val="1F4E0AAD"/>
    <w:rsid w:val="1F735EED"/>
    <w:rsid w:val="1F812F9C"/>
    <w:rsid w:val="1FC33357"/>
    <w:rsid w:val="1FD65533"/>
    <w:rsid w:val="200A7CE3"/>
    <w:rsid w:val="201746E9"/>
    <w:rsid w:val="20340D21"/>
    <w:rsid w:val="203E6870"/>
    <w:rsid w:val="20611D56"/>
    <w:rsid w:val="208D1095"/>
    <w:rsid w:val="20963368"/>
    <w:rsid w:val="20D979CD"/>
    <w:rsid w:val="20EF09E1"/>
    <w:rsid w:val="21111F5E"/>
    <w:rsid w:val="21122400"/>
    <w:rsid w:val="21445EA9"/>
    <w:rsid w:val="2146345B"/>
    <w:rsid w:val="21480E55"/>
    <w:rsid w:val="21711E2A"/>
    <w:rsid w:val="21886820"/>
    <w:rsid w:val="218A6F02"/>
    <w:rsid w:val="21B62F49"/>
    <w:rsid w:val="21B74B23"/>
    <w:rsid w:val="21E32E3E"/>
    <w:rsid w:val="21EC65B8"/>
    <w:rsid w:val="22115612"/>
    <w:rsid w:val="2214577A"/>
    <w:rsid w:val="221A0085"/>
    <w:rsid w:val="221A4098"/>
    <w:rsid w:val="2234121E"/>
    <w:rsid w:val="223700F7"/>
    <w:rsid w:val="224C0375"/>
    <w:rsid w:val="227B1ABC"/>
    <w:rsid w:val="227E64AB"/>
    <w:rsid w:val="22866273"/>
    <w:rsid w:val="228706C1"/>
    <w:rsid w:val="22B9586D"/>
    <w:rsid w:val="22E94144"/>
    <w:rsid w:val="22EF7E74"/>
    <w:rsid w:val="23152F48"/>
    <w:rsid w:val="23192360"/>
    <w:rsid w:val="232265AC"/>
    <w:rsid w:val="234D7D5F"/>
    <w:rsid w:val="23573FD4"/>
    <w:rsid w:val="235933CF"/>
    <w:rsid w:val="235B2C5B"/>
    <w:rsid w:val="237D4E84"/>
    <w:rsid w:val="23BA44C5"/>
    <w:rsid w:val="23C83A87"/>
    <w:rsid w:val="23CA0639"/>
    <w:rsid w:val="23E90974"/>
    <w:rsid w:val="240E2DFC"/>
    <w:rsid w:val="241249AA"/>
    <w:rsid w:val="243F4034"/>
    <w:rsid w:val="24480A14"/>
    <w:rsid w:val="244B024D"/>
    <w:rsid w:val="245E03C3"/>
    <w:rsid w:val="24900FB9"/>
    <w:rsid w:val="249509A0"/>
    <w:rsid w:val="249C4D17"/>
    <w:rsid w:val="253F715F"/>
    <w:rsid w:val="2549088B"/>
    <w:rsid w:val="255119A0"/>
    <w:rsid w:val="256C6A43"/>
    <w:rsid w:val="259441E1"/>
    <w:rsid w:val="25A4449A"/>
    <w:rsid w:val="25C91A85"/>
    <w:rsid w:val="25EC143F"/>
    <w:rsid w:val="25F22874"/>
    <w:rsid w:val="260666DE"/>
    <w:rsid w:val="264062DB"/>
    <w:rsid w:val="264315DC"/>
    <w:rsid w:val="265F1BD2"/>
    <w:rsid w:val="26744004"/>
    <w:rsid w:val="26757917"/>
    <w:rsid w:val="267D72E3"/>
    <w:rsid w:val="26EC67F6"/>
    <w:rsid w:val="26F46C19"/>
    <w:rsid w:val="275B1E91"/>
    <w:rsid w:val="2762185D"/>
    <w:rsid w:val="27903ADB"/>
    <w:rsid w:val="27957CD6"/>
    <w:rsid w:val="27A536F6"/>
    <w:rsid w:val="27D95236"/>
    <w:rsid w:val="27DF2EAE"/>
    <w:rsid w:val="28441C96"/>
    <w:rsid w:val="2849414E"/>
    <w:rsid w:val="286D6C42"/>
    <w:rsid w:val="28832A9D"/>
    <w:rsid w:val="29014322"/>
    <w:rsid w:val="292612F9"/>
    <w:rsid w:val="2934393E"/>
    <w:rsid w:val="29754F09"/>
    <w:rsid w:val="2981539C"/>
    <w:rsid w:val="29967AFC"/>
    <w:rsid w:val="29B67749"/>
    <w:rsid w:val="2A2C5C26"/>
    <w:rsid w:val="2A3E6F7A"/>
    <w:rsid w:val="2A3E720F"/>
    <w:rsid w:val="2A443370"/>
    <w:rsid w:val="2A597430"/>
    <w:rsid w:val="2A5D5C77"/>
    <w:rsid w:val="2A65468C"/>
    <w:rsid w:val="2A6E64E1"/>
    <w:rsid w:val="2A740E52"/>
    <w:rsid w:val="2AAD508F"/>
    <w:rsid w:val="2AEF2A1E"/>
    <w:rsid w:val="2AF01AD2"/>
    <w:rsid w:val="2AF4331F"/>
    <w:rsid w:val="2B032487"/>
    <w:rsid w:val="2B4E7C83"/>
    <w:rsid w:val="2B5C3D07"/>
    <w:rsid w:val="2B5C51BC"/>
    <w:rsid w:val="2B612F51"/>
    <w:rsid w:val="2B837C17"/>
    <w:rsid w:val="2BB60E93"/>
    <w:rsid w:val="2BCA5223"/>
    <w:rsid w:val="2BF311F7"/>
    <w:rsid w:val="2C08007E"/>
    <w:rsid w:val="2C0B0D11"/>
    <w:rsid w:val="2C115A0E"/>
    <w:rsid w:val="2C321660"/>
    <w:rsid w:val="2C365F96"/>
    <w:rsid w:val="2C655C97"/>
    <w:rsid w:val="2C6C43F2"/>
    <w:rsid w:val="2C6E78AA"/>
    <w:rsid w:val="2C725990"/>
    <w:rsid w:val="2C842546"/>
    <w:rsid w:val="2C966E6B"/>
    <w:rsid w:val="2CD931F5"/>
    <w:rsid w:val="2CEF1C4E"/>
    <w:rsid w:val="2D167091"/>
    <w:rsid w:val="2D295974"/>
    <w:rsid w:val="2D2E79BE"/>
    <w:rsid w:val="2D441D96"/>
    <w:rsid w:val="2D456622"/>
    <w:rsid w:val="2D47053E"/>
    <w:rsid w:val="2D48417C"/>
    <w:rsid w:val="2D510347"/>
    <w:rsid w:val="2D5D5EF9"/>
    <w:rsid w:val="2D5F761C"/>
    <w:rsid w:val="2D9A1BEA"/>
    <w:rsid w:val="2DF36DE5"/>
    <w:rsid w:val="2E102098"/>
    <w:rsid w:val="2E3B25D1"/>
    <w:rsid w:val="2E3C5BB3"/>
    <w:rsid w:val="2E48267E"/>
    <w:rsid w:val="2E4F025A"/>
    <w:rsid w:val="2E81131C"/>
    <w:rsid w:val="2EC04B98"/>
    <w:rsid w:val="2EE828F7"/>
    <w:rsid w:val="2F0C7543"/>
    <w:rsid w:val="2F122155"/>
    <w:rsid w:val="2F1B3551"/>
    <w:rsid w:val="2F277010"/>
    <w:rsid w:val="2F3C2E35"/>
    <w:rsid w:val="2F3D6BD0"/>
    <w:rsid w:val="2F503C15"/>
    <w:rsid w:val="2F5E5189"/>
    <w:rsid w:val="2F7666F5"/>
    <w:rsid w:val="2F812284"/>
    <w:rsid w:val="2F8A6A49"/>
    <w:rsid w:val="2F9342BB"/>
    <w:rsid w:val="2F9A28DC"/>
    <w:rsid w:val="2FA1650E"/>
    <w:rsid w:val="2FB7085F"/>
    <w:rsid w:val="2FE448FC"/>
    <w:rsid w:val="2FF50AAB"/>
    <w:rsid w:val="2FF621D0"/>
    <w:rsid w:val="301B6E77"/>
    <w:rsid w:val="30360504"/>
    <w:rsid w:val="30581CF8"/>
    <w:rsid w:val="305852BA"/>
    <w:rsid w:val="308D7A6C"/>
    <w:rsid w:val="30C15242"/>
    <w:rsid w:val="30EE4B11"/>
    <w:rsid w:val="311254B7"/>
    <w:rsid w:val="311C0060"/>
    <w:rsid w:val="31333FC3"/>
    <w:rsid w:val="314C02AF"/>
    <w:rsid w:val="315622CE"/>
    <w:rsid w:val="31963E84"/>
    <w:rsid w:val="31AC7520"/>
    <w:rsid w:val="31CA5A6C"/>
    <w:rsid w:val="31CE66F6"/>
    <w:rsid w:val="31D34C5E"/>
    <w:rsid w:val="31DF6E2B"/>
    <w:rsid w:val="323326ED"/>
    <w:rsid w:val="323B7978"/>
    <w:rsid w:val="32474F97"/>
    <w:rsid w:val="324F32A5"/>
    <w:rsid w:val="325B1F1C"/>
    <w:rsid w:val="325C0A57"/>
    <w:rsid w:val="327051CA"/>
    <w:rsid w:val="328A39D3"/>
    <w:rsid w:val="32973B88"/>
    <w:rsid w:val="329A0961"/>
    <w:rsid w:val="329C1FA1"/>
    <w:rsid w:val="32BA3220"/>
    <w:rsid w:val="32C5730A"/>
    <w:rsid w:val="32ED2B68"/>
    <w:rsid w:val="3301368A"/>
    <w:rsid w:val="332914F9"/>
    <w:rsid w:val="333A5F93"/>
    <w:rsid w:val="334B5B75"/>
    <w:rsid w:val="33573D47"/>
    <w:rsid w:val="338D4172"/>
    <w:rsid w:val="339F6A56"/>
    <w:rsid w:val="33AD4010"/>
    <w:rsid w:val="33B0274A"/>
    <w:rsid w:val="33DA2E70"/>
    <w:rsid w:val="33E615F6"/>
    <w:rsid w:val="341B5F2D"/>
    <w:rsid w:val="34214E51"/>
    <w:rsid w:val="34245B1F"/>
    <w:rsid w:val="344B341A"/>
    <w:rsid w:val="34796D5E"/>
    <w:rsid w:val="348755E0"/>
    <w:rsid w:val="348E2FAE"/>
    <w:rsid w:val="348F581B"/>
    <w:rsid w:val="34A44B87"/>
    <w:rsid w:val="34B0495B"/>
    <w:rsid w:val="34C8696B"/>
    <w:rsid w:val="34D33F43"/>
    <w:rsid w:val="34DF109A"/>
    <w:rsid w:val="35010935"/>
    <w:rsid w:val="351F42A8"/>
    <w:rsid w:val="352856E5"/>
    <w:rsid w:val="352A7CCE"/>
    <w:rsid w:val="35415F81"/>
    <w:rsid w:val="35467925"/>
    <w:rsid w:val="354B70AF"/>
    <w:rsid w:val="355B1D06"/>
    <w:rsid w:val="3573103F"/>
    <w:rsid w:val="35A90D96"/>
    <w:rsid w:val="35AD43A3"/>
    <w:rsid w:val="35AD68F3"/>
    <w:rsid w:val="35BB0A51"/>
    <w:rsid w:val="35DD1F01"/>
    <w:rsid w:val="3607780B"/>
    <w:rsid w:val="360A22BD"/>
    <w:rsid w:val="36100624"/>
    <w:rsid w:val="36357C50"/>
    <w:rsid w:val="365879C4"/>
    <w:rsid w:val="366675E3"/>
    <w:rsid w:val="367E7AA6"/>
    <w:rsid w:val="369F09DF"/>
    <w:rsid w:val="36AB1AC3"/>
    <w:rsid w:val="36B70373"/>
    <w:rsid w:val="36D02AF5"/>
    <w:rsid w:val="36D034B7"/>
    <w:rsid w:val="37903295"/>
    <w:rsid w:val="3799752F"/>
    <w:rsid w:val="37A77EB9"/>
    <w:rsid w:val="37AF66E0"/>
    <w:rsid w:val="37DB7530"/>
    <w:rsid w:val="37E476A9"/>
    <w:rsid w:val="380A46B3"/>
    <w:rsid w:val="3820083F"/>
    <w:rsid w:val="383E5C17"/>
    <w:rsid w:val="386179F9"/>
    <w:rsid w:val="386C3F49"/>
    <w:rsid w:val="38A841DF"/>
    <w:rsid w:val="38C24700"/>
    <w:rsid w:val="38E360B8"/>
    <w:rsid w:val="392F2E9D"/>
    <w:rsid w:val="39320471"/>
    <w:rsid w:val="39323304"/>
    <w:rsid w:val="396D7E3A"/>
    <w:rsid w:val="39ED5F37"/>
    <w:rsid w:val="39F5184C"/>
    <w:rsid w:val="39FE2CDA"/>
    <w:rsid w:val="3A154786"/>
    <w:rsid w:val="3A3C5B01"/>
    <w:rsid w:val="3A4F11FE"/>
    <w:rsid w:val="3A4F2BC8"/>
    <w:rsid w:val="3A695543"/>
    <w:rsid w:val="3A6A6C64"/>
    <w:rsid w:val="3A823D69"/>
    <w:rsid w:val="3A88573C"/>
    <w:rsid w:val="3AB37E50"/>
    <w:rsid w:val="3AE4272D"/>
    <w:rsid w:val="3AE60110"/>
    <w:rsid w:val="3B135AFD"/>
    <w:rsid w:val="3B464BC9"/>
    <w:rsid w:val="3B5246AB"/>
    <w:rsid w:val="3C0819BD"/>
    <w:rsid w:val="3C0D005D"/>
    <w:rsid w:val="3C2905C0"/>
    <w:rsid w:val="3C2F2A30"/>
    <w:rsid w:val="3C352A6D"/>
    <w:rsid w:val="3C663285"/>
    <w:rsid w:val="3C684CB0"/>
    <w:rsid w:val="3C935500"/>
    <w:rsid w:val="3C9F63E5"/>
    <w:rsid w:val="3CA92327"/>
    <w:rsid w:val="3CE546A0"/>
    <w:rsid w:val="3CF80806"/>
    <w:rsid w:val="3D410532"/>
    <w:rsid w:val="3D414C49"/>
    <w:rsid w:val="3D655FD6"/>
    <w:rsid w:val="3D657E29"/>
    <w:rsid w:val="3D6D1794"/>
    <w:rsid w:val="3DDD5E1F"/>
    <w:rsid w:val="3DEE7378"/>
    <w:rsid w:val="3DFE3C0B"/>
    <w:rsid w:val="3E392610"/>
    <w:rsid w:val="3E6A4D3F"/>
    <w:rsid w:val="3E7C7A31"/>
    <w:rsid w:val="3E870B9B"/>
    <w:rsid w:val="3EA33506"/>
    <w:rsid w:val="3EA911C6"/>
    <w:rsid w:val="3EAB70C4"/>
    <w:rsid w:val="3EB72470"/>
    <w:rsid w:val="3EB90109"/>
    <w:rsid w:val="3EC41B72"/>
    <w:rsid w:val="3EEE6B89"/>
    <w:rsid w:val="3EFD3B12"/>
    <w:rsid w:val="3F04642A"/>
    <w:rsid w:val="3F124C12"/>
    <w:rsid w:val="3F297C1F"/>
    <w:rsid w:val="3F2A2317"/>
    <w:rsid w:val="3F3068C5"/>
    <w:rsid w:val="3F6D623A"/>
    <w:rsid w:val="3F98386F"/>
    <w:rsid w:val="3FB020A4"/>
    <w:rsid w:val="3FE01A83"/>
    <w:rsid w:val="3FE458A6"/>
    <w:rsid w:val="3FFF7BC4"/>
    <w:rsid w:val="40145501"/>
    <w:rsid w:val="401726B9"/>
    <w:rsid w:val="40227B9C"/>
    <w:rsid w:val="40510701"/>
    <w:rsid w:val="406A186D"/>
    <w:rsid w:val="40A629B6"/>
    <w:rsid w:val="40B97AE9"/>
    <w:rsid w:val="40F13340"/>
    <w:rsid w:val="410B1FCA"/>
    <w:rsid w:val="4110712C"/>
    <w:rsid w:val="41174DB6"/>
    <w:rsid w:val="418A2745"/>
    <w:rsid w:val="41955FC0"/>
    <w:rsid w:val="41B55994"/>
    <w:rsid w:val="41CA2728"/>
    <w:rsid w:val="41ED0B78"/>
    <w:rsid w:val="41F5400D"/>
    <w:rsid w:val="41FA16D6"/>
    <w:rsid w:val="421167CC"/>
    <w:rsid w:val="425C205D"/>
    <w:rsid w:val="427D6E8C"/>
    <w:rsid w:val="42BB3668"/>
    <w:rsid w:val="42D41515"/>
    <w:rsid w:val="42E21CCF"/>
    <w:rsid w:val="42E43257"/>
    <w:rsid w:val="430128E9"/>
    <w:rsid w:val="431D48D0"/>
    <w:rsid w:val="435F09A9"/>
    <w:rsid w:val="43754720"/>
    <w:rsid w:val="437563D6"/>
    <w:rsid w:val="43953575"/>
    <w:rsid w:val="43AB73F8"/>
    <w:rsid w:val="43B22654"/>
    <w:rsid w:val="43CC055E"/>
    <w:rsid w:val="43CE3014"/>
    <w:rsid w:val="43FF00CB"/>
    <w:rsid w:val="442D2230"/>
    <w:rsid w:val="44364CD9"/>
    <w:rsid w:val="445B5F48"/>
    <w:rsid w:val="446734A2"/>
    <w:rsid w:val="44803D9F"/>
    <w:rsid w:val="448926ED"/>
    <w:rsid w:val="44965741"/>
    <w:rsid w:val="44A65EA9"/>
    <w:rsid w:val="44C14A17"/>
    <w:rsid w:val="44C564DE"/>
    <w:rsid w:val="44D1787C"/>
    <w:rsid w:val="44D644B1"/>
    <w:rsid w:val="44FE41F1"/>
    <w:rsid w:val="45727F0B"/>
    <w:rsid w:val="457D49D5"/>
    <w:rsid w:val="4582741D"/>
    <w:rsid w:val="45844669"/>
    <w:rsid w:val="459735E7"/>
    <w:rsid w:val="45C212F0"/>
    <w:rsid w:val="45C31A12"/>
    <w:rsid w:val="460E2CC5"/>
    <w:rsid w:val="461E176D"/>
    <w:rsid w:val="462E74D7"/>
    <w:rsid w:val="46644A4F"/>
    <w:rsid w:val="46647E83"/>
    <w:rsid w:val="469067CE"/>
    <w:rsid w:val="46EE6F68"/>
    <w:rsid w:val="46F75B75"/>
    <w:rsid w:val="470323E3"/>
    <w:rsid w:val="47707A66"/>
    <w:rsid w:val="48226F92"/>
    <w:rsid w:val="48545883"/>
    <w:rsid w:val="4883058D"/>
    <w:rsid w:val="489136FF"/>
    <w:rsid w:val="48AA63A7"/>
    <w:rsid w:val="48D6056E"/>
    <w:rsid w:val="48F90E72"/>
    <w:rsid w:val="49097B90"/>
    <w:rsid w:val="4931391A"/>
    <w:rsid w:val="49343683"/>
    <w:rsid w:val="49537763"/>
    <w:rsid w:val="49612B99"/>
    <w:rsid w:val="49803A31"/>
    <w:rsid w:val="498C2278"/>
    <w:rsid w:val="499A54FC"/>
    <w:rsid w:val="499F6455"/>
    <w:rsid w:val="49CB0DE8"/>
    <w:rsid w:val="49DC6A9D"/>
    <w:rsid w:val="49E548F3"/>
    <w:rsid w:val="49F77544"/>
    <w:rsid w:val="49FB0870"/>
    <w:rsid w:val="4A147064"/>
    <w:rsid w:val="4A3B0C81"/>
    <w:rsid w:val="4A8B4359"/>
    <w:rsid w:val="4A98015E"/>
    <w:rsid w:val="4AB8166C"/>
    <w:rsid w:val="4AC705C3"/>
    <w:rsid w:val="4ADC47E9"/>
    <w:rsid w:val="4AFA1BAD"/>
    <w:rsid w:val="4B066C5C"/>
    <w:rsid w:val="4B114785"/>
    <w:rsid w:val="4B1B20E0"/>
    <w:rsid w:val="4B1C3616"/>
    <w:rsid w:val="4B285E25"/>
    <w:rsid w:val="4B4B703D"/>
    <w:rsid w:val="4B510BCE"/>
    <w:rsid w:val="4B6C2805"/>
    <w:rsid w:val="4B6F1D5B"/>
    <w:rsid w:val="4B6F5009"/>
    <w:rsid w:val="4B8277CD"/>
    <w:rsid w:val="4B917D50"/>
    <w:rsid w:val="4B9E09D1"/>
    <w:rsid w:val="4BB61647"/>
    <w:rsid w:val="4BDA1ACE"/>
    <w:rsid w:val="4BE70172"/>
    <w:rsid w:val="4BFB66D5"/>
    <w:rsid w:val="4C2C44C8"/>
    <w:rsid w:val="4C372613"/>
    <w:rsid w:val="4C3B2951"/>
    <w:rsid w:val="4C514673"/>
    <w:rsid w:val="4C6E13F6"/>
    <w:rsid w:val="4C846287"/>
    <w:rsid w:val="4CB14319"/>
    <w:rsid w:val="4CEC2064"/>
    <w:rsid w:val="4CF60230"/>
    <w:rsid w:val="4CFD0846"/>
    <w:rsid w:val="4D1F2282"/>
    <w:rsid w:val="4D380EF4"/>
    <w:rsid w:val="4D7000F5"/>
    <w:rsid w:val="4D7860D8"/>
    <w:rsid w:val="4DA7006B"/>
    <w:rsid w:val="4DAD3822"/>
    <w:rsid w:val="4DC74DC4"/>
    <w:rsid w:val="4DC94415"/>
    <w:rsid w:val="4E260593"/>
    <w:rsid w:val="4E494684"/>
    <w:rsid w:val="4E8B1297"/>
    <w:rsid w:val="4E8B1E9E"/>
    <w:rsid w:val="4EBD1DE2"/>
    <w:rsid w:val="4ECA32C4"/>
    <w:rsid w:val="4EDA5C2F"/>
    <w:rsid w:val="4EEE3030"/>
    <w:rsid w:val="4F0A44CF"/>
    <w:rsid w:val="4F4F5EE5"/>
    <w:rsid w:val="4F6711E9"/>
    <w:rsid w:val="4F815EDA"/>
    <w:rsid w:val="4FC06128"/>
    <w:rsid w:val="4FD35A37"/>
    <w:rsid w:val="4FE92BEE"/>
    <w:rsid w:val="500455B2"/>
    <w:rsid w:val="502F087A"/>
    <w:rsid w:val="50407376"/>
    <w:rsid w:val="504E17B3"/>
    <w:rsid w:val="505D0F09"/>
    <w:rsid w:val="506C0F54"/>
    <w:rsid w:val="50C46ACE"/>
    <w:rsid w:val="50DE6D34"/>
    <w:rsid w:val="50E13E57"/>
    <w:rsid w:val="50E256E5"/>
    <w:rsid w:val="511E159D"/>
    <w:rsid w:val="513D2C75"/>
    <w:rsid w:val="515C1738"/>
    <w:rsid w:val="5172351A"/>
    <w:rsid w:val="518D065E"/>
    <w:rsid w:val="518D615A"/>
    <w:rsid w:val="519F1952"/>
    <w:rsid w:val="51AB2623"/>
    <w:rsid w:val="51AE5C5E"/>
    <w:rsid w:val="51B36D17"/>
    <w:rsid w:val="51E03179"/>
    <w:rsid w:val="5201363B"/>
    <w:rsid w:val="52090F3C"/>
    <w:rsid w:val="521E050A"/>
    <w:rsid w:val="52345F30"/>
    <w:rsid w:val="52804ED5"/>
    <w:rsid w:val="528C1847"/>
    <w:rsid w:val="52961EFC"/>
    <w:rsid w:val="52BA1485"/>
    <w:rsid w:val="52C16A70"/>
    <w:rsid w:val="530713CF"/>
    <w:rsid w:val="53445E0B"/>
    <w:rsid w:val="53505B81"/>
    <w:rsid w:val="53543E24"/>
    <w:rsid w:val="535A0180"/>
    <w:rsid w:val="53752DC7"/>
    <w:rsid w:val="5376225D"/>
    <w:rsid w:val="53B42A70"/>
    <w:rsid w:val="54124AEF"/>
    <w:rsid w:val="542F0261"/>
    <w:rsid w:val="545040DB"/>
    <w:rsid w:val="54544559"/>
    <w:rsid w:val="546118AA"/>
    <w:rsid w:val="54B263C3"/>
    <w:rsid w:val="54B37DB1"/>
    <w:rsid w:val="54E359E2"/>
    <w:rsid w:val="552C23FE"/>
    <w:rsid w:val="555B653E"/>
    <w:rsid w:val="55626BAB"/>
    <w:rsid w:val="55A0247E"/>
    <w:rsid w:val="55B93C2B"/>
    <w:rsid w:val="55C27453"/>
    <w:rsid w:val="55D508A8"/>
    <w:rsid w:val="55EF08F0"/>
    <w:rsid w:val="55F5003A"/>
    <w:rsid w:val="55F83434"/>
    <w:rsid w:val="56586869"/>
    <w:rsid w:val="567174D5"/>
    <w:rsid w:val="567E19C4"/>
    <w:rsid w:val="56882569"/>
    <w:rsid w:val="56CF5283"/>
    <w:rsid w:val="57264BC2"/>
    <w:rsid w:val="574A087A"/>
    <w:rsid w:val="577724B1"/>
    <w:rsid w:val="578F703F"/>
    <w:rsid w:val="57C446A7"/>
    <w:rsid w:val="57C5024E"/>
    <w:rsid w:val="57DE531E"/>
    <w:rsid w:val="57DF15F4"/>
    <w:rsid w:val="58041349"/>
    <w:rsid w:val="58600F60"/>
    <w:rsid w:val="58E570D5"/>
    <w:rsid w:val="593E7F8E"/>
    <w:rsid w:val="594767BB"/>
    <w:rsid w:val="5961683D"/>
    <w:rsid w:val="597604DB"/>
    <w:rsid w:val="598F65F9"/>
    <w:rsid w:val="59B600EE"/>
    <w:rsid w:val="59F35B34"/>
    <w:rsid w:val="5A2D180E"/>
    <w:rsid w:val="5A455807"/>
    <w:rsid w:val="5A4F4EB8"/>
    <w:rsid w:val="5A9F7A73"/>
    <w:rsid w:val="5AA56AC0"/>
    <w:rsid w:val="5B0720B6"/>
    <w:rsid w:val="5B0E3F09"/>
    <w:rsid w:val="5B376D09"/>
    <w:rsid w:val="5B42268C"/>
    <w:rsid w:val="5B4E7914"/>
    <w:rsid w:val="5B6629C9"/>
    <w:rsid w:val="5B6B1C45"/>
    <w:rsid w:val="5B8F7917"/>
    <w:rsid w:val="5B985AE0"/>
    <w:rsid w:val="5BA350DA"/>
    <w:rsid w:val="5BCA7EE1"/>
    <w:rsid w:val="5BE90774"/>
    <w:rsid w:val="5C1C2283"/>
    <w:rsid w:val="5C302642"/>
    <w:rsid w:val="5C4B57AD"/>
    <w:rsid w:val="5C4C51AF"/>
    <w:rsid w:val="5C84765E"/>
    <w:rsid w:val="5C957D3F"/>
    <w:rsid w:val="5CA25BBF"/>
    <w:rsid w:val="5CAD5B02"/>
    <w:rsid w:val="5CB567AF"/>
    <w:rsid w:val="5CBE45E5"/>
    <w:rsid w:val="5CCE2B1F"/>
    <w:rsid w:val="5CF938D1"/>
    <w:rsid w:val="5D402AC3"/>
    <w:rsid w:val="5D513613"/>
    <w:rsid w:val="5D5D2B57"/>
    <w:rsid w:val="5DAA7656"/>
    <w:rsid w:val="5DCE6FDD"/>
    <w:rsid w:val="5E573BA2"/>
    <w:rsid w:val="5E633271"/>
    <w:rsid w:val="5E751A85"/>
    <w:rsid w:val="5E963614"/>
    <w:rsid w:val="5E986123"/>
    <w:rsid w:val="5E9E1AA8"/>
    <w:rsid w:val="5EBD5ABA"/>
    <w:rsid w:val="5ED938CF"/>
    <w:rsid w:val="5ED95466"/>
    <w:rsid w:val="5EF53C58"/>
    <w:rsid w:val="5EFA42A0"/>
    <w:rsid w:val="5F270408"/>
    <w:rsid w:val="5F390F91"/>
    <w:rsid w:val="5F4271DC"/>
    <w:rsid w:val="5F53156A"/>
    <w:rsid w:val="5F696497"/>
    <w:rsid w:val="5F9754BA"/>
    <w:rsid w:val="5FB65C9E"/>
    <w:rsid w:val="5FC3679C"/>
    <w:rsid w:val="5FE7256E"/>
    <w:rsid w:val="600A1CE6"/>
    <w:rsid w:val="60275580"/>
    <w:rsid w:val="60CA5CB3"/>
    <w:rsid w:val="60D56A27"/>
    <w:rsid w:val="60FD4E06"/>
    <w:rsid w:val="6122570E"/>
    <w:rsid w:val="612B6013"/>
    <w:rsid w:val="612D41CF"/>
    <w:rsid w:val="61546B72"/>
    <w:rsid w:val="6166604A"/>
    <w:rsid w:val="618F503F"/>
    <w:rsid w:val="619910F7"/>
    <w:rsid w:val="61B65679"/>
    <w:rsid w:val="61E51B8A"/>
    <w:rsid w:val="61EC2187"/>
    <w:rsid w:val="61FA079C"/>
    <w:rsid w:val="61FA084E"/>
    <w:rsid w:val="62131444"/>
    <w:rsid w:val="621930BE"/>
    <w:rsid w:val="623C37C4"/>
    <w:rsid w:val="624338F4"/>
    <w:rsid w:val="624B36A4"/>
    <w:rsid w:val="62802513"/>
    <w:rsid w:val="628A3021"/>
    <w:rsid w:val="628D76F0"/>
    <w:rsid w:val="62D01F91"/>
    <w:rsid w:val="62EB6867"/>
    <w:rsid w:val="62F217F1"/>
    <w:rsid w:val="62F5096B"/>
    <w:rsid w:val="63181561"/>
    <w:rsid w:val="63407BD0"/>
    <w:rsid w:val="63757444"/>
    <w:rsid w:val="63CA53D8"/>
    <w:rsid w:val="63F605B7"/>
    <w:rsid w:val="6402355C"/>
    <w:rsid w:val="640E6562"/>
    <w:rsid w:val="64495015"/>
    <w:rsid w:val="644A25BA"/>
    <w:rsid w:val="64504EEA"/>
    <w:rsid w:val="645E5951"/>
    <w:rsid w:val="648A03B0"/>
    <w:rsid w:val="64934DC0"/>
    <w:rsid w:val="64944AE1"/>
    <w:rsid w:val="64A8605D"/>
    <w:rsid w:val="64AC26FE"/>
    <w:rsid w:val="64B25AE4"/>
    <w:rsid w:val="64E039B1"/>
    <w:rsid w:val="64EA2D39"/>
    <w:rsid w:val="64FF2536"/>
    <w:rsid w:val="65602523"/>
    <w:rsid w:val="65780B04"/>
    <w:rsid w:val="65785A3A"/>
    <w:rsid w:val="658126AB"/>
    <w:rsid w:val="659125E1"/>
    <w:rsid w:val="65A7623C"/>
    <w:rsid w:val="65CF3E4F"/>
    <w:rsid w:val="65D2403C"/>
    <w:rsid w:val="65E0636C"/>
    <w:rsid w:val="65F61A79"/>
    <w:rsid w:val="65FB3843"/>
    <w:rsid w:val="660D447E"/>
    <w:rsid w:val="6621019E"/>
    <w:rsid w:val="66226CB4"/>
    <w:rsid w:val="663562D2"/>
    <w:rsid w:val="66616DD7"/>
    <w:rsid w:val="66722D67"/>
    <w:rsid w:val="667C3BBA"/>
    <w:rsid w:val="66920610"/>
    <w:rsid w:val="66B42184"/>
    <w:rsid w:val="66BD5D16"/>
    <w:rsid w:val="66C767C7"/>
    <w:rsid w:val="66DC3DD8"/>
    <w:rsid w:val="66F46DED"/>
    <w:rsid w:val="67390216"/>
    <w:rsid w:val="673F783F"/>
    <w:rsid w:val="67423032"/>
    <w:rsid w:val="676A5621"/>
    <w:rsid w:val="677A7DF3"/>
    <w:rsid w:val="677E2E70"/>
    <w:rsid w:val="678D3EC3"/>
    <w:rsid w:val="678E3CCF"/>
    <w:rsid w:val="67A00DE4"/>
    <w:rsid w:val="67A80D34"/>
    <w:rsid w:val="67FE5A8D"/>
    <w:rsid w:val="68164198"/>
    <w:rsid w:val="681B3CF3"/>
    <w:rsid w:val="68407740"/>
    <w:rsid w:val="68517990"/>
    <w:rsid w:val="68583E8A"/>
    <w:rsid w:val="6858481D"/>
    <w:rsid w:val="68B056F0"/>
    <w:rsid w:val="68B96E5F"/>
    <w:rsid w:val="697E11C0"/>
    <w:rsid w:val="698B706A"/>
    <w:rsid w:val="69935E36"/>
    <w:rsid w:val="699D0D2D"/>
    <w:rsid w:val="69BD277B"/>
    <w:rsid w:val="69C71B36"/>
    <w:rsid w:val="69D4385D"/>
    <w:rsid w:val="69D47509"/>
    <w:rsid w:val="69EC0C74"/>
    <w:rsid w:val="69EE564E"/>
    <w:rsid w:val="69F61BAA"/>
    <w:rsid w:val="6A46106D"/>
    <w:rsid w:val="6A615CC3"/>
    <w:rsid w:val="6A9B4C4F"/>
    <w:rsid w:val="6ABD5B4A"/>
    <w:rsid w:val="6ABE412F"/>
    <w:rsid w:val="6AC51258"/>
    <w:rsid w:val="6AE173C0"/>
    <w:rsid w:val="6AF87086"/>
    <w:rsid w:val="6AFE0F66"/>
    <w:rsid w:val="6B435BE7"/>
    <w:rsid w:val="6B5E4FCC"/>
    <w:rsid w:val="6B854CAB"/>
    <w:rsid w:val="6B9D3D2A"/>
    <w:rsid w:val="6BF25004"/>
    <w:rsid w:val="6C0664C5"/>
    <w:rsid w:val="6C096828"/>
    <w:rsid w:val="6C2F664E"/>
    <w:rsid w:val="6C34760B"/>
    <w:rsid w:val="6CA807D8"/>
    <w:rsid w:val="6CB67678"/>
    <w:rsid w:val="6CBE3094"/>
    <w:rsid w:val="6CD75C8B"/>
    <w:rsid w:val="6CDB2D61"/>
    <w:rsid w:val="6CEF7C54"/>
    <w:rsid w:val="6CF863C3"/>
    <w:rsid w:val="6D143AC0"/>
    <w:rsid w:val="6D170E04"/>
    <w:rsid w:val="6D401B27"/>
    <w:rsid w:val="6D58457F"/>
    <w:rsid w:val="6D5C4F7A"/>
    <w:rsid w:val="6D6B1926"/>
    <w:rsid w:val="6D9B0077"/>
    <w:rsid w:val="6D9C4CCE"/>
    <w:rsid w:val="6DBC41A1"/>
    <w:rsid w:val="6DBD3A92"/>
    <w:rsid w:val="6DC10E85"/>
    <w:rsid w:val="6DDA200A"/>
    <w:rsid w:val="6DDE3206"/>
    <w:rsid w:val="6DF03BC6"/>
    <w:rsid w:val="6E061A52"/>
    <w:rsid w:val="6E33709D"/>
    <w:rsid w:val="6E377A05"/>
    <w:rsid w:val="6E520502"/>
    <w:rsid w:val="6E6E13DE"/>
    <w:rsid w:val="6EA21E5D"/>
    <w:rsid w:val="6EA50A89"/>
    <w:rsid w:val="6EA7530A"/>
    <w:rsid w:val="6EBA4F5E"/>
    <w:rsid w:val="6EC01C04"/>
    <w:rsid w:val="6ED4367F"/>
    <w:rsid w:val="6EEE47D9"/>
    <w:rsid w:val="6F253477"/>
    <w:rsid w:val="6F274A00"/>
    <w:rsid w:val="6F553D8D"/>
    <w:rsid w:val="6F5E54CC"/>
    <w:rsid w:val="6F9527E4"/>
    <w:rsid w:val="6FB070A5"/>
    <w:rsid w:val="6FB63B3B"/>
    <w:rsid w:val="6FE2108E"/>
    <w:rsid w:val="6FF92E4C"/>
    <w:rsid w:val="70094F9F"/>
    <w:rsid w:val="7015217C"/>
    <w:rsid w:val="70235503"/>
    <w:rsid w:val="703E5429"/>
    <w:rsid w:val="7086223F"/>
    <w:rsid w:val="7096119C"/>
    <w:rsid w:val="70A42189"/>
    <w:rsid w:val="70C26C08"/>
    <w:rsid w:val="70C44B90"/>
    <w:rsid w:val="70C81FB9"/>
    <w:rsid w:val="70C97FA3"/>
    <w:rsid w:val="70D309E5"/>
    <w:rsid w:val="70F16899"/>
    <w:rsid w:val="71206E74"/>
    <w:rsid w:val="71251E4D"/>
    <w:rsid w:val="715040E7"/>
    <w:rsid w:val="715655E4"/>
    <w:rsid w:val="71707C29"/>
    <w:rsid w:val="71746328"/>
    <w:rsid w:val="71813549"/>
    <w:rsid w:val="71836BEC"/>
    <w:rsid w:val="718E55E1"/>
    <w:rsid w:val="718F5E78"/>
    <w:rsid w:val="71B12B5C"/>
    <w:rsid w:val="72206100"/>
    <w:rsid w:val="722334F9"/>
    <w:rsid w:val="722B0B6D"/>
    <w:rsid w:val="722B7AA2"/>
    <w:rsid w:val="725C2DEA"/>
    <w:rsid w:val="727A5F82"/>
    <w:rsid w:val="728D3C6C"/>
    <w:rsid w:val="72BB1E99"/>
    <w:rsid w:val="72D32A8A"/>
    <w:rsid w:val="72DA7F31"/>
    <w:rsid w:val="72E76800"/>
    <w:rsid w:val="731B37EF"/>
    <w:rsid w:val="735727B9"/>
    <w:rsid w:val="73593BFF"/>
    <w:rsid w:val="738B0B25"/>
    <w:rsid w:val="739E5EDA"/>
    <w:rsid w:val="739F5754"/>
    <w:rsid w:val="73A76842"/>
    <w:rsid w:val="73C7306F"/>
    <w:rsid w:val="7408457E"/>
    <w:rsid w:val="740C1CD6"/>
    <w:rsid w:val="740D37C7"/>
    <w:rsid w:val="740E01F2"/>
    <w:rsid w:val="741019C2"/>
    <w:rsid w:val="741B1658"/>
    <w:rsid w:val="741F64AF"/>
    <w:rsid w:val="7457567C"/>
    <w:rsid w:val="74A1001C"/>
    <w:rsid w:val="74EC1AFD"/>
    <w:rsid w:val="75523AA3"/>
    <w:rsid w:val="757973AB"/>
    <w:rsid w:val="757E1E22"/>
    <w:rsid w:val="7592164A"/>
    <w:rsid w:val="759466FF"/>
    <w:rsid w:val="75A34DB3"/>
    <w:rsid w:val="76AC5565"/>
    <w:rsid w:val="76B26AD2"/>
    <w:rsid w:val="76DB286E"/>
    <w:rsid w:val="76E13C18"/>
    <w:rsid w:val="76E44F4B"/>
    <w:rsid w:val="76FC6832"/>
    <w:rsid w:val="77065C31"/>
    <w:rsid w:val="770F0D13"/>
    <w:rsid w:val="77157C71"/>
    <w:rsid w:val="77902E9E"/>
    <w:rsid w:val="779C38C0"/>
    <w:rsid w:val="77A0639A"/>
    <w:rsid w:val="77B4505D"/>
    <w:rsid w:val="77C602A5"/>
    <w:rsid w:val="77C92C2D"/>
    <w:rsid w:val="78076603"/>
    <w:rsid w:val="780873C8"/>
    <w:rsid w:val="78152DB2"/>
    <w:rsid w:val="7855699D"/>
    <w:rsid w:val="78770683"/>
    <w:rsid w:val="789D5D94"/>
    <w:rsid w:val="78A038A1"/>
    <w:rsid w:val="78B56934"/>
    <w:rsid w:val="78D75971"/>
    <w:rsid w:val="78F43A53"/>
    <w:rsid w:val="79060BF6"/>
    <w:rsid w:val="790F4919"/>
    <w:rsid w:val="79137314"/>
    <w:rsid w:val="795D6954"/>
    <w:rsid w:val="796907F9"/>
    <w:rsid w:val="79777239"/>
    <w:rsid w:val="79781400"/>
    <w:rsid w:val="79D52FEF"/>
    <w:rsid w:val="79D826F7"/>
    <w:rsid w:val="79EA6245"/>
    <w:rsid w:val="79F62608"/>
    <w:rsid w:val="7A007EB2"/>
    <w:rsid w:val="7A2A0A2D"/>
    <w:rsid w:val="7A2A2B8B"/>
    <w:rsid w:val="7A401675"/>
    <w:rsid w:val="7A510603"/>
    <w:rsid w:val="7A511F10"/>
    <w:rsid w:val="7A93463A"/>
    <w:rsid w:val="7A983E35"/>
    <w:rsid w:val="7AE37C53"/>
    <w:rsid w:val="7AE82FFA"/>
    <w:rsid w:val="7AFF1C97"/>
    <w:rsid w:val="7B040DBE"/>
    <w:rsid w:val="7B273697"/>
    <w:rsid w:val="7B31750D"/>
    <w:rsid w:val="7B373B82"/>
    <w:rsid w:val="7B5256AA"/>
    <w:rsid w:val="7B774870"/>
    <w:rsid w:val="7B7B4B4A"/>
    <w:rsid w:val="7BB31052"/>
    <w:rsid w:val="7BC53C4D"/>
    <w:rsid w:val="7BFB28E9"/>
    <w:rsid w:val="7C3017BD"/>
    <w:rsid w:val="7C60061F"/>
    <w:rsid w:val="7C916DB8"/>
    <w:rsid w:val="7CAA05ED"/>
    <w:rsid w:val="7CAC6622"/>
    <w:rsid w:val="7CB473CD"/>
    <w:rsid w:val="7D30494D"/>
    <w:rsid w:val="7D790DF2"/>
    <w:rsid w:val="7D8C4D20"/>
    <w:rsid w:val="7D944339"/>
    <w:rsid w:val="7DB9789A"/>
    <w:rsid w:val="7E070AEA"/>
    <w:rsid w:val="7E155698"/>
    <w:rsid w:val="7E371C79"/>
    <w:rsid w:val="7E3D6C61"/>
    <w:rsid w:val="7E557FCF"/>
    <w:rsid w:val="7E6D15AD"/>
    <w:rsid w:val="7E887C64"/>
    <w:rsid w:val="7E98175F"/>
    <w:rsid w:val="7EBB18C9"/>
    <w:rsid w:val="7EC16D9C"/>
    <w:rsid w:val="7EC5639F"/>
    <w:rsid w:val="7EE7222F"/>
    <w:rsid w:val="7F0E6EC2"/>
    <w:rsid w:val="7F2851A8"/>
    <w:rsid w:val="7F355986"/>
    <w:rsid w:val="7F4500FB"/>
    <w:rsid w:val="7F6C1722"/>
    <w:rsid w:val="7F7A6265"/>
    <w:rsid w:val="7F7A71E6"/>
    <w:rsid w:val="7F8018D5"/>
    <w:rsid w:val="7F84083B"/>
    <w:rsid w:val="7F8E3BE7"/>
    <w:rsid w:val="7FAC3558"/>
    <w:rsid w:val="7FC651F6"/>
    <w:rsid w:val="7FD04CAE"/>
    <w:rsid w:val="7FE018C5"/>
    <w:rsid w:val="7FED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1394</Words>
  <Characters>1999</Characters>
  <Lines>0</Lines>
  <Paragraphs>0</Paragraphs>
  <TotalTime>48</TotalTime>
  <ScaleCrop>false</ScaleCrop>
  <LinksUpToDate>false</LinksUpToDate>
  <CharactersWithSpaces>2154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2023-06-05T02:02:00Z</dcterms:created>
  <dc:creator>Administrator</dc:creator>
  <cp:lastModifiedBy>NTKO</cp:lastModifiedBy>
  <cp:lastPrinted>2024-06-03T02:01:10Z</cp:lastPrinted>
  <dcterms:modified xsi:type="dcterms:W3CDTF">2024-06-03T02:45:20Z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0DE9507722364E7EAA91B4A040138BAF</vt:lpwstr>
  </property>
</Properties>
</file>