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hint="eastAsia"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lang w:eastAsia="zh-CN"/>
        </w:rPr>
        <w:t>重庆市大渡口区人力资源和社会保障局关于</w:t>
      </w:r>
      <w:r>
        <w:rPr>
          <w:rStyle w:val="10"/>
          <w:rFonts w:hint="eastAsia" w:ascii="方正小标宋_GBK" w:hAnsi="方正小标宋_GBK" w:eastAsia="方正小标宋_GBK" w:cs="方正小标宋_GBK"/>
          <w:b w:val="0"/>
          <w:bCs w:val="0"/>
          <w:sz w:val="44"/>
          <w:szCs w:val="44"/>
        </w:rPr>
        <w:t>2023年大渡口区第一批</w:t>
      </w:r>
      <w:bookmarkStart w:id="0" w:name="OLE_LINK2"/>
      <w:bookmarkStart w:id="1" w:name="OLE_LINK1"/>
    </w:p>
    <w:p>
      <w:pPr>
        <w:spacing w:line="560" w:lineRule="exact"/>
        <w:jc w:val="center"/>
        <w:rPr>
          <w:rStyle w:val="10"/>
          <w:rFonts w:hint="eastAsia"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青年就业见习基地</w:t>
      </w:r>
      <w:r>
        <w:rPr>
          <w:rStyle w:val="10"/>
          <w:rFonts w:hint="eastAsia" w:ascii="方正小标宋_GBK" w:hAnsi="方正小标宋_GBK" w:eastAsia="方正小标宋_GBK" w:cs="方正小标宋_GBK"/>
          <w:b w:val="0"/>
          <w:bCs w:val="0"/>
          <w:sz w:val="44"/>
          <w:szCs w:val="44"/>
          <w:lang w:eastAsia="zh-CN"/>
        </w:rPr>
        <w:t>的</w:t>
      </w:r>
      <w:r>
        <w:rPr>
          <w:rStyle w:val="10"/>
          <w:rFonts w:hint="eastAsia" w:ascii="方正小标宋_GBK" w:hAnsi="方正小标宋_GBK" w:eastAsia="方正小标宋_GBK" w:cs="方正小标宋_GBK"/>
          <w:b w:val="0"/>
          <w:bCs w:val="0"/>
          <w:sz w:val="44"/>
          <w:szCs w:val="44"/>
        </w:rPr>
        <w:t>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hint="eastAsia" w:ascii="方正仿宋_GBK" w:eastAsia="方正仿宋_GBK"/>
          <w:sz w:val="32"/>
          <w:szCs w:val="32"/>
        </w:rPr>
        <w:t>2016</w:t>
      </w:r>
      <w:bookmarkEnd w:id="3"/>
      <w:r>
        <w:rPr>
          <w:rFonts w:hint="eastAsia" w:ascii="方正仿宋_GBK" w:eastAsia="方正仿宋_GBK"/>
          <w:sz w:val="32"/>
          <w:szCs w:val="32"/>
        </w:rPr>
        <w:t>〕</w:t>
      </w:r>
      <w:bookmarkStart w:id="4" w:name="字号"/>
      <w:r>
        <w:rPr>
          <w:rFonts w:hint="eastAsia" w:ascii="方正仿宋_GBK"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2023年大渡口区第一批青年就业见习基地的单位情况进行公示，自觉接受监察、审计等部门的监督监察，以及社会的投诉监督。公示期为</w:t>
      </w:r>
      <w:r>
        <w:rPr>
          <w:rFonts w:hint="eastAsia" w:ascii="方正仿宋_GBK" w:eastAsia="方正仿宋_GBK"/>
          <w:color w:val="000000" w:themeColor="text1"/>
          <w:sz w:val="32"/>
          <w:szCs w:val="32"/>
        </w:rPr>
        <w:t>2023年1月18日至2023年1月29日</w:t>
      </w:r>
      <w:r>
        <w:rPr>
          <w:rFonts w:hint="eastAsia" w:ascii="方正仿宋_GBK" w:eastAsia="方正仿宋_GBK"/>
          <w:sz w:val="32"/>
          <w:szCs w:val="32"/>
        </w:rPr>
        <w:t>，公示期满如无异议，即备案为就业见习基地。</w:t>
      </w:r>
      <w:bookmarkStart w:id="5" w:name="_GoBack"/>
      <w:bookmarkEnd w:id="5"/>
    </w:p>
    <w:p>
      <w:pPr>
        <w:widowControl/>
        <w:tabs>
          <w:tab w:val="center" w:pos="6979"/>
        </w:tabs>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 xml:space="preserve">监督、投诉电话：68911374 </w:t>
      </w:r>
      <w:r>
        <w:rPr>
          <w:rFonts w:hint="eastAsia" w:ascii="方正仿宋_GBK" w:hAnsi="Arial" w:eastAsia="方正仿宋_GBK" w:cs="Arial"/>
          <w:b/>
          <w:bCs/>
          <w:kern w:val="0"/>
          <w:sz w:val="32"/>
          <w:szCs w:val="32"/>
        </w:rPr>
        <w:tab/>
      </w:r>
    </w:p>
    <w:p>
      <w:pPr>
        <w:widowControl/>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受理单位：大渡口区就业和人才中心</w:t>
      </w:r>
    </w:p>
    <w:p>
      <w:pPr>
        <w:spacing w:line="600" w:lineRule="exact"/>
        <w:ind w:firstLine="640" w:firstLineChars="200"/>
        <w:jc w:val="left"/>
        <w:rPr>
          <w:rFonts w:ascii="方正仿宋_GBK" w:eastAsia="方正仿宋_GBK"/>
          <w:sz w:val="32"/>
          <w:szCs w:val="32"/>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附件：2023年大渡口区第一批青年就业见习基地公示表</w:t>
      </w:r>
    </w:p>
    <w:p>
      <w:pPr>
        <w:spacing w:line="600" w:lineRule="exact"/>
        <w:ind w:firstLine="640" w:firstLineChars="200"/>
        <w:jc w:val="center"/>
        <w:rPr>
          <w:rFonts w:hint="eastAsia" w:ascii="方正仿宋_GBK" w:eastAsia="方正仿宋_GBK"/>
          <w:b w:val="0"/>
          <w:bCs w:val="0"/>
          <w:sz w:val="32"/>
          <w:szCs w:val="32"/>
          <w:lang w:eastAsia="zh-CN"/>
        </w:rPr>
      </w:pPr>
    </w:p>
    <w:p>
      <w:pPr>
        <w:spacing w:line="600" w:lineRule="exact"/>
        <w:ind w:firstLine="640" w:firstLineChars="200"/>
        <w:jc w:val="center"/>
        <w:rPr>
          <w:rFonts w:hint="eastAsia" w:ascii="方正仿宋_GBK" w:eastAsia="方正仿宋_GBK"/>
          <w:b w:val="0"/>
          <w:bCs w:val="0"/>
          <w:sz w:val="32"/>
          <w:szCs w:val="32"/>
          <w:lang w:eastAsia="zh-CN"/>
        </w:rPr>
      </w:pPr>
    </w:p>
    <w:p>
      <w:pPr>
        <w:spacing w:line="600" w:lineRule="exact"/>
        <w:ind w:firstLine="640" w:firstLineChars="200"/>
        <w:jc w:val="center"/>
        <w:rPr>
          <w:rFonts w:ascii="方正仿宋_GBK" w:hAnsi="方正仿宋_GBK" w:eastAsia="方正仿宋_GBK" w:cs="方正仿宋_GBK"/>
          <w:b w:val="0"/>
          <w:bCs w:val="0"/>
          <w:sz w:val="32"/>
          <w:szCs w:val="32"/>
        </w:rPr>
      </w:pPr>
      <w:r>
        <w:rPr>
          <w:rFonts w:hint="eastAsia" w:ascii="方正仿宋_GBK" w:eastAsia="方正仿宋_GBK"/>
          <w:b w:val="0"/>
          <w:bCs w:val="0"/>
          <w:sz w:val="32"/>
          <w:szCs w:val="32"/>
          <w:lang w:eastAsia="zh-CN"/>
        </w:rPr>
        <w:t>重庆市大渡口区人力资源和社会保障局</w:t>
      </w:r>
      <w:r>
        <w:rPr>
          <w:rFonts w:hint="eastAsia" w:ascii="方正仿宋_GBK" w:hAnsi="方正仿宋_GBK" w:eastAsia="方正仿宋_GBK" w:cs="方正仿宋_GBK"/>
          <w:b w:val="0"/>
          <w:bCs w:val="0"/>
          <w:sz w:val="32"/>
          <w:szCs w:val="32"/>
        </w:rPr>
        <w:t xml:space="preserve">                    2023年1月17日</w:t>
      </w:r>
    </w:p>
    <w:p>
      <w:pPr>
        <w:widowControl/>
        <w:spacing w:line="300" w:lineRule="atLeast"/>
        <w:ind w:firstLine="646"/>
        <w:jc w:val="center"/>
        <w:rPr>
          <w:rStyle w:val="10"/>
          <w:rFonts w:ascii="方正仿宋_GBK" w:hAnsi="Verdana" w:eastAsia="方正仿宋_GBK"/>
          <w:bCs w:val="0"/>
        </w:rPr>
      </w:pPr>
    </w:p>
    <w:p>
      <w:pPr>
        <w:widowControl/>
        <w:spacing w:line="300" w:lineRule="atLeast"/>
        <w:ind w:firstLine="646"/>
        <w:jc w:val="center"/>
        <w:rPr>
          <w:rStyle w:val="10"/>
          <w:rFonts w:ascii="方正仿宋_GBK" w:hAnsi="Verdana" w:eastAsia="方正仿宋_GBK"/>
          <w:bCs w:val="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2023年大渡口区第一批青年就业见习基地公示表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重庆市大渡口区好未来艺术培训有限公司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学校/培训机构</w:t>
            </w:r>
          </w:p>
        </w:tc>
        <w:tc>
          <w:tcPr>
            <w:tcW w:w="1605" w:type="dxa"/>
            <w:vAlign w:val="center"/>
          </w:tcPr>
          <w:p>
            <w:pPr>
              <w:rPr>
                <w:rFonts w:ascii="仿宋" w:hAnsi="仿宋" w:eastAsia="仿宋" w:cs="仿宋"/>
              </w:rPr>
            </w:pPr>
            <w:r>
              <w:rPr>
                <w:rFonts w:hint="eastAsia" w:ascii="仿宋" w:hAnsi="仿宋" w:eastAsia="仿宋" w:cs="仿宋"/>
              </w:rPr>
              <w:t>春晖路街道松青路1099号附17号的“新天泽国际广场”裙楼2F层009-1</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语言老师、教务老师、销售人员</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从事艺术培训的营利性民办培训机构（除面向中小学生、学龄前儿童开展的学科类、语言类文化教育培训）。</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重庆鸿都建筑工程有限公司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建筑业/工程/施工</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大渡口区翠柏路104号5幢10-6</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资料员</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鸿都建筑工程有限公司创立于2020年，我们以做精做实做强做大建筑施工业为目标，以科技创新、管理创新为重点。优化企业经营结构，提升企业管理水平，扩大市场占有率。公司以市场为向导，坚持以“以诚取信、以质取胜”的经营理念和“成就员工、服务业主、发展企业”的管理理念。</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D2C6E"/>
    <w:rsid w:val="000E5855"/>
    <w:rsid w:val="000F77CD"/>
    <w:rsid w:val="00102BFE"/>
    <w:rsid w:val="00113DF6"/>
    <w:rsid w:val="00127B66"/>
    <w:rsid w:val="00131D2B"/>
    <w:rsid w:val="00132FFF"/>
    <w:rsid w:val="0014485A"/>
    <w:rsid w:val="00154D0E"/>
    <w:rsid w:val="00176A60"/>
    <w:rsid w:val="001949F5"/>
    <w:rsid w:val="00196AAD"/>
    <w:rsid w:val="001B478F"/>
    <w:rsid w:val="001C0366"/>
    <w:rsid w:val="001F2BFD"/>
    <w:rsid w:val="001F5809"/>
    <w:rsid w:val="002068EA"/>
    <w:rsid w:val="00225278"/>
    <w:rsid w:val="00231CA9"/>
    <w:rsid w:val="002328EE"/>
    <w:rsid w:val="002410EF"/>
    <w:rsid w:val="002467F5"/>
    <w:rsid w:val="00251DAE"/>
    <w:rsid w:val="00256E0B"/>
    <w:rsid w:val="0027180B"/>
    <w:rsid w:val="00276C7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FE8"/>
    <w:rsid w:val="003611AA"/>
    <w:rsid w:val="003619F8"/>
    <w:rsid w:val="003621BD"/>
    <w:rsid w:val="003640C8"/>
    <w:rsid w:val="00371FCD"/>
    <w:rsid w:val="00386738"/>
    <w:rsid w:val="00386BE9"/>
    <w:rsid w:val="003B41D6"/>
    <w:rsid w:val="003B6B7F"/>
    <w:rsid w:val="003C037D"/>
    <w:rsid w:val="003C526B"/>
    <w:rsid w:val="00416EB9"/>
    <w:rsid w:val="00422A49"/>
    <w:rsid w:val="0042750D"/>
    <w:rsid w:val="00443AA5"/>
    <w:rsid w:val="00451F92"/>
    <w:rsid w:val="0045375B"/>
    <w:rsid w:val="00461E34"/>
    <w:rsid w:val="00465A82"/>
    <w:rsid w:val="004B4652"/>
    <w:rsid w:val="004C7421"/>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32E8"/>
    <w:rsid w:val="005D7FA2"/>
    <w:rsid w:val="005E080F"/>
    <w:rsid w:val="005E16D1"/>
    <w:rsid w:val="005E3E44"/>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1EE6"/>
    <w:rsid w:val="006D4A33"/>
    <w:rsid w:val="006D6C67"/>
    <w:rsid w:val="006E6133"/>
    <w:rsid w:val="00700254"/>
    <w:rsid w:val="007012D9"/>
    <w:rsid w:val="007033C7"/>
    <w:rsid w:val="007068E3"/>
    <w:rsid w:val="00710F67"/>
    <w:rsid w:val="0072179A"/>
    <w:rsid w:val="00730981"/>
    <w:rsid w:val="00731B2F"/>
    <w:rsid w:val="00732C18"/>
    <w:rsid w:val="00750262"/>
    <w:rsid w:val="0075222A"/>
    <w:rsid w:val="007531FC"/>
    <w:rsid w:val="00765129"/>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B0600"/>
    <w:rsid w:val="008B37E8"/>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415A"/>
    <w:rsid w:val="00A16D48"/>
    <w:rsid w:val="00A20927"/>
    <w:rsid w:val="00A220A9"/>
    <w:rsid w:val="00A27E3D"/>
    <w:rsid w:val="00A305DC"/>
    <w:rsid w:val="00A34F14"/>
    <w:rsid w:val="00A4137B"/>
    <w:rsid w:val="00A428DE"/>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518D8"/>
    <w:rsid w:val="00B81643"/>
    <w:rsid w:val="00B92F9B"/>
    <w:rsid w:val="00BC22C5"/>
    <w:rsid w:val="00BC3829"/>
    <w:rsid w:val="00BC7E2E"/>
    <w:rsid w:val="00BD557F"/>
    <w:rsid w:val="00BD55C4"/>
    <w:rsid w:val="00BD5C0A"/>
    <w:rsid w:val="00BE06C1"/>
    <w:rsid w:val="00BE42ED"/>
    <w:rsid w:val="00BF0472"/>
    <w:rsid w:val="00BF0943"/>
    <w:rsid w:val="00BF5D88"/>
    <w:rsid w:val="00C07E96"/>
    <w:rsid w:val="00C10FAC"/>
    <w:rsid w:val="00C16FC5"/>
    <w:rsid w:val="00C250A5"/>
    <w:rsid w:val="00C26451"/>
    <w:rsid w:val="00C30595"/>
    <w:rsid w:val="00C308C9"/>
    <w:rsid w:val="00C36722"/>
    <w:rsid w:val="00C37FD9"/>
    <w:rsid w:val="00C44D3F"/>
    <w:rsid w:val="00C46A98"/>
    <w:rsid w:val="00C667BD"/>
    <w:rsid w:val="00C92E41"/>
    <w:rsid w:val="00CB0C10"/>
    <w:rsid w:val="00CB5936"/>
    <w:rsid w:val="00CB752A"/>
    <w:rsid w:val="00CC4825"/>
    <w:rsid w:val="00D250D5"/>
    <w:rsid w:val="00D30124"/>
    <w:rsid w:val="00D34844"/>
    <w:rsid w:val="00D50A56"/>
    <w:rsid w:val="00D51E03"/>
    <w:rsid w:val="00D55F62"/>
    <w:rsid w:val="00D62156"/>
    <w:rsid w:val="00D75986"/>
    <w:rsid w:val="00D80736"/>
    <w:rsid w:val="00D831E4"/>
    <w:rsid w:val="00D9477C"/>
    <w:rsid w:val="00DB3CEA"/>
    <w:rsid w:val="00DC6E66"/>
    <w:rsid w:val="00DD6344"/>
    <w:rsid w:val="00DE0BFE"/>
    <w:rsid w:val="00DE38B9"/>
    <w:rsid w:val="00DE73F9"/>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F07ECA"/>
    <w:rsid w:val="00F14026"/>
    <w:rsid w:val="00F2456A"/>
    <w:rsid w:val="00F27B2D"/>
    <w:rsid w:val="00F52CF8"/>
    <w:rsid w:val="00F5764D"/>
    <w:rsid w:val="00F656C7"/>
    <w:rsid w:val="00F831A3"/>
    <w:rsid w:val="00F9671E"/>
    <w:rsid w:val="00FB59DD"/>
    <w:rsid w:val="00FC0FC8"/>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DF8261"/>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2</Pages>
  <Words>121</Words>
  <Characters>695</Characters>
  <Lines>5</Lines>
  <Paragraphs>1</Paragraphs>
  <TotalTime>137</TotalTime>
  <ScaleCrop>false</ScaleCrop>
  <LinksUpToDate>false</LinksUpToDate>
  <CharactersWithSpaces>815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2016-12-12T10:22:00Z</dcterms:created>
  <dc:creator>杜晶</dc:creator>
  <cp:lastModifiedBy>uos</cp:lastModifiedBy>
  <cp:lastPrinted>2022-12-27T15:32:00Z</cp:lastPrinted>
  <dcterms:modified xsi:type="dcterms:W3CDTF">2023-01-17T14:34:06Z</dcterms:modified>
  <dc:title>2015年第四十五批重庆市高校毕业生就业见习基地公示</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0_cloud</vt:lpwstr>
  </property>
  <property fmtid="{D5CDD505-2E9C-101B-9397-08002B2CF9AE}" pid="4" name="ICV">
    <vt:lpwstr>45DF74E97958469C886B404DA615A095</vt:lpwstr>
  </property>
</Properties>
</file>