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重庆市大渡口区人力资源和社会保障局关于2023年第四批</w:t>
      </w:r>
      <w:bookmarkStart w:id="0" w:name="OLE_LINK2"/>
      <w:bookmarkStart w:id="1" w:name="OLE_LINK1"/>
      <w:r>
        <w:rPr>
          <w:rStyle w:val="10"/>
          <w:rFonts w:hint="eastAsia" w:ascii="方正小标宋_GBK" w:hAnsi="方正小标宋_GBK" w:eastAsia="方正小标宋_GBK" w:cs="方正小标宋_GBK"/>
          <w:b w:val="0"/>
          <w:bCs w:val="0"/>
          <w:sz w:val="44"/>
          <w:szCs w:val="44"/>
        </w:rPr>
        <w:t>青年就业见习基地的公示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ascii="Times New Roman" w:hAnsi="Times New Roman" w:eastAsia="方正仿宋_GBK"/>
          <w:sz w:val="32"/>
          <w:szCs w:val="32"/>
        </w:rPr>
        <w:t>2016</w:t>
      </w:r>
      <w:bookmarkEnd w:id="3"/>
      <w:r>
        <w:rPr>
          <w:rFonts w:hint="eastAsia" w:ascii="方正仿宋_GBK" w:eastAsia="方正仿宋_GBK"/>
          <w:sz w:val="32"/>
          <w:szCs w:val="32"/>
        </w:rPr>
        <w:t>〕</w:t>
      </w:r>
      <w:bookmarkStart w:id="4" w:name="字号"/>
      <w:r>
        <w:rPr>
          <w:rFonts w:ascii="Times New Roman" w:hAnsi="Times New Roman"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w:t>
      </w:r>
      <w:r>
        <w:rPr>
          <w:rFonts w:ascii="Times New Roman" w:hAnsi="Times New Roman" w:eastAsia="方正仿宋_GBK"/>
          <w:sz w:val="32"/>
          <w:szCs w:val="32"/>
        </w:rPr>
        <w:t>2018</w:t>
      </w:r>
      <w:r>
        <w:rPr>
          <w:rFonts w:hint="eastAsia" w:ascii="方正仿宋_GBK" w:eastAsia="方正仿宋_GBK"/>
          <w:sz w:val="32"/>
          <w:szCs w:val="32"/>
        </w:rPr>
        <w:t>〕</w:t>
      </w:r>
      <w:r>
        <w:rPr>
          <w:rFonts w:ascii="Times New Roman" w:hAnsi="Times New Roman" w:eastAsia="方正仿宋_GBK"/>
          <w:sz w:val="32"/>
          <w:szCs w:val="32"/>
        </w:rPr>
        <w:t>96</w:t>
      </w:r>
      <w:r>
        <w:rPr>
          <w:rFonts w:hint="eastAsia" w:ascii="方正仿宋_GBK" w:eastAsia="方正仿宋_GBK"/>
          <w:sz w:val="32"/>
          <w:szCs w:val="32"/>
        </w:rPr>
        <w:t>号）《重庆市人力资源和社会保障局等</w:t>
      </w:r>
      <w:r>
        <w:rPr>
          <w:rFonts w:ascii="Times New Roman" w:hAnsi="Times New Roman" w:eastAsia="方正仿宋_GBK"/>
          <w:sz w:val="32"/>
          <w:szCs w:val="32"/>
        </w:rPr>
        <w:t>6</w:t>
      </w:r>
      <w:r>
        <w:rPr>
          <w:rFonts w:hint="eastAsia" w:ascii="方正仿宋_GBK" w:eastAsia="方正仿宋_GBK"/>
          <w:sz w:val="32"/>
          <w:szCs w:val="32"/>
        </w:rPr>
        <w:t>个部门关于实施万名青年见习计划的通知》（渝人社发〔</w:t>
      </w:r>
      <w:r>
        <w:rPr>
          <w:rFonts w:ascii="Times New Roman" w:hAnsi="Times New Roman" w:eastAsia="方正仿宋_GBK"/>
          <w:sz w:val="32"/>
          <w:szCs w:val="32"/>
        </w:rPr>
        <w:t>2019</w:t>
      </w:r>
      <w:r>
        <w:rPr>
          <w:rFonts w:hint="eastAsia" w:ascii="方正仿宋_GBK" w:eastAsia="方正仿宋_GBK"/>
          <w:sz w:val="32"/>
          <w:szCs w:val="32"/>
        </w:rPr>
        <w:t>〕</w:t>
      </w:r>
      <w:r>
        <w:rPr>
          <w:rFonts w:ascii="Times New Roman" w:hAnsi="Times New Roman" w:eastAsia="方正仿宋_GBK"/>
          <w:sz w:val="32"/>
          <w:szCs w:val="32"/>
        </w:rPr>
        <w:t>76</w:t>
      </w:r>
      <w:r>
        <w:rPr>
          <w:rFonts w:hint="eastAsia" w:ascii="方正仿宋_GBK" w:eastAsia="方正仿宋_GBK"/>
          <w:sz w:val="32"/>
          <w:szCs w:val="32"/>
        </w:rPr>
        <w:t>号）要求，现对</w:t>
      </w:r>
      <w:r>
        <w:rPr>
          <w:rFonts w:ascii="Times New Roman" w:hAnsi="Times New Roman" w:eastAsia="方正仿宋_GBK"/>
          <w:sz w:val="32"/>
          <w:szCs w:val="32"/>
        </w:rPr>
        <w:t>2023</w:t>
      </w:r>
      <w:r>
        <w:rPr>
          <w:rFonts w:hint="eastAsia" w:ascii="方正仿宋_GBK" w:eastAsia="方正仿宋_GBK"/>
          <w:sz w:val="32"/>
          <w:szCs w:val="32"/>
        </w:rPr>
        <w:t>年大渡口区第四批青年就业见习基地的单位情况进行公示，自觉接受监察、审计等部门的监督监察，以及社会的投诉监督。公示期为</w:t>
      </w:r>
      <w:r>
        <w:rPr>
          <w:rFonts w:ascii="Times New Roman" w:hAnsi="Times New Roman" w:eastAsia="方正仿宋_GBK"/>
          <w:color w:val="auto"/>
          <w:sz w:val="32"/>
          <w:szCs w:val="32"/>
        </w:rPr>
        <w:t>2023</w:t>
      </w:r>
      <w:r>
        <w:rPr>
          <w:rFonts w:hint="eastAsia" w:ascii="方正仿宋_GBK" w:eastAsia="方正仿宋_GBK"/>
          <w:color w:val="auto"/>
          <w:sz w:val="32"/>
          <w:szCs w:val="32"/>
        </w:rPr>
        <w:t>年4月</w:t>
      </w: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lang w:val="en-US" w:eastAsia="zh-CN"/>
        </w:rPr>
        <w:t>7</w:t>
      </w:r>
      <w:r>
        <w:rPr>
          <w:rFonts w:hint="eastAsia" w:ascii="方正仿宋_GBK" w:eastAsia="方正仿宋_GBK"/>
          <w:color w:val="auto"/>
          <w:sz w:val="32"/>
          <w:szCs w:val="32"/>
        </w:rPr>
        <w:t>日至</w:t>
      </w:r>
      <w:r>
        <w:rPr>
          <w:rFonts w:ascii="Times New Roman" w:hAnsi="Times New Roman" w:eastAsia="方正仿宋_GBK"/>
          <w:color w:val="auto"/>
          <w:sz w:val="32"/>
          <w:szCs w:val="32"/>
        </w:rPr>
        <w:t>2023</w:t>
      </w:r>
      <w:r>
        <w:rPr>
          <w:rFonts w:hint="eastAsia" w:ascii="方正仿宋_GBK" w:eastAsia="方正仿宋_GBK"/>
          <w:color w:val="auto"/>
          <w:sz w:val="32"/>
          <w:szCs w:val="32"/>
        </w:rPr>
        <w:t>年5月</w:t>
      </w: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日</w:t>
      </w:r>
      <w:r>
        <w:rPr>
          <w:rFonts w:hint="eastAsia" w:ascii="方正仿宋_GBK" w:eastAsia="方正仿宋_GBK"/>
          <w:sz w:val="32"/>
          <w:szCs w:val="32"/>
        </w:rPr>
        <w:t>，公示期满如无异议，即备案为就业见习基地。</w:t>
      </w:r>
    </w:p>
    <w:p>
      <w:pPr>
        <w:widowControl/>
        <w:tabs>
          <w:tab w:val="center" w:pos="6979"/>
        </w:tabs>
        <w:spacing w:line="360" w:lineRule="auto"/>
        <w:ind w:firstLine="645"/>
        <w:rPr>
          <w:rFonts w:ascii="方正仿宋_GBK" w:hAnsi="Arial" w:eastAsia="方正仿宋_GBK" w:cs="Arial"/>
          <w:b/>
          <w:bCs/>
          <w:kern w:val="0"/>
          <w:sz w:val="32"/>
          <w:szCs w:val="32"/>
        </w:rPr>
      </w:pPr>
      <w:r>
        <w:rPr>
          <w:rFonts w:hint="eastAsia" w:ascii="方正仿宋_GBK" w:hAnsi="Arial" w:eastAsia="方正仿宋_GBK" w:cs="Arial"/>
          <w:kern w:val="0"/>
          <w:sz w:val="32"/>
          <w:szCs w:val="32"/>
        </w:rPr>
        <w:t>监督、投诉电话</w:t>
      </w:r>
      <w:r>
        <w:rPr>
          <w:rFonts w:hint="eastAsia" w:ascii="方正仿宋_GBK" w:hAnsi="Arial" w:eastAsia="方正仿宋_GBK" w:cs="Arial"/>
          <w:b/>
          <w:bCs/>
          <w:kern w:val="0"/>
          <w:sz w:val="32"/>
          <w:szCs w:val="32"/>
        </w:rPr>
        <w:t>：</w:t>
      </w:r>
      <w:r>
        <w:rPr>
          <w:rFonts w:ascii="Times New Roman" w:hAnsi="Times New Roman" w:eastAsia="方正仿宋_GBK"/>
          <w:kern w:val="0"/>
          <w:sz w:val="32"/>
          <w:szCs w:val="32"/>
        </w:rPr>
        <w:t xml:space="preserve">68911374 </w:t>
      </w:r>
      <w:r>
        <w:rPr>
          <w:rFonts w:hint="eastAsia" w:ascii="方正仿宋_GBK" w:hAnsi="Arial" w:eastAsia="方正仿宋_GBK" w:cs="Arial"/>
          <w:b/>
          <w:bCs/>
          <w:kern w:val="0"/>
          <w:sz w:val="32"/>
          <w:szCs w:val="32"/>
        </w:rPr>
        <w:tab/>
      </w:r>
    </w:p>
    <w:p>
      <w:pPr>
        <w:widowControl/>
        <w:spacing w:line="360" w:lineRule="auto"/>
        <w:ind w:firstLine="645"/>
        <w:rPr>
          <w:rFonts w:ascii="方正仿宋_GBK" w:hAnsi="Arial" w:eastAsia="方正仿宋_GBK" w:cs="Arial"/>
          <w:kern w:val="0"/>
          <w:sz w:val="32"/>
          <w:szCs w:val="32"/>
        </w:rPr>
      </w:pPr>
      <w:r>
        <w:rPr>
          <w:rFonts w:hint="eastAsia" w:ascii="方正仿宋_GBK" w:hAnsi="Arial" w:eastAsia="方正仿宋_GBK" w:cs="Arial"/>
          <w:kern w:val="0"/>
          <w:sz w:val="32"/>
          <w:szCs w:val="32"/>
        </w:rPr>
        <w:t>受理单位：大渡口区就业和人才中心</w:t>
      </w:r>
    </w:p>
    <w:p>
      <w:pPr>
        <w:spacing w:line="600" w:lineRule="exact"/>
        <w:ind w:firstLine="640" w:firstLineChars="200"/>
        <w:jc w:val="left"/>
        <w:rPr>
          <w:rFonts w:ascii="方正仿宋_GBK" w:eastAsia="方正仿宋_GBK"/>
          <w:sz w:val="32"/>
          <w:szCs w:val="32"/>
        </w:rPr>
      </w:pP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w:t>
      </w:r>
      <w:r>
        <w:rPr>
          <w:rFonts w:ascii="Times New Roman" w:hAnsi="Times New Roman" w:eastAsia="方正仿宋_GBK"/>
          <w:sz w:val="32"/>
          <w:szCs w:val="32"/>
        </w:rPr>
        <w:t>2023</w:t>
      </w:r>
      <w:r>
        <w:rPr>
          <w:rFonts w:hint="eastAsia" w:ascii="方正仿宋_GBK" w:eastAsia="方正仿宋_GBK"/>
          <w:sz w:val="32"/>
          <w:szCs w:val="32"/>
        </w:rPr>
        <w:t>年大渡口区第四批青年就业见习基地公示表</w:t>
      </w:r>
    </w:p>
    <w:p>
      <w:pPr>
        <w:spacing w:line="600" w:lineRule="exact"/>
        <w:ind w:firstLine="640" w:firstLineChars="200"/>
        <w:jc w:val="center"/>
        <w:rPr>
          <w:rFonts w:ascii="方正仿宋_GBK" w:hAnsi="方正仿宋_GBK" w:eastAsia="方正仿宋_GBK" w:cs="方正仿宋_GBK"/>
          <w:b/>
          <w:bCs/>
          <w:color w:val="000000" w:themeColor="text1"/>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重庆市大渡口区人力资源和社会保障局</w:t>
      </w:r>
    </w:p>
    <w:p>
      <w:pPr>
        <w:widowControl/>
        <w:spacing w:line="300" w:lineRule="atLeast"/>
        <w:ind w:firstLine="646"/>
        <w:jc w:val="center"/>
        <w:rPr>
          <w:rStyle w:val="10"/>
          <w:rFonts w:ascii="Times New Roman" w:hAnsi="Times New Roman" w:eastAsia="方正仿宋_GBK"/>
          <w:b w:val="0"/>
          <w:color w:val="auto"/>
          <w:sz w:val="32"/>
          <w:szCs w:val="32"/>
        </w:rPr>
      </w:pPr>
      <w:r>
        <w:rPr>
          <w:rStyle w:val="10"/>
          <w:rFonts w:hint="eastAsia" w:ascii="Times New Roman" w:hAnsi="Times New Roman" w:eastAsia="方正仿宋_GBK"/>
          <w:b w:val="0"/>
          <w:color w:val="FF0000"/>
          <w:sz w:val="32"/>
          <w:szCs w:val="32"/>
          <w:lang w:val="en-US" w:eastAsia="zh-CN"/>
        </w:rPr>
        <w:t xml:space="preserve">                                 </w:t>
      </w:r>
      <w:r>
        <w:rPr>
          <w:rStyle w:val="10"/>
          <w:rFonts w:ascii="Times New Roman" w:hAnsi="Times New Roman" w:eastAsia="方正仿宋_GBK"/>
          <w:b w:val="0"/>
          <w:color w:val="auto"/>
          <w:sz w:val="32"/>
          <w:szCs w:val="32"/>
        </w:rPr>
        <w:t>2023年</w:t>
      </w:r>
      <w:r>
        <w:rPr>
          <w:rStyle w:val="10"/>
          <w:rFonts w:hint="eastAsia" w:ascii="Times New Roman" w:hAnsi="Times New Roman" w:eastAsia="方正仿宋_GBK"/>
          <w:b w:val="0"/>
          <w:color w:val="auto"/>
          <w:sz w:val="32"/>
          <w:szCs w:val="32"/>
        </w:rPr>
        <w:t>4</w:t>
      </w:r>
      <w:r>
        <w:rPr>
          <w:rStyle w:val="10"/>
          <w:rFonts w:ascii="Times New Roman" w:hAnsi="Times New Roman" w:eastAsia="方正仿宋_GBK"/>
          <w:b w:val="0"/>
          <w:color w:val="auto"/>
          <w:sz w:val="32"/>
          <w:szCs w:val="32"/>
        </w:rPr>
        <w:t>月2</w:t>
      </w:r>
      <w:r>
        <w:rPr>
          <w:rStyle w:val="10"/>
          <w:rFonts w:hint="eastAsia" w:ascii="Times New Roman" w:hAnsi="Times New Roman" w:eastAsia="方正仿宋_GBK"/>
          <w:b w:val="0"/>
          <w:color w:val="auto"/>
          <w:sz w:val="32"/>
          <w:szCs w:val="32"/>
          <w:lang w:val="en-US" w:eastAsia="zh-CN"/>
        </w:rPr>
        <w:t>6</w:t>
      </w:r>
      <w:r>
        <w:rPr>
          <w:rStyle w:val="10"/>
          <w:rFonts w:ascii="Times New Roman" w:hAnsi="Times New Roman" w:eastAsia="方正仿宋_GBK"/>
          <w:b w:val="0"/>
          <w:color w:val="auto"/>
          <w:sz w:val="32"/>
          <w:szCs w:val="32"/>
        </w:rPr>
        <w:t>日</w:t>
      </w:r>
      <w:bookmarkStart w:id="5" w:name="_GoBack"/>
      <w:bookmarkEnd w:id="5"/>
    </w:p>
    <w:p>
      <w:pPr>
        <w:widowControl/>
        <w:spacing w:line="300" w:lineRule="atLeast"/>
        <w:ind w:firstLine="646"/>
        <w:jc w:val="center"/>
        <w:rPr>
          <w:rStyle w:val="10"/>
          <w:rFonts w:ascii="方正仿宋_GBK" w:hAnsi="Verdana" w:eastAsia="方正仿宋_GBK"/>
          <w:bCs w:val="0"/>
          <w:color w:val="FF0000"/>
        </w:rPr>
      </w:pPr>
    </w:p>
    <w:p>
      <w:pPr>
        <w:widowControl/>
        <w:spacing w:line="300" w:lineRule="atLeast"/>
        <w:ind w:firstLine="646"/>
        <w:jc w:val="center"/>
        <w:rPr>
          <w:rStyle w:val="10"/>
          <w:rFonts w:ascii="方正仿宋_GBK" w:hAnsi="Verdana" w:eastAsia="方正仿宋_GBK"/>
          <w:bCs w:val="0"/>
        </w:rPr>
      </w:pPr>
    </w:p>
    <w:p>
      <w:pPr>
        <w:widowControl/>
        <w:spacing w:line="300" w:lineRule="atLeast"/>
        <w:ind w:firstLine="646"/>
        <w:jc w:val="center"/>
        <w:rPr>
          <w:rStyle w:val="10"/>
          <w:rFonts w:ascii="方正仿宋_GBK" w:hAnsi="Verdana" w:eastAsia="方正仿宋_GBK"/>
          <w:bCs w:val="0"/>
        </w:rPr>
      </w:pPr>
    </w:p>
    <w:p>
      <w:pPr>
        <w:widowControl/>
        <w:spacing w:line="300" w:lineRule="atLeast"/>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2023年大渡口区第四批青年就业见习基地公示表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重庆艺禾晟汽车服务有限公司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rPr>
                <w:rFonts w:ascii="仿宋" w:hAnsi="仿宋" w:eastAsia="仿宋" w:cs="仿宋"/>
              </w:rPr>
            </w:pPr>
            <w:r>
              <w:rPr>
                <w:rFonts w:hint="eastAsia" w:ascii="仿宋" w:hAnsi="仿宋" w:eastAsia="仿宋" w:cs="仿宋"/>
              </w:rPr>
              <w:t>大渡口区春晖路街道松青路812号负2-41</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汽车维修技师</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目前公司处于发展阶段，根据公司发展需要还有面向社会招聘4人的汽车维修人员。目前公司经营汽车维修及维护、车身清洗、机动车改装、汽车新车销售、汽车零配件零售等服务，争取发展成为重庆知名企业。</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重庆佩奇大药房有限公司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医疗/卫生/护理</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大渡口区八桥镇金阳路191号负1-1</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电商销售员、自媒体、仓库打包员、内勤文员、美工、业务员</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佩奇大药房有限公司成立于2019-04-01，法定代表人为李俊，注册资本为100万元人民币，企业地址位于重庆市大渡口区八桥镇金阳路191号负1-1（自主承诺），所属行业为零售业，经营范围包含：许可项目:销售:药品、食品、医疗器械、保健食品。</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重庆市大渡口区金贝贝幼儿园</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民办非企业</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学校/培训机构</w:t>
            </w:r>
          </w:p>
        </w:tc>
        <w:tc>
          <w:tcPr>
            <w:tcW w:w="1605" w:type="dxa"/>
            <w:vAlign w:val="center"/>
          </w:tcPr>
          <w:p>
            <w:pPr>
              <w:rPr>
                <w:rFonts w:ascii="仿宋" w:hAnsi="仿宋" w:eastAsia="仿宋" w:cs="仿宋"/>
              </w:rPr>
            </w:pPr>
            <w:r>
              <w:rPr>
                <w:rFonts w:hint="eastAsia" w:ascii="仿宋" w:hAnsi="仿宋" w:eastAsia="仿宋" w:cs="仿宋"/>
              </w:rPr>
              <w:t>大渡口区松青路812号附14号3-1</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幼师</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幼儿园环境优美，设施齐全，有专门的活动室。以“一切为了孩子”为宗旨，培养孩子基本的自理能力和良好的生活习惯，和同伴友好相处，适应集体环境，分工合作。用唱歌、舞蹈、绘画、手工、表演、游戏等形式，让幼儿体验美、感觉美，激发想象力和创造力。</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重庆市大渡口区杨渡路三色幼儿园</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民办非企业</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学校/培训机构</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大渡口区杨渡路639号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实习老师</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幼儿园拥有经验丰富的幼儿教师20余名，可以从事带教工作，其在本领域拥有多年实战经验和扎实的工作技能；幼儿园为进一步完善员工的实习期间管理工作，制定了本幼儿园的见习管理制度。</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5</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重庆市大渡口区酷特幼儿园</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民办非企业</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教育/培训/院校</w:t>
            </w:r>
          </w:p>
        </w:tc>
        <w:tc>
          <w:tcPr>
            <w:tcW w:w="1605" w:type="dxa"/>
            <w:vAlign w:val="center"/>
          </w:tcPr>
          <w:p>
            <w:pPr>
              <w:rPr>
                <w:rFonts w:ascii="仿宋" w:hAnsi="仿宋" w:eastAsia="仿宋" w:cs="仿宋"/>
              </w:rPr>
            </w:pPr>
            <w:r>
              <w:rPr>
                <w:rFonts w:hint="eastAsia" w:ascii="仿宋" w:hAnsi="仿宋" w:eastAsia="仿宋" w:cs="仿宋"/>
              </w:rPr>
              <w:t>大渡口区山海路6号附5号2-1至2-10</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幼师</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酷特幼儿园是一家由酷特教育集团创办的全日制民办高品质幼儿园，具有完善的教育教学体系及全日制侵入式英文学习环境。酷特幼儿园立足本土教育的基础上吸收西方公学精英教育理念，让孩子在成长中学会做事，学会做人，学会与人相处，学会学习，学会引领。</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6</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重庆市大渡口区四季童话幼儿园</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民办非企业</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学校/培训机构</w:t>
            </w:r>
          </w:p>
        </w:tc>
        <w:tc>
          <w:tcPr>
            <w:tcW w:w="1605" w:type="dxa"/>
            <w:vAlign w:val="center"/>
          </w:tcPr>
          <w:p>
            <w:pPr>
              <w:rPr>
                <w:rFonts w:ascii="仿宋" w:hAnsi="仿宋" w:eastAsia="仿宋" w:cs="仿宋"/>
              </w:rPr>
            </w:pPr>
            <w:r>
              <w:rPr>
                <w:rFonts w:hint="eastAsia" w:ascii="仿宋" w:hAnsi="仿宋" w:eastAsia="仿宋" w:cs="仿宋"/>
              </w:rPr>
              <w:t>大渡口区春晖路68号豪俊阁4栋</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幼师</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四季童话幼儿园成立于2012年，是教委评定的二级园。幼儿园交通便利，环境优美，拥有三块户外场地，满足孩子的户外运动空间。以“用爱教育、用心教育”为我们的办学理念，“让孩子们健康+快乐+聪慧+发展”是我们的办学目标。</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7</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重庆市大渡口区三昇幼儿园</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民办非企业</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学校/培训机构</w:t>
            </w:r>
          </w:p>
        </w:tc>
        <w:tc>
          <w:tcPr>
            <w:tcW w:w="1605" w:type="dxa"/>
            <w:vAlign w:val="center"/>
          </w:tcPr>
          <w:p>
            <w:pPr>
              <w:rPr>
                <w:rFonts w:ascii="仿宋" w:hAnsi="仿宋" w:eastAsia="仿宋" w:cs="仿宋"/>
              </w:rPr>
            </w:pPr>
            <w:r>
              <w:rPr>
                <w:rFonts w:hint="eastAsia" w:ascii="仿宋" w:hAnsi="仿宋" w:eastAsia="仿宋" w:cs="仿宋"/>
              </w:rPr>
              <w:t>大渡口区双城路4号盛世龙都A区7栋</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幼儿教师、人事专员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重庆市大渡口区三昇幼儿园是一家经重庆市民政局批准，主要从事对3-6岁幼儿进行学龄前教育，于2014-12-29 在重庆挂牌成立，我幼儿园迄今已经为客户提供了多年优质的服务，本着“创游艺术乐园，享受快乐童年”办园理念，园所通过艺术教育启迪幼儿心灵、慧智体能促进幼儿全面发展。</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8</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重庆德谷医学检验实验室有限公司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制药/生物工程</w:t>
            </w:r>
          </w:p>
        </w:tc>
        <w:tc>
          <w:tcPr>
            <w:tcW w:w="1605" w:type="dxa"/>
            <w:vAlign w:val="center"/>
          </w:tcPr>
          <w:p>
            <w:pPr>
              <w:rPr>
                <w:rFonts w:ascii="仿宋" w:hAnsi="仿宋" w:eastAsia="仿宋" w:cs="仿宋"/>
              </w:rPr>
            </w:pPr>
            <w:r>
              <w:rPr>
                <w:rFonts w:hint="eastAsia" w:ascii="仿宋" w:hAnsi="仿宋" w:eastAsia="仿宋" w:cs="仿宋"/>
              </w:rPr>
              <w:t>大渡口区天安数码城1期2栋902</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实验技术员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德谷医学拥有十万级的洁净检测实验室，荧光定量PCR仪、基因测序仪及配套检测设施，围绕临床医学检验的全面产业化思路，采用欧美独立实验室的先进管理体系和检验技术，引进国际高端质量标准，与全球医学检验同行广泛开展合作交流，并由专业的检验团队进行检测操作，以确保提供卓越的医学检验服务。</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9</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重庆市万家燕医药有限公司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批发/零售</w:t>
            </w:r>
          </w:p>
        </w:tc>
        <w:tc>
          <w:tcPr>
            <w:tcW w:w="1605" w:type="dxa"/>
            <w:vAlign w:val="center"/>
          </w:tcPr>
          <w:p>
            <w:pPr>
              <w:rPr>
                <w:rFonts w:ascii="仿宋" w:hAnsi="仿宋" w:eastAsia="仿宋" w:cs="仿宋"/>
              </w:rPr>
            </w:pPr>
            <w:r>
              <w:rPr>
                <w:rFonts w:hint="eastAsia" w:ascii="仿宋" w:hAnsi="仿宋" w:eastAsia="仿宋" w:cs="仿宋"/>
              </w:rPr>
              <w:t>大渡口区春晖路街道翠柏路101号3幢5-2、5-3</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电商仓管员、销售员、仓库管理员、验收员、配送员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市万家燕医药有限公司成立于2012-01-16，法定代表人为燕宏，注册资本为2000万元人民币，统一社会信用代码为91500108588940334F，企业地址位于重庆市大渡口区春晖路街道翠柏路101号3幢5-2、5-3，所属行业为批发业。</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10</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重庆万家燕医院有限公司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医疗/卫生/护理</w:t>
            </w:r>
          </w:p>
        </w:tc>
        <w:tc>
          <w:tcPr>
            <w:tcW w:w="1605" w:type="dxa"/>
            <w:vAlign w:val="center"/>
          </w:tcPr>
          <w:p>
            <w:pPr>
              <w:rPr>
                <w:rFonts w:ascii="仿宋" w:hAnsi="仿宋" w:eastAsia="仿宋" w:cs="仿宋"/>
              </w:rPr>
            </w:pPr>
            <w:r>
              <w:rPr>
                <w:rFonts w:hint="eastAsia" w:ascii="仿宋" w:hAnsi="仿宋" w:eastAsia="仿宋" w:cs="仿宋"/>
              </w:rPr>
              <w:t>大渡口区春晖路街道柏华街23号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护士、检验员、药剂员</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经营范围包含：许可项目：预防保健科、内科、外科、妇产科、妇女保健科、儿科、眼科、耳鼻咽喉科、口腔科、皮肤科、急诊医学科、康复医学科、麻醉科、医学检验科、病理科、医学影像科、中医科、计划生育专业、骨科专业、烧伤科专业、医疗美容科。</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D2C6E"/>
    <w:rsid w:val="000E5855"/>
    <w:rsid w:val="000F77CD"/>
    <w:rsid w:val="00102BFE"/>
    <w:rsid w:val="00113DF6"/>
    <w:rsid w:val="00127B66"/>
    <w:rsid w:val="00131D2B"/>
    <w:rsid w:val="00132FFF"/>
    <w:rsid w:val="0014485A"/>
    <w:rsid w:val="00154D0E"/>
    <w:rsid w:val="00176A60"/>
    <w:rsid w:val="001949F5"/>
    <w:rsid w:val="00196AAD"/>
    <w:rsid w:val="001B478F"/>
    <w:rsid w:val="001C0366"/>
    <w:rsid w:val="001E416B"/>
    <w:rsid w:val="001F25EA"/>
    <w:rsid w:val="001F2BFD"/>
    <w:rsid w:val="001F5809"/>
    <w:rsid w:val="002068EA"/>
    <w:rsid w:val="00225278"/>
    <w:rsid w:val="00231CA9"/>
    <w:rsid w:val="002328EE"/>
    <w:rsid w:val="002410EF"/>
    <w:rsid w:val="002467F5"/>
    <w:rsid w:val="0024693B"/>
    <w:rsid w:val="00251DAE"/>
    <w:rsid w:val="00256E0B"/>
    <w:rsid w:val="0027180B"/>
    <w:rsid w:val="002719CA"/>
    <w:rsid w:val="00276C7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A2C48"/>
    <w:rsid w:val="003B29C7"/>
    <w:rsid w:val="003B41D6"/>
    <w:rsid w:val="003B6B7F"/>
    <w:rsid w:val="003C037D"/>
    <w:rsid w:val="003C526B"/>
    <w:rsid w:val="003F1D43"/>
    <w:rsid w:val="00416EB9"/>
    <w:rsid w:val="00422A49"/>
    <w:rsid w:val="0042750D"/>
    <w:rsid w:val="00443AA5"/>
    <w:rsid w:val="00451F92"/>
    <w:rsid w:val="0045375B"/>
    <w:rsid w:val="00461E34"/>
    <w:rsid w:val="00465A82"/>
    <w:rsid w:val="00474CD8"/>
    <w:rsid w:val="004B4652"/>
    <w:rsid w:val="004C7421"/>
    <w:rsid w:val="004D2882"/>
    <w:rsid w:val="004E3253"/>
    <w:rsid w:val="004E3C9B"/>
    <w:rsid w:val="004F0622"/>
    <w:rsid w:val="00506957"/>
    <w:rsid w:val="00507C75"/>
    <w:rsid w:val="005113D2"/>
    <w:rsid w:val="00512BE0"/>
    <w:rsid w:val="00521105"/>
    <w:rsid w:val="0052418E"/>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180"/>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5129"/>
    <w:rsid w:val="00765C96"/>
    <w:rsid w:val="0078233A"/>
    <w:rsid w:val="00785D5A"/>
    <w:rsid w:val="0079373B"/>
    <w:rsid w:val="007A4A25"/>
    <w:rsid w:val="007C2052"/>
    <w:rsid w:val="007C483A"/>
    <w:rsid w:val="007D0A2A"/>
    <w:rsid w:val="007D0AF4"/>
    <w:rsid w:val="007D1EAD"/>
    <w:rsid w:val="007D725F"/>
    <w:rsid w:val="007F3CCE"/>
    <w:rsid w:val="007F7FC9"/>
    <w:rsid w:val="00801492"/>
    <w:rsid w:val="00804005"/>
    <w:rsid w:val="008127F5"/>
    <w:rsid w:val="00813B73"/>
    <w:rsid w:val="00822067"/>
    <w:rsid w:val="00823883"/>
    <w:rsid w:val="0083487E"/>
    <w:rsid w:val="00841B8F"/>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0029"/>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81643"/>
    <w:rsid w:val="00B92F9B"/>
    <w:rsid w:val="00BC22C5"/>
    <w:rsid w:val="00BC3829"/>
    <w:rsid w:val="00BC5824"/>
    <w:rsid w:val="00BC7E2E"/>
    <w:rsid w:val="00BD557F"/>
    <w:rsid w:val="00BD55C4"/>
    <w:rsid w:val="00BD5C0A"/>
    <w:rsid w:val="00BE06C1"/>
    <w:rsid w:val="00BE42ED"/>
    <w:rsid w:val="00BF0472"/>
    <w:rsid w:val="00BF0943"/>
    <w:rsid w:val="00BF5D88"/>
    <w:rsid w:val="00C07E96"/>
    <w:rsid w:val="00C10FAC"/>
    <w:rsid w:val="00C16FC5"/>
    <w:rsid w:val="00C250A5"/>
    <w:rsid w:val="00C26451"/>
    <w:rsid w:val="00C30595"/>
    <w:rsid w:val="00C308C9"/>
    <w:rsid w:val="00C34F8E"/>
    <w:rsid w:val="00C36722"/>
    <w:rsid w:val="00C37FD9"/>
    <w:rsid w:val="00C44D3F"/>
    <w:rsid w:val="00C46A98"/>
    <w:rsid w:val="00C531E8"/>
    <w:rsid w:val="00C667BD"/>
    <w:rsid w:val="00C715DA"/>
    <w:rsid w:val="00C92E41"/>
    <w:rsid w:val="00CB0C10"/>
    <w:rsid w:val="00CB5936"/>
    <w:rsid w:val="00CB752A"/>
    <w:rsid w:val="00CC4825"/>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B3CEA"/>
    <w:rsid w:val="00DC6E66"/>
    <w:rsid w:val="00DD6344"/>
    <w:rsid w:val="00DE0BFE"/>
    <w:rsid w:val="00DE38B9"/>
    <w:rsid w:val="00DE73F9"/>
    <w:rsid w:val="00E125EF"/>
    <w:rsid w:val="00E1627C"/>
    <w:rsid w:val="00E209F3"/>
    <w:rsid w:val="00E24742"/>
    <w:rsid w:val="00E35868"/>
    <w:rsid w:val="00E47EA7"/>
    <w:rsid w:val="00E719EF"/>
    <w:rsid w:val="00E73529"/>
    <w:rsid w:val="00E7356A"/>
    <w:rsid w:val="00E919CE"/>
    <w:rsid w:val="00E96C13"/>
    <w:rsid w:val="00EA699D"/>
    <w:rsid w:val="00EC24EB"/>
    <w:rsid w:val="00EC4F01"/>
    <w:rsid w:val="00EC7693"/>
    <w:rsid w:val="00ED0364"/>
    <w:rsid w:val="00ED420D"/>
    <w:rsid w:val="00EE5BD5"/>
    <w:rsid w:val="00EE5DCD"/>
    <w:rsid w:val="00EE6AA2"/>
    <w:rsid w:val="00EE7A25"/>
    <w:rsid w:val="00EF0934"/>
    <w:rsid w:val="00F07ECA"/>
    <w:rsid w:val="00F14026"/>
    <w:rsid w:val="00F2456A"/>
    <w:rsid w:val="00F27B2D"/>
    <w:rsid w:val="00F52CF8"/>
    <w:rsid w:val="00F5764D"/>
    <w:rsid w:val="00F656C7"/>
    <w:rsid w:val="00F676B2"/>
    <w:rsid w:val="00F70B7F"/>
    <w:rsid w:val="00F831A3"/>
    <w:rsid w:val="00F9671E"/>
    <w:rsid w:val="00FB59DD"/>
    <w:rsid w:val="00FC0FC8"/>
    <w:rsid w:val="00FC376A"/>
    <w:rsid w:val="00FC7520"/>
    <w:rsid w:val="00FD64DE"/>
    <w:rsid w:val="00FD65DD"/>
    <w:rsid w:val="00FF65B3"/>
    <w:rsid w:val="013B6252"/>
    <w:rsid w:val="01A06263"/>
    <w:rsid w:val="01C963F3"/>
    <w:rsid w:val="01D11653"/>
    <w:rsid w:val="01D83A7E"/>
    <w:rsid w:val="01EA4A15"/>
    <w:rsid w:val="022D6AAC"/>
    <w:rsid w:val="0230660E"/>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90413"/>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A539E0"/>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C184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CED5CC-41AC-4513-B078-D2BAE2100C95}">
  <ds:schemaRefs/>
</ds:datastoreItem>
</file>

<file path=docProps/app.xml><?xml version="1.0" encoding="utf-8"?>
<Properties xmlns="http://schemas.openxmlformats.org/officeDocument/2006/extended-properties" xmlns:vt="http://schemas.openxmlformats.org/officeDocument/2006/docPropsVTypes">
  <Template>Normal.dotm</Template>
  <Company>重庆人才</Company>
  <Pages>4</Pages>
  <Words>2006</Words>
  <Characters>2149</Characters>
  <Lines>16</Lines>
  <Paragraphs>4</Paragraphs>
  <TotalTime>15</TotalTime>
  <ScaleCrop>false</ScaleCrop>
  <LinksUpToDate>false</LinksUpToDate>
  <CharactersWithSpaces>2200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泡沫</cp:lastModifiedBy>
  <cp:lastPrinted>2022-12-27T07:32:00Z</cp:lastPrinted>
  <dcterms:modified xsi:type="dcterms:W3CDTF">2023-04-26T06:06:30Z</dcterms:modified>
  <dc:title>2015年第四十五批重庆市高校毕业生就业见习基地公示</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0_cloud</vt:lpwstr>
  </property>
  <property fmtid="{D5CDD505-2E9C-101B-9397-08002B2CF9AE}" pid="4" name="ICV">
    <vt:lpwstr>45DF74E97958469C886B404DA615A095</vt:lpwstr>
  </property>
</Properties>
</file>