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94" w:lineRule="exact"/>
        <w:jc w:val="center"/>
        <w:rPr>
          <w:rFonts w:ascii="Times New Roman" w:hAnsi="Times New Roman" w:eastAsia="方正小标宋_GBK" w:cs="Times New Roman"/>
          <w:color w:val="000000" w:themeColor="text1"/>
          <w:kern w:val="2"/>
          <w:sz w:val="44"/>
          <w:szCs w:val="44"/>
          <w14:textFill>
            <w14:solidFill>
              <w14:schemeClr w14:val="tx1"/>
            </w14:solidFill>
          </w14:textFill>
        </w:rPr>
      </w:pPr>
      <w:r>
        <w:rPr>
          <w:rFonts w:hint="eastAsia" w:ascii="Times New Roman" w:hAnsi="Times New Roman" w:eastAsia="方正小标宋_GBK" w:cs="Times New Roman"/>
          <w:color w:val="000000" w:themeColor="text1"/>
          <w:kern w:val="2"/>
          <w:sz w:val="44"/>
          <w:szCs w:val="44"/>
          <w:lang w:eastAsia="zh-CN"/>
          <w14:textFill>
            <w14:solidFill>
              <w14:schemeClr w14:val="tx1"/>
            </w14:solidFill>
          </w14:textFill>
        </w:rPr>
        <w:t>关于</w:t>
      </w:r>
      <w:bookmarkStart w:id="4" w:name="_GoBack"/>
      <w:bookmarkEnd w:id="4"/>
      <w:r>
        <w:rPr>
          <w:rFonts w:ascii="Times New Roman" w:hAnsi="Times New Roman" w:eastAsia="方正小标宋_GBK" w:cs="Times New Roman"/>
          <w:color w:val="000000" w:themeColor="text1"/>
          <w:kern w:val="2"/>
          <w:sz w:val="44"/>
          <w:szCs w:val="44"/>
          <w14:textFill>
            <w14:solidFill>
              <w14:schemeClr w14:val="tx1"/>
            </w14:solidFill>
          </w14:textFill>
        </w:rPr>
        <w:t>重庆市大渡口区2023年国民经济和社会</w:t>
      </w:r>
    </w:p>
    <w:p>
      <w:pPr>
        <w:widowControl w:val="0"/>
        <w:spacing w:after="0" w:line="594" w:lineRule="exact"/>
        <w:jc w:val="center"/>
        <w:rPr>
          <w:rFonts w:ascii="Times New Roman" w:hAnsi="Times New Roman" w:eastAsia="方正小标宋_GBK" w:cs="Times New Roman"/>
          <w:color w:val="000000" w:themeColor="text1"/>
          <w:kern w:val="2"/>
          <w:sz w:val="44"/>
          <w:szCs w:val="44"/>
          <w14:textFill>
            <w14:solidFill>
              <w14:schemeClr w14:val="tx1"/>
            </w14:solidFill>
          </w14:textFill>
        </w:rPr>
      </w:pPr>
      <w:r>
        <w:rPr>
          <w:rFonts w:ascii="Times New Roman" w:hAnsi="Times New Roman" w:eastAsia="方正小标宋_GBK" w:cs="Times New Roman"/>
          <w:color w:val="000000" w:themeColor="text1"/>
          <w:kern w:val="2"/>
          <w:sz w:val="44"/>
          <w:szCs w:val="44"/>
          <w14:textFill>
            <w14:solidFill>
              <w14:schemeClr w14:val="tx1"/>
            </w14:solidFill>
          </w14:textFill>
        </w:rPr>
        <w:t>发展计划执行情况及2024年计划草案的报告</w:t>
      </w:r>
    </w:p>
    <w:p>
      <w:pPr>
        <w:widowControl w:val="0"/>
        <w:spacing w:after="0" w:line="594" w:lineRule="exact"/>
        <w:jc w:val="both"/>
        <w:rPr>
          <w:rFonts w:ascii="Times New Roman" w:hAnsi="Times New Roman" w:eastAsia="方正仿宋_GBK" w:cs="Times New Roman"/>
          <w:color w:val="000000" w:themeColor="text1"/>
          <w:kern w:val="2"/>
          <w:sz w:val="32"/>
          <w:szCs w:val="32"/>
          <w14:textFill>
            <w14:solidFill>
              <w14:schemeClr w14:val="tx1"/>
            </w14:solidFill>
          </w14:textFill>
        </w:rPr>
      </w:pPr>
    </w:p>
    <w:p>
      <w:pPr>
        <w:widowControl w:val="0"/>
        <w:spacing w:after="0" w:line="594" w:lineRule="exact"/>
        <w:jc w:val="both"/>
        <w:rPr>
          <w:rFonts w:ascii="Times New Roman" w:hAnsi="Times New Roman" w:eastAsia="方正仿宋_GBK" w:cs="Times New Roman"/>
          <w:color w:val="000000" w:themeColor="text1"/>
          <w:kern w:val="2"/>
          <w:sz w:val="32"/>
          <w:szCs w:val="32"/>
          <w14:textFill>
            <w14:solidFill>
              <w14:schemeClr w14:val="tx1"/>
            </w14:solidFill>
          </w14:textFill>
        </w:rPr>
      </w:pPr>
      <w:r>
        <w:rPr>
          <w:rFonts w:ascii="Times New Roman" w:hAnsi="Times New Roman" w:eastAsia="方正仿宋_GBK" w:cs="Times New Roman"/>
          <w:color w:val="000000" w:themeColor="text1"/>
          <w:kern w:val="2"/>
          <w:sz w:val="32"/>
          <w:szCs w:val="32"/>
          <w14:textFill>
            <w14:solidFill>
              <w14:schemeClr w14:val="tx1"/>
            </w14:solidFill>
          </w14:textFill>
        </w:rPr>
        <w:t>各位代表：</w:t>
      </w:r>
    </w:p>
    <w:p>
      <w:pPr>
        <w:widowControl w:val="0"/>
        <w:spacing w:after="0" w:line="594" w:lineRule="exact"/>
        <w:ind w:firstLine="640" w:firstLineChars="200"/>
        <w:jc w:val="both"/>
        <w:rPr>
          <w:rFonts w:ascii="Times New Roman" w:hAnsi="Times New Roman" w:eastAsia="方正仿宋_GBK" w:cs="Times New Roman"/>
          <w:color w:val="000000" w:themeColor="text1"/>
          <w:kern w:val="2"/>
          <w:sz w:val="32"/>
          <w:szCs w:val="32"/>
          <w14:textFill>
            <w14:solidFill>
              <w14:schemeClr w14:val="tx1"/>
            </w14:solidFill>
          </w14:textFill>
        </w:rPr>
      </w:pPr>
      <w:r>
        <w:rPr>
          <w:rFonts w:ascii="Times New Roman" w:hAnsi="Times New Roman" w:eastAsia="方正仿宋_GBK" w:cs="Times New Roman"/>
          <w:color w:val="000000" w:themeColor="text1"/>
          <w:kern w:val="2"/>
          <w:sz w:val="32"/>
          <w:szCs w:val="32"/>
          <w14:textFill>
            <w14:solidFill>
              <w14:schemeClr w14:val="tx1"/>
            </w14:solidFill>
          </w14:textFill>
        </w:rPr>
        <w:t>受重庆市大渡口区人民政府委托，现将2023年国民经济和社会发展计划执行情况及2024年计划草案的报告提请大会审查，并请各位政协委员提出意见。</w:t>
      </w:r>
    </w:p>
    <w:p>
      <w:pPr>
        <w:widowControl w:val="0"/>
        <w:spacing w:after="0" w:line="594" w:lineRule="exact"/>
        <w:ind w:firstLine="640" w:firstLineChars="200"/>
        <w:jc w:val="both"/>
        <w:rPr>
          <w:rFonts w:ascii="Times New Roman" w:hAnsi="Times New Roman" w:eastAsia="方正黑体_GBK" w:cs="Times New Roman"/>
          <w:color w:val="000000" w:themeColor="text1"/>
          <w:kern w:val="2"/>
          <w:sz w:val="32"/>
          <w:szCs w:val="32"/>
          <w14:textFill>
            <w14:solidFill>
              <w14:schemeClr w14:val="tx1"/>
            </w14:solidFill>
          </w14:textFill>
        </w:rPr>
      </w:pPr>
      <w:r>
        <w:rPr>
          <w:rFonts w:ascii="Times New Roman" w:hAnsi="Times New Roman" w:eastAsia="方正黑体_GBK" w:cs="Times New Roman"/>
          <w:color w:val="000000" w:themeColor="text1"/>
          <w:kern w:val="2"/>
          <w:sz w:val="32"/>
          <w:szCs w:val="32"/>
          <w14:textFill>
            <w14:solidFill>
              <w14:schemeClr w14:val="tx1"/>
            </w14:solidFill>
          </w14:textFill>
        </w:rPr>
        <w:t>一、2023年国民经济和社会发展计划执行情况</w:t>
      </w:r>
    </w:p>
    <w:p>
      <w:pPr>
        <w:widowControl w:val="0"/>
        <w:spacing w:after="0" w:line="594" w:lineRule="exact"/>
        <w:ind w:firstLine="640" w:firstLineChars="200"/>
        <w:jc w:val="both"/>
        <w:rPr>
          <w:rFonts w:ascii="方正仿宋_GBK" w:hAnsi="方正仿宋_GBK" w:eastAsia="方正仿宋_GBK" w:cs="方正仿宋_GBK"/>
          <w:color w:val="000000" w:themeColor="text1"/>
          <w:kern w:val="2"/>
          <w:sz w:val="32"/>
          <w:szCs w:val="32"/>
          <w14:textFill>
            <w14:solidFill>
              <w14:schemeClr w14:val="tx1"/>
            </w14:solidFill>
          </w14:textFill>
        </w:rPr>
      </w:pPr>
      <w:r>
        <w:rPr>
          <w:rFonts w:ascii="Times New Roman" w:hAnsi="Times New Roman" w:eastAsia="方正仿宋_GBK" w:cs="Times New Roman"/>
          <w:color w:val="000000" w:themeColor="text1"/>
          <w:kern w:val="2"/>
          <w:sz w:val="32"/>
          <w14:textFill>
            <w14:solidFill>
              <w14:schemeClr w14:val="tx1"/>
            </w14:solidFill>
          </w14:textFill>
        </w:rPr>
        <w:t>2023年，是全面贯彻党的二十大精神的开局之年，是三年新冠疫情防控转段后经济恢复发展的一年。</w:t>
      </w:r>
      <w:r>
        <w:rPr>
          <w:rFonts w:ascii="Times New Roman" w:hAnsi="Times New Roman" w:eastAsia="方正仿宋_GBK" w:cs="Times New Roman"/>
          <w:color w:val="000000" w:themeColor="text1"/>
          <w:kern w:val="2"/>
          <w:sz w:val="32"/>
          <w:szCs w:val="32"/>
          <w14:textFill>
            <w14:solidFill>
              <w14:schemeClr w14:val="tx1"/>
            </w14:solidFill>
          </w14:textFill>
        </w:rPr>
        <w:t>在区委的正确领导下，在区人大、区政协的监督支持下，全区上下坚持以习近平新时代中国特色社会主义思想为指导，认真贯彻落实党中央、国务院和市委、市政府决策</w:t>
      </w:r>
      <w:r>
        <w:rPr>
          <w:rFonts w:hint="eastAsia" w:ascii="方正仿宋_GBK" w:hAnsi="方正仿宋_GBK" w:eastAsia="方正仿宋_GBK" w:cs="方正仿宋_GBK"/>
          <w:color w:val="000000" w:themeColor="text1"/>
          <w:kern w:val="2"/>
          <w:sz w:val="32"/>
          <w:szCs w:val="32"/>
          <w14:textFill>
            <w14:solidFill>
              <w14:schemeClr w14:val="tx1"/>
            </w14:solidFill>
          </w14:textFill>
        </w:rPr>
        <w:t>部署，坚持稳进增效、除险清患、改革求变、惠民有感工作导向，实施党建统领“八张报表”“八张问题清单”“五项机制”，积极应对经济下行压力，着力稳增长、扩需求、调结构、提信心、防风险，经济恢复稳定、结构持续优化、动能升级加快、改革成效明显、民生保障有力、社会大局稳定，高质量发展态势向上向好，“公园大渡口、多彩艺术湾”深入人心，现代化大渡口建设实现良好开局、迈出坚实步伐。</w:t>
      </w:r>
    </w:p>
    <w:p>
      <w:pPr>
        <w:widowControl w:val="0"/>
        <w:spacing w:after="0" w:line="594" w:lineRule="exact"/>
        <w:ind w:firstLine="640" w:firstLineChars="200"/>
        <w:jc w:val="both"/>
        <w:rPr>
          <w:rFonts w:ascii="Times New Roman" w:hAnsi="Times New Roman" w:eastAsia="方正仿宋_GBK" w:cs="Times New Roman"/>
          <w:color w:val="000000" w:themeColor="text1"/>
          <w14:textFill>
            <w14:solidFill>
              <w14:schemeClr w14:val="tx1"/>
            </w14:solidFill>
          </w14:textFill>
        </w:rPr>
      </w:pPr>
      <w:r>
        <w:rPr>
          <w:rFonts w:ascii="Times New Roman" w:hAnsi="Times New Roman" w:eastAsia="方正楷体_GBK" w:cs="Times New Roman"/>
          <w:color w:val="000000" w:themeColor="text1"/>
          <w:kern w:val="2"/>
          <w:sz w:val="32"/>
          <w:szCs w:val="32"/>
          <w14:textFill>
            <w14:solidFill>
              <w14:schemeClr w14:val="tx1"/>
            </w14:solidFill>
          </w14:textFill>
        </w:rPr>
        <w:t>——全力服务发展大局，重大战略落细落实。</w:t>
      </w:r>
      <w:r>
        <w:rPr>
          <w:rFonts w:ascii="Times New Roman" w:hAnsi="Times New Roman" w:eastAsia="方正仿宋_GBK" w:cs="Times New Roman"/>
          <w:color w:val="000000" w:themeColor="text1"/>
          <w:sz w:val="32"/>
          <w:szCs w:val="32"/>
          <w14:textFill>
            <w14:solidFill>
              <w14:schemeClr w14:val="tx1"/>
            </w14:solidFill>
          </w14:textFill>
        </w:rPr>
        <w:t>深入实施成渝地</w:t>
      </w:r>
      <w:r>
        <w:rPr>
          <w:rFonts w:hint="eastAsia" w:ascii="方正仿宋_GBK" w:hAnsi="方正仿宋_GBK" w:eastAsia="方正仿宋_GBK" w:cs="方正仿宋_GBK"/>
          <w:color w:val="000000" w:themeColor="text1"/>
          <w:sz w:val="32"/>
          <w:szCs w:val="32"/>
          <w14:textFill>
            <w14:solidFill>
              <w14:schemeClr w14:val="tx1"/>
            </w14:solidFill>
          </w14:textFill>
        </w:rPr>
        <w:t>区双城经济圈建设“一号工程”，召开全面融入成渝地区双城经济圈建设工作推进会议，印发实施大渡口区推动成渝地区双城经济圈建设行动方案，打表推进“十项行动”“四张清单”，华韶智算中心、</w:t>
      </w:r>
      <w:r>
        <w:rPr>
          <w:rFonts w:hint="eastAsia" w:ascii="方正仿宋_GBK" w:hAnsi="方正仿宋_GBK" w:eastAsia="方正仿宋_GBK" w:cs="方正仿宋_GBK"/>
          <w:color w:val="000000" w:themeColor="text1"/>
          <w:kern w:val="2"/>
          <w:sz w:val="32"/>
          <w:szCs w:val="32"/>
          <w14:textFill>
            <w14:solidFill>
              <w14:schemeClr w14:val="tx1"/>
            </w14:solidFill>
          </w14:textFill>
        </w:rPr>
        <w:t>萤</w:t>
      </w:r>
      <w:r>
        <w:rPr>
          <w:rFonts w:ascii="Times New Roman" w:hAnsi="Times New Roman" w:eastAsia="方正仿宋_GBK" w:cs="Times New Roman"/>
          <w:color w:val="000000" w:themeColor="text1"/>
          <w:kern w:val="2"/>
          <w:sz w:val="32"/>
          <w:szCs w:val="32"/>
          <w14:textFill>
            <w14:solidFill>
              <w14:schemeClr w14:val="tx1"/>
            </w14:solidFill>
          </w14:textFill>
        </w:rPr>
        <w:t>石生产基地等6个项目</w:t>
      </w:r>
      <w:r>
        <w:rPr>
          <w:rFonts w:ascii="Times New Roman" w:hAnsi="Times New Roman" w:eastAsia="方正仿宋_GBK" w:cs="Times New Roman"/>
          <w:color w:val="000000" w:themeColor="text1"/>
          <w:sz w:val="32"/>
          <w:szCs w:val="32"/>
          <w14:textFill>
            <w14:solidFill>
              <w14:schemeClr w14:val="tx1"/>
            </w14:solidFill>
          </w14:textFill>
        </w:rPr>
        <w:t>纳入市级清单事项及川渝共建项目库。印发</w:t>
      </w:r>
      <w:r>
        <w:rPr>
          <w:rFonts w:hint="eastAsia" w:ascii="Times New Roman" w:hAnsi="Times New Roman" w:eastAsia="方正仿宋_GBK" w:cs="Times New Roman"/>
          <w:color w:val="000000" w:themeColor="text1"/>
          <w:sz w:val="32"/>
          <w:szCs w:val="32"/>
          <w14:textFill>
            <w14:solidFill>
              <w14:schemeClr w14:val="tx1"/>
            </w14:solidFill>
          </w14:textFill>
        </w:rPr>
        <w:t>大渡口</w:t>
      </w:r>
      <w:r>
        <w:rPr>
          <w:rFonts w:ascii="Times New Roman" w:hAnsi="Times New Roman" w:eastAsia="方正仿宋_GBK" w:cs="Times New Roman"/>
          <w:color w:val="000000" w:themeColor="text1"/>
          <w:sz w:val="32"/>
          <w:szCs w:val="32"/>
          <w14:textFill>
            <w14:solidFill>
              <w14:schemeClr w14:val="tx1"/>
            </w14:solidFill>
          </w14:textFill>
        </w:rPr>
        <w:t>区积极融入西部陆海新通道打造内陆开放高地行动方案，全面融</w:t>
      </w:r>
      <w:r>
        <w:rPr>
          <w:rFonts w:hint="eastAsia" w:ascii="方正仿宋_GBK" w:hAnsi="方正仿宋_GBK" w:eastAsia="方正仿宋_GBK" w:cs="方正仿宋_GBK"/>
          <w:color w:val="000000" w:themeColor="text1"/>
          <w:sz w:val="32"/>
          <w:szCs w:val="32"/>
          <w14:textFill>
            <w14:solidFill>
              <w14:schemeClr w14:val="tx1"/>
            </w14:solidFill>
          </w14:textFill>
        </w:rPr>
        <w:t>入共建“一带一路”</w:t>
      </w:r>
      <w:r>
        <w:rPr>
          <w:rFonts w:ascii="Times New Roman" w:hAnsi="Times New Roman" w:eastAsia="方正仿宋_GBK" w:cs="Times New Roman"/>
          <w:color w:val="000000" w:themeColor="text1"/>
          <w:sz w:val="32"/>
          <w:szCs w:val="32"/>
          <w14:textFill>
            <w14:solidFill>
              <w14:schemeClr w14:val="tx1"/>
            </w14:solidFill>
          </w14:textFill>
        </w:rPr>
        <w:t>，全国首个台资企业对接RCEP法律服务中心落地，建桥园区获批重庆自贸区联动创新区。全面推动长江经济带绿色发展，贯彻落实《长江保护法》，出台长江经济带污染治理和生态保护攻坚战行动方案，生态环保</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督察</w:t>
      </w:r>
      <w:r>
        <w:rPr>
          <w:rFonts w:ascii="Times New Roman" w:hAnsi="Times New Roman" w:eastAsia="方正仿宋_GBK" w:cs="Times New Roman"/>
          <w:color w:val="000000" w:themeColor="text1"/>
          <w:sz w:val="32"/>
          <w:szCs w:val="32"/>
          <w14:textFill>
            <w14:solidFill>
              <w14:schemeClr w14:val="tx1"/>
            </w14:solidFill>
          </w14:textFill>
        </w:rPr>
        <w:t>和长江经济带生态环境警示片反馈问题年度整改任务全面完成。</w:t>
      </w:r>
    </w:p>
    <w:p>
      <w:pPr>
        <w:widowControl w:val="0"/>
        <w:spacing w:after="0" w:line="594" w:lineRule="exact"/>
        <w:ind w:firstLine="640" w:firstLineChars="200"/>
        <w:jc w:val="both"/>
        <w:rPr>
          <w:rFonts w:ascii="Times New Roman" w:hAnsi="Times New Roman" w:eastAsia="方正仿宋_GBK" w:cs="Times New Roman"/>
          <w:color w:val="000000" w:themeColor="text1"/>
          <w:kern w:val="2"/>
          <w:sz w:val="32"/>
          <w:szCs w:val="32"/>
          <w14:textFill>
            <w14:solidFill>
              <w14:schemeClr w14:val="tx1"/>
            </w14:solidFill>
          </w14:textFill>
        </w:rPr>
      </w:pPr>
      <w:r>
        <w:rPr>
          <w:rFonts w:ascii="Times New Roman" w:hAnsi="Times New Roman" w:eastAsia="方正楷体_GBK" w:cs="Times New Roman"/>
          <w:color w:val="000000" w:themeColor="text1"/>
          <w:kern w:val="2"/>
          <w:sz w:val="32"/>
          <w:szCs w:val="32"/>
          <w14:textFill>
            <w14:solidFill>
              <w14:schemeClr w14:val="tx1"/>
            </w14:solidFill>
          </w14:textFill>
        </w:rPr>
        <w:t>——全力凝聚工作合力，经济运行企稳向好。</w:t>
      </w:r>
      <w:r>
        <w:rPr>
          <w:rFonts w:ascii="Times New Roman" w:hAnsi="Times New Roman" w:eastAsia="方正仿宋_GBK" w:cs="Times New Roman"/>
          <w:color w:val="000000" w:themeColor="text1"/>
          <w:kern w:val="2"/>
          <w:sz w:val="32"/>
          <w:szCs w:val="32"/>
          <w14:textFill>
            <w14:solidFill>
              <w14:schemeClr w14:val="tx1"/>
            </w14:solidFill>
          </w14:textFill>
        </w:rPr>
        <w:t>狠抓机制建立，出台实施区</w:t>
      </w:r>
      <w:r>
        <w:rPr>
          <w:rFonts w:hint="eastAsia" w:ascii="方正仿宋_GBK" w:hAnsi="方正仿宋_GBK" w:eastAsia="方正仿宋_GBK" w:cs="方正仿宋_GBK"/>
          <w:color w:val="000000" w:themeColor="text1"/>
          <w:kern w:val="2"/>
          <w:sz w:val="32"/>
          <w:szCs w:val="32"/>
          <w14:textFill>
            <w14:solidFill>
              <w14:schemeClr w14:val="tx1"/>
            </w14:solidFill>
          </w14:textFill>
        </w:rPr>
        <w:t>级部门管行业管产业工作机制、镇街服务区域经济高质量发展工作机制，完善全区现代服务业提质发展行动方案等政策体系。狠抓研判调度，圆满完成全区</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“十四五”规划纲</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要中期评估，</w:t>
      </w:r>
      <w:r>
        <w:rPr>
          <w:rFonts w:ascii="Times New Roman" w:hAnsi="Times New Roman" w:eastAsia="方正仿宋_GBK" w:cs="Times New Roman"/>
          <w:color w:val="000000" w:themeColor="text1"/>
          <w:kern w:val="2"/>
          <w:sz w:val="32"/>
          <w:szCs w:val="32"/>
          <w14:textFill>
            <w14:solidFill>
              <w14:schemeClr w14:val="tx1"/>
            </w14:solidFill>
          </w14:textFill>
        </w:rPr>
        <w:t>经济运行调</w:t>
      </w:r>
      <w:r>
        <w:rPr>
          <w:rFonts w:hint="eastAsia" w:ascii="Times New Roman" w:hAnsi="Times New Roman" w:eastAsia="方正仿宋_GBK" w:cs="Times New Roman"/>
          <w:color w:val="000000" w:themeColor="text1"/>
          <w:kern w:val="2"/>
          <w:sz w:val="32"/>
          <w:szCs w:val="32"/>
          <w14:textFill>
            <w14:solidFill>
              <w14:schemeClr w14:val="tx1"/>
            </w14:solidFill>
          </w14:textFill>
        </w:rPr>
        <w:t>度</w:t>
      </w:r>
      <w:r>
        <w:rPr>
          <w:rFonts w:ascii="Times New Roman" w:hAnsi="Times New Roman" w:eastAsia="方正仿宋_GBK" w:cs="Times New Roman"/>
          <w:color w:val="000000" w:themeColor="text1"/>
          <w:kern w:val="2"/>
          <w:sz w:val="32"/>
          <w:szCs w:val="32"/>
          <w14:textFill>
            <w14:solidFill>
              <w14:schemeClr w14:val="tx1"/>
            </w14:solidFill>
          </w14:textFill>
        </w:rPr>
        <w:t>平台一期上线运行，建成GDP分析、重大项目监测、协税护税等17</w:t>
      </w:r>
      <w:r>
        <w:rPr>
          <w:rFonts w:hint="eastAsia" w:ascii="Times New Roman" w:hAnsi="Times New Roman" w:eastAsia="方正仿宋_GBK" w:cs="Times New Roman"/>
          <w:color w:val="000000" w:themeColor="text1"/>
          <w:kern w:val="2"/>
          <w:sz w:val="32"/>
          <w:szCs w:val="32"/>
          <w14:textFill>
            <w14:solidFill>
              <w14:schemeClr w14:val="tx1"/>
            </w14:solidFill>
          </w14:textFill>
        </w:rPr>
        <w:t>个</w:t>
      </w:r>
      <w:r>
        <w:rPr>
          <w:rFonts w:ascii="Times New Roman" w:hAnsi="Times New Roman" w:eastAsia="方正仿宋_GBK" w:cs="Times New Roman"/>
          <w:color w:val="000000" w:themeColor="text1"/>
          <w:kern w:val="2"/>
          <w:sz w:val="32"/>
          <w:szCs w:val="32"/>
          <w14:textFill>
            <w14:solidFill>
              <w14:schemeClr w14:val="tx1"/>
            </w14:solidFill>
          </w14:textFill>
        </w:rPr>
        <w:t>专题板块，初步形成高效共享的经济监测预警系统</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全年实现地区生产总值362</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7亿元、同比（下同）增长0.3%</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第一产业增加值1.3亿元，增长5.2%；第三产业增加值165.8亿元，增长8.7%</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社会消费品零售总额增速</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工业投资增</w:t>
      </w:r>
      <w:r>
        <w:rPr>
          <w:rFonts w:hint="eastAsia" w:ascii="Times New Roman" w:hAnsi="Times New Roman" w:eastAsia="方正仿宋_GBK" w:cs="Times New Roman"/>
          <w:color w:val="000000" w:themeColor="text1"/>
          <w:kern w:val="2"/>
          <w:sz w:val="32"/>
          <w:szCs w:val="32"/>
          <w14:textFill>
            <w14:solidFill>
              <w14:schemeClr w14:val="tx1"/>
            </w14:solidFill>
          </w14:textFill>
        </w:rPr>
        <w:t>速</w:t>
      </w:r>
      <w:r>
        <w:rPr>
          <w:rFonts w:ascii="Times New Roman" w:hAnsi="Times New Roman" w:eastAsia="方正仿宋_GBK" w:cs="Times New Roman"/>
          <w:color w:val="000000" w:themeColor="text1"/>
          <w:kern w:val="2"/>
          <w:sz w:val="32"/>
          <w:szCs w:val="32"/>
          <w14:textFill>
            <w14:solidFill>
              <w14:schemeClr w14:val="tx1"/>
            </w14:solidFill>
          </w14:textFill>
        </w:rPr>
        <w:t>等指标位居全市前列。狠</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抓市场主体引育，结合</w:t>
      </w:r>
      <w:r>
        <w:rPr>
          <w:rFonts w:hint="eastAsia" w:ascii="方正仿宋_GBK" w:hAnsi="Times New Roman" w:eastAsia="方正仿宋_GBK" w:cs="Times New Roman"/>
          <w:color w:val="000000" w:themeColor="text1"/>
          <w:sz w:val="32"/>
          <w:szCs w:val="32"/>
          <w:shd w:val="clear" w:color="auto" w:fill="FFFFFF"/>
          <w14:textFill>
            <w14:solidFill>
              <w14:schemeClr w14:val="tx1"/>
            </w14:solidFill>
          </w14:textFill>
        </w:rPr>
        <w:t>“</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五经普</w:t>
      </w:r>
      <w:r>
        <w:rPr>
          <w:rFonts w:hint="eastAsia" w:ascii="方正仿宋_GBK" w:hAnsi="Times New Roman" w:eastAsia="方正仿宋_GBK" w:cs="Times New Roman"/>
          <w:color w:val="000000" w:themeColor="text1"/>
          <w:sz w:val="32"/>
          <w:szCs w:val="32"/>
          <w:shd w:val="clear" w:color="auto" w:fill="FFFFFF"/>
          <w14:textFill>
            <w14:solidFill>
              <w14:schemeClr w14:val="tx1"/>
            </w14:solidFill>
          </w14:textFill>
        </w:rPr>
        <w:t>”</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工作，</w:t>
      </w:r>
      <w:r>
        <w:rPr>
          <w:rFonts w:ascii="Times New Roman" w:hAnsi="Times New Roman" w:eastAsia="方正仿宋_GBK" w:cs="Times New Roman"/>
          <w:color w:val="000000" w:themeColor="text1"/>
          <w:kern w:val="2"/>
          <w:sz w:val="32"/>
          <w:szCs w:val="32"/>
          <w14:textFill>
            <w14:solidFill>
              <w14:schemeClr w14:val="tx1"/>
            </w14:solidFill>
          </w14:textFill>
        </w:rPr>
        <w:t>开展市场主体调查摸底、市场主体升规上限、</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防止</w:t>
      </w:r>
      <w:r>
        <w:rPr>
          <w:rFonts w:hint="eastAsia" w:ascii="方正仿宋_GBK" w:hAnsi="Times New Roman" w:eastAsia="方正仿宋_GBK" w:cs="Times New Roman"/>
          <w:color w:val="000000" w:themeColor="text1"/>
          <w:sz w:val="32"/>
          <w:szCs w:val="32"/>
          <w:shd w:val="clear" w:color="auto" w:fill="FFFFFF"/>
          <w14:textFill>
            <w14:solidFill>
              <w14:schemeClr w14:val="tx1"/>
            </w14:solidFill>
          </w14:textFill>
        </w:rPr>
        <w:t>“</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跑冒滴漏</w:t>
      </w:r>
      <w:r>
        <w:rPr>
          <w:rFonts w:hint="eastAsia" w:ascii="方正仿宋_GBK" w:hAnsi="Times New Roman" w:eastAsia="方正仿宋_GBK" w:cs="Times New Roman"/>
          <w:color w:val="000000" w:themeColor="text1"/>
          <w:sz w:val="32"/>
          <w:szCs w:val="32"/>
          <w:shd w:val="clear" w:color="auto" w:fill="FFFFFF"/>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三个专项行动，激活推动高质量发展的微观基础。全区市场主体总量达42098户、增长8.9%。全年新</w:t>
      </w:r>
      <w:r>
        <w:rPr>
          <w:rFonts w:hint="eastAsia" w:ascii="方正仿宋_GBK" w:hAnsi="方正仿宋_GBK" w:eastAsia="方正仿宋_GBK" w:cs="方正仿宋_GBK"/>
          <w:color w:val="000000" w:themeColor="text1"/>
          <w:kern w:val="2"/>
          <w:sz w:val="32"/>
          <w:szCs w:val="32"/>
          <w14:textFill>
            <w14:solidFill>
              <w14:schemeClr w14:val="tx1"/>
            </w14:solidFill>
          </w14:textFill>
        </w:rPr>
        <w:t>增“四上”单位</w:t>
      </w:r>
      <w:r>
        <w:rPr>
          <w:rFonts w:ascii="Times New Roman" w:hAnsi="Times New Roman" w:eastAsia="方正仿宋_GBK" w:cs="Times New Roman"/>
          <w:color w:val="000000" w:themeColor="text1"/>
          <w:kern w:val="2"/>
          <w:sz w:val="32"/>
          <w:szCs w:val="32"/>
          <w14:textFill>
            <w14:solidFill>
              <w14:schemeClr w14:val="tx1"/>
            </w14:solidFill>
          </w14:textFill>
        </w:rPr>
        <w:t>201户，推动新登记纳税市场主体4533</w:t>
      </w:r>
      <w:r>
        <w:rPr>
          <w:rFonts w:hint="eastAsia" w:ascii="方正仿宋_GBK" w:hAnsi="方正仿宋_GBK" w:eastAsia="方正仿宋_GBK" w:cs="方正仿宋_GBK"/>
          <w:color w:val="000000" w:themeColor="text1"/>
          <w:kern w:val="2"/>
          <w:sz w:val="32"/>
          <w:szCs w:val="32"/>
          <w14:textFill>
            <w14:solidFill>
              <w14:schemeClr w14:val="tx1"/>
            </w14:solidFill>
          </w14:textFill>
        </w:rPr>
        <w:t>户，“四下”单位</w:t>
      </w:r>
      <w:r>
        <w:rPr>
          <w:rFonts w:ascii="Times New Roman" w:hAnsi="Times New Roman" w:eastAsia="方正仿宋_GBK" w:cs="Times New Roman"/>
          <w:color w:val="000000" w:themeColor="text1"/>
          <w:kern w:val="2"/>
          <w:sz w:val="32"/>
          <w:szCs w:val="32"/>
          <w14:textFill>
            <w14:solidFill>
              <w14:schemeClr w14:val="tx1"/>
            </w14:solidFill>
          </w14:textFill>
        </w:rPr>
        <w:t>税收增长18.9%。</w:t>
      </w:r>
    </w:p>
    <w:p>
      <w:pPr>
        <w:widowControl w:val="0"/>
        <w:tabs>
          <w:tab w:val="left" w:pos="4400"/>
        </w:tabs>
        <w:spacing w:after="0" w:line="594" w:lineRule="exact"/>
        <w:ind w:firstLine="640" w:firstLineChars="200"/>
        <w:jc w:val="both"/>
        <w:rPr>
          <w:rFonts w:ascii="Times New Roman" w:hAnsi="Times New Roman" w:eastAsia="方正仿宋_GBK" w:cs="Times New Roman"/>
          <w:color w:val="000000" w:themeColor="text1"/>
          <w:kern w:val="2"/>
          <w:sz w:val="32"/>
          <w:szCs w:val="32"/>
          <w14:textFill>
            <w14:solidFill>
              <w14:schemeClr w14:val="tx1"/>
            </w14:solidFill>
          </w14:textFill>
        </w:rPr>
      </w:pPr>
      <w:r>
        <w:rPr>
          <w:rFonts w:ascii="Times New Roman" w:hAnsi="Times New Roman" w:eastAsia="方正楷体_GBK" w:cs="Times New Roman"/>
          <w:color w:val="000000" w:themeColor="text1"/>
          <w:kern w:val="2"/>
          <w:sz w:val="32"/>
          <w:szCs w:val="32"/>
          <w14:textFill>
            <w14:solidFill>
              <w14:schemeClr w14:val="tx1"/>
            </w14:solidFill>
          </w14:textFill>
        </w:rPr>
        <w:t>——全力推动高质量发展，新旧动能加速转换。</w:t>
      </w:r>
      <w:r>
        <w:rPr>
          <w:rFonts w:ascii="Times New Roman" w:hAnsi="Times New Roman" w:eastAsia="方正仿宋_GBK" w:cs="Times New Roman"/>
          <w:color w:val="000000" w:themeColor="text1"/>
          <w:kern w:val="2"/>
          <w:sz w:val="32"/>
          <w:szCs w:val="32"/>
          <w14:textFill>
            <w14:solidFill>
              <w14:schemeClr w14:val="tx1"/>
            </w14:solidFill>
          </w14:textFill>
        </w:rPr>
        <w:t>国家产业转型升级示范区建设2022年度评估获得优秀等次，老工业基地调整改造连续三年获国家发展改革委通报表扬。积</w:t>
      </w:r>
      <w:r>
        <w:rPr>
          <w:rFonts w:hint="eastAsia" w:ascii="方正仿宋_GBK" w:hAnsi="方正仿宋_GBK" w:eastAsia="方正仿宋_GBK" w:cs="方正仿宋_GBK"/>
          <w:color w:val="000000" w:themeColor="text1"/>
          <w:kern w:val="2"/>
          <w:sz w:val="32"/>
          <w:szCs w:val="32"/>
          <w14:textFill>
            <w14:solidFill>
              <w14:schemeClr w14:val="tx1"/>
            </w14:solidFill>
          </w14:textFill>
        </w:rPr>
        <w:t>极融入“</w:t>
      </w:r>
      <w:r>
        <w:rPr>
          <w:rFonts w:ascii="Times New Roman" w:hAnsi="Times New Roman" w:eastAsia="方正仿宋_GBK" w:cs="Times New Roman"/>
          <w:color w:val="000000" w:themeColor="text1"/>
          <w:kern w:val="2"/>
          <w:sz w:val="32"/>
          <w:szCs w:val="32"/>
          <w14:textFill>
            <w14:solidFill>
              <w14:schemeClr w14:val="tx1"/>
            </w14:solidFill>
          </w14:textFill>
        </w:rPr>
        <w:t>33618</w:t>
      </w:r>
      <w:r>
        <w:rPr>
          <w:rFonts w:hint="eastAsia" w:ascii="方正仿宋_GBK" w:hAnsi="方正仿宋_GBK" w:eastAsia="方正仿宋_GBK" w:cs="方正仿宋_GBK"/>
          <w:color w:val="000000" w:themeColor="text1"/>
          <w:kern w:val="2"/>
          <w:sz w:val="32"/>
          <w:szCs w:val="32"/>
          <w14:textFill>
            <w14:solidFill>
              <w14:schemeClr w14:val="tx1"/>
            </w14:solidFill>
          </w14:textFill>
        </w:rPr>
        <w:t>”现代制造业集群体系，“电子专用设备”“体外诊断产品”“智能家居”“新能源摩托车”“纤维及复合材料”“预制菜”</w:t>
      </w:r>
      <w:r>
        <w:rPr>
          <w:rFonts w:ascii="Times New Roman" w:hAnsi="Times New Roman" w:eastAsia="方正仿宋_GBK" w:cs="Times New Roman"/>
          <w:color w:val="000000" w:themeColor="text1"/>
          <w:kern w:val="2"/>
          <w:sz w:val="32"/>
          <w:szCs w:val="32"/>
          <w14:textFill>
            <w14:solidFill>
              <w14:schemeClr w14:val="tx1"/>
            </w14:solidFill>
          </w14:textFill>
        </w:rPr>
        <w:t>6个主导（特色）产业纳入全市先进制造业发展产业地图。全区科技创新指数72.9%，居全市第6位。全区研发投入强度3.63%，连续6年保持全市前列。优化营商环境工作成效显著获市政府督查激励。</w:t>
      </w:r>
    </w:p>
    <w:p>
      <w:pPr>
        <w:widowControl w:val="0"/>
        <w:spacing w:after="0" w:line="594" w:lineRule="exact"/>
        <w:ind w:firstLine="640" w:firstLineChars="200"/>
        <w:jc w:val="both"/>
        <w:rPr>
          <w:rFonts w:ascii="Times New Roman" w:hAnsi="Times New Roman" w:eastAsia="方正仿宋_GBK" w:cs="Times New Roman"/>
          <w:color w:val="000000" w:themeColor="text1"/>
          <w:kern w:val="2"/>
          <w:sz w:val="32"/>
          <w:szCs w:val="32"/>
          <w14:textFill>
            <w14:solidFill>
              <w14:schemeClr w14:val="tx1"/>
            </w14:solidFill>
          </w14:textFill>
        </w:rPr>
      </w:pPr>
      <w:r>
        <w:rPr>
          <w:rFonts w:ascii="Times New Roman" w:hAnsi="Times New Roman" w:eastAsia="方正楷体_GBK" w:cs="Times New Roman"/>
          <w:color w:val="000000" w:themeColor="text1"/>
          <w:kern w:val="2"/>
          <w:sz w:val="32"/>
          <w:szCs w:val="32"/>
          <w14:textFill>
            <w14:solidFill>
              <w14:schemeClr w14:val="tx1"/>
            </w14:solidFill>
          </w14:textFill>
        </w:rPr>
        <w:t>——全力创造高品质生活，民生短板加快补齐。</w:t>
      </w:r>
      <w:r>
        <w:rPr>
          <w:rFonts w:ascii="Times New Roman" w:hAnsi="Times New Roman" w:eastAsia="方正仿宋_GBK" w:cs="Times New Roman"/>
          <w:color w:val="000000" w:themeColor="text1"/>
          <w:sz w:val="32"/>
          <w:szCs w:val="32"/>
          <w14:textFill>
            <w14:solidFill>
              <w14:schemeClr w14:val="tx1"/>
            </w14:solidFill>
          </w14:textFill>
        </w:rPr>
        <w:t>10件主题教育民生</w:t>
      </w:r>
      <w:r>
        <w:rPr>
          <w:rFonts w:hint="eastAsia" w:ascii="Times New Roman" w:hAnsi="Times New Roman" w:eastAsia="方正仿宋_GBK" w:cs="Times New Roman"/>
          <w:color w:val="000000" w:themeColor="text1"/>
          <w:sz w:val="32"/>
          <w:szCs w:val="32"/>
          <w14:textFill>
            <w14:solidFill>
              <w14:schemeClr w14:val="tx1"/>
            </w14:solidFill>
          </w14:textFill>
        </w:rPr>
        <w:t>事项</w:t>
      </w:r>
      <w:r>
        <w:rPr>
          <w:rFonts w:ascii="Times New Roman" w:hAnsi="Times New Roman" w:eastAsia="方正仿宋_GBK" w:cs="Times New Roman"/>
          <w:color w:val="000000" w:themeColor="text1"/>
          <w:sz w:val="32"/>
          <w:szCs w:val="32"/>
          <w14:textFill>
            <w14:solidFill>
              <w14:schemeClr w14:val="tx1"/>
            </w14:solidFill>
          </w14:textFill>
        </w:rPr>
        <w:t>、15件区级重点民生实事达成年度目标。</w:t>
      </w:r>
      <w:r>
        <w:rPr>
          <w:rFonts w:ascii="Times New Roman" w:hAnsi="Times New Roman" w:eastAsia="方正仿宋_GBK" w:cs="Times New Roman"/>
          <w:color w:val="000000" w:themeColor="text1"/>
          <w:kern w:val="2"/>
          <w:sz w:val="32"/>
          <w:szCs w:val="32"/>
          <w14:textFill>
            <w14:solidFill>
              <w14:schemeClr w14:val="tx1"/>
            </w14:solidFill>
          </w14:textFill>
        </w:rPr>
        <w:t>全年城镇新增就业1.8万人，救助困难群众2.5万余人次，城乡居民基本养老保险、基本医疗保险参保率分别保持97%、95%以上。一般公共预算支出40.6亿元，其中民生支出占比达80%。全体居民人均可支配收入50104元</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增长4.0%</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莫斯科国立</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柴可夫斯基音乐学院重庆项目选址钓鱼嘴半岛，西大附中开工建设，公立三甲医院一期</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项目主体工程竣工</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。乡村治理工作获市级督查激励。</w:t>
      </w:r>
    </w:p>
    <w:p>
      <w:pPr>
        <w:widowControl w:val="0"/>
        <w:spacing w:after="0" w:line="594" w:lineRule="exact"/>
        <w:ind w:firstLine="640" w:firstLineChars="200"/>
        <w:contextualSpacing/>
        <w:jc w:val="both"/>
        <w:rPr>
          <w:rFonts w:ascii="Times New Roman" w:hAnsi="Times New Roman" w:eastAsia="方正楷体_GBK" w:cs="Times New Roman"/>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32"/>
          <w:szCs w:val="32"/>
          <w:shd w:val="clear" w:color="auto" w:fill="FFFFFF"/>
          <w14:textFill>
            <w14:solidFill>
              <w14:schemeClr w14:val="tx1"/>
            </w14:solidFill>
          </w14:textFill>
        </w:rPr>
        <w:t>（一）国民经济和社会发展主要指标完成情况</w:t>
      </w:r>
    </w:p>
    <w:p>
      <w:pPr>
        <w:widowControl w:val="0"/>
        <w:spacing w:after="0" w:line="594" w:lineRule="exact"/>
        <w:ind w:firstLine="640" w:firstLineChars="200"/>
        <w:contextualSpacing/>
        <w:jc w:val="both"/>
        <w:rPr>
          <w:rFonts w:ascii="Times New Roman" w:hAnsi="Times New Roman" w:eastAsia="方正仿宋_GBK" w:cs="Times New Roman"/>
          <w:color w:val="000000" w:themeColor="text1"/>
          <w:kern w:val="2"/>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kern w:val="2"/>
          <w:sz w:val="32"/>
          <w:szCs w:val="32"/>
          <w:shd w:val="clear" w:color="auto" w:fill="FFFFFF"/>
          <w14:textFill>
            <w14:solidFill>
              <w14:schemeClr w14:val="tx1"/>
            </w14:solidFill>
          </w14:textFill>
        </w:rPr>
        <w:t>区十四届人大三次会议批准的2023年计划报告32项指标，共完成24项，完成率75%，其中约束性指标8项，完成7项；预期性指标24项，完成17项。全区经济加快恢复，发展动能不断积蓄，社会民生持续改善，计划总体执行情况良好。</w:t>
      </w:r>
    </w:p>
    <w:p>
      <w:pPr>
        <w:widowControl w:val="0"/>
        <w:adjustRightInd w:val="0"/>
        <w:snapToGrid w:val="0"/>
        <w:spacing w:after="0" w:line="594" w:lineRule="exact"/>
        <w:jc w:val="center"/>
        <w:rPr>
          <w:rFonts w:ascii="Times New Roman" w:hAnsi="Times New Roman" w:eastAsia="方正黑体_GBK" w:cs="Times New Roman"/>
          <w:color w:val="000000" w:themeColor="text1"/>
          <w:sz w:val="28"/>
          <w:szCs w:val="28"/>
          <w14:textFill>
            <w14:solidFill>
              <w14:schemeClr w14:val="tx1"/>
            </w14:solidFill>
          </w14:textFill>
        </w:rPr>
      </w:pPr>
      <w:r>
        <w:rPr>
          <w:rFonts w:ascii="Times New Roman" w:hAnsi="Times New Roman" w:eastAsia="方正黑体_GBK" w:cs="Times New Roman"/>
          <w:color w:val="000000" w:themeColor="text1"/>
          <w:sz w:val="28"/>
          <w:szCs w:val="28"/>
          <w14:textFill>
            <w14:solidFill>
              <w14:schemeClr w14:val="tx1"/>
            </w14:solidFill>
          </w14:textFill>
        </w:rPr>
        <w:t>表1：2023年</w:t>
      </w:r>
      <w:r>
        <w:rPr>
          <w:rFonts w:ascii="Times New Roman" w:hAnsi="Times New Roman" w:eastAsia="方正黑体_GBK" w:cs="Times New Roman"/>
          <w:color w:val="000000" w:themeColor="text1"/>
          <w:sz w:val="28"/>
          <w14:textFill>
            <w14:solidFill>
              <w14:schemeClr w14:val="tx1"/>
            </w14:solidFill>
          </w14:textFill>
        </w:rPr>
        <w:t>国民经济和社会发展计划目标完成情况</w:t>
      </w:r>
    </w:p>
    <w:tbl>
      <w:tblPr>
        <w:tblStyle w:val="1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617"/>
        <w:gridCol w:w="3133"/>
        <w:gridCol w:w="1387"/>
        <w:gridCol w:w="795"/>
        <w:gridCol w:w="1335"/>
        <w:gridCol w:w="1305"/>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628" w:hRule="atLeast"/>
          <w:tblHeader/>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序号</w:t>
            </w:r>
          </w:p>
        </w:tc>
        <w:tc>
          <w:tcPr>
            <w:tcW w:w="3133" w:type="dxa"/>
            <w:vAlign w:val="center"/>
          </w:tcPr>
          <w:p>
            <w:pPr>
              <w:widowControl w:val="0"/>
              <w:adjustRightInd w:val="0"/>
              <w:spacing w:before="100" w:beforeAutospacing="1" w:after="100" w:afterAutospacing="1" w:line="24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指标名称</w:t>
            </w:r>
          </w:p>
        </w:tc>
        <w:tc>
          <w:tcPr>
            <w:tcW w:w="1387" w:type="dxa"/>
            <w:vAlign w:val="center"/>
          </w:tcPr>
          <w:p>
            <w:pPr>
              <w:widowControl w:val="0"/>
              <w:adjustRightInd w:val="0"/>
              <w:spacing w:before="100" w:beforeAutospacing="1" w:after="100" w:afterAutospacing="1" w:line="24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单位</w:t>
            </w:r>
          </w:p>
        </w:tc>
        <w:tc>
          <w:tcPr>
            <w:tcW w:w="795" w:type="dxa"/>
            <w:vAlign w:val="center"/>
          </w:tcPr>
          <w:p>
            <w:pPr>
              <w:widowControl w:val="0"/>
              <w:adjustRightInd w:val="0"/>
              <w:spacing w:after="0" w:line="24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指标</w:t>
            </w:r>
          </w:p>
          <w:p>
            <w:pPr>
              <w:widowControl w:val="0"/>
              <w:adjustRightInd w:val="0"/>
              <w:spacing w:after="0" w:line="24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属性</w:t>
            </w:r>
          </w:p>
        </w:tc>
        <w:tc>
          <w:tcPr>
            <w:tcW w:w="1335" w:type="dxa"/>
            <w:vAlign w:val="center"/>
          </w:tcPr>
          <w:p>
            <w:pPr>
              <w:widowControl w:val="0"/>
              <w:adjustRightInd w:val="0"/>
              <w:spacing w:before="100" w:beforeAutospacing="1" w:after="100" w:afterAutospacing="1" w:line="24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2023年目标</w:t>
            </w:r>
          </w:p>
        </w:tc>
        <w:tc>
          <w:tcPr>
            <w:tcW w:w="1305" w:type="dxa"/>
            <w:vAlign w:val="center"/>
          </w:tcPr>
          <w:p>
            <w:pPr>
              <w:widowControl w:val="0"/>
              <w:adjustRightInd w:val="0"/>
              <w:spacing w:before="100" w:beforeAutospacing="1" w:after="100" w:afterAutospacing="1" w:line="24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2023年完成</w:t>
            </w:r>
          </w:p>
        </w:tc>
        <w:tc>
          <w:tcPr>
            <w:tcW w:w="854" w:type="dxa"/>
            <w:vAlign w:val="center"/>
          </w:tcPr>
          <w:p>
            <w:pPr>
              <w:widowControl w:val="0"/>
              <w:adjustRightInd w:val="0"/>
              <w:spacing w:before="100" w:beforeAutospacing="1" w:after="100" w:afterAutospacing="1" w:line="24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是否达到预期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地区生产总值增速</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0.1</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0.3</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人均地区生产总值</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（万元）</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7.5左右</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8</w:t>
            </w:r>
            <w:r>
              <w:rPr>
                <w:rFonts w:hint="eastAsia" w:ascii="Times New Roman" w:hAnsi="Times New Roman" w:eastAsia="方正仿宋_GBK" w:cs="Times New Roman"/>
                <w:color w:val="000000" w:themeColor="text1"/>
                <w:sz w:val="24"/>
                <w:szCs w:val="24"/>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3</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全员劳动生产率</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（万元/人）</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15</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16</w:t>
            </w:r>
            <w:r>
              <w:rPr>
                <w:rFonts w:hint="eastAsia" w:ascii="Times New Roman" w:hAnsi="Times New Roman" w:eastAsia="方正仿宋_GBK" w:cs="Times New Roman"/>
                <w:color w:val="000000" w:themeColor="text1"/>
                <w:sz w:val="24"/>
                <w:szCs w:val="24"/>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3</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4</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规上工业增加值增速</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-18左右</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-15</w:t>
            </w:r>
            <w:r>
              <w:rPr>
                <w:rFonts w:hint="eastAsia" w:ascii="Times New Roman" w:hAnsi="Times New Roman" w:eastAsia="方正仿宋_GBK" w:cs="Times New Roman"/>
                <w:color w:val="000000" w:themeColor="text1"/>
                <w:sz w:val="24"/>
                <w:szCs w:val="24"/>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1</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5</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固定资产投资增速</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1左右</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-7</w:t>
            </w:r>
            <w:r>
              <w:rPr>
                <w:rFonts w:hint="eastAsia" w:ascii="Times New Roman" w:hAnsi="Times New Roman" w:eastAsia="方正仿宋_GBK" w:cs="Times New Roman"/>
                <w:color w:val="000000" w:themeColor="text1"/>
                <w:sz w:val="24"/>
                <w:szCs w:val="24"/>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6</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6</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社会消费品零售总额增速</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8左右</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9</w:t>
            </w:r>
            <w:r>
              <w:rPr>
                <w:rFonts w:hint="eastAsia" w:ascii="Times New Roman" w:hAnsi="Times New Roman" w:eastAsia="方正仿宋_GBK" w:cs="Times New Roman"/>
                <w:color w:val="000000" w:themeColor="text1"/>
                <w:sz w:val="24"/>
                <w:szCs w:val="24"/>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4</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7</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战略性新兴制造业产值占规上工业总产值比重</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65</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57.2</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8</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服务业增加值增速</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6.5左右</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8</w:t>
            </w:r>
            <w:r>
              <w:rPr>
                <w:rFonts w:hint="eastAsia" w:ascii="Times New Roman" w:hAnsi="Times New Roman" w:eastAsia="方正仿宋_GBK" w:cs="Times New Roman"/>
                <w:color w:val="000000" w:themeColor="text1"/>
                <w:sz w:val="24"/>
                <w:szCs w:val="24"/>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7</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9</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数字产业增加值占地区生产总值比重</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10</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10</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10</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文化产业增加值占地区生产总值比重</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5.5</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5.2</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11</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研究与试验发展支出占地区生产总值比重</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4左右（保持全市前列）</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3.63（全市第五名）</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12</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万人发明专利拥有量</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（件）</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22.5</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26</w:t>
            </w:r>
            <w:r>
              <w:rPr>
                <w:rFonts w:hint="eastAsia" w:ascii="Times New Roman" w:hAnsi="Times New Roman" w:eastAsia="方正仿宋_GBK" w:cs="Times New Roman"/>
                <w:color w:val="000000" w:themeColor="text1"/>
                <w:sz w:val="24"/>
                <w:szCs w:val="24"/>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01</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13</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本外币存贷款余额增速</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15</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5</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14</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进出口总额增速</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正增长</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-22</w:t>
            </w:r>
            <w:r>
              <w:rPr>
                <w:rFonts w:hint="eastAsia" w:ascii="Times New Roman" w:hAnsi="Times New Roman" w:eastAsia="方正仿宋_GBK" w:cs="Times New Roman"/>
                <w:color w:val="000000" w:themeColor="text1"/>
                <w:sz w:val="24"/>
                <w:szCs w:val="24"/>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3</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9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15</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实际</w:t>
            </w:r>
            <w:r>
              <w:rPr>
                <w:rFonts w:hint="eastAsia" w:ascii="Times New Roman" w:hAnsi="Times New Roman" w:eastAsia="方正仿宋_GBK" w:cs="Times New Roman"/>
                <w:color w:val="000000" w:themeColor="text1"/>
                <w:sz w:val="24"/>
                <w:szCs w:val="24"/>
                <w14:textFill>
                  <w14:solidFill>
                    <w14:schemeClr w14:val="tx1"/>
                  </w14:solidFill>
                </w14:textFill>
              </w:rPr>
              <w:t>使用</w:t>
            </w:r>
            <w:r>
              <w:rPr>
                <w:rFonts w:ascii="Times New Roman" w:hAnsi="Times New Roman" w:eastAsia="方正仿宋_GBK" w:cs="Times New Roman"/>
                <w:color w:val="000000" w:themeColor="text1"/>
                <w:sz w:val="24"/>
                <w:szCs w:val="24"/>
                <w14:textFill>
                  <w14:solidFill>
                    <w14:schemeClr w14:val="tx1"/>
                  </w14:solidFill>
                </w14:textFill>
              </w:rPr>
              <w:t>外资</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（亿美元）</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完成市级下达任务</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 xml:space="preserve">56万美元 </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16</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民营经济市场主体</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（家）</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39000</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41326</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17</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民营经济增加值增速</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6.5</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-15</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18</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一般公共预算收入增速</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6.5左右</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9</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9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19</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单位地区生产总值能源消耗降低</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约束性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完成市级下达任务</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完成市级下达任务</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20</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单位地区生产总值二氧化碳排放降低</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约束性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完成市级下达任务</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完成市级下达任务</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21</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国家考核断面水质优良率</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约束性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100</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100</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22</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环境空气质量优良天数</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（天）</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约束性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≥301</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286</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23</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森林覆盖率</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约束性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≥32</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55</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24</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人均公园绿地面积</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（平方米）</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约束性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≥25</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25</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25</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建成区路网密度</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（公里/平方公里）</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6.87</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6.89</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26</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全区居民人均可支配收入增速</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与GDP增长同步</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4</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27</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城镇新增就业人数</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（人）</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17600</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18000</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28</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每千名老人养老床位数</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（张）</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36.1</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36.1</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29</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每千人口拥有3岁以下婴幼儿托位数</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（个）</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2.8</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3.22</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30</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每千人口拥有执业（助理）医师数</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（人）</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3.1</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w:t>
            </w:r>
            <w:r>
              <w:rPr>
                <w:rFonts w:hint="eastAsia" w:ascii="Times New Roman" w:hAnsi="Times New Roman" w:eastAsia="方正仿宋_GBK" w:cs="Times New Roman"/>
                <w:color w:val="000000" w:themeColor="text1"/>
                <w:sz w:val="24"/>
                <w:szCs w:val="24"/>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61</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31</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公办园在园幼儿人数占比</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约束性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≥55</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56.6</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40" w:hRule="atLeast"/>
          <w:jc w:val="center"/>
        </w:trPr>
        <w:tc>
          <w:tcPr>
            <w:tcW w:w="617" w:type="dxa"/>
            <w:vAlign w:val="center"/>
          </w:tcPr>
          <w:p>
            <w:pPr>
              <w:widowControl w:val="0"/>
              <w:adjustRightInd w:val="0"/>
              <w:spacing w:before="100" w:beforeAutospacing="1" w:after="100" w:afterAutospacing="1"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32</w:t>
            </w:r>
          </w:p>
        </w:tc>
        <w:tc>
          <w:tcPr>
            <w:tcW w:w="3133" w:type="dxa"/>
            <w:vAlign w:val="center"/>
          </w:tcPr>
          <w:p>
            <w:pPr>
              <w:widowControl w:val="0"/>
              <w:adjustRightInd w:val="0"/>
              <w:spacing w:before="100" w:beforeAutospacing="1" w:after="100" w:afterAutospacing="1"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安全事故死亡人数</w:t>
            </w:r>
          </w:p>
        </w:tc>
        <w:tc>
          <w:tcPr>
            <w:tcW w:w="1387"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（人）</w:t>
            </w:r>
          </w:p>
        </w:tc>
        <w:tc>
          <w:tcPr>
            <w:tcW w:w="79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约束性</w:t>
            </w:r>
          </w:p>
        </w:tc>
        <w:tc>
          <w:tcPr>
            <w:tcW w:w="133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≤14</w:t>
            </w:r>
          </w:p>
        </w:tc>
        <w:tc>
          <w:tcPr>
            <w:tcW w:w="1305"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6</w:t>
            </w:r>
          </w:p>
        </w:tc>
        <w:tc>
          <w:tcPr>
            <w:tcW w:w="854" w:type="dxa"/>
            <w:vAlign w:val="center"/>
          </w:tcPr>
          <w:p>
            <w:pPr>
              <w:widowControl w:val="0"/>
              <w:adjustRightInd w:val="0"/>
              <w:spacing w:before="100" w:beforeAutospacing="1" w:after="100" w:afterAutospacing="1"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是</w:t>
            </w:r>
          </w:p>
        </w:tc>
      </w:tr>
    </w:tbl>
    <w:p>
      <w:pPr>
        <w:pStyle w:val="27"/>
        <w:spacing w:after="0" w:line="594" w:lineRule="exact"/>
        <w:ind w:firstLine="640"/>
        <w:rPr>
          <w:rFonts w:ascii="Times New Roman" w:hAnsi="Times New Roman"/>
          <w:color w:val="000000" w:themeColor="text1"/>
          <w14:textFill>
            <w14:solidFill>
              <w14:schemeClr w14:val="tx1"/>
            </w14:solidFill>
          </w14:textFill>
        </w:rPr>
      </w:pPr>
      <w:r>
        <w:rPr>
          <w:rFonts w:ascii="Times New Roman" w:hAnsi="Times New Roman" w:eastAsia="方正楷体_GBK"/>
          <w:color w:val="000000" w:themeColor="text1"/>
          <w:kern w:val="0"/>
          <w:szCs w:val="21"/>
          <w14:textFill>
            <w14:solidFill>
              <w14:schemeClr w14:val="tx1"/>
            </w14:solidFill>
          </w14:textFill>
        </w:rPr>
        <w:t>（二）重点项目完成情况</w:t>
      </w:r>
    </w:p>
    <w:p>
      <w:pPr>
        <w:pStyle w:val="2"/>
        <w:spacing w:line="594" w:lineRule="exact"/>
        <w:ind w:firstLine="640"/>
        <w:rPr>
          <w:rFonts w:eastAsia="方正仿宋_GBK"/>
          <w:color w:val="000000" w:themeColor="text1"/>
          <w:szCs w:val="32"/>
          <w14:textFill>
            <w14:solidFill>
              <w14:schemeClr w14:val="tx1"/>
            </w14:solidFill>
          </w14:textFill>
        </w:rPr>
      </w:pPr>
      <w:r>
        <w:rPr>
          <w:rFonts w:eastAsia="方正仿宋_GBK"/>
          <w:color w:val="000000" w:themeColor="text1"/>
          <w:szCs w:val="21"/>
          <w14:textFill>
            <w14:solidFill>
              <w14:schemeClr w14:val="tx1"/>
            </w14:solidFill>
          </w14:textFill>
        </w:rPr>
        <w:t>围绕</w:t>
      </w:r>
      <w:r>
        <w:rPr>
          <w:rFonts w:hint="eastAsia" w:ascii="方正仿宋_GBK" w:eastAsia="方正仿宋_GBK"/>
          <w:color w:val="000000" w:themeColor="text1"/>
          <w:szCs w:val="21"/>
          <w14:textFill>
            <w14:solidFill>
              <w14:schemeClr w14:val="tx1"/>
            </w14:solidFill>
          </w14:textFill>
        </w:rPr>
        <w:t>“</w:t>
      </w:r>
      <w:r>
        <w:rPr>
          <w:rFonts w:eastAsia="方正仿宋_GBK"/>
          <w:color w:val="000000" w:themeColor="text1"/>
          <w:szCs w:val="21"/>
          <w14:textFill>
            <w14:solidFill>
              <w14:schemeClr w14:val="tx1"/>
            </w14:solidFill>
          </w14:textFill>
        </w:rPr>
        <w:t>公园大渡口、多彩艺术湾</w:t>
      </w:r>
      <w:r>
        <w:rPr>
          <w:rFonts w:hint="eastAsia" w:ascii="方正仿宋_GBK" w:eastAsia="方正仿宋_GBK"/>
          <w:color w:val="000000" w:themeColor="text1"/>
          <w:szCs w:val="21"/>
          <w14:textFill>
            <w14:solidFill>
              <w14:schemeClr w14:val="tx1"/>
            </w14:solidFill>
          </w14:textFill>
        </w:rPr>
        <w:t>”</w:t>
      </w:r>
      <w:r>
        <w:rPr>
          <w:rFonts w:eastAsia="方正仿宋_GBK"/>
          <w:color w:val="000000" w:themeColor="text1"/>
          <w:szCs w:val="21"/>
          <w14:textFill>
            <w14:solidFill>
              <w14:schemeClr w14:val="tx1"/>
            </w14:solidFill>
          </w14:textFill>
        </w:rPr>
        <w:t>建设，加强项目策划储备和统筹调度，分项编制《2023年对上争资项目储备库》，制定印发《大渡口区重点项目分类管理工作方案》，将全区80个重点项目分成A、B、C三级进行周、旬、月差异化管理调度，强化项目</w:t>
      </w:r>
      <w:r>
        <w:rPr>
          <w:rFonts w:hint="eastAsia" w:ascii="方正仿宋_GBK" w:eastAsia="方正仿宋_GBK"/>
          <w:color w:val="000000" w:themeColor="text1"/>
          <w:szCs w:val="21"/>
          <w14:textFill>
            <w14:solidFill>
              <w14:schemeClr w14:val="tx1"/>
            </w14:solidFill>
          </w14:textFill>
        </w:rPr>
        <w:t>“</w:t>
      </w:r>
      <w:r>
        <w:rPr>
          <w:rFonts w:eastAsia="方正仿宋_GBK"/>
          <w:color w:val="000000" w:themeColor="text1"/>
          <w:szCs w:val="21"/>
          <w14:textFill>
            <w14:solidFill>
              <w14:schemeClr w14:val="tx1"/>
            </w14:solidFill>
          </w14:textFill>
        </w:rPr>
        <w:t>红黄圆</w:t>
      </w:r>
      <w:r>
        <w:rPr>
          <w:rFonts w:hint="eastAsia" w:ascii="方正仿宋_GBK" w:eastAsia="方正仿宋_GBK"/>
          <w:color w:val="000000" w:themeColor="text1"/>
          <w:szCs w:val="21"/>
          <w14:textFill>
            <w14:solidFill>
              <w14:schemeClr w14:val="tx1"/>
            </w14:solidFill>
          </w14:textFill>
        </w:rPr>
        <w:t>”</w:t>
      </w:r>
      <w:r>
        <w:rPr>
          <w:rFonts w:eastAsia="方正仿宋_GBK"/>
          <w:color w:val="000000" w:themeColor="text1"/>
          <w:szCs w:val="21"/>
          <w14:textFill>
            <w14:solidFill>
              <w14:schemeClr w14:val="tx1"/>
            </w14:solidFill>
          </w14:textFill>
        </w:rPr>
        <w:t>展示督办，并将结果与红灰旗单位、科室评选挂钩，倒逼责任落实，提速项目建设。2023年计划建设项目267个（新开工172个、续建95个），全年推进建设220个，占比82%；剩余47个项目中，32个正在加快推进前期工作，其余15个由于市场原因企业取消建设计划或为土地开发类项目、土地未出让导致未启动实施。全年竣工投用项目68个，80个区级重点建设项目推进顺利率达90%，重点项目完成投资占全区完成投资比重超70%。城市开发提速扩面，钓鱼嘴片区、金桥片区、茄子溪片区</w:t>
      </w:r>
      <w:r>
        <w:rPr>
          <w:rFonts w:eastAsia="方正仿宋_GBK"/>
          <w:color w:val="000000" w:themeColor="text1"/>
          <w:szCs w:val="32"/>
          <w14:textFill>
            <w14:solidFill>
              <w14:schemeClr w14:val="tx1"/>
            </w14:solidFill>
          </w14:textFill>
        </w:rPr>
        <w:t>成为开发热点</w:t>
      </w:r>
      <w:r>
        <w:rPr>
          <w:rFonts w:eastAsia="方正仿宋_GBK"/>
          <w:color w:val="000000" w:themeColor="text1"/>
          <w:szCs w:val="21"/>
          <w14:textFill>
            <w14:solidFill>
              <w14:schemeClr w14:val="tx1"/>
            </w14:solidFill>
          </w14:textFill>
        </w:rPr>
        <w:t>；基础设施加速推进，完工白居寺长江大桥西引道及钓鱼嘴立交工程等一批节点性道路工程，加快城市管网、老旧改、城市公园等一批项目建设，城市功能日益健全；</w:t>
      </w:r>
      <w:r>
        <w:rPr>
          <w:rFonts w:eastAsia="方正仿宋_GBK"/>
          <w:bCs/>
          <w:color w:val="000000" w:themeColor="text1"/>
          <w:szCs w:val="32"/>
          <w14:textFill>
            <w14:solidFill>
              <w14:schemeClr w14:val="tx1"/>
            </w14:solidFill>
          </w14:textFill>
        </w:rPr>
        <w:t>海康威视三期、</w:t>
      </w:r>
      <w:r>
        <w:rPr>
          <w:rFonts w:eastAsia="方正仿宋_GBK"/>
          <w:color w:val="000000" w:themeColor="text1"/>
          <w:szCs w:val="32"/>
          <w14:textFill>
            <w14:solidFill>
              <w14:schemeClr w14:val="tx1"/>
            </w14:solidFill>
          </w14:textFill>
        </w:rPr>
        <w:t>中元汇吉生物科技园</w:t>
      </w:r>
      <w:r>
        <w:rPr>
          <w:rFonts w:eastAsia="方正仿宋_GBK"/>
          <w:bCs/>
          <w:color w:val="000000" w:themeColor="text1"/>
          <w:szCs w:val="32"/>
          <w14:textFill>
            <w14:solidFill>
              <w14:schemeClr w14:val="tx1"/>
            </w14:solidFill>
          </w14:textFill>
        </w:rPr>
        <w:t>等一批产业项目加快建设，为经济稳增长提供有力支撑。</w:t>
      </w:r>
    </w:p>
    <w:p>
      <w:pPr>
        <w:widowControl w:val="0"/>
        <w:adjustRightInd w:val="0"/>
        <w:snapToGrid w:val="0"/>
        <w:spacing w:after="0" w:line="594" w:lineRule="exact"/>
        <w:jc w:val="center"/>
        <w:rPr>
          <w:rFonts w:ascii="Times New Roman" w:hAnsi="Times New Roman" w:eastAsia="方正黑体_GBK" w:cs="Times New Roman"/>
          <w:color w:val="000000" w:themeColor="text1"/>
          <w:sz w:val="28"/>
          <w:szCs w:val="28"/>
          <w14:textFill>
            <w14:solidFill>
              <w14:schemeClr w14:val="tx1"/>
            </w14:solidFill>
          </w14:textFill>
        </w:rPr>
      </w:pPr>
      <w:r>
        <w:rPr>
          <w:rFonts w:ascii="Times New Roman" w:hAnsi="Times New Roman" w:eastAsia="方正黑体_GBK" w:cs="Times New Roman"/>
          <w:color w:val="000000" w:themeColor="text1"/>
          <w:sz w:val="28"/>
          <w:szCs w:val="28"/>
          <w14:textFill>
            <w14:solidFill>
              <w14:schemeClr w14:val="tx1"/>
            </w14:solidFill>
          </w14:textFill>
        </w:rPr>
        <w:t>专栏1：2023年重点开竣工项目情况</w:t>
      </w:r>
    </w:p>
    <w:tbl>
      <w:tblPr>
        <w:tblStyle w:val="14"/>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203" w:type="dxa"/>
          </w:tcPr>
          <w:p>
            <w:pPr>
              <w:widowControl w:val="0"/>
              <w:spacing w:after="0" w:line="260" w:lineRule="exact"/>
              <w:jc w:val="both"/>
              <w:rPr>
                <w:rFonts w:ascii="Times New Roman" w:hAnsi="Times New Roman" w:eastAsia="方正仿宋_GBK" w:cs="Times New Roman"/>
                <w:bCs/>
                <w:color w:val="000000" w:themeColor="text1"/>
                <w:sz w:val="21"/>
                <w:szCs w:val="21"/>
                <w14:textFill>
                  <w14:solidFill>
                    <w14:schemeClr w14:val="tx1"/>
                  </w14:solidFill>
                </w14:textFill>
              </w:rPr>
            </w:pPr>
            <w:r>
              <w:rPr>
                <w:rFonts w:ascii="Times New Roman" w:hAnsi="Times New Roman" w:eastAsia="方正黑体_GBK" w:cs="Times New Roman"/>
                <w:bCs/>
                <w:color w:val="000000" w:themeColor="text1"/>
                <w:sz w:val="21"/>
                <w:szCs w:val="21"/>
                <w14:textFill>
                  <w14:solidFill>
                    <w14:schemeClr w14:val="tx1"/>
                  </w14:solidFill>
                </w14:textFill>
              </w:rPr>
              <w:t>开工重点项目：</w:t>
            </w:r>
            <w:r>
              <w:rPr>
                <w:rFonts w:ascii="Times New Roman" w:hAnsi="Times New Roman" w:eastAsia="方正仿宋_GBK" w:cs="Times New Roman"/>
                <w:bCs/>
                <w:color w:val="000000" w:themeColor="text1"/>
                <w:sz w:val="21"/>
                <w:szCs w:val="21"/>
                <w14:textFill>
                  <w14:solidFill>
                    <w14:schemeClr w14:val="tx1"/>
                  </w14:solidFill>
                </w14:textFill>
              </w:rPr>
              <w:t>宝武西南总部、虬龙科技研发总部、</w:t>
            </w:r>
            <w:r>
              <w:rPr>
                <w:rFonts w:hint="eastAsia" w:ascii="Times New Roman" w:hAnsi="Times New Roman" w:eastAsia="方正仿宋_GBK" w:cs="Times New Roman"/>
                <w:bCs/>
                <w:color w:val="000000" w:themeColor="text1"/>
                <w:sz w:val="21"/>
                <w:szCs w:val="21"/>
                <w14:textFill>
                  <w14:solidFill>
                    <w14:schemeClr w14:val="tx1"/>
                  </w14:solidFill>
                </w14:textFill>
              </w:rPr>
              <w:t>潜能喜来登酒店</w:t>
            </w:r>
            <w:r>
              <w:rPr>
                <w:rFonts w:ascii="Times New Roman" w:hAnsi="Times New Roman" w:eastAsia="方正仿宋_GBK" w:cs="Times New Roman"/>
                <w:bCs/>
                <w:color w:val="000000" w:themeColor="text1"/>
                <w:sz w:val="21"/>
                <w:szCs w:val="21"/>
                <w14:textFill>
                  <w14:solidFill>
                    <w14:schemeClr w14:val="tx1"/>
                  </w14:solidFill>
                </w14:textFill>
              </w:rPr>
              <w:t>、F02C冷修技术改造项目、新能源汽车减速器及自动变速器用高精度齿轮产能提升项目、重庆建工新型绿色环保建材智能生产示范基地、重庆辉创昱辰食品科技有限公司快消品研发生产基地标准厂房项目、金鳌撒欢乐园、金鳌田园综合体基础设施建设项目、快速路三纵线双山隧道至金家湾立交段改造工程、新袁茄路南段道路、民怡路东段、钓鱼嘴片区市政骨架道路16号路、跳磴南侧片区路网、跳磴南侧Z3路、恒大I分区配套道路二期（5号道路）、重钢渔鳅浩地块配套设施及整治项目、大渡口10千伏刘柏线等线路迁改工程、大渡口110千伏伯鳌线7号至19号等线路迁改工程、西南大学附属中学校、大渡口区实验小学扩建工程、茄子溪中学扩建工程、大渡口区育才小学（双山校区）扩建、重庆市残疾人康复中心二期、大渡口区城市更新</w:t>
            </w:r>
            <w:r>
              <w:rPr>
                <w:rFonts w:hint="eastAsia" w:ascii="Times New Roman"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老旧改</w:t>
            </w:r>
            <w:r>
              <w:rPr>
                <w:rFonts w:hint="eastAsia" w:ascii="Times New Roman"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革马中心片区、技光村片区、大堰片区等14个片区、博奥香港英才苑、天泰钢城之光、天安江畔珑园三期</w:t>
            </w:r>
          </w:p>
          <w:p>
            <w:pPr>
              <w:widowControl w:val="0"/>
              <w:spacing w:after="0" w:line="260" w:lineRule="exact"/>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黑体_GBK" w:cs="Times New Roman"/>
                <w:bCs/>
                <w:color w:val="000000" w:themeColor="text1"/>
                <w:sz w:val="21"/>
                <w:szCs w:val="21"/>
                <w14:textFill>
                  <w14:solidFill>
                    <w14:schemeClr w14:val="tx1"/>
                  </w14:solidFill>
                </w14:textFill>
              </w:rPr>
              <w:t>竣工重点项目：</w:t>
            </w:r>
            <w:r>
              <w:rPr>
                <w:rFonts w:ascii="Times New Roman" w:hAnsi="Times New Roman" w:eastAsia="方正仿宋_GBK" w:cs="Times New Roman"/>
                <w:bCs/>
                <w:color w:val="000000" w:themeColor="text1"/>
                <w:sz w:val="21"/>
                <w:szCs w:val="21"/>
                <w14:textFill>
                  <w14:solidFill>
                    <w14:schemeClr w14:val="tx1"/>
                  </w14:solidFill>
                </w14:textFill>
              </w:rPr>
              <w:t>天安产业三期A组团、重庆市小面产业园、海康威视智能视频终端SMT数字化后端产品车间、血液透析产品研发生产项目、体外诊断试剂研发生产销售项目、亚中医疗体外诊断第三方冷链物流平台、重庆高新医疗器械研究院、F02C冷修技术改造项目、龙文钢材深加工项目、数码模车身功能件智能制造、红九九总部、禄苑西南总部基地建设项目改扩建工程、中冶建工职工职业技能培训实训中心、建桥C区环保产业园边坡整治工程、轨道交通18号线、白居寺长江大桥西引道及钓鱼嘴立交工程、大滨路人车行道改造和滨江路绿化改造工程、钓鱼嘴七号路、钓鱼嘴片区十一号路、跳红路与华福路连接道工程、建桥C区N23-1地块西侧道路、三一重工至华福隧道入口段、石新路、黄角堡公交站场、跃进村片区雨污水管网整治工程、I59地块新建小学、重庆市残疾人康复中心一期升级改造工程、大渡口区城市更新</w:t>
            </w:r>
            <w:r>
              <w:rPr>
                <w:rFonts w:hint="eastAsia" w:ascii="Times New Roman"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老旧改</w:t>
            </w:r>
            <w:r>
              <w:rPr>
                <w:rFonts w:hint="eastAsia" w:ascii="Times New Roman"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永丰片区、新华片区、钢花片区等12个片区</w:t>
            </w:r>
          </w:p>
        </w:tc>
      </w:tr>
    </w:tbl>
    <w:p>
      <w:pPr>
        <w:widowControl w:val="0"/>
        <w:adjustRightInd w:val="0"/>
        <w:snapToGrid w:val="0"/>
        <w:spacing w:after="0" w:line="594" w:lineRule="exact"/>
        <w:ind w:firstLine="640" w:firstLineChars="200"/>
        <w:jc w:val="both"/>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（三）重点任务完成情况</w:t>
      </w:r>
    </w:p>
    <w:p>
      <w:pPr>
        <w:widowControl w:val="0"/>
        <w:spacing w:after="0" w:line="594" w:lineRule="exact"/>
        <w:ind w:firstLine="643" w:firstLineChars="200"/>
        <w:jc w:val="both"/>
        <w:rPr>
          <w:rFonts w:ascii="Times New Roman" w:hAnsi="Times New Roman" w:eastAsia="方正仿宋_GBK" w:cs="Times New Roman"/>
          <w:color w:val="000000" w:themeColor="text1"/>
          <w:kern w:val="2"/>
          <w:sz w:val="32"/>
          <w:szCs w:val="32"/>
          <w14:textFill>
            <w14:solidFill>
              <w14:schemeClr w14:val="tx1"/>
            </w14:solidFill>
          </w14:textFill>
        </w:rPr>
      </w:pPr>
      <w:r>
        <w:rPr>
          <w:rFonts w:ascii="Times New Roman" w:hAnsi="Times New Roman" w:eastAsia="方正仿宋_GBK" w:cs="Times New Roman"/>
          <w:b/>
          <w:bCs/>
          <w:color w:val="000000" w:themeColor="text1"/>
          <w:kern w:val="2"/>
          <w:sz w:val="32"/>
          <w:szCs w:val="32"/>
          <w14:textFill>
            <w14:solidFill>
              <w14:schemeClr w14:val="tx1"/>
            </w14:solidFill>
          </w14:textFill>
        </w:rPr>
        <w:t>1. 坚定信心扩大内需，</w:t>
      </w:r>
      <w:r>
        <w:rPr>
          <w:rFonts w:ascii="Times New Roman" w:hAnsi="Times New Roman" w:eastAsia="方正仿宋_GBK" w:cs="Times New Roman"/>
          <w:b/>
          <w:bCs/>
          <w:color w:val="000000" w:themeColor="text1"/>
          <w:kern w:val="2"/>
          <w:sz w:val="32"/>
          <w:szCs w:val="32"/>
          <w:shd w:val="clear" w:color="auto" w:fill="FFFFFF"/>
          <w14:textFill>
            <w14:solidFill>
              <w14:schemeClr w14:val="tx1"/>
            </w14:solidFill>
          </w14:textFill>
        </w:rPr>
        <w:t>增长潜力持续释放。有效投资不断扩大。</w:t>
      </w:r>
      <w:r>
        <w:rPr>
          <w:rFonts w:ascii="Times New Roman" w:hAnsi="Times New Roman" w:eastAsia="方正仿宋_GBK" w:cs="Times New Roman"/>
          <w:color w:val="000000" w:themeColor="text1"/>
          <w:sz w:val="32"/>
          <w:szCs w:val="32"/>
          <w14:textFill>
            <w14:solidFill>
              <w14:schemeClr w14:val="tx1"/>
            </w14:solidFill>
          </w14:textFill>
        </w:rPr>
        <w:t>抓牢抓实重点项目，出台抓项目促投资专项行动方案，严格落实</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五个一</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工作机制，全年工业投资增长17</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2%，民间投资（不含房地产）增长12</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1%，建安投资增长22</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7%，房地产投资占固投比重55%、下降7</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4个百分点，投资结构进一步优化。拓宽项目资金来源，</w:t>
      </w:r>
      <w:r>
        <w:rPr>
          <w:rFonts w:ascii="Times New Roman" w:hAnsi="Times New Roman" w:eastAsia="方正仿宋_GBK" w:cs="Times New Roman"/>
          <w:color w:val="000000" w:themeColor="text1"/>
          <w:kern w:val="2"/>
          <w:sz w:val="32"/>
          <w:szCs w:val="32"/>
          <w14:textFill>
            <w14:solidFill>
              <w14:schemeClr w14:val="tx1"/>
            </w14:solidFill>
          </w14:textFill>
        </w:rPr>
        <w:t>争取到位一般公共预算上级补助15.3亿元、新增债券3.63亿元。</w:t>
      </w:r>
      <w:r>
        <w:rPr>
          <w:rFonts w:ascii="Times New Roman" w:hAnsi="Times New Roman" w:eastAsia="方正仿宋_GBK" w:cs="Times New Roman"/>
          <w:color w:val="000000" w:themeColor="text1"/>
          <w:sz w:val="32"/>
          <w:szCs w:val="32"/>
          <w14:textFill>
            <w14:solidFill>
              <w14:schemeClr w14:val="tx1"/>
            </w14:solidFill>
          </w14:textFill>
        </w:rPr>
        <w:t>编制区</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平急两用</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公共基础设施建设方案，策划储备项目16个、总投资61</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1亿元</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个项目获银行授信</w:t>
      </w:r>
      <w:r>
        <w:rPr>
          <w:rFonts w:ascii="Times New Roman" w:hAnsi="Times New Roman" w:eastAsia="方正仿宋_GBK" w:cs="Times New Roman"/>
          <w:color w:val="000000" w:themeColor="text1"/>
          <w:sz w:val="32"/>
          <w:szCs w:val="32"/>
          <w14:textFill>
            <w14:solidFill>
              <w14:schemeClr w14:val="tx1"/>
            </w14:solidFill>
          </w14:textFill>
        </w:rPr>
        <w:t>18</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color w:val="000000" w:themeColor="text1"/>
          <w:sz w:val="32"/>
          <w:szCs w:val="32"/>
          <w14:textFill>
            <w14:solidFill>
              <w14:schemeClr w14:val="tx1"/>
            </w14:solidFill>
          </w14:textFill>
        </w:rPr>
        <w:t>亿元</w:t>
      </w:r>
      <w:r>
        <w:rPr>
          <w:rFonts w:ascii="Times New Roman" w:hAnsi="Times New Roman" w:eastAsia="方正仿宋_GBK" w:cs="Times New Roman"/>
          <w:color w:val="000000" w:themeColor="text1"/>
          <w:sz w:val="32"/>
          <w:szCs w:val="32"/>
          <w14:textFill>
            <w14:solidFill>
              <w14:schemeClr w14:val="tx1"/>
            </w14:solidFill>
          </w14:textFill>
        </w:rPr>
        <w:t>。成功纳入城中村更新改造首批专项借款城市名单，梳理专项借款需求20.9亿元。</w:t>
      </w:r>
      <w:r>
        <w:rPr>
          <w:rFonts w:ascii="Times New Roman" w:hAnsi="Times New Roman" w:eastAsia="方正仿宋_GBK" w:cs="Times New Roman"/>
          <w:bCs/>
          <w:color w:val="000000" w:themeColor="text1"/>
          <w:sz w:val="32"/>
          <w:szCs w:val="32"/>
          <w14:textFill>
            <w14:solidFill>
              <w14:schemeClr w14:val="tx1"/>
            </w14:solidFill>
          </w14:textFill>
        </w:rPr>
        <w:t>发布2023</w:t>
      </w:r>
      <w:r>
        <w:rPr>
          <w:rFonts w:hint="eastAsia" w:ascii="Times New Roman" w:hAnsi="Times New Roman" w:eastAsia="方正仿宋_GBK" w:cs="Times New Roman"/>
          <w:bCs/>
          <w:color w:val="000000" w:themeColor="text1"/>
          <w:sz w:val="32"/>
          <w:szCs w:val="32"/>
          <w14:textFill>
            <w14:solidFill>
              <w14:schemeClr w14:val="tx1"/>
            </w14:solidFill>
          </w14:textFill>
        </w:rPr>
        <w:t>年</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城市机会清单</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项目5大类89条，总投资801亿元。</w:t>
      </w:r>
      <w:r>
        <w:rPr>
          <w:rFonts w:ascii="Times New Roman" w:hAnsi="Times New Roman" w:eastAsia="方正仿宋_GBK" w:cs="Times New Roman"/>
          <w:color w:val="000000" w:themeColor="text1"/>
          <w:kern w:val="2"/>
          <w:sz w:val="32"/>
          <w:szCs w:val="32"/>
          <w14:textFill>
            <w14:solidFill>
              <w14:schemeClr w14:val="tx1"/>
            </w14:solidFill>
          </w14:textFill>
        </w:rPr>
        <w:t>创新提出</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投资人+EPC+O</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模式，加快推动</w:t>
      </w:r>
      <w:r>
        <w:rPr>
          <w:rFonts w:ascii="Times New Roman" w:hAnsi="Times New Roman" w:eastAsia="方正仿宋_GBK" w:cs="Times New Roman"/>
          <w:color w:val="000000" w:themeColor="text1"/>
          <w:sz w:val="32"/>
          <w:szCs w:val="32"/>
          <w14:textFill>
            <w14:solidFill>
              <w14:schemeClr w14:val="tx1"/>
            </w14:solidFill>
          </w14:textFill>
        </w:rPr>
        <w:t>三甲医院前期工作。</w:t>
      </w:r>
      <w:r>
        <w:rPr>
          <w:rFonts w:ascii="Times New Roman" w:hAnsi="Times New Roman" w:eastAsia="方正仿宋_GBK" w:cs="Times New Roman"/>
          <w:bCs/>
          <w:color w:val="000000" w:themeColor="text1"/>
          <w:sz w:val="32"/>
          <w:szCs w:val="32"/>
          <w14:textFill>
            <w14:solidFill>
              <w14:schemeClr w14:val="tx1"/>
            </w14:solidFill>
          </w14:textFill>
        </w:rPr>
        <w:t>重构</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5+2</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招商引资体制机制</w:t>
      </w:r>
      <w:r>
        <w:rPr>
          <w:rFonts w:ascii="Times New Roman" w:hAnsi="Times New Roman" w:eastAsia="方正仿宋_GBK" w:cs="Times New Roman"/>
          <w:color w:val="000000" w:themeColor="text1"/>
          <w:kern w:val="2"/>
          <w:sz w:val="32"/>
          <w:szCs w:val="32"/>
          <w14:textFill>
            <w14:solidFill>
              <w14:schemeClr w14:val="tx1"/>
            </w14:solidFill>
          </w14:textFill>
        </w:rPr>
        <w:t>，全年签订正式合同额400亿元、到位资金94</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4亿元。</w:t>
      </w:r>
      <w:r>
        <w:rPr>
          <w:rFonts w:ascii="Times New Roman" w:hAnsi="Times New Roman" w:eastAsia="方正仿宋_GBK" w:cs="Times New Roman"/>
          <w:b/>
          <w:bCs/>
          <w:color w:val="000000" w:themeColor="text1"/>
          <w:kern w:val="2"/>
          <w:sz w:val="32"/>
          <w:szCs w:val="32"/>
          <w:shd w:val="clear" w:color="auto" w:fill="FFFFFF"/>
          <w14:textFill>
            <w14:solidFill>
              <w14:schemeClr w14:val="tx1"/>
            </w14:solidFill>
          </w14:textFill>
        </w:rPr>
        <w:t>消费提振成效明显。</w:t>
      </w:r>
      <w:r>
        <w:rPr>
          <w:rFonts w:ascii="Times New Roman" w:hAnsi="Times New Roman" w:eastAsia="方正仿宋_GBK" w:cs="Times New Roman"/>
          <w:bCs/>
          <w:color w:val="000000" w:themeColor="text1"/>
          <w:kern w:val="2"/>
          <w:sz w:val="32"/>
          <w:szCs w:val="32"/>
          <w14:textFill>
            <w14:solidFill>
              <w14:schemeClr w14:val="tx1"/>
            </w14:solidFill>
          </w14:textFill>
        </w:rPr>
        <w:t>启动</w:t>
      </w:r>
      <w:r>
        <w:rPr>
          <w:rFonts w:ascii="Times New Roman" w:hAnsi="Times New Roman" w:eastAsia="方正仿宋_GBK" w:cs="Times New Roman"/>
          <w:color w:val="000000" w:themeColor="text1"/>
          <w:sz w:val="32"/>
          <w:szCs w:val="32"/>
          <w14:textFill>
            <w14:solidFill>
              <w14:schemeClr w14:val="tx1"/>
            </w14:solidFill>
          </w14:textFill>
        </w:rPr>
        <w:t>九宫庙—金桥商圈更新提升项目建设</w:t>
      </w:r>
      <w:r>
        <w:rPr>
          <w:rFonts w:ascii="Times New Roman" w:hAnsi="Times New Roman" w:eastAsia="方正仿宋_GBK" w:cs="Times New Roman"/>
          <w:bCs/>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shd w:val="clear" w:color="auto" w:fill="FFFFFF"/>
          <w14:textFill>
            <w14:solidFill>
              <w14:schemeClr w14:val="tx1"/>
            </w14:solidFill>
          </w14:textFill>
        </w:rPr>
        <w:t>富士达MINI风情街、</w:t>
      </w:r>
      <w:r>
        <w:rPr>
          <w:rFonts w:ascii="Times New Roman" w:hAnsi="Times New Roman" w:eastAsia="方正仿宋_GBK" w:cs="Times New Roman"/>
          <w:color w:val="000000" w:themeColor="text1"/>
          <w:kern w:val="2"/>
          <w:sz w:val="32"/>
          <w:szCs w:val="32"/>
          <w14:textFill>
            <w14:solidFill>
              <w14:schemeClr w14:val="tx1"/>
            </w14:solidFill>
          </w14:textFill>
        </w:rPr>
        <w:t>中交丽景美食街完成</w:t>
      </w:r>
      <w:r>
        <w:rPr>
          <w:rFonts w:ascii="Times New Roman" w:hAnsi="Times New Roman" w:eastAsia="方正仿宋_GBK" w:cs="Times New Roman"/>
          <w:color w:val="000000" w:themeColor="text1"/>
          <w:kern w:val="2"/>
          <w:sz w:val="32"/>
          <w:szCs w:val="32"/>
          <w:shd w:val="clear" w:color="auto" w:fill="FFFFFF"/>
          <w14:textFill>
            <w14:solidFill>
              <w14:schemeClr w14:val="tx1"/>
            </w14:solidFill>
          </w14:textFill>
        </w:rPr>
        <w:t>升级改造</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九宫庙商圈获</w:t>
      </w:r>
      <w:r>
        <w:rPr>
          <w:rFonts w:hint="eastAsia" w:ascii="Times New Roman" w:hAnsi="Times New Roman" w:eastAsia="方正仿宋_GBK" w:cs="Times New Roman"/>
          <w:color w:val="000000" w:themeColor="text1"/>
          <w:kern w:val="2"/>
          <w:sz w:val="32"/>
          <w:szCs w:val="32"/>
          <w14:textFill>
            <w14:solidFill>
              <w14:schemeClr w14:val="tx1"/>
            </w14:solidFill>
          </w14:textFill>
        </w:rPr>
        <w:t>评</w:t>
      </w:r>
      <w:r>
        <w:rPr>
          <w:rFonts w:ascii="Times New Roman" w:hAnsi="Times New Roman" w:eastAsia="方正仿宋_GBK" w:cs="Times New Roman"/>
          <w:color w:val="000000" w:themeColor="text1"/>
          <w:kern w:val="2"/>
          <w:sz w:val="32"/>
          <w:szCs w:val="32"/>
          <w14:textFill>
            <w14:solidFill>
              <w14:schemeClr w14:val="tx1"/>
            </w14:solidFill>
          </w14:textFill>
        </w:rPr>
        <w:t>迎春灯饰服务夜经济最佳商圈，万象汇夜市获评首批市级就业创业示范夜市</w:t>
      </w:r>
      <w:r>
        <w:rPr>
          <w:rFonts w:hint="eastAsia" w:ascii="Times New Roman" w:hAnsi="Times New Roman" w:eastAsia="方正仿宋_GBK" w:cs="Times New Roman"/>
          <w:color w:val="000000" w:themeColor="text1"/>
          <w:kern w:val="2"/>
          <w:sz w:val="32"/>
          <w:szCs w:val="32"/>
          <w14:textFill>
            <w14:solidFill>
              <w14:schemeClr w14:val="tx1"/>
            </w14:solidFill>
          </w14:textFill>
        </w:rPr>
        <w:t>，花花好市</w:t>
      </w:r>
      <w:r>
        <w:rPr>
          <w:rFonts w:hint="eastAsia" w:ascii="方正小标宋_GBK" w:hAnsi="方正小标宋_GBK" w:eastAsia="方正小标宋_GBK" w:cs="方正小标宋_GBK"/>
          <w:color w:val="000000" w:themeColor="text1"/>
          <w:kern w:val="2"/>
          <w:sz w:val="32"/>
          <w:szCs w:val="32"/>
          <w14:textFill>
            <w14:solidFill>
              <w14:schemeClr w14:val="tx1"/>
            </w14:solidFill>
          </w14:textFill>
        </w:rPr>
        <w:t>·</w:t>
      </w:r>
      <w:r>
        <w:rPr>
          <w:rFonts w:hint="eastAsia" w:ascii="Times New Roman" w:hAnsi="Times New Roman" w:eastAsia="方正仿宋_GBK" w:cs="Times New Roman"/>
          <w:color w:val="000000" w:themeColor="text1"/>
          <w:kern w:val="2"/>
          <w:sz w:val="32"/>
          <w:szCs w:val="32"/>
          <w14:textFill>
            <w14:solidFill>
              <w14:schemeClr w14:val="tx1"/>
            </w14:solidFill>
          </w14:textFill>
        </w:rPr>
        <w:t>音乐集市获评全市最佳消费案例</w:t>
      </w:r>
      <w:r>
        <w:rPr>
          <w:rFonts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shd w:val="clear" w:color="auto" w:fill="FFFFFF"/>
          <w14:textFill>
            <w14:solidFill>
              <w14:schemeClr w14:val="tx1"/>
            </w14:solidFill>
          </w14:textFill>
        </w:rPr>
        <w:t>打造商贸活动品牌，</w:t>
      </w:r>
      <w:r>
        <w:rPr>
          <w:rFonts w:ascii="Times New Roman" w:hAnsi="Times New Roman" w:eastAsia="方正仿宋_GBK" w:cs="Times New Roman"/>
          <w:color w:val="000000" w:themeColor="text1"/>
          <w:kern w:val="2"/>
          <w:sz w:val="32"/>
          <w:szCs w:val="32"/>
          <w14:textFill>
            <w14:solidFill>
              <w14:schemeClr w14:val="tx1"/>
            </w14:solidFill>
          </w14:textFill>
        </w:rPr>
        <w:t>举办第三届重庆小面文化节、首届十大江湖菜评选等活</w:t>
      </w:r>
      <w:r>
        <w:rPr>
          <w:rFonts w:ascii="Times New Roman" w:hAnsi="Times New Roman" w:eastAsia="方正仿宋_GBK" w:cs="Times New Roman"/>
          <w:color w:val="000000" w:themeColor="text1"/>
          <w:kern w:val="2"/>
          <w:sz w:val="32"/>
          <w:szCs w:val="32"/>
          <w:shd w:val="clear" w:color="auto" w:fill="FFFFFF"/>
          <w14:textFill>
            <w14:solidFill>
              <w14:schemeClr w14:val="tx1"/>
            </w14:solidFill>
          </w14:textFill>
        </w:rPr>
        <w:t>动25场</w:t>
      </w:r>
      <w:r>
        <w:rPr>
          <w:rFonts w:ascii="Times New Roman" w:hAnsi="Times New Roman" w:eastAsia="方正仿宋_GBK" w:cs="Times New Roman"/>
          <w:color w:val="000000" w:themeColor="text1"/>
          <w:kern w:val="2"/>
          <w:sz w:val="32"/>
          <w:szCs w:val="32"/>
          <w14:textFill>
            <w14:solidFill>
              <w14:schemeClr w14:val="tx1"/>
            </w14:solidFill>
          </w14:textFill>
        </w:rPr>
        <w:t>次，</w:t>
      </w:r>
      <w:r>
        <w:rPr>
          <w:rFonts w:hint="eastAsia" w:ascii="Times New Roman" w:hAnsi="Times New Roman" w:eastAsia="方正仿宋_GBK" w:cs="Times New Roman"/>
          <w:color w:val="000000" w:themeColor="text1"/>
          <w:kern w:val="2"/>
          <w:sz w:val="32"/>
          <w:szCs w:val="32"/>
          <w14:textFill>
            <w14:solidFill>
              <w14:schemeClr w14:val="tx1"/>
            </w14:solidFill>
          </w14:textFill>
        </w:rPr>
        <w:t>在全市</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hint="eastAsia" w:ascii="Times New Roman" w:hAnsi="Times New Roman" w:eastAsia="方正仿宋_GBK" w:cs="Times New Roman"/>
          <w:color w:val="000000" w:themeColor="text1"/>
          <w:kern w:val="2"/>
          <w:sz w:val="32"/>
          <w:szCs w:val="32"/>
          <w14:textFill>
            <w14:solidFill>
              <w14:schemeClr w14:val="tx1"/>
            </w14:solidFill>
          </w14:textFill>
        </w:rPr>
        <w:t>爱尚重庆</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hint="eastAsia" w:ascii="Times New Roman" w:hAnsi="Times New Roman" w:eastAsia="方正仿宋_GBK" w:cs="Times New Roman"/>
          <w:color w:val="000000" w:themeColor="text1"/>
          <w:kern w:val="2"/>
          <w:sz w:val="32"/>
          <w:szCs w:val="32"/>
          <w14:textFill>
            <w14:solidFill>
              <w14:schemeClr w14:val="tx1"/>
            </w14:solidFill>
          </w14:textFill>
        </w:rPr>
        <w:t>区县</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hint="eastAsia" w:ascii="Times New Roman" w:hAnsi="Times New Roman" w:eastAsia="方正仿宋_GBK" w:cs="Times New Roman"/>
          <w:color w:val="000000" w:themeColor="text1"/>
          <w:kern w:val="2"/>
          <w:sz w:val="32"/>
          <w:szCs w:val="32"/>
          <w14:textFill>
            <w14:solidFill>
              <w14:schemeClr w14:val="tx1"/>
            </w14:solidFill>
          </w14:textFill>
        </w:rPr>
        <w:t>赛</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hint="eastAsia" w:ascii="Times New Roman" w:hAnsi="Times New Roman" w:eastAsia="方正仿宋_GBK" w:cs="Times New Roman"/>
          <w:color w:val="000000" w:themeColor="text1"/>
          <w:kern w:val="2"/>
          <w:sz w:val="32"/>
          <w:szCs w:val="32"/>
          <w14:textFill>
            <w14:solidFill>
              <w14:schemeClr w14:val="tx1"/>
            </w14:solidFill>
          </w14:textFill>
        </w:rPr>
        <w:t>消费活动中荣获优秀组织奖、最佳人气奖</w:t>
      </w:r>
      <w:r>
        <w:rPr>
          <w:rFonts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sz w:val="32"/>
          <w:szCs w:val="40"/>
          <w14:textFill>
            <w14:solidFill>
              <w14:schemeClr w14:val="tx1"/>
            </w14:solidFill>
          </w14:textFill>
        </w:rPr>
        <w:t>推进重庆小面电商产业园、快手重庆创新中心等电商产业载体建设，带动重庆小面电商销售额突破3亿元。</w:t>
      </w:r>
      <w:r>
        <w:rPr>
          <w:rFonts w:hint="eastAsia" w:ascii="Times New Roman" w:hAnsi="Times New Roman" w:eastAsia="方正仿宋_GBK" w:cs="Times New Roman"/>
          <w:color w:val="000000" w:themeColor="text1"/>
          <w:sz w:val="32"/>
          <w:szCs w:val="40"/>
          <w14:textFill>
            <w14:solidFill>
              <w14:schemeClr w14:val="tx1"/>
            </w14:solidFill>
          </w14:textFill>
        </w:rPr>
        <w:t>全区批发业、零售业、住宿业、餐饮业销售额分别增长</w:t>
      </w:r>
      <w:r>
        <w:rPr>
          <w:rFonts w:ascii="Times New Roman" w:hAnsi="Times New Roman" w:eastAsia="方正仿宋_GBK" w:cs="Times New Roman"/>
          <w:color w:val="000000" w:themeColor="text1"/>
          <w:sz w:val="32"/>
          <w:szCs w:val="40"/>
          <w14:textFill>
            <w14:solidFill>
              <w14:schemeClr w14:val="tx1"/>
            </w14:solidFill>
          </w14:textFill>
        </w:rPr>
        <w:t>9</w:t>
      </w:r>
      <w:r>
        <w:rPr>
          <w:rFonts w:hint="eastAsia" w:ascii="Times New Roman" w:hAnsi="Times New Roman" w:eastAsia="方正仿宋_GBK" w:cs="Times New Roman"/>
          <w:color w:val="000000" w:themeColor="text1"/>
          <w:sz w:val="32"/>
          <w:szCs w:val="40"/>
          <w14:textFill>
            <w14:solidFill>
              <w14:schemeClr w14:val="tx1"/>
            </w14:solidFill>
          </w14:textFill>
        </w:rPr>
        <w:t>.</w:t>
      </w:r>
      <w:r>
        <w:rPr>
          <w:rFonts w:ascii="Times New Roman" w:hAnsi="Times New Roman" w:eastAsia="方正仿宋_GBK" w:cs="Times New Roman"/>
          <w:color w:val="000000" w:themeColor="text1"/>
          <w:sz w:val="32"/>
          <w:szCs w:val="40"/>
          <w14:textFill>
            <w14:solidFill>
              <w14:schemeClr w14:val="tx1"/>
            </w14:solidFill>
          </w14:textFill>
        </w:rPr>
        <w:t>1</w:t>
      </w:r>
      <w:r>
        <w:rPr>
          <w:rFonts w:hint="eastAsia" w:ascii="Times New Roman" w:hAnsi="Times New Roman" w:eastAsia="方正仿宋_GBK" w:cs="Times New Roman"/>
          <w:color w:val="000000" w:themeColor="text1"/>
          <w:sz w:val="32"/>
          <w:szCs w:val="40"/>
          <w14:textFill>
            <w14:solidFill>
              <w14:schemeClr w14:val="tx1"/>
            </w14:solidFill>
          </w14:textFill>
        </w:rPr>
        <w:t>%、</w:t>
      </w:r>
      <w:r>
        <w:rPr>
          <w:rFonts w:ascii="Times New Roman" w:hAnsi="Times New Roman" w:eastAsia="方正仿宋_GBK" w:cs="Times New Roman"/>
          <w:color w:val="000000" w:themeColor="text1"/>
          <w:sz w:val="32"/>
          <w:szCs w:val="40"/>
          <w14:textFill>
            <w14:solidFill>
              <w14:schemeClr w14:val="tx1"/>
            </w14:solidFill>
          </w14:textFill>
        </w:rPr>
        <w:t>15</w:t>
      </w:r>
      <w:r>
        <w:rPr>
          <w:rFonts w:hint="eastAsia" w:ascii="Times New Roman" w:hAnsi="Times New Roman" w:eastAsia="方正仿宋_GBK" w:cs="Times New Roman"/>
          <w:color w:val="000000" w:themeColor="text1"/>
          <w:sz w:val="32"/>
          <w:szCs w:val="40"/>
          <w14:textFill>
            <w14:solidFill>
              <w14:schemeClr w14:val="tx1"/>
            </w14:solidFill>
          </w14:textFill>
        </w:rPr>
        <w:t>%、</w:t>
      </w:r>
      <w:r>
        <w:rPr>
          <w:rFonts w:ascii="Times New Roman" w:hAnsi="Times New Roman" w:eastAsia="方正仿宋_GBK" w:cs="Times New Roman"/>
          <w:color w:val="000000" w:themeColor="text1"/>
          <w:sz w:val="32"/>
          <w:szCs w:val="40"/>
          <w14:textFill>
            <w14:solidFill>
              <w14:schemeClr w14:val="tx1"/>
            </w14:solidFill>
          </w14:textFill>
        </w:rPr>
        <w:t>18</w:t>
      </w:r>
      <w:r>
        <w:rPr>
          <w:rFonts w:hint="eastAsia" w:ascii="Times New Roman" w:hAnsi="Times New Roman" w:eastAsia="方正仿宋_GBK" w:cs="Times New Roman"/>
          <w:color w:val="000000" w:themeColor="text1"/>
          <w:sz w:val="32"/>
          <w:szCs w:val="40"/>
          <w14:textFill>
            <w14:solidFill>
              <w14:schemeClr w14:val="tx1"/>
            </w14:solidFill>
          </w14:textFill>
        </w:rPr>
        <w:t>.</w:t>
      </w:r>
      <w:r>
        <w:rPr>
          <w:rFonts w:ascii="Times New Roman" w:hAnsi="Times New Roman" w:eastAsia="方正仿宋_GBK" w:cs="Times New Roman"/>
          <w:color w:val="000000" w:themeColor="text1"/>
          <w:sz w:val="32"/>
          <w:szCs w:val="40"/>
          <w14:textFill>
            <w14:solidFill>
              <w14:schemeClr w14:val="tx1"/>
            </w14:solidFill>
          </w14:textFill>
        </w:rPr>
        <w:t>4</w:t>
      </w:r>
      <w:r>
        <w:rPr>
          <w:rFonts w:hint="eastAsia" w:ascii="Times New Roman" w:hAnsi="Times New Roman" w:eastAsia="方正仿宋_GBK" w:cs="Times New Roman"/>
          <w:color w:val="000000" w:themeColor="text1"/>
          <w:sz w:val="32"/>
          <w:szCs w:val="40"/>
          <w14:textFill>
            <w14:solidFill>
              <w14:schemeClr w14:val="tx1"/>
            </w14:solidFill>
          </w14:textFill>
        </w:rPr>
        <w:t>%、</w:t>
      </w:r>
      <w:r>
        <w:rPr>
          <w:rFonts w:ascii="Times New Roman" w:hAnsi="Times New Roman" w:eastAsia="方正仿宋_GBK" w:cs="Times New Roman"/>
          <w:color w:val="000000" w:themeColor="text1"/>
          <w:sz w:val="32"/>
          <w:szCs w:val="40"/>
          <w14:textFill>
            <w14:solidFill>
              <w14:schemeClr w14:val="tx1"/>
            </w14:solidFill>
          </w14:textFill>
        </w:rPr>
        <w:t>13</w:t>
      </w:r>
      <w:r>
        <w:rPr>
          <w:rFonts w:hint="eastAsia" w:ascii="Times New Roman" w:hAnsi="Times New Roman" w:eastAsia="方正仿宋_GBK" w:cs="Times New Roman"/>
          <w:color w:val="000000" w:themeColor="text1"/>
          <w:sz w:val="32"/>
          <w:szCs w:val="40"/>
          <w14:textFill>
            <w14:solidFill>
              <w14:schemeClr w14:val="tx1"/>
            </w14:solidFill>
          </w14:textFill>
        </w:rPr>
        <w:t>.</w:t>
      </w:r>
      <w:r>
        <w:rPr>
          <w:rFonts w:ascii="Times New Roman" w:hAnsi="Times New Roman" w:eastAsia="方正仿宋_GBK" w:cs="Times New Roman"/>
          <w:color w:val="000000" w:themeColor="text1"/>
          <w:sz w:val="32"/>
          <w:szCs w:val="40"/>
          <w14:textFill>
            <w14:solidFill>
              <w14:schemeClr w14:val="tx1"/>
            </w14:solidFill>
          </w14:textFill>
        </w:rPr>
        <w:t>3</w:t>
      </w:r>
      <w:r>
        <w:rPr>
          <w:rFonts w:hint="eastAsia" w:ascii="Times New Roman" w:hAnsi="Times New Roman" w:eastAsia="方正仿宋_GBK" w:cs="Times New Roman"/>
          <w:color w:val="000000" w:themeColor="text1"/>
          <w:sz w:val="32"/>
          <w:szCs w:val="40"/>
          <w14:textFill>
            <w14:solidFill>
              <w14:schemeClr w14:val="tx1"/>
            </w14:solidFill>
          </w14:textFill>
        </w:rPr>
        <w:t>%。</w:t>
      </w:r>
      <w:r>
        <w:rPr>
          <w:rFonts w:ascii="Times New Roman" w:hAnsi="Times New Roman" w:eastAsia="方正仿宋_GBK" w:cs="Times New Roman"/>
          <w:b/>
          <w:color w:val="000000" w:themeColor="text1"/>
          <w:kern w:val="2"/>
          <w:sz w:val="32"/>
          <w:szCs w:val="32"/>
          <w14:textFill>
            <w14:solidFill>
              <w14:schemeClr w14:val="tx1"/>
            </w14:solidFill>
          </w14:textFill>
        </w:rPr>
        <w:t>市场主体活力释放。</w:t>
      </w:r>
      <w:r>
        <w:rPr>
          <w:rFonts w:ascii="Times New Roman" w:hAnsi="Times New Roman" w:eastAsia="方正仿宋_GBK" w:cs="Times New Roman"/>
          <w:color w:val="000000" w:themeColor="text1"/>
          <w:kern w:val="2"/>
          <w:sz w:val="32"/>
          <w:szCs w:val="32"/>
          <w14:textFill>
            <w14:solidFill>
              <w14:schemeClr w14:val="tx1"/>
            </w14:solidFill>
          </w14:textFill>
        </w:rPr>
        <w:t>促进民营经济发展壮大</w:t>
      </w:r>
      <w:r>
        <w:rPr>
          <w:rFonts w:ascii="Times New Roman" w:hAnsi="Times New Roman" w:eastAsia="方正仿宋_GBK" w:cs="Times New Roman"/>
          <w:color w:val="000000" w:themeColor="text1"/>
          <w:sz w:val="32"/>
          <w:szCs w:val="40"/>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完善重点企业服务专班、政企早午餐会、民营经济人士接待日等机制，</w:t>
      </w:r>
      <w:r>
        <w:rPr>
          <w:rFonts w:ascii="Times New Roman" w:hAnsi="Times New Roman" w:eastAsia="方正仿宋_GBK" w:cs="Times New Roman"/>
          <w:color w:val="000000" w:themeColor="text1"/>
          <w:sz w:val="32"/>
          <w:szCs w:val="40"/>
          <w14:textFill>
            <w14:solidFill>
              <w14:schemeClr w14:val="tx1"/>
            </w14:solidFill>
          </w14:textFill>
        </w:rPr>
        <w:t>成立全区</w:t>
      </w:r>
      <w:r>
        <w:rPr>
          <w:rFonts w:hint="eastAsia" w:ascii="方正仿宋_GBK" w:hAnsi="Times New Roman" w:eastAsia="方正仿宋_GBK" w:cs="Times New Roman"/>
          <w:color w:val="000000" w:themeColor="text1"/>
          <w:sz w:val="32"/>
          <w:szCs w:val="40"/>
          <w14:textFill>
            <w14:solidFill>
              <w14:schemeClr w14:val="tx1"/>
            </w14:solidFill>
          </w14:textFill>
        </w:rPr>
        <w:t>“</w:t>
      </w:r>
      <w:r>
        <w:rPr>
          <w:rFonts w:ascii="Times New Roman" w:hAnsi="Times New Roman" w:eastAsia="方正仿宋_GBK" w:cs="Times New Roman"/>
          <w:color w:val="000000" w:themeColor="text1"/>
          <w:sz w:val="32"/>
          <w:szCs w:val="40"/>
          <w14:textFill>
            <w14:solidFill>
              <w14:schemeClr w14:val="tx1"/>
            </w14:solidFill>
          </w14:textFill>
        </w:rPr>
        <w:t>专精特新</w:t>
      </w:r>
      <w:r>
        <w:rPr>
          <w:rFonts w:hint="eastAsia" w:ascii="方正仿宋_GBK" w:hAnsi="Times New Roman" w:eastAsia="方正仿宋_GBK" w:cs="Times New Roman"/>
          <w:color w:val="000000" w:themeColor="text1"/>
          <w:sz w:val="32"/>
          <w:szCs w:val="40"/>
          <w14:textFill>
            <w14:solidFill>
              <w14:schemeClr w14:val="tx1"/>
            </w14:solidFill>
          </w14:textFill>
        </w:rPr>
        <w:t>”</w:t>
      </w:r>
      <w:r>
        <w:rPr>
          <w:rFonts w:ascii="Times New Roman" w:hAnsi="Times New Roman" w:eastAsia="方正仿宋_GBK" w:cs="Times New Roman"/>
          <w:color w:val="000000" w:themeColor="text1"/>
          <w:sz w:val="32"/>
          <w:szCs w:val="40"/>
          <w14:textFill>
            <w14:solidFill>
              <w14:schemeClr w14:val="tx1"/>
            </w14:solidFill>
          </w14:textFill>
        </w:rPr>
        <w:t>企业商会。</w:t>
      </w:r>
      <w:r>
        <w:rPr>
          <w:rFonts w:ascii="Times New Roman" w:hAnsi="Times New Roman" w:eastAsia="方正仿宋_GBK" w:cs="Times New Roman"/>
          <w:color w:val="000000" w:themeColor="text1"/>
          <w:kern w:val="2"/>
          <w:sz w:val="32"/>
          <w:szCs w:val="32"/>
          <w14:textFill>
            <w14:solidFill>
              <w14:schemeClr w14:val="tx1"/>
            </w14:solidFill>
          </w14:textFill>
        </w:rPr>
        <w:t>深化落实</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三服务</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机制，</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民呼我为</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平台办结事项满意率全市第2，</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企业吹哨</w:t>
      </w:r>
      <w:r>
        <w:rPr>
          <w:rFonts w:hint="eastAsia" w:ascii="方正小标宋_GBK" w:hAnsi="方正小标宋_GBK" w:eastAsia="方正小标宋_GBK" w:cs="方正小标宋_GBK"/>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部门报到</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平台诉求办理满意率达100%。用好国家、市级政策工具包，做好市级推动经济企稳恢复提振36条政策任务分解实施，落实税费优惠政策，减免</w:t>
      </w:r>
      <w:r>
        <w:rPr>
          <w:rFonts w:hint="eastAsia" w:ascii="Times New Roman" w:hAnsi="Times New Roman" w:eastAsia="方正仿宋_GBK" w:cs="Times New Roman"/>
          <w:color w:val="000000" w:themeColor="text1"/>
          <w:kern w:val="2"/>
          <w:sz w:val="32"/>
          <w:szCs w:val="32"/>
          <w14:textFill>
            <w14:solidFill>
              <w14:schemeClr w14:val="tx1"/>
            </w14:solidFill>
          </w14:textFill>
        </w:rPr>
        <w:t>退</w:t>
      </w:r>
      <w:r>
        <w:rPr>
          <w:rFonts w:ascii="Times New Roman" w:hAnsi="Times New Roman" w:eastAsia="方正仿宋_GBK" w:cs="Times New Roman"/>
          <w:color w:val="000000" w:themeColor="text1"/>
          <w:kern w:val="2"/>
          <w:sz w:val="32"/>
          <w:szCs w:val="32"/>
          <w14:textFill>
            <w14:solidFill>
              <w14:schemeClr w14:val="tx1"/>
            </w14:solidFill>
          </w14:textFill>
        </w:rPr>
        <w:t>缓税费</w:t>
      </w:r>
      <w:r>
        <w:rPr>
          <w:rFonts w:hint="eastAsia" w:ascii="Times New Roman" w:hAnsi="Times New Roman" w:eastAsia="方正仿宋_GBK" w:cs="Times New Roman"/>
          <w:color w:val="000000" w:themeColor="text1"/>
          <w:kern w:val="2"/>
          <w:sz w:val="32"/>
          <w:szCs w:val="32"/>
          <w14:textFill>
            <w14:solidFill>
              <w14:schemeClr w14:val="tx1"/>
            </w14:solidFill>
          </w14:textFill>
        </w:rPr>
        <w:t>超</w:t>
      </w:r>
      <w:r>
        <w:rPr>
          <w:rFonts w:ascii="Times New Roman" w:hAnsi="Times New Roman" w:eastAsia="方正仿宋_GBK" w:cs="Times New Roman"/>
          <w:color w:val="000000" w:themeColor="text1"/>
          <w:kern w:val="2"/>
          <w:sz w:val="32"/>
          <w:szCs w:val="32"/>
          <w14:textFill>
            <w14:solidFill>
              <w14:schemeClr w14:val="tx1"/>
            </w14:solidFill>
          </w14:textFill>
        </w:rPr>
        <w:t>6</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5</w:t>
      </w:r>
      <w:r>
        <w:rPr>
          <w:rFonts w:ascii="Times New Roman" w:hAnsi="Times New Roman" w:eastAsia="方正仿宋_GBK" w:cs="Times New Roman"/>
          <w:color w:val="000000" w:themeColor="text1"/>
          <w:sz w:val="32"/>
          <w:szCs w:val="40"/>
          <w14:textFill>
            <w14:solidFill>
              <w14:schemeClr w14:val="tx1"/>
            </w14:solidFill>
          </w14:textFill>
        </w:rPr>
        <w:t>亿元，惠及市场主体3.9万余户（次）。</w:t>
      </w:r>
      <w:r>
        <w:rPr>
          <w:rFonts w:ascii="Times New Roman" w:hAnsi="Times New Roman" w:eastAsia="方正仿宋_GBK" w:cs="Times New Roman"/>
          <w:color w:val="000000" w:themeColor="text1"/>
          <w:kern w:val="2"/>
          <w:sz w:val="32"/>
          <w:szCs w:val="32"/>
          <w14:textFill>
            <w14:solidFill>
              <w14:schemeClr w14:val="tx1"/>
            </w14:solidFill>
          </w14:textFill>
        </w:rPr>
        <w:t>辖区银行业普惠型小微企业贷款余额69</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17亿元、增长20.61%。推出扶持个体工商户发展措施28条，培育</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个转企</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182户</w:t>
      </w:r>
      <w:r>
        <w:rPr>
          <w:rFonts w:ascii="Times New Roman" w:hAnsi="Times New Roman" w:eastAsia="方正仿宋_GBK" w:cs="Times New Roman"/>
          <w:color w:val="000000" w:themeColor="text1"/>
          <w:sz w:val="32"/>
          <w:szCs w:val="40"/>
          <w14:textFill>
            <w14:solidFill>
              <w14:schemeClr w14:val="tx1"/>
            </w14:solidFill>
          </w14:textFill>
        </w:rPr>
        <w:t>。全区新设立市场主体7302户，新发展市场主体增速达18.89%。</w:t>
      </w:r>
      <w:r>
        <w:rPr>
          <w:rFonts w:ascii="Times New Roman" w:hAnsi="Times New Roman" w:eastAsia="方正仿宋_GBK" w:cs="Times New Roman"/>
          <w:color w:val="000000" w:themeColor="text1"/>
          <w:kern w:val="2"/>
          <w:sz w:val="32"/>
          <w:szCs w:val="32"/>
          <w14:textFill>
            <w14:solidFill>
              <w14:schemeClr w14:val="tx1"/>
            </w14:solidFill>
          </w14:textFill>
        </w:rPr>
        <w:t>14家企业入选重庆市100强系列名单。</w:t>
      </w:r>
    </w:p>
    <w:p>
      <w:pPr>
        <w:widowControl w:val="0"/>
        <w:spacing w:after="0" w:line="594" w:lineRule="exact"/>
        <w:ind w:firstLine="643" w:firstLineChars="200"/>
        <w:jc w:val="both"/>
        <w:rPr>
          <w:rFonts w:ascii="Times New Roman" w:hAnsi="Times New Roman" w:eastAsia="方正仿宋_GBK" w:cs="Times New Roman"/>
          <w:bCs/>
          <w:color w:val="000000" w:themeColor="text1"/>
          <w:kern w:val="2"/>
          <w:sz w:val="32"/>
          <w:szCs w:val="32"/>
          <w14:textFill>
            <w14:solidFill>
              <w14:schemeClr w14:val="tx1"/>
            </w14:solidFill>
          </w14:textFill>
        </w:rPr>
      </w:pPr>
      <w:r>
        <w:rPr>
          <w:rFonts w:ascii="Times New Roman" w:hAnsi="Times New Roman" w:eastAsia="方正仿宋_GBK" w:cs="Times New Roman"/>
          <w:b/>
          <w:color w:val="000000" w:themeColor="text1"/>
          <w:kern w:val="2"/>
          <w:sz w:val="32"/>
          <w:szCs w:val="32"/>
          <w14:textFill>
            <w14:solidFill>
              <w14:schemeClr w14:val="tx1"/>
            </w14:solidFill>
          </w14:textFill>
        </w:rPr>
        <w:t>2. 构建现代产业体系，实体经济持续提振。五大百亿级产业集聚成势。</w:t>
      </w:r>
      <w:r>
        <w:rPr>
          <w:rFonts w:ascii="Times New Roman" w:hAnsi="Times New Roman" w:eastAsia="方正仿宋_GBK" w:cs="Times New Roman"/>
          <w:color w:val="000000" w:themeColor="text1"/>
          <w:kern w:val="2"/>
          <w:sz w:val="32"/>
          <w:szCs w:val="32"/>
          <w:shd w:val="clear" w:color="auto" w:fill="FFFFFF"/>
          <w14:textFill>
            <w14:solidFill>
              <w14:schemeClr w14:val="tx1"/>
            </w14:solidFill>
          </w14:textFill>
        </w:rPr>
        <w:t>海康威视三期、萤石智能家居项目提速建设，引入东华软件西南总部等项目8个，大数据智能化企业达450余家，</w:t>
      </w:r>
      <w:r>
        <w:rPr>
          <w:rFonts w:ascii="Times New Roman" w:hAnsi="Times New Roman" w:eastAsia="方正仿宋_GBK" w:cs="Times New Roman"/>
          <w:color w:val="000000" w:themeColor="text1"/>
          <w:sz w:val="32"/>
          <w:szCs w:val="32"/>
          <w14:textFill>
            <w14:solidFill>
              <w14:schemeClr w14:val="tx1"/>
            </w14:solidFill>
          </w14:textFill>
        </w:rPr>
        <w:t>全产业</w:t>
      </w:r>
      <w:r>
        <w:rPr>
          <w:rFonts w:ascii="Times New Roman" w:hAnsi="Times New Roman" w:eastAsia="方正仿宋_GBK" w:cs="Times New Roman"/>
          <w:color w:val="000000" w:themeColor="text1"/>
          <w:sz w:val="32"/>
          <w:szCs w:val="32"/>
          <w:lang w:val="zh-CN"/>
          <w14:textFill>
            <w14:solidFill>
              <w14:schemeClr w14:val="tx1"/>
            </w14:solidFill>
          </w14:textFill>
        </w:rPr>
        <w:t>营业收入</w:t>
      </w:r>
      <w:r>
        <w:rPr>
          <w:rFonts w:hint="eastAsia" w:ascii="Times New Roman" w:hAnsi="Times New Roman" w:eastAsia="方正仿宋_GBK" w:cs="Times New Roman"/>
          <w:color w:val="000000" w:themeColor="text1"/>
          <w:sz w:val="32"/>
          <w:szCs w:val="32"/>
          <w14:textFill>
            <w14:solidFill>
              <w14:schemeClr w14:val="tx1"/>
            </w14:solidFill>
          </w14:textFill>
        </w:rPr>
        <w:t>增长</w:t>
      </w:r>
      <w:r>
        <w:rPr>
          <w:rFonts w:ascii="Times New Roman" w:hAnsi="Times New Roman" w:eastAsia="方正仿宋_GBK" w:cs="Times New Roman"/>
          <w:color w:val="000000" w:themeColor="text1"/>
          <w:sz w:val="32"/>
          <w:szCs w:val="32"/>
          <w14:textFill>
            <w14:solidFill>
              <w14:schemeClr w14:val="tx1"/>
            </w14:solidFill>
          </w14:textFill>
        </w:rPr>
        <w:t>0</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5%，剔除出口下降影响</w:t>
      </w:r>
      <w:r>
        <w:rPr>
          <w:rFonts w:ascii="Times New Roman" w:hAnsi="Times New Roman" w:eastAsia="方正仿宋_GBK" w:cs="Times New Roman"/>
          <w:color w:val="000000" w:themeColor="text1"/>
          <w:sz w:val="32"/>
          <w:szCs w:val="32"/>
          <w:lang w:val="zh-CN"/>
          <w14:textFill>
            <w14:solidFill>
              <w14:schemeClr w14:val="tx1"/>
            </w14:solidFill>
          </w14:textFill>
        </w:rPr>
        <w:t>增长</w:t>
      </w:r>
      <w:r>
        <w:rPr>
          <w:rFonts w:ascii="Times New Roman" w:hAnsi="Times New Roman" w:eastAsia="方正仿宋_GBK" w:cs="Times New Roman"/>
          <w:color w:val="000000" w:themeColor="text1"/>
          <w:sz w:val="32"/>
          <w:szCs w:val="32"/>
          <w14:textFill>
            <w14:solidFill>
              <w14:schemeClr w14:val="tx1"/>
            </w14:solidFill>
          </w14:textFill>
        </w:rPr>
        <w:t>19</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w:t>
      </w:r>
      <w:r>
        <w:rPr>
          <w:rFonts w:ascii="Times New Roman" w:hAnsi="Times New Roman" w:eastAsia="方正仿宋_GBK" w:cs="Times New Roman"/>
          <w:color w:val="000000" w:themeColor="text1"/>
          <w:kern w:val="2"/>
          <w:sz w:val="32"/>
          <w:szCs w:val="32"/>
          <w14:textFill>
            <w14:solidFill>
              <w14:schemeClr w14:val="tx1"/>
            </w14:solidFill>
          </w14:textFill>
        </w:rPr>
        <w:t>中元汇吉生物科技园加快建设，亚中医疗新建楼宇正式运营，建成全市首个医疗器械体外诊断产业公共服务中心，</w:t>
      </w:r>
      <w:r>
        <w:rPr>
          <w:rFonts w:ascii="Times New Roman" w:hAnsi="Times New Roman" w:eastAsia="方正仿宋_GBK" w:cs="Times New Roman"/>
          <w:color w:val="000000" w:themeColor="text1"/>
          <w:sz w:val="32"/>
          <w:szCs w:val="32"/>
          <w14:textFill>
            <w14:solidFill>
              <w14:schemeClr w14:val="tx1"/>
            </w14:solidFill>
          </w14:textFill>
        </w:rPr>
        <w:t>生物医学工程产业集群纳入首批市级战略性新兴产业集群，引入厦门集庆生物等项目25个，大健康生物医药企业达206家，全产业</w:t>
      </w:r>
      <w:r>
        <w:rPr>
          <w:rFonts w:ascii="Times New Roman" w:hAnsi="Times New Roman" w:eastAsia="方正仿宋_GBK" w:cs="Times New Roman"/>
          <w:color w:val="000000" w:themeColor="text1"/>
          <w:sz w:val="32"/>
          <w:szCs w:val="32"/>
          <w:lang w:val="zh-CN"/>
          <w14:textFill>
            <w14:solidFill>
              <w14:schemeClr w14:val="tx1"/>
            </w14:solidFill>
          </w14:textFill>
        </w:rPr>
        <w:t>营业收入</w:t>
      </w:r>
      <w:r>
        <w:rPr>
          <w:rFonts w:ascii="Times New Roman" w:hAnsi="Times New Roman" w:eastAsia="方正仿宋_GBK" w:cs="Times New Roman"/>
          <w:color w:val="000000" w:themeColor="text1"/>
          <w:sz w:val="32"/>
          <w:szCs w:val="32"/>
          <w14:textFill>
            <w14:solidFill>
              <w14:schemeClr w14:val="tx1"/>
            </w14:solidFill>
          </w14:textFill>
        </w:rPr>
        <w:t>同比下降40%，剔除疫情一次性因素影响</w:t>
      </w:r>
      <w:r>
        <w:rPr>
          <w:rFonts w:ascii="Times New Roman" w:hAnsi="Times New Roman" w:eastAsia="方正仿宋_GBK" w:cs="Times New Roman"/>
          <w:color w:val="000000" w:themeColor="text1"/>
          <w:sz w:val="32"/>
          <w:szCs w:val="32"/>
          <w:lang w:val="zh-CN"/>
          <w14:textFill>
            <w14:solidFill>
              <w14:schemeClr w14:val="tx1"/>
            </w14:solidFill>
          </w14:textFill>
        </w:rPr>
        <w:t>增长</w:t>
      </w:r>
      <w:r>
        <w:rPr>
          <w:rFonts w:ascii="Times New Roman" w:hAnsi="Times New Roman" w:eastAsia="方正仿宋_GBK" w:cs="Times New Roman"/>
          <w:color w:val="000000" w:themeColor="text1"/>
          <w:sz w:val="32"/>
          <w:szCs w:val="32"/>
          <w14:textFill>
            <w14:solidFill>
              <w14:schemeClr w14:val="tx1"/>
            </w14:solidFill>
          </w14:textFill>
        </w:rPr>
        <w:t>20%。</w:t>
      </w:r>
      <w:r>
        <w:rPr>
          <w:rFonts w:ascii="Times New Roman" w:hAnsi="Times New Roman" w:eastAsia="方正仿宋_GBK" w:cs="Times New Roman"/>
          <w:color w:val="000000" w:themeColor="text1"/>
          <w:kern w:val="2"/>
          <w:sz w:val="32"/>
          <w:szCs w:val="32"/>
          <w14:textFill>
            <w14:solidFill>
              <w14:schemeClr w14:val="tx1"/>
            </w14:solidFill>
          </w14:textFill>
        </w:rPr>
        <w:t>三峰环境御临垃圾发电厂项目获得中国建设工程鲁班奖，虬龙科技研发总部开工，引进春风动力摩托车制造等项目10个，生态环保企业达180家，全产业营业收入增长7%。国际复材</w:t>
      </w:r>
      <w:r>
        <w:rPr>
          <w:rFonts w:hint="eastAsia" w:ascii="Times New Roman" w:hAnsi="Times New Roman" w:eastAsia="方正仿宋_GBK" w:cs="Times New Roman"/>
          <w:color w:val="000000" w:themeColor="text1"/>
          <w:kern w:val="2"/>
          <w:sz w:val="32"/>
          <w:szCs w:val="32"/>
          <w14:textFill>
            <w14:solidFill>
              <w14:schemeClr w14:val="tx1"/>
            </w14:solidFill>
          </w14:textFill>
        </w:rPr>
        <w:t>实现</w:t>
      </w:r>
      <w:r>
        <w:rPr>
          <w:rFonts w:ascii="Times New Roman" w:hAnsi="Times New Roman" w:eastAsia="方正仿宋_GBK" w:cs="Times New Roman"/>
          <w:color w:val="000000" w:themeColor="text1"/>
          <w:kern w:val="2"/>
          <w:sz w:val="32"/>
          <w:szCs w:val="32"/>
          <w14:textFill>
            <w14:solidFill>
              <w14:schemeClr w14:val="tx1"/>
            </w14:solidFill>
          </w14:textFill>
        </w:rPr>
        <w:t>创业板上市，玻纤智能制造生产线项目、F02线冷修技改项目点火投产，</w:t>
      </w:r>
      <w:r>
        <w:rPr>
          <w:rFonts w:hint="eastAsia" w:ascii="Times New Roman" w:hAnsi="Times New Roman" w:eastAsia="方正仿宋_GBK" w:cs="Times New Roman"/>
          <w:color w:val="000000" w:themeColor="text1"/>
          <w:kern w:val="2"/>
          <w:sz w:val="32"/>
          <w:szCs w:val="32"/>
          <w14:textFill>
            <w14:solidFill>
              <w14:schemeClr w14:val="tx1"/>
            </w14:solidFill>
          </w14:textFill>
        </w:rPr>
        <w:t>引入</w:t>
      </w:r>
      <w:r>
        <w:rPr>
          <w:rFonts w:ascii="Times New Roman" w:hAnsi="Times New Roman" w:eastAsia="方正仿宋_GBK" w:cs="Times New Roman"/>
          <w:color w:val="000000" w:themeColor="text1"/>
          <w:kern w:val="2"/>
          <w:sz w:val="32"/>
          <w:szCs w:val="32"/>
          <w14:textFill>
            <w14:solidFill>
              <w14:schemeClr w14:val="tx1"/>
            </w14:solidFill>
          </w14:textFill>
        </w:rPr>
        <w:t>新型清洁能源材料销售总部</w:t>
      </w:r>
      <w:r>
        <w:rPr>
          <w:rFonts w:hint="eastAsia" w:ascii="Times New Roman" w:hAnsi="Times New Roman" w:eastAsia="方正仿宋_GBK" w:cs="Times New Roman"/>
          <w:color w:val="000000" w:themeColor="text1"/>
          <w:kern w:val="2"/>
          <w:sz w:val="32"/>
          <w:szCs w:val="32"/>
          <w14:textFill>
            <w14:solidFill>
              <w14:schemeClr w14:val="tx1"/>
            </w14:solidFill>
          </w14:textFill>
        </w:rPr>
        <w:t>等项目</w:t>
      </w:r>
      <w:r>
        <w:rPr>
          <w:rFonts w:ascii="Times New Roman" w:hAnsi="Times New Roman" w:eastAsia="方正仿宋_GBK" w:cs="Times New Roman"/>
          <w:color w:val="000000" w:themeColor="text1"/>
          <w:kern w:val="2"/>
          <w:sz w:val="32"/>
          <w:szCs w:val="32"/>
          <w14:textFill>
            <w14:solidFill>
              <w14:schemeClr w14:val="tx1"/>
            </w14:solidFill>
          </w14:textFill>
        </w:rPr>
        <w:t>3</w:t>
      </w:r>
      <w:r>
        <w:rPr>
          <w:rFonts w:hint="eastAsia" w:ascii="Times New Roman" w:hAnsi="Times New Roman" w:eastAsia="方正仿宋_GBK" w:cs="Times New Roman"/>
          <w:color w:val="000000" w:themeColor="text1"/>
          <w:kern w:val="2"/>
          <w:sz w:val="32"/>
          <w:szCs w:val="32"/>
          <w14:textFill>
            <w14:solidFill>
              <w14:schemeClr w14:val="tx1"/>
            </w14:solidFill>
          </w14:textFill>
        </w:rPr>
        <w:t>个，</w:t>
      </w:r>
      <w:r>
        <w:rPr>
          <w:rFonts w:ascii="Times New Roman" w:hAnsi="Times New Roman" w:eastAsia="方正仿宋_GBK" w:cs="Times New Roman"/>
          <w:color w:val="000000" w:themeColor="text1"/>
          <w:kern w:val="2"/>
          <w:sz w:val="32"/>
          <w:szCs w:val="32"/>
          <w14:textFill>
            <w14:solidFill>
              <w14:schemeClr w14:val="tx1"/>
            </w14:solidFill>
          </w14:textFill>
        </w:rPr>
        <w:t>设立产业投资平台，新材料企业达42家，全产业</w:t>
      </w:r>
      <w:r>
        <w:rPr>
          <w:rFonts w:ascii="Times New Roman" w:hAnsi="Times New Roman" w:eastAsia="方正仿宋_GBK" w:cs="Times New Roman"/>
          <w:color w:val="000000" w:themeColor="text1"/>
          <w:kern w:val="2"/>
          <w:sz w:val="32"/>
          <w:szCs w:val="32"/>
          <w:lang w:val="zh-CN"/>
          <w14:textFill>
            <w14:solidFill>
              <w14:schemeClr w14:val="tx1"/>
            </w14:solidFill>
          </w14:textFill>
        </w:rPr>
        <w:t>营业收入</w:t>
      </w:r>
      <w:r>
        <w:rPr>
          <w:rFonts w:ascii="Times New Roman" w:hAnsi="Times New Roman" w:eastAsia="方正仿宋_GBK" w:cs="Times New Roman"/>
          <w:color w:val="000000" w:themeColor="text1"/>
          <w:kern w:val="2"/>
          <w:sz w:val="32"/>
          <w:szCs w:val="32"/>
          <w:shd w:val="clear" w:color="auto" w:fill="FFFFFF"/>
          <w14:textFill>
            <w14:solidFill>
              <w14:schemeClr w14:val="tx1"/>
            </w14:solidFill>
          </w14:textFill>
        </w:rPr>
        <w:t>增长5%。</w:t>
      </w:r>
      <w:r>
        <w:rPr>
          <w:rFonts w:ascii="Times New Roman" w:hAnsi="Times New Roman" w:eastAsia="方正仿宋_GBK" w:cs="Times New Roman"/>
          <w:color w:val="000000" w:themeColor="text1"/>
          <w:kern w:val="2"/>
          <w:sz w:val="32"/>
          <w:szCs w:val="32"/>
          <w14:textFill>
            <w14:solidFill>
              <w14:schemeClr w14:val="tx1"/>
            </w14:solidFill>
          </w14:textFill>
        </w:rPr>
        <w:t>重庆小面生产基地一期以及中央工厂竣工，</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麦制品产业集群</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列入农业农村部、财政部2023年农业产业融合发展优势特色产业集群，引入呼啦面馆集团总部基地等项目8个，重庆小面企业达60</w:t>
      </w:r>
      <w:r>
        <w:rPr>
          <w:rFonts w:hint="eastAsia" w:ascii="Times New Roman" w:hAnsi="Times New Roman" w:eastAsia="方正仿宋_GBK" w:cs="Times New Roman"/>
          <w:color w:val="000000" w:themeColor="text1"/>
          <w:kern w:val="2"/>
          <w:sz w:val="32"/>
          <w:szCs w:val="32"/>
          <w14:textFill>
            <w14:solidFill>
              <w14:schemeClr w14:val="tx1"/>
            </w14:solidFill>
          </w14:textFill>
        </w:rPr>
        <w:t>余</w:t>
      </w:r>
      <w:r>
        <w:rPr>
          <w:rFonts w:ascii="Times New Roman" w:hAnsi="Times New Roman" w:eastAsia="方正仿宋_GBK" w:cs="Times New Roman"/>
          <w:color w:val="000000" w:themeColor="text1"/>
          <w:kern w:val="2"/>
          <w:sz w:val="32"/>
          <w:szCs w:val="32"/>
          <w14:textFill>
            <w14:solidFill>
              <w14:schemeClr w14:val="tx1"/>
            </w14:solidFill>
          </w14:textFill>
        </w:rPr>
        <w:t>家，全产业营业收入增长109%。</w:t>
      </w:r>
      <w:r>
        <w:rPr>
          <w:rFonts w:ascii="Times New Roman" w:hAnsi="Times New Roman" w:eastAsia="方正仿宋_GBK" w:cs="Times New Roman"/>
          <w:b/>
          <w:bCs/>
          <w:color w:val="000000" w:themeColor="text1"/>
          <w:kern w:val="2"/>
          <w:sz w:val="32"/>
          <w:szCs w:val="32"/>
          <w14:textFill>
            <w14:solidFill>
              <w14:schemeClr w14:val="tx1"/>
            </w14:solidFill>
          </w14:textFill>
        </w:rPr>
        <w:t>数字经济持续赋能。</w:t>
      </w:r>
      <w:r>
        <w:rPr>
          <w:rFonts w:ascii="Times New Roman" w:hAnsi="Times New Roman" w:eastAsia="方正仿宋_GBK" w:cs="Times New Roman"/>
          <w:color w:val="000000" w:themeColor="text1"/>
          <w:kern w:val="2"/>
          <w:sz w:val="32"/>
          <w:szCs w:val="32"/>
          <w14:textFill>
            <w14:solidFill>
              <w14:schemeClr w14:val="tx1"/>
            </w14:solidFill>
          </w14:textFill>
        </w:rPr>
        <w:t>深入推进</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满天星</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行动计划，新收储楼宇物业36</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8万平方米，全区软件和信息服务业楼宇面积、企业数量、从业人员、营业收入分别增长155%、21%、140%、100%。加快传统制造业数字化转型，新培育市级</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专精特新</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企业16家，国家级专精特新</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小巨人</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企业1家，海康威视、</w:t>
      </w:r>
      <w:r>
        <w:rPr>
          <w:rFonts w:hint="eastAsia" w:ascii="Times New Roman" w:hAnsi="Times New Roman" w:eastAsia="方正仿宋_GBK" w:cs="Times New Roman"/>
          <w:color w:val="000000" w:themeColor="text1"/>
          <w:kern w:val="2"/>
          <w:sz w:val="32"/>
          <w:szCs w:val="32"/>
          <w14:textFill>
            <w14:solidFill>
              <w14:schemeClr w14:val="tx1"/>
            </w14:solidFill>
          </w14:textFill>
        </w:rPr>
        <w:t>国际复材入</w:t>
      </w:r>
      <w:r>
        <w:rPr>
          <w:rFonts w:ascii="Times New Roman" w:hAnsi="Times New Roman" w:eastAsia="方正仿宋_GBK" w:cs="Times New Roman"/>
          <w:color w:val="000000" w:themeColor="text1"/>
          <w:kern w:val="2"/>
          <w:sz w:val="32"/>
          <w:szCs w:val="32"/>
          <w14:textFill>
            <w14:solidFill>
              <w14:schemeClr w14:val="tx1"/>
            </w14:solidFill>
          </w14:textFill>
        </w:rPr>
        <w:t>选国家级智能制造示范工厂，风渡新材料、秋田齿轮等4家企业被认定为市级数字化车间。龙文钢材市场</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钢联网仓</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数智化平台上线运营。</w:t>
      </w:r>
      <w:r>
        <w:rPr>
          <w:rFonts w:ascii="Times New Roman" w:hAnsi="Times New Roman" w:eastAsia="方正仿宋_GBK" w:cs="Times New Roman"/>
          <w:b/>
          <w:bCs/>
          <w:color w:val="000000" w:themeColor="text1"/>
          <w:kern w:val="2"/>
          <w:sz w:val="32"/>
          <w14:textFill>
            <w14:solidFill>
              <w14:schemeClr w14:val="tx1"/>
            </w14:solidFill>
          </w14:textFill>
        </w:rPr>
        <w:t>现代服务业提质增效。</w:t>
      </w:r>
      <w:r>
        <w:rPr>
          <w:rFonts w:ascii="Times New Roman" w:hAnsi="Times New Roman" w:eastAsia="方正仿宋_GBK" w:cs="Times New Roman"/>
          <w:color w:val="000000" w:themeColor="text1"/>
          <w:kern w:val="2"/>
          <w:sz w:val="32"/>
          <w:szCs w:val="32"/>
          <w14:textFill>
            <w14:solidFill>
              <w14:schemeClr w14:val="tx1"/>
            </w14:solidFill>
          </w14:textFill>
        </w:rPr>
        <w:t>商贸载体提速建设，天安数码城三期A组团建成投用，华润、万达等商业综合体持续升级，全区首家高端酒店启动建设。文旅产业加快培育，</w:t>
      </w:r>
      <w:r>
        <w:rPr>
          <w:rFonts w:hint="eastAsia" w:ascii="Times New Roman" w:hAnsi="Times New Roman" w:eastAsia="方正仿宋_GBK" w:cs="Times New Roman"/>
          <w:color w:val="000000" w:themeColor="text1"/>
          <w:kern w:val="2"/>
          <w:sz w:val="32"/>
          <w:szCs w:val="32"/>
          <w14:textFill>
            <w14:solidFill>
              <w14:schemeClr w14:val="tx1"/>
            </w14:solidFill>
          </w14:textFill>
        </w:rPr>
        <w:t>积极</w:t>
      </w:r>
      <w:r>
        <w:rPr>
          <w:rFonts w:ascii="Times New Roman" w:hAnsi="Times New Roman" w:eastAsia="方正仿宋_GBK" w:cs="Times New Roman"/>
          <w:color w:val="000000" w:themeColor="text1"/>
          <w:kern w:val="2"/>
          <w:sz w:val="32"/>
          <w:szCs w:val="32"/>
          <w14:textFill>
            <w14:solidFill>
              <w14:schemeClr w14:val="tx1"/>
            </w14:solidFill>
          </w14:textFill>
        </w:rPr>
        <w:t>创建金鳌田园4A级旅游景区，编制区影视产业规划，成立区影视产业协会，入驻上下游企业39家，黄金游轮</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长江三峡旅游产品</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获评国家首批交通运输与旅游融合发展十佳典型案例。现代金融稳步发展，</w:t>
      </w:r>
      <w:r>
        <w:rPr>
          <w:rFonts w:ascii="Times New Roman" w:hAnsi="Times New Roman" w:eastAsia="方正仿宋_GBK" w:cs="Times New Roman"/>
          <w:color w:val="000000" w:themeColor="text1"/>
          <w:kern w:val="2"/>
          <w:sz w:val="32"/>
          <w:szCs w:val="32"/>
          <w:shd w:val="clear" w:color="auto" w:fill="FFFFFF"/>
          <w14:textFill>
            <w14:solidFill>
              <w14:schemeClr w14:val="tx1"/>
            </w14:solidFill>
          </w14:textFill>
        </w:rPr>
        <w:t>新增上市企业1家、重庆OTC挂牌企业1家</w:t>
      </w:r>
      <w:r>
        <w:rPr>
          <w:rFonts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shd w:val="clear" w:color="auto" w:fill="FFFFFF"/>
          <w14:textFill>
            <w14:solidFill>
              <w14:schemeClr w14:val="tx1"/>
            </w14:solidFill>
          </w14:textFill>
        </w:rPr>
        <w:t>上市后备库企业7家，</w:t>
      </w:r>
      <w:r>
        <w:rPr>
          <w:rFonts w:ascii="Times New Roman" w:hAnsi="Times New Roman" w:eastAsia="方正仿宋_GBK" w:cs="Times New Roman"/>
          <w:color w:val="000000" w:themeColor="text1"/>
          <w:kern w:val="2"/>
          <w:sz w:val="32"/>
          <w:szCs w:val="32"/>
          <w14:textFill>
            <w14:solidFill>
              <w14:schemeClr w14:val="tx1"/>
            </w14:solidFill>
          </w14:textFill>
        </w:rPr>
        <w:t>重庆市现代产业链服务中心正式运营，获银行授信超1亿元</w:t>
      </w:r>
      <w:r>
        <w:rPr>
          <w:rFonts w:ascii="Times New Roman" w:hAnsi="Times New Roman" w:eastAsia="方正仿宋_GBK" w:cs="Times New Roman"/>
          <w:bCs/>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全年新注册重点服务业企业突破120家，</w:t>
      </w:r>
      <w:r>
        <w:rPr>
          <w:rFonts w:ascii="Times New Roman" w:hAnsi="Times New Roman" w:eastAsia="方正仿宋_GBK" w:cs="Times New Roman"/>
          <w:bCs/>
          <w:color w:val="000000" w:themeColor="text1"/>
          <w:kern w:val="2"/>
          <w:sz w:val="32"/>
          <w:szCs w:val="32"/>
          <w14:textFill>
            <w14:solidFill>
              <w14:schemeClr w14:val="tx1"/>
            </w14:solidFill>
          </w14:textFill>
        </w:rPr>
        <w:t>新升限商贸单位127</w:t>
      </w:r>
      <w:r>
        <w:rPr>
          <w:rFonts w:hint="eastAsia" w:ascii="Times New Roman" w:hAnsi="Times New Roman" w:eastAsia="方正仿宋_GBK" w:cs="Times New Roman"/>
          <w:bCs/>
          <w:color w:val="000000" w:themeColor="text1"/>
          <w:kern w:val="2"/>
          <w:sz w:val="32"/>
          <w:szCs w:val="32"/>
          <w14:textFill>
            <w14:solidFill>
              <w14:schemeClr w14:val="tx1"/>
            </w14:solidFill>
          </w14:textFill>
        </w:rPr>
        <w:t>户</w:t>
      </w:r>
      <w:r>
        <w:rPr>
          <w:rFonts w:ascii="Times New Roman" w:hAnsi="Times New Roman" w:eastAsia="方正仿宋_GBK" w:cs="Times New Roman"/>
          <w:bCs/>
          <w:color w:val="000000" w:themeColor="text1"/>
          <w:kern w:val="2"/>
          <w:sz w:val="32"/>
          <w:szCs w:val="32"/>
          <w14:textFill>
            <w14:solidFill>
              <w14:schemeClr w14:val="tx1"/>
            </w14:solidFill>
          </w14:textFill>
        </w:rPr>
        <w:t>，其他服务业新升规入统企业35家。</w:t>
      </w:r>
    </w:p>
    <w:p>
      <w:pPr>
        <w:pStyle w:val="2"/>
        <w:tabs>
          <w:tab w:val="left" w:pos="6820"/>
        </w:tabs>
        <w:spacing w:line="594" w:lineRule="exact"/>
        <w:ind w:firstLine="643" w:firstLineChars="200"/>
        <w:rPr>
          <w:rFonts w:eastAsia="方正仿宋_GBK"/>
          <w:color w:val="000000" w:themeColor="text1"/>
          <w:kern w:val="2"/>
          <w:szCs w:val="32"/>
          <w14:textFill>
            <w14:solidFill>
              <w14:schemeClr w14:val="tx1"/>
            </w14:solidFill>
          </w14:textFill>
        </w:rPr>
      </w:pPr>
      <w:r>
        <w:rPr>
          <w:rFonts w:eastAsia="方正仿宋_GBK"/>
          <w:b/>
          <w:color w:val="000000" w:themeColor="text1"/>
          <w:kern w:val="2"/>
          <w:szCs w:val="32"/>
          <w14:textFill>
            <w14:solidFill>
              <w14:schemeClr w14:val="tx1"/>
            </w14:solidFill>
          </w14:textFill>
        </w:rPr>
        <w:t>3. 奋力推进城乡融合，发展格局持续优化。艺术湾建设稳步推进。</w:t>
      </w:r>
      <w:r>
        <w:rPr>
          <w:rFonts w:eastAsia="方正仿宋_GBK"/>
          <w:bCs/>
          <w:color w:val="000000" w:themeColor="text1"/>
          <w:kern w:val="2"/>
          <w:szCs w:val="32"/>
          <w14:textFill>
            <w14:solidFill>
              <w14:schemeClr w14:val="tx1"/>
            </w14:solidFill>
          </w14:textFill>
        </w:rPr>
        <w:t>片区功能体系加快完善，</w:t>
      </w:r>
      <w:r>
        <w:rPr>
          <w:rFonts w:eastAsia="方正仿宋_GBK"/>
          <w:color w:val="000000" w:themeColor="text1"/>
          <w:kern w:val="2"/>
          <w:szCs w:val="32"/>
          <w14:textFill>
            <w14:solidFill>
              <w14:schemeClr w14:val="tx1"/>
            </w14:solidFill>
          </w14:textFill>
        </w:rPr>
        <w:t>宝武西南总部、茄子溪</w:t>
      </w:r>
      <w:r>
        <w:rPr>
          <w:rFonts w:hint="eastAsia" w:ascii="方正小标宋_GBK" w:hAnsi="方正小标宋_GBK" w:eastAsia="方正小标宋_GBK" w:cs="方正小标宋_GBK"/>
          <w:color w:val="000000" w:themeColor="text1"/>
          <w:kern w:val="2"/>
          <w:szCs w:val="32"/>
          <w14:textFill>
            <w14:solidFill>
              <w14:schemeClr w14:val="tx1"/>
            </w14:solidFill>
          </w14:textFill>
        </w:rPr>
        <w:t>·</w:t>
      </w:r>
      <w:r>
        <w:rPr>
          <w:rFonts w:eastAsia="方正仿宋_GBK"/>
          <w:color w:val="000000" w:themeColor="text1"/>
          <w:kern w:val="2"/>
          <w:szCs w:val="32"/>
          <w14:textFill>
            <w14:solidFill>
              <w14:schemeClr w14:val="tx1"/>
            </w14:solidFill>
          </w14:textFill>
        </w:rPr>
        <w:t>长江音悦港、中南高科</w:t>
      </w:r>
      <w:r>
        <w:rPr>
          <w:rFonts w:hint="eastAsia" w:ascii="方正小标宋_GBK" w:hAnsi="方正小标宋_GBK" w:eastAsia="方正小标宋_GBK" w:cs="方正小标宋_GBK"/>
          <w:color w:val="000000" w:themeColor="text1"/>
          <w:kern w:val="2"/>
          <w:szCs w:val="32"/>
          <w14:textFill>
            <w14:solidFill>
              <w14:schemeClr w14:val="tx1"/>
            </w14:solidFill>
          </w14:textFill>
        </w:rPr>
        <w:t>·</w:t>
      </w:r>
      <w:r>
        <w:rPr>
          <w:rFonts w:eastAsia="方正仿宋_GBK"/>
          <w:bCs/>
          <w:color w:val="000000" w:themeColor="text1"/>
          <w:kern w:val="2"/>
          <w:szCs w:val="32"/>
          <w14:textFill>
            <w14:solidFill>
              <w14:schemeClr w14:val="tx1"/>
            </w14:solidFill>
          </w14:textFill>
        </w:rPr>
        <w:t>重庆滨江创智云谷等项目加速建设，</w:t>
      </w:r>
      <w:r>
        <w:rPr>
          <w:rFonts w:eastAsia="方正仿宋_GBK"/>
          <w:color w:val="000000" w:themeColor="text1"/>
          <w:kern w:val="2"/>
          <w:szCs w:val="32"/>
          <w14:textFill>
            <w14:solidFill>
              <w14:schemeClr w14:val="tx1"/>
            </w14:solidFill>
          </w14:textFill>
        </w:rPr>
        <w:t>钓鱼嘴立交、</w:t>
      </w:r>
      <w:r>
        <w:rPr>
          <w:rFonts w:eastAsia="方正仿宋_GBK"/>
          <w:color w:val="000000" w:themeColor="text1"/>
          <w:kern w:val="2"/>
          <w14:textFill>
            <w14:solidFill>
              <w14:schemeClr w14:val="tx1"/>
            </w14:solidFill>
          </w14:textFill>
        </w:rPr>
        <w:t>重钢崖线山城步道二期等项目完工，</w:t>
      </w:r>
      <w:r>
        <w:rPr>
          <w:rFonts w:eastAsia="方正仿宋_GBK"/>
          <w:color w:val="000000" w:themeColor="text1"/>
          <w:szCs w:val="32"/>
          <w14:textFill>
            <w14:solidFill>
              <w14:schemeClr w14:val="tx1"/>
            </w14:solidFill>
          </w14:textFill>
        </w:rPr>
        <w:t>老成渝铁路改造工程、音乐大道中段、嘉南线连接道等项目加快推进，</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两江四岸</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治理提升工程葛老溪段建成。</w:t>
      </w:r>
      <w:r>
        <w:rPr>
          <w:rFonts w:eastAsia="方正仿宋_GBK"/>
          <w:color w:val="000000" w:themeColor="text1"/>
          <w:szCs w:val="32"/>
          <w:lang w:val="zh-CN"/>
          <w14:textFill>
            <w14:solidFill>
              <w14:schemeClr w14:val="tx1"/>
            </w14:solidFill>
          </w14:textFill>
        </w:rPr>
        <w:t>产业及人文体系加快构建，重庆工业文化博览园成功创建国家4A级旅游景区、获评国家工业旅游示范基地，</w:t>
      </w:r>
      <w:r>
        <w:rPr>
          <w:rFonts w:eastAsia="方正仿宋_GBK"/>
          <w:color w:val="000000" w:themeColor="text1"/>
          <w:szCs w:val="32"/>
          <w14:textFill>
            <w14:solidFill>
              <w14:schemeClr w14:val="tx1"/>
            </w14:solidFill>
          </w14:textFill>
        </w:rPr>
        <w:t>义渡古镇招商进程加快，成功举办重庆</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乐堡WHY NOT</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音乐节</w:t>
      </w:r>
      <w:r>
        <w:rPr>
          <w:rFonts w:eastAsia="方正仿宋_GBK"/>
          <w:color w:val="000000" w:themeColor="text1"/>
          <w:szCs w:val="32"/>
          <w:lang w:val="zh-CN"/>
          <w14:textFill>
            <w14:solidFill>
              <w14:schemeClr w14:val="tx1"/>
            </w14:solidFill>
          </w14:textFill>
        </w:rPr>
        <w:t>。</w:t>
      </w:r>
      <w:r>
        <w:rPr>
          <w:rFonts w:eastAsia="方正仿宋_GBK"/>
          <w:b/>
          <w:color w:val="000000" w:themeColor="text1"/>
          <w:kern w:val="2"/>
          <w:szCs w:val="32"/>
          <w14:textFill>
            <w14:solidFill>
              <w14:schemeClr w14:val="tx1"/>
            </w14:solidFill>
          </w14:textFill>
        </w:rPr>
        <w:t>城市功能品质更加完善。</w:t>
      </w:r>
      <w:r>
        <w:rPr>
          <w:rFonts w:eastAsia="方正仿宋_GBK"/>
          <w:color w:val="000000" w:themeColor="text1"/>
          <w:szCs w:val="32"/>
          <w14:textFill>
            <w14:solidFill>
              <w14:schemeClr w14:val="tx1"/>
            </w14:solidFill>
          </w14:textFill>
        </w:rPr>
        <w:t>完成农村土地征收2056.8亩、国有土地上房屋征收10万平方米，出让土地297亩。</w:t>
      </w:r>
      <w:r>
        <w:rPr>
          <w:rFonts w:eastAsia="方正仿宋_GBK"/>
          <w:color w:val="000000" w:themeColor="text1"/>
          <w:kern w:val="2"/>
          <w:szCs w:val="32"/>
          <w14:textFill>
            <w14:solidFill>
              <w14:schemeClr w14:val="tx1"/>
            </w14:solidFill>
          </w14:textFill>
        </w:rPr>
        <w:t>轨道交通18号线、江跳线开通运营，5号线全线贯通，金晟路网二期、陈家阁立交等项目建成通车，三纵线双山隧道至金家湾立交段改造、陶家隧道、新袁茄路南段、</w:t>
      </w:r>
      <w:r>
        <w:rPr>
          <w:rFonts w:eastAsia="方正仿宋_GBK"/>
          <w:color w:val="000000" w:themeColor="text1"/>
          <w:szCs w:val="32"/>
          <w14:textFill>
            <w14:solidFill>
              <w14:schemeClr w14:val="tx1"/>
            </w14:solidFill>
          </w14:textFill>
        </w:rPr>
        <w:t>重钢南北干道</w:t>
      </w:r>
      <w:r>
        <w:rPr>
          <w:rFonts w:eastAsia="方正仿宋_GBK"/>
          <w:color w:val="000000" w:themeColor="text1"/>
          <w:kern w:val="2"/>
          <w:szCs w:val="32"/>
          <w14:textFill>
            <w14:solidFill>
              <w14:schemeClr w14:val="tx1"/>
            </w14:solidFill>
          </w14:textFill>
        </w:rPr>
        <w:t>等项目加速推进，累计建成城市道路247公里。完成新工社区、伏牛溪社区等12个老旧小区改造、惠及居民8640户，启动五一互助片区城中村改造。</w:t>
      </w:r>
      <w:r>
        <w:rPr>
          <w:rFonts w:eastAsia="方正仿宋_GBK"/>
          <w:color w:val="000000" w:themeColor="text1"/>
          <w:szCs w:val="32"/>
          <w14:textFill>
            <w14:solidFill>
              <w14:schemeClr w14:val="tx1"/>
            </w14:solidFill>
          </w14:textFill>
        </w:rPr>
        <w:t>推进全国文明城区创建，巩固创卫成果，</w:t>
      </w:r>
      <w:r>
        <w:rPr>
          <w:rFonts w:eastAsia="方正仿宋_GBK"/>
          <w:color w:val="000000" w:themeColor="text1"/>
          <w:kern w:val="2"/>
          <w:szCs w:val="32"/>
          <w14:textFill>
            <w14:solidFill>
              <w14:schemeClr w14:val="tx1"/>
            </w14:solidFill>
          </w14:textFill>
        </w:rPr>
        <w:t>新建</w:t>
      </w:r>
      <w:r>
        <w:rPr>
          <w:rFonts w:hint="eastAsia" w:ascii="方正仿宋_GBK" w:eastAsia="方正仿宋_GBK"/>
          <w:color w:val="000000" w:themeColor="text1"/>
          <w:kern w:val="2"/>
          <w:szCs w:val="32"/>
          <w14:textFill>
            <w14:solidFill>
              <w14:schemeClr w14:val="tx1"/>
            </w14:solidFill>
          </w14:textFill>
        </w:rPr>
        <w:t>“</w:t>
      </w:r>
      <w:r>
        <w:rPr>
          <w:rFonts w:eastAsia="方正仿宋_GBK"/>
          <w:color w:val="000000" w:themeColor="text1"/>
          <w:kern w:val="2"/>
          <w:szCs w:val="32"/>
          <w14:textFill>
            <w14:solidFill>
              <w14:schemeClr w14:val="tx1"/>
            </w14:solidFill>
          </w14:textFill>
        </w:rPr>
        <w:t>三包五长</w:t>
      </w:r>
      <w:r>
        <w:rPr>
          <w:rFonts w:hint="eastAsia" w:ascii="方正仿宋_GBK" w:eastAsia="方正仿宋_GBK"/>
          <w:color w:val="000000" w:themeColor="text1"/>
          <w:kern w:val="2"/>
          <w:szCs w:val="32"/>
          <w14:textFill>
            <w14:solidFill>
              <w14:schemeClr w14:val="tx1"/>
            </w14:solidFill>
          </w14:textFill>
        </w:rPr>
        <w:t>”</w:t>
      </w:r>
      <w:r>
        <w:rPr>
          <w:rFonts w:eastAsia="方正仿宋_GBK"/>
          <w:color w:val="000000" w:themeColor="text1"/>
          <w:kern w:val="2"/>
          <w:szCs w:val="32"/>
          <w14:textFill>
            <w14:solidFill>
              <w14:schemeClr w14:val="tx1"/>
            </w14:solidFill>
          </w14:textFill>
        </w:rPr>
        <w:t>示范道路8条，</w:t>
      </w:r>
      <w:r>
        <w:rPr>
          <w:rFonts w:eastAsia="方正仿宋_GBK"/>
          <w:color w:val="000000" w:themeColor="text1"/>
          <w:szCs w:val="32"/>
          <w14:textFill>
            <w14:solidFill>
              <w14:schemeClr w14:val="tx1"/>
            </w14:solidFill>
          </w14:textFill>
        </w:rPr>
        <w:t>查处违法建筑、占道停车等各类违规行为1.3万起，</w:t>
      </w:r>
      <w:r>
        <w:rPr>
          <w:rFonts w:eastAsia="方正仿宋_GBK"/>
          <w:color w:val="000000" w:themeColor="text1"/>
          <w:kern w:val="2"/>
          <w14:textFill>
            <w14:solidFill>
              <w14:schemeClr w14:val="tx1"/>
            </w14:solidFill>
          </w14:textFill>
        </w:rPr>
        <w:t>新建小微停车场29个、停车泊位1662个</w:t>
      </w:r>
      <w:r>
        <w:rPr>
          <w:rFonts w:eastAsia="方正仿宋_GBK"/>
          <w:color w:val="000000" w:themeColor="text1"/>
          <w:szCs w:val="32"/>
          <w14:textFill>
            <w14:solidFill>
              <w14:schemeClr w14:val="tx1"/>
            </w14:solidFill>
          </w14:textFill>
        </w:rPr>
        <w:t>。跃进村雨污水管网整治工程完工，</w:t>
      </w:r>
      <w:r>
        <w:rPr>
          <w:rFonts w:eastAsia="方正仿宋_GBK"/>
          <w:color w:val="000000" w:themeColor="text1"/>
          <w:kern w:val="2"/>
          <w14:textFill>
            <w14:solidFill>
              <w14:schemeClr w14:val="tx1"/>
            </w14:solidFill>
          </w14:textFill>
        </w:rPr>
        <w:t>实施老旧供水管网改造7公里</w:t>
      </w:r>
      <w:r>
        <w:rPr>
          <w:rFonts w:eastAsia="方正仿宋_GBK"/>
          <w:color w:val="000000" w:themeColor="text1"/>
          <w:szCs w:val="32"/>
          <w14:textFill>
            <w14:solidFill>
              <w14:schemeClr w14:val="tx1"/>
            </w14:solidFill>
          </w14:textFill>
        </w:rPr>
        <w:t>。全区城市生活垃圾回收利用率保持41%以上，城乡生活垃圾分类覆盖率、无害化处理率均达100%。</w:t>
      </w:r>
      <w:r>
        <w:rPr>
          <w:rFonts w:eastAsia="方正仿宋_GBK"/>
          <w:b/>
          <w:bCs/>
          <w:color w:val="000000" w:themeColor="text1"/>
          <w:kern w:val="2"/>
          <w14:textFill>
            <w14:solidFill>
              <w14:schemeClr w14:val="tx1"/>
            </w14:solidFill>
          </w14:textFill>
        </w:rPr>
        <w:t>乡村振兴战略深入实施。</w:t>
      </w:r>
      <w:r>
        <w:rPr>
          <w:rFonts w:eastAsia="方正仿宋_GBK"/>
          <w:color w:val="000000" w:themeColor="text1"/>
          <w:kern w:val="2"/>
          <w:szCs w:val="32"/>
          <w14:textFill>
            <w14:solidFill>
              <w14:schemeClr w14:val="tx1"/>
            </w14:solidFill>
          </w14:textFill>
        </w:rPr>
        <w:t>实施乡村振兴项目31个，</w:t>
      </w:r>
      <w:r>
        <w:rPr>
          <w:rFonts w:eastAsia="方正仿宋_GBK"/>
          <w:color w:val="000000" w:themeColor="text1"/>
          <w:szCs w:val="32"/>
          <w14:textFill>
            <w14:solidFill>
              <w14:schemeClr w14:val="tx1"/>
            </w14:solidFill>
          </w14:textFill>
        </w:rPr>
        <w:t>打造环金鳌山沿线6公里观景大道，</w:t>
      </w:r>
      <w:r>
        <w:rPr>
          <w:rFonts w:eastAsia="方正仿宋_GBK"/>
          <w:color w:val="000000" w:themeColor="text1"/>
          <w:kern w:val="2"/>
          <w:szCs w:val="40"/>
          <w14:textFill>
            <w14:solidFill>
              <w14:schemeClr w14:val="tx1"/>
            </w14:solidFill>
          </w14:textFill>
        </w:rPr>
        <w:t>完成石新路等公路建设项目7个、21.8公里。</w:t>
      </w:r>
      <w:r>
        <w:rPr>
          <w:rFonts w:eastAsia="方正仿宋_GBK"/>
          <w:color w:val="000000" w:themeColor="text1"/>
          <w:szCs w:val="32"/>
          <w14:textFill>
            <w14:solidFill>
              <w14:schemeClr w14:val="tx1"/>
            </w14:solidFill>
          </w14:textFill>
        </w:rPr>
        <w:t>持续做优特色农产品加工业，</w:t>
      </w:r>
      <w:r>
        <w:rPr>
          <w:rFonts w:hint="eastAsia" w:eastAsia="方正仿宋_GBK"/>
          <w:color w:val="000000" w:themeColor="text1"/>
          <w:szCs w:val="32"/>
          <w14:textFill>
            <w14:solidFill>
              <w14:schemeClr w14:val="tx1"/>
            </w14:solidFill>
          </w14:textFill>
        </w:rPr>
        <w:t>新</w:t>
      </w:r>
      <w:r>
        <w:rPr>
          <w:rFonts w:eastAsia="方正仿宋_GBK"/>
          <w:color w:val="000000" w:themeColor="text1"/>
          <w:szCs w:val="32"/>
          <w14:textFill>
            <w14:solidFill>
              <w14:schemeClr w14:val="tx1"/>
            </w14:solidFill>
          </w14:textFill>
        </w:rPr>
        <w:t>培育国家级农业产业化龙头企业2家</w:t>
      </w:r>
      <w:r>
        <w:rPr>
          <w:rFonts w:eastAsia="方正仿宋_GBK"/>
          <w:color w:val="000000" w:themeColor="text1"/>
          <w:kern w:val="2"/>
          <w:szCs w:val="32"/>
          <w14:textFill>
            <w14:solidFill>
              <w14:schemeClr w14:val="tx1"/>
            </w14:solidFill>
          </w14:textFill>
        </w:rPr>
        <w:t>，</w:t>
      </w:r>
      <w:r>
        <w:rPr>
          <w:rFonts w:eastAsia="方正仿宋_GBK"/>
          <w:color w:val="000000" w:themeColor="text1"/>
          <w:szCs w:val="32"/>
          <w14:textFill>
            <w14:solidFill>
              <w14:schemeClr w14:val="tx1"/>
            </w14:solidFill>
          </w14:textFill>
        </w:rPr>
        <w:t>新增食品和农产品加工</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双百</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企业</w:t>
      </w:r>
      <w:r>
        <w:rPr>
          <w:color w:val="000000" w:themeColor="text1"/>
          <w:szCs w:val="32"/>
          <w14:textFill>
            <w14:solidFill>
              <w14:schemeClr w14:val="tx1"/>
            </w14:solidFill>
          </w14:textFill>
        </w:rPr>
        <w:t>4</w:t>
      </w:r>
      <w:r>
        <w:rPr>
          <w:rFonts w:eastAsia="方正仿宋_GBK"/>
          <w:color w:val="000000" w:themeColor="text1"/>
          <w:szCs w:val="32"/>
          <w14:textFill>
            <w14:solidFill>
              <w14:schemeClr w14:val="tx1"/>
            </w14:solidFill>
          </w14:textFill>
        </w:rPr>
        <w:t>家、</w:t>
      </w:r>
      <w:r>
        <w:rPr>
          <w:rFonts w:eastAsia="方正仿宋_GBK"/>
          <w:color w:val="000000" w:themeColor="text1"/>
          <w:kern w:val="2"/>
          <w:szCs w:val="32"/>
          <w14:textFill>
            <w14:solidFill>
              <w14:schemeClr w14:val="tx1"/>
            </w14:solidFill>
          </w14:textFill>
        </w:rPr>
        <w:t>重庆市农产品加工示范企业1家。加快推进中梁山康养、金鳌田园等农商旅融合项目，</w:t>
      </w:r>
      <w:r>
        <w:rPr>
          <w:rFonts w:eastAsia="方正仿宋_GBK"/>
          <w:color w:val="000000" w:themeColor="text1"/>
          <w:szCs w:val="32"/>
          <w14:textFill>
            <w14:solidFill>
              <w14:schemeClr w14:val="tx1"/>
            </w14:solidFill>
          </w14:textFill>
        </w:rPr>
        <w:t>蒲公英成长酷玩营地一期开营、二期启动建设，</w:t>
      </w:r>
      <w:r>
        <w:rPr>
          <w:rFonts w:eastAsia="方正仿宋_GBK"/>
          <w:color w:val="000000" w:themeColor="text1"/>
          <w:kern w:val="2"/>
          <w:szCs w:val="32"/>
          <w14:textFill>
            <w14:solidFill>
              <w14:schemeClr w14:val="tx1"/>
            </w14:solidFill>
          </w14:textFill>
        </w:rPr>
        <w:t>成功打造田园景观1700余亩，全年游客突破50万人，实现</w:t>
      </w:r>
      <w:r>
        <w:rPr>
          <w:rFonts w:eastAsia="方正仿宋_GBK"/>
          <w:color w:val="000000" w:themeColor="text1"/>
          <w:szCs w:val="32"/>
          <w14:textFill>
            <w14:solidFill>
              <w14:schemeClr w14:val="tx1"/>
            </w14:solidFill>
          </w14:textFill>
        </w:rPr>
        <w:t>乡村旅游营业收入2亿元、增长8.74%。</w:t>
      </w:r>
      <w:r>
        <w:rPr>
          <w:rFonts w:eastAsia="方正仿宋_GBK"/>
          <w:color w:val="000000" w:themeColor="text1"/>
          <w:kern w:val="2"/>
          <w:szCs w:val="32"/>
          <w14:textFill>
            <w14:solidFill>
              <w14:schemeClr w14:val="tx1"/>
            </w14:solidFill>
          </w14:textFill>
        </w:rPr>
        <w:t>金鳌村成功创建市级宜居宜业和美乡村五星级示范村，金鳌田园入选成渝地区双城经济圈乡村特色风貌保护十大案例、美丽重庆建设案例。成功创建乡村治理国家级（市级）示范村3个。</w:t>
      </w:r>
    </w:p>
    <w:p>
      <w:pPr>
        <w:pStyle w:val="2"/>
        <w:spacing w:line="594" w:lineRule="exact"/>
        <w:ind w:firstLine="643" w:firstLineChars="200"/>
        <w:contextualSpacing/>
        <w:rPr>
          <w:rFonts w:eastAsia="方正仿宋_GBK"/>
          <w:color w:val="000000" w:themeColor="text1"/>
          <w:szCs w:val="32"/>
          <w14:textFill>
            <w14:solidFill>
              <w14:schemeClr w14:val="tx1"/>
            </w14:solidFill>
          </w14:textFill>
        </w:rPr>
      </w:pPr>
      <w:r>
        <w:rPr>
          <w:rFonts w:eastAsia="方正仿宋_GBK"/>
          <w:b/>
          <w:color w:val="000000" w:themeColor="text1"/>
          <w:szCs w:val="32"/>
          <w14:textFill>
            <w14:solidFill>
              <w14:schemeClr w14:val="tx1"/>
            </w14:solidFill>
          </w14:textFill>
        </w:rPr>
        <w:t>4. 加快筑牢绿色发展本底，生态品质持续提升。公园城市建设成效明显。</w:t>
      </w:r>
      <w:r>
        <w:rPr>
          <w:rFonts w:eastAsia="方正仿宋_GBK"/>
          <w:bCs/>
          <w:color w:val="000000" w:themeColor="text1"/>
          <w:szCs w:val="32"/>
          <w14:textFill>
            <w14:solidFill>
              <w14:schemeClr w14:val="tx1"/>
            </w14:solidFill>
          </w14:textFill>
        </w:rPr>
        <w:t>发布</w:t>
      </w:r>
      <w:r>
        <w:rPr>
          <w:rFonts w:eastAsia="方正仿宋_GBK"/>
          <w:color w:val="000000" w:themeColor="text1"/>
          <w:szCs w:val="21"/>
          <w14:textFill>
            <w14:solidFill>
              <w14:schemeClr w14:val="tx1"/>
            </w14:solidFill>
          </w14:textFill>
        </w:rPr>
        <w:t>《公园大渡口规划方案》，出台《关于公园大渡口建设的实施意见》，成功举办公园大渡口建设发展实践大会，实施</w:t>
      </w:r>
      <w:r>
        <w:rPr>
          <w:rFonts w:eastAsia="方正仿宋_GBK"/>
          <w:color w:val="000000" w:themeColor="text1"/>
          <w:szCs w:val="32"/>
          <w14:textFill>
            <w14:solidFill>
              <w14:schemeClr w14:val="tx1"/>
            </w14:solidFill>
          </w14:textFill>
        </w:rPr>
        <w:t>公园建设改造、街头绿地提质等重点项目18个，建成爱情公园、快乐羽李公园、新港小游园等口袋公园10个，建成公园总量达79个；建成18.3公里滨江多彩艺术绿道，全年新增绿地面积70万平方米，人均公园绿地面积达25平方米、全市领先。创新</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公园+</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运营管理模式，盘活公园资源17处、收益增长3倍。积极开展</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六进</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行动、</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十个最美</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评选，</w:t>
      </w:r>
      <w:r>
        <w:rPr>
          <w:rFonts w:eastAsia="方正仿宋_GBK"/>
          <w:color w:val="000000" w:themeColor="text1"/>
          <w:szCs w:val="21"/>
          <w14:textFill>
            <w14:solidFill>
              <w14:schemeClr w14:val="tx1"/>
            </w14:solidFill>
          </w14:textFill>
        </w:rPr>
        <w:t>大渡口公园被列入全市重点公园。</w:t>
      </w:r>
      <w:r>
        <w:rPr>
          <w:rFonts w:eastAsia="方正仿宋_GBK"/>
          <w:b/>
          <w:color w:val="000000" w:themeColor="text1"/>
          <w:szCs w:val="32"/>
          <w14:textFill>
            <w14:solidFill>
              <w14:schemeClr w14:val="tx1"/>
            </w14:solidFill>
          </w14:textFill>
        </w:rPr>
        <w:t>生态环境质量持续巩固。</w:t>
      </w:r>
      <w:r>
        <w:rPr>
          <w:rFonts w:eastAsia="方正仿宋_GBK"/>
          <w:color w:val="000000" w:themeColor="text1"/>
          <w:szCs w:val="32"/>
          <w14:textFill>
            <w14:solidFill>
              <w14:schemeClr w14:val="tx1"/>
            </w14:solidFill>
          </w14:textFill>
        </w:rPr>
        <w:t>完成国土空间分区规划编制和</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三区三线</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划定，压紧压实耕地保护责任，守住2000亩永久基本农田。全面推进林长制，完成</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两岸青山千里林带</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国土绿化森林抚育任务800亩，完成矿山修复6.82公顷，森林覆盖率达55%。深化落实河长制，长江丰收坝断面水质保持在Ⅱ类以上，饮用水水源地水质达标率保持100%。推进大气污染综合治理，完成居民楼公共烟道颗粒物集中治理示范项目一期工程、惠及家庭350余户，减少污染物排放2.86吨/年。完成污染土壤治理修复930亩，土壤污染防治建设联合监管机制全市试点，污染地块安全利用率达100%。做好声环境功能区划分及分类管理，累计创建安静居住小区23个。</w:t>
      </w:r>
      <w:r>
        <w:rPr>
          <w:rFonts w:eastAsia="方正仿宋_GBK"/>
          <w:b/>
          <w:color w:val="000000" w:themeColor="text1"/>
          <w:szCs w:val="32"/>
          <w14:textFill>
            <w14:solidFill>
              <w14:schemeClr w14:val="tx1"/>
            </w14:solidFill>
          </w14:textFill>
        </w:rPr>
        <w:t>绿色低碳发展有序推进。</w:t>
      </w:r>
      <w:r>
        <w:rPr>
          <w:rFonts w:eastAsia="方正仿宋_GBK"/>
          <w:color w:val="000000" w:themeColor="text1"/>
          <w:szCs w:val="32"/>
          <w14:textFill>
            <w14:solidFill>
              <w14:schemeClr w14:val="tx1"/>
            </w14:solidFill>
          </w14:textFill>
        </w:rPr>
        <w:t>认真实施大渡口区碳达峰实施方案及行动计划，持续完善工业、城乡建设等领域碳达峰政策体系，做好能源消耗总量和强度弹性管理。建设绿色低碳园区，严格落实产业禁投清单、工业项目环境准入规定，建桥园区获评国家级绿色工业园区、全市近零碳试点园区，长征重工入选市级绿色工厂。加大绿色企业信贷投放，</w:t>
      </w:r>
      <w:r>
        <w:rPr>
          <w:rFonts w:hint="eastAsia" w:eastAsia="方正仿宋_GBK"/>
          <w:color w:val="000000" w:themeColor="text1"/>
          <w:szCs w:val="32"/>
          <w14:textFill>
            <w14:solidFill>
              <w14:schemeClr w14:val="tx1"/>
            </w14:solidFill>
          </w14:textFill>
        </w:rPr>
        <w:t>截至</w:t>
      </w:r>
      <w:r>
        <w:rPr>
          <w:rFonts w:eastAsia="方正仿宋_GBK"/>
          <w:color w:val="000000" w:themeColor="text1"/>
          <w:szCs w:val="32"/>
          <w14:textFill>
            <w14:solidFill>
              <w14:schemeClr w14:val="tx1"/>
            </w14:solidFill>
          </w14:textFill>
        </w:rPr>
        <w:t>2023</w:t>
      </w:r>
      <w:r>
        <w:rPr>
          <w:rFonts w:hint="eastAsia" w:eastAsia="方正仿宋_GBK"/>
          <w:color w:val="000000" w:themeColor="text1"/>
          <w:szCs w:val="32"/>
          <w14:textFill>
            <w14:solidFill>
              <w14:schemeClr w14:val="tx1"/>
            </w14:solidFill>
          </w14:textFill>
        </w:rPr>
        <w:t>年底，</w:t>
      </w:r>
      <w:r>
        <w:rPr>
          <w:rFonts w:eastAsia="方正仿宋_GBK"/>
          <w:color w:val="000000" w:themeColor="text1"/>
          <w:szCs w:val="32"/>
          <w14:textFill>
            <w14:solidFill>
              <w14:schemeClr w14:val="tx1"/>
            </w14:solidFill>
          </w14:textFill>
        </w:rPr>
        <w:t>绿色信贷余额114.17亿元、增长36.33%。中梁山EOD项目争取国家政策性银行授信19亿元。全面实施绿色建筑标准，全年新建建筑执行绿色建筑标准比例达100%。构建绿色交通体系，水上运输实现船舶污染物零排放全接收，公交车全部使用CNG清洁能源。入选国家绿色消费发展典型城市案例，为全市唯一入选区县。</w:t>
      </w:r>
    </w:p>
    <w:p>
      <w:pPr>
        <w:widowControl w:val="0"/>
        <w:tabs>
          <w:tab w:val="left" w:pos="1760"/>
        </w:tabs>
        <w:spacing w:after="0" w:line="594" w:lineRule="exact"/>
        <w:ind w:firstLine="643"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b/>
          <w:color w:val="000000" w:themeColor="text1"/>
          <w:sz w:val="32"/>
          <w:szCs w:val="32"/>
          <w14:textFill>
            <w14:solidFill>
              <w14:schemeClr w14:val="tx1"/>
            </w14:solidFill>
          </w14:textFill>
        </w:rPr>
        <w:t>5. 纵深推进改革开放创新，发展动能持续激活。川渝合作走深走实。</w:t>
      </w:r>
      <w:r>
        <w:rPr>
          <w:rFonts w:ascii="Times New Roman" w:hAnsi="Times New Roman" w:eastAsia="方正仿宋_GBK" w:cs="Times New Roman"/>
          <w:color w:val="000000" w:themeColor="text1"/>
          <w:sz w:val="32"/>
          <w:szCs w:val="32"/>
          <w14:textFill>
            <w14:solidFill>
              <w14:schemeClr w14:val="tx1"/>
            </w14:solidFill>
          </w14:textFill>
        </w:rPr>
        <w:t>与四川省遂宁市、成都市成华区等3个友好区（市）县建立区域合作关系，</w:t>
      </w:r>
      <w:r>
        <w:rPr>
          <w:rFonts w:hint="eastAsia" w:ascii="Times New Roman" w:hAnsi="Times New Roman" w:eastAsia="方正仿宋_GBK" w:cs="Times New Roman"/>
          <w:color w:val="000000" w:themeColor="text1"/>
          <w:sz w:val="32"/>
          <w:szCs w:val="32"/>
          <w14:textFill>
            <w14:solidFill>
              <w14:schemeClr w14:val="tx1"/>
            </w14:solidFill>
          </w14:textFill>
        </w:rPr>
        <w:t>全年</w:t>
      </w:r>
      <w:r>
        <w:rPr>
          <w:rFonts w:ascii="Times New Roman" w:hAnsi="Times New Roman" w:eastAsia="方正仿宋_GBK" w:cs="Times New Roman"/>
          <w:color w:val="000000" w:themeColor="text1"/>
          <w:sz w:val="32"/>
          <w:szCs w:val="32"/>
          <w14:textFill>
            <w14:solidFill>
              <w14:schemeClr w14:val="tx1"/>
            </w14:solidFill>
          </w14:textFill>
        </w:rPr>
        <w:t>签订各类合作协议39项，开展招商引资推介、商贸文化交流等活动50余次。推动川渝产业协作，引入落地四川哈瑞、熊炎团队生物医药等项目6个、计划投资16.25亿元，建桥园区与绵阳安州工业园区、</w:t>
      </w:r>
      <w:r>
        <w:rPr>
          <w:rFonts w:ascii="Times New Roman" w:hAnsi="Times New Roman" w:eastAsia="方正仿宋_GBK" w:cs="Times New Roman"/>
          <w:color w:val="000000" w:themeColor="text1"/>
          <w:sz w:val="32"/>
          <w:szCs w:val="32"/>
          <w:shd w:val="clear" w:color="auto" w:fill="FFFFFF"/>
          <w:lang w:bidi="ar"/>
          <w14:textFill>
            <w14:solidFill>
              <w14:schemeClr w14:val="tx1"/>
            </w14:solidFill>
          </w14:textFill>
        </w:rPr>
        <w:t>渠县工业园区</w:t>
      </w:r>
      <w:r>
        <w:rPr>
          <w:rFonts w:ascii="Times New Roman" w:hAnsi="Times New Roman" w:eastAsia="方正仿宋_GBK" w:cs="Times New Roman"/>
          <w:color w:val="000000" w:themeColor="text1"/>
          <w:sz w:val="32"/>
          <w:szCs w:val="32"/>
          <w14:textFill>
            <w14:solidFill>
              <w14:schemeClr w14:val="tx1"/>
            </w14:solidFill>
          </w14:textFill>
        </w:rPr>
        <w:t>共建双城产业合作示范园区。扎实推进</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一区两群</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对口忠县协同发展，联动建设</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重庆小面产业园</w:t>
      </w:r>
      <w:r>
        <w:rPr>
          <w:rFonts w:hint="eastAsia" w:ascii="方正小标宋_GBK" w:hAnsi="方正小标宋_GBK" w:eastAsia="方正小标宋_GBK" w:cs="方正小标宋_GBK"/>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忠县园区</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，协作到位资金1.8亿元，帮助忠县天地药业融资1.76亿元。</w:t>
      </w:r>
      <w:r>
        <w:rPr>
          <w:rFonts w:ascii="Times New Roman" w:hAnsi="Times New Roman" w:eastAsia="方正仿宋_GBK" w:cs="Times New Roman"/>
          <w:b/>
          <w:color w:val="000000" w:themeColor="text1"/>
          <w:sz w:val="32"/>
          <w:szCs w:val="32"/>
          <w14:textFill>
            <w14:solidFill>
              <w14:schemeClr w14:val="tx1"/>
            </w14:solidFill>
          </w14:textFill>
        </w:rPr>
        <w:t>创新活力不断迸发。</w:t>
      </w:r>
      <w:r>
        <w:rPr>
          <w:rFonts w:ascii="Times New Roman" w:hAnsi="Times New Roman" w:eastAsia="方正仿宋_GBK" w:cs="Times New Roman"/>
          <w:color w:val="000000" w:themeColor="text1"/>
          <w:sz w:val="32"/>
          <w:szCs w:val="32"/>
          <w14:textFill>
            <w14:solidFill>
              <w14:schemeClr w14:val="tx1"/>
            </w14:solidFill>
          </w14:textFill>
        </w:rPr>
        <w:t>创新主体加快成长，实施</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双倍增</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行动计划，</w:t>
      </w:r>
      <w:r>
        <w:rPr>
          <w:rFonts w:hint="eastAsia" w:ascii="Times New Roman" w:hAnsi="Times New Roman" w:eastAsia="方正仿宋_GBK" w:cs="Times New Roman"/>
          <w:color w:val="000000" w:themeColor="text1"/>
          <w:sz w:val="32"/>
          <w:szCs w:val="32"/>
          <w14:textFill>
            <w14:solidFill>
              <w14:schemeClr w14:val="tx1"/>
            </w14:solidFill>
          </w14:textFill>
        </w:rPr>
        <w:t>全</w:t>
      </w:r>
      <w:r>
        <w:rPr>
          <w:rFonts w:ascii="Times New Roman" w:hAnsi="Times New Roman" w:eastAsia="方正仿宋_GBK" w:cs="Times New Roman"/>
          <w:color w:val="000000" w:themeColor="text1"/>
          <w:sz w:val="32"/>
          <w:szCs w:val="32"/>
          <w14:textFill>
            <w14:solidFill>
              <w14:schemeClr w14:val="tx1"/>
            </w14:solidFill>
          </w14:textFill>
        </w:rPr>
        <w:t>年新增科技型企业91家、总量达536家，认定国家高新技术企业50家</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有效期高企达150家。创新平台加速集聚</w:t>
      </w:r>
      <w:r>
        <w:rPr>
          <w:rFonts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建立全国首个火锅油碟联合实验室，</w:t>
      </w:r>
      <w:r>
        <w:rPr>
          <w:rFonts w:ascii="Times New Roman" w:hAnsi="Times New Roman" w:eastAsia="方正仿宋_GBK" w:cs="Times New Roman"/>
          <w:color w:val="000000" w:themeColor="text1"/>
          <w:kern w:val="2"/>
          <w:sz w:val="32"/>
          <w:szCs w:val="32"/>
          <w14:textFill>
            <w14:solidFill>
              <w14:schemeClr w14:val="tx1"/>
            </w14:solidFill>
          </w14:textFill>
        </w:rPr>
        <w:t>创建国家级企业技术中心1个、市级2个，</w:t>
      </w:r>
      <w:r>
        <w:rPr>
          <w:rFonts w:ascii="Times New Roman" w:hAnsi="Times New Roman" w:eastAsia="方正仿宋_GBK" w:cs="Times New Roman"/>
          <w:color w:val="000000" w:themeColor="text1"/>
          <w:sz w:val="32"/>
          <w:szCs w:val="32"/>
          <w14:textFill>
            <w14:solidFill>
              <w14:schemeClr w14:val="tx1"/>
            </w14:solidFill>
          </w14:textFill>
        </w:rPr>
        <w:t>市级创新平台累计达107个。科技成果加快转化，</w:t>
      </w:r>
      <w:r>
        <w:rPr>
          <w:rFonts w:ascii="Times New Roman" w:hAnsi="Times New Roman" w:eastAsia="方正仿宋_GBK" w:cs="Times New Roman"/>
          <w:color w:val="000000" w:themeColor="text1"/>
          <w:kern w:val="2"/>
          <w:sz w:val="32"/>
          <w:szCs w:val="32"/>
          <w14:textFill>
            <w14:solidFill>
              <w14:schemeClr w14:val="tx1"/>
            </w14:solidFill>
          </w14:textFill>
        </w:rPr>
        <w:t>技术合同交易登记</w:t>
      </w:r>
      <w:r>
        <w:rPr>
          <w:rFonts w:hint="eastAsia" w:ascii="Times New Roman" w:hAnsi="Times New Roman" w:eastAsia="方正仿宋_GBK" w:cs="Times New Roman"/>
          <w:color w:val="000000" w:themeColor="text1"/>
          <w:kern w:val="2"/>
          <w:sz w:val="32"/>
          <w:szCs w:val="32"/>
          <w14:textFill>
            <w14:solidFill>
              <w14:schemeClr w14:val="tx1"/>
            </w14:solidFill>
          </w14:textFill>
        </w:rPr>
        <w:t>突破</w:t>
      </w:r>
      <w:r>
        <w:rPr>
          <w:rFonts w:ascii="Times New Roman" w:hAnsi="Times New Roman" w:eastAsia="方正仿宋_GBK" w:cs="Times New Roman"/>
          <w:color w:val="000000" w:themeColor="text1"/>
          <w:kern w:val="2"/>
          <w:sz w:val="32"/>
          <w:szCs w:val="32"/>
          <w14:textFill>
            <w14:solidFill>
              <w14:schemeClr w14:val="tx1"/>
            </w14:solidFill>
          </w14:textFill>
        </w:rPr>
        <w:t>27亿元</w:t>
      </w:r>
      <w:r>
        <w:rPr>
          <w:rFonts w:hint="eastAsia" w:ascii="Times New Roman" w:hAnsi="Times New Roman" w:eastAsia="方正仿宋_GBK" w:cs="Times New Roman"/>
          <w:color w:val="000000" w:themeColor="text1"/>
          <w:kern w:val="2"/>
          <w:sz w:val="32"/>
          <w:szCs w:val="32"/>
          <w14:textFill>
            <w14:solidFill>
              <w14:schemeClr w14:val="tx1"/>
            </w14:solidFill>
          </w14:textFill>
        </w:rPr>
        <w:t>、增长</w:t>
      </w:r>
      <w:r>
        <w:rPr>
          <w:rFonts w:ascii="Times New Roman" w:hAnsi="Times New Roman" w:eastAsia="方正仿宋_GBK" w:cs="Times New Roman"/>
          <w:color w:val="000000" w:themeColor="text1"/>
          <w:kern w:val="2"/>
          <w:sz w:val="32"/>
          <w:szCs w:val="32"/>
          <w14:textFill>
            <w14:solidFill>
              <w14:schemeClr w14:val="tx1"/>
            </w14:solidFill>
          </w14:textFill>
        </w:rPr>
        <w:t>48</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，每万人发明专利拥有量达26</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01件。</w:t>
      </w:r>
      <w:r>
        <w:rPr>
          <w:rFonts w:ascii="Times New Roman" w:hAnsi="Times New Roman" w:eastAsia="方正仿宋_GBK" w:cs="Times New Roman"/>
          <w:color w:val="000000" w:themeColor="text1"/>
          <w:sz w:val="32"/>
          <w:szCs w:val="32"/>
          <w14:textFill>
            <w14:solidFill>
              <w14:schemeClr w14:val="tx1"/>
            </w14:solidFill>
          </w14:textFill>
        </w:rPr>
        <w:t>创新生态不断优化，积极推进国家双创示范基地建设，举</w:t>
      </w:r>
      <w:r>
        <w:rPr>
          <w:rFonts w:ascii="Times New Roman" w:hAnsi="Times New Roman" w:eastAsia="方正仿宋_GBK" w:cs="Times New Roman"/>
          <w:color w:val="000000" w:themeColor="text1"/>
          <w:kern w:val="2"/>
          <w:sz w:val="32"/>
          <w:szCs w:val="32"/>
          <w14:textFill>
            <w14:solidFill>
              <w14:schemeClr w14:val="tx1"/>
            </w14:solidFill>
          </w14:textFill>
        </w:rPr>
        <w:t>办</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渝创渝新</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义渡赛创会</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等创新</w:t>
      </w:r>
      <w:r>
        <w:rPr>
          <w:rFonts w:ascii="Times New Roman" w:hAnsi="Times New Roman" w:eastAsia="方正仿宋_GBK" w:cs="Times New Roman"/>
          <w:color w:val="000000" w:themeColor="text1"/>
          <w:sz w:val="32"/>
          <w:szCs w:val="32"/>
          <w14:textFill>
            <w14:solidFill>
              <w14:schemeClr w14:val="tx1"/>
            </w14:solidFill>
          </w14:textFill>
        </w:rPr>
        <w:t>创业活动87场，出台支持科技创新</w:t>
      </w:r>
      <w:r>
        <w:rPr>
          <w:rFonts w:hint="eastAsia" w:ascii="Times New Roman" w:hAnsi="Times New Roman" w:eastAsia="方正仿宋_GBK" w:cs="Times New Roman"/>
          <w:color w:val="000000" w:themeColor="text1"/>
          <w:sz w:val="32"/>
          <w:szCs w:val="32"/>
          <w14:textFill>
            <w14:solidFill>
              <w14:schemeClr w14:val="tx1"/>
            </w14:solidFill>
          </w14:textFill>
        </w:rPr>
        <w:t>十五</w:t>
      </w:r>
      <w:r>
        <w:rPr>
          <w:rFonts w:ascii="Times New Roman" w:hAnsi="Times New Roman" w:eastAsia="方正仿宋_GBK" w:cs="Times New Roman"/>
          <w:color w:val="000000" w:themeColor="text1"/>
          <w:sz w:val="32"/>
          <w:szCs w:val="32"/>
          <w14:textFill>
            <w14:solidFill>
              <w14:schemeClr w14:val="tx1"/>
            </w14:solidFill>
          </w14:textFill>
        </w:rPr>
        <w:t>条政策，兑现区级科技奖励资金1800余万元。健全</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1+5+N</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人才政策体系，兑现人才奖补资金560万元。开展</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公园大渡口等您来</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系列引才活动，新增国家级、市级博士后科研工作站各1个，新入选</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鸿雁计划</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人才23人。</w:t>
      </w:r>
      <w:r>
        <w:rPr>
          <w:rFonts w:ascii="Times New Roman" w:hAnsi="Times New Roman" w:eastAsia="方正仿宋_GBK" w:cs="Times New Roman"/>
          <w:b/>
          <w:color w:val="000000" w:themeColor="text1"/>
          <w:sz w:val="32"/>
          <w:szCs w:val="32"/>
          <w14:textFill>
            <w14:solidFill>
              <w14:schemeClr w14:val="tx1"/>
            </w14:solidFill>
          </w14:textFill>
        </w:rPr>
        <w:t>改革动能有效激发。</w:t>
      </w:r>
      <w:r>
        <w:rPr>
          <w:rFonts w:ascii="Times New Roman" w:hAnsi="Times New Roman" w:eastAsia="方正仿宋_GBK" w:cs="Times New Roman"/>
          <w:color w:val="000000" w:themeColor="text1"/>
          <w:sz w:val="32"/>
          <w:szCs w:val="32"/>
          <w14:textFill>
            <w14:solidFill>
              <w14:schemeClr w14:val="tx1"/>
            </w14:solidFill>
          </w14:textFill>
        </w:rPr>
        <w:t>落实数字重庆</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1361</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整体架构和市级统一部署，抓好核心业务梳理、数据归集共享、</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一件事</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谋划等工作，全区核心及重要数据目录管理实现全覆盖，7</w:t>
      </w:r>
      <w:r>
        <w:rPr>
          <w:rFonts w:hint="eastAsia" w:ascii="Times New Roman" w:hAnsi="Times New Roman" w:eastAsia="方正仿宋_GBK" w:cs="Times New Roman"/>
          <w:color w:val="000000" w:themeColor="text1"/>
          <w:sz w:val="32"/>
          <w:szCs w:val="32"/>
          <w14:textFill>
            <w14:solidFill>
              <w14:schemeClr w14:val="tx1"/>
            </w14:solidFill>
          </w14:textFill>
        </w:rPr>
        <w:t>个</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一件事</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进入市级论证审查，</w:t>
      </w:r>
      <w:r>
        <w:rPr>
          <w:rFonts w:ascii="Times New Roman" w:hAnsi="Times New Roman" w:eastAsia="方正仿宋_GBK" w:cs="Times New Roman"/>
          <w:color w:val="000000" w:themeColor="text1"/>
          <w:sz w:val="32"/>
          <w:szCs w:val="32"/>
          <w14:textFill>
            <w14:solidFill>
              <w14:schemeClr w14:val="tx1"/>
            </w14:solidFill>
          </w14:textFill>
        </w:rPr>
        <w:t>红隼系统在全市数字重庆建设推进会上晾晒。深化国资国企改革，出台区国资委直管一级企业</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合规体系建设强化年</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专项行动方案，重组设立新晟发公司、城乡建设、城市运营</w:t>
      </w:r>
      <w:r>
        <w:rPr>
          <w:rFonts w:hint="eastAsia" w:ascii="Times New Roman" w:hAnsi="Times New Roman" w:eastAsia="方正仿宋_GBK" w:cs="Times New Roman"/>
          <w:color w:val="000000" w:themeColor="text1"/>
          <w:sz w:val="32"/>
          <w:szCs w:val="32"/>
          <w14:textFill>
            <w14:solidFill>
              <w14:schemeClr w14:val="tx1"/>
            </w14:solidFill>
          </w14:textFill>
        </w:rPr>
        <w:t>等</w:t>
      </w:r>
      <w:r>
        <w:rPr>
          <w:rFonts w:ascii="Times New Roman" w:hAnsi="Times New Roman" w:eastAsia="方正仿宋_GBK" w:cs="Times New Roman"/>
          <w:color w:val="000000" w:themeColor="text1"/>
          <w:sz w:val="32"/>
          <w:szCs w:val="32"/>
          <w14:textFill>
            <w14:solidFill>
              <w14:schemeClr w14:val="tx1"/>
            </w14:solidFill>
          </w14:textFill>
        </w:rPr>
        <w:t>3家专业化企业，一级企业从7家压减至3家。着力盘活国有资产，深入开展</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三资</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清理，清理编制特许经营权事项34项，探索统筹盘活路径，实现收益超7亿元。推进开发区管理制度改革，推进园区管理体制</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去行政化</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，组建权责清晰、运行高效的市场化专业化运营机构，我区入选全市开发区改革典型案例。推进制造业亩均论英雄改革，规上制造业亩均税收36</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8万元、亩均增加值268万元。出台打造一流营商环境十五项行动，完善事前、事中、事后信用监管，在服务、阅读、审批等领域开展信用应用场景，推广</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信易贷</w:t>
      </w:r>
      <w:r>
        <w:rPr>
          <w:rFonts w:hint="eastAsia" w:ascii="方正小标宋_GBK" w:hAnsi="方正小标宋_GBK" w:eastAsia="方正小标宋_GBK" w:cs="方正小标宋_GBK"/>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渝惠融</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平台，为中小企业纯信用融资3988万元。深化</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放管服</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改革，实现60项</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一件事一次办</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集成服务、4项在我区试点，建成全市首个医疗器械</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放管服</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审评查验服务站。</w:t>
      </w:r>
      <w:r>
        <w:rPr>
          <w:rFonts w:ascii="Times New Roman" w:hAnsi="Times New Roman" w:eastAsia="方正仿宋_GBK" w:cs="Times New Roman"/>
          <w:b/>
          <w:color w:val="000000" w:themeColor="text1"/>
          <w:sz w:val="32"/>
          <w:szCs w:val="32"/>
          <w14:textFill>
            <w14:solidFill>
              <w14:schemeClr w14:val="tx1"/>
            </w14:solidFill>
          </w14:textFill>
        </w:rPr>
        <w:t>对外开放步伐加快。</w:t>
      </w:r>
      <w:r>
        <w:rPr>
          <w:rFonts w:ascii="Times New Roman" w:hAnsi="Times New Roman" w:eastAsia="方正仿宋_GBK" w:cs="Times New Roman"/>
          <w:color w:val="000000" w:themeColor="text1"/>
          <w:sz w:val="32"/>
          <w:szCs w:val="32"/>
          <w14:textFill>
            <w14:solidFill>
              <w14:schemeClr w14:val="tx1"/>
            </w14:solidFill>
          </w14:textFill>
        </w:rPr>
        <w:t>台湾中小企业产业园被国台办正式授牌为</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海峡两岸青年就业创业基地</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。全力稳住外经贸市场主体，及时兑现跨周期调节奖励资金，组织30余家外经贸企业申报出口信保、对外投资、国际服务贸易等专项资金500余万元。</w:t>
      </w:r>
      <w:r>
        <w:rPr>
          <w:rFonts w:ascii="Times New Roman" w:hAnsi="Times New Roman" w:eastAsia="方正仿宋_GBK" w:cs="Times New Roman"/>
          <w:bCs/>
          <w:color w:val="000000" w:themeColor="text1"/>
          <w:sz w:val="32"/>
          <w:szCs w:val="32"/>
          <w14:textFill>
            <w14:solidFill>
              <w14:schemeClr w14:val="tx1"/>
            </w14:solidFill>
          </w14:textFill>
        </w:rPr>
        <w:t>国际复材获得AEO高级认证，</w:t>
      </w:r>
      <w:r>
        <w:rPr>
          <w:rFonts w:ascii="Times New Roman" w:hAnsi="Times New Roman" w:eastAsia="方正仿宋_GBK" w:cs="Times New Roman"/>
          <w:color w:val="000000" w:themeColor="text1"/>
          <w:sz w:val="32"/>
          <w:szCs w:val="32"/>
          <w14:textFill>
            <w14:solidFill>
              <w14:schemeClr w14:val="tx1"/>
            </w14:solidFill>
          </w14:textFill>
        </w:rPr>
        <w:t>井谷元与泰国清迈商会</w:t>
      </w:r>
      <w:r>
        <w:rPr>
          <w:rFonts w:hint="eastAsia" w:ascii="Times New Roman" w:hAnsi="Times New Roman" w:eastAsia="方正仿宋_GBK" w:cs="Times New Roman"/>
          <w:color w:val="000000" w:themeColor="text1"/>
          <w:sz w:val="32"/>
          <w:szCs w:val="32"/>
          <w14:textFill>
            <w14:solidFill>
              <w14:schemeClr w14:val="tx1"/>
            </w14:solidFill>
          </w14:textFill>
        </w:rPr>
        <w:t>达成</w:t>
      </w:r>
      <w:r>
        <w:rPr>
          <w:rFonts w:ascii="Times New Roman" w:hAnsi="Times New Roman" w:eastAsia="方正仿宋_GBK" w:cs="Times New Roman"/>
          <w:color w:val="000000" w:themeColor="text1"/>
          <w:sz w:val="32"/>
          <w:szCs w:val="32"/>
          <w14:textFill>
            <w14:solidFill>
              <w14:schemeClr w14:val="tx1"/>
            </w14:solidFill>
          </w14:textFill>
        </w:rPr>
        <w:t>合作，华生园食品进入美国市场。促成新加坡能源集团项目签约，助推汉联汽车二手车出口额超7000万元，</w:t>
      </w:r>
      <w:r>
        <w:rPr>
          <w:rFonts w:hint="eastAsia" w:ascii="Times New Roman" w:hAnsi="Times New Roman" w:eastAsia="方正仿宋_GBK" w:cs="Times New Roman"/>
          <w:color w:val="000000" w:themeColor="text1"/>
          <w:sz w:val="32"/>
          <w:szCs w:val="32"/>
          <w14:textFill>
            <w14:solidFill>
              <w14:schemeClr w14:val="tx1"/>
            </w14:solidFill>
          </w14:textFill>
        </w:rPr>
        <w:t>全年</w:t>
      </w:r>
      <w:r>
        <w:rPr>
          <w:rFonts w:ascii="Times New Roman" w:hAnsi="Times New Roman" w:eastAsia="方正仿宋_GBK" w:cs="Times New Roman"/>
          <w:color w:val="000000" w:themeColor="text1"/>
          <w:sz w:val="32"/>
          <w:szCs w:val="32"/>
          <w14:textFill>
            <w14:solidFill>
              <w14:schemeClr w14:val="tx1"/>
            </w14:solidFill>
          </w14:textFill>
        </w:rPr>
        <w:t>完成外贸进出口总额31</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8亿元。</w:t>
      </w:r>
    </w:p>
    <w:p>
      <w:pPr>
        <w:widowControl w:val="0"/>
        <w:spacing w:after="0" w:line="594" w:lineRule="exact"/>
        <w:ind w:firstLine="643" w:firstLineChars="200"/>
        <w:jc w:val="both"/>
        <w:rPr>
          <w:rFonts w:ascii="Times New Roman" w:hAnsi="Times New Roman" w:eastAsia="方正楷体_GBK" w:cs="Times New Roman"/>
          <w:color w:val="000000" w:themeColor="text1"/>
          <w:kern w:val="2"/>
          <w:sz w:val="32"/>
          <w:szCs w:val="32"/>
          <w:shd w:val="clear" w:color="auto" w:fill="FFFFFF"/>
          <w14:textFill>
            <w14:solidFill>
              <w14:schemeClr w14:val="tx1"/>
            </w14:solidFill>
          </w14:textFill>
        </w:rPr>
      </w:pPr>
      <w:r>
        <w:rPr>
          <w:rFonts w:ascii="Times New Roman" w:hAnsi="Times New Roman" w:eastAsia="方正仿宋_GBK" w:cs="Times New Roman"/>
          <w:b/>
          <w:color w:val="000000" w:themeColor="text1"/>
          <w:sz w:val="32"/>
          <w:szCs w:val="32"/>
          <w14:textFill>
            <w14:solidFill>
              <w14:schemeClr w14:val="tx1"/>
            </w14:solidFill>
          </w14:textFill>
        </w:rPr>
        <w:t xml:space="preserve">6. </w:t>
      </w:r>
      <w:r>
        <w:rPr>
          <w:rFonts w:hint="eastAsia" w:ascii="方正仿宋_GBK" w:hAnsi="方正仿宋_GBK" w:eastAsia="方正仿宋_GBK" w:cs="方正仿宋_GBK"/>
          <w:b/>
          <w:bCs/>
          <w:color w:val="000000" w:themeColor="text1"/>
          <w:kern w:val="2"/>
          <w:sz w:val="32"/>
          <w:szCs w:val="32"/>
          <w14:textFill>
            <w14:solidFill>
              <w14:schemeClr w14:val="tx1"/>
            </w14:solidFill>
          </w14:textFill>
        </w:rPr>
        <w:t>切实满足美好生活需要，民生福祉持续增进。社会保障更加完善。</w:t>
      </w:r>
      <w:r>
        <w:rPr>
          <w:rFonts w:ascii="Times New Roman" w:hAnsi="Times New Roman" w:eastAsia="方正仿宋_GBK" w:cs="Times New Roman"/>
          <w:color w:val="000000" w:themeColor="text1"/>
          <w:kern w:val="2"/>
          <w:sz w:val="32"/>
          <w:szCs w:val="32"/>
          <w14:textFill>
            <w14:solidFill>
              <w14:schemeClr w14:val="tx1"/>
            </w14:solidFill>
          </w14:textFill>
        </w:rPr>
        <w:t>深化打造</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义渡就业列车</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服务品牌，开展招聘会26场，提供岗位约2.8万个；发放创业担保贷款1495万元，发放职业培训、就业见习补贴等惠企惠民资金1.04亿元，台湾中小企业产业园认定为</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渝创渝新</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市级创业孵化基地。稳步推进社保扩面，</w:t>
      </w:r>
      <w:r>
        <w:rPr>
          <w:rFonts w:ascii="Times New Roman" w:hAnsi="Times New Roman" w:eastAsia="方正仿宋_GBK" w:cs="Times New Roman"/>
          <w:color w:val="000000" w:themeColor="text1"/>
          <w:sz w:val="32"/>
          <w:szCs w:val="32"/>
          <w14:textFill>
            <w14:solidFill>
              <w14:schemeClr w14:val="tx1"/>
            </w14:solidFill>
          </w14:textFill>
        </w:rPr>
        <w:t>城乡居民基本养老保险、基本医疗保险参保率分别</w:t>
      </w:r>
      <w:r>
        <w:rPr>
          <w:rFonts w:ascii="Times New Roman" w:hAnsi="Times New Roman" w:eastAsia="方正仿宋_GBK" w:cs="Times New Roman"/>
          <w:color w:val="000000" w:themeColor="text1"/>
          <w:spacing w:val="-2"/>
          <w:sz w:val="32"/>
          <w:szCs w:val="32"/>
          <w14:textFill>
            <w14:solidFill>
              <w14:schemeClr w14:val="tx1"/>
            </w14:solidFill>
          </w14:textFill>
        </w:rPr>
        <w:t>保持97%、95%以上</w:t>
      </w:r>
      <w:r>
        <w:rPr>
          <w:rFonts w:ascii="Times New Roman" w:hAnsi="Times New Roman" w:eastAsia="方正仿宋_GBK" w:cs="Times New Roman"/>
          <w:color w:val="000000" w:themeColor="text1"/>
          <w:kern w:val="2"/>
          <w:sz w:val="32"/>
          <w:szCs w:val="32"/>
          <w14:textFill>
            <w14:solidFill>
              <w14:schemeClr w14:val="tx1"/>
            </w14:solidFill>
          </w14:textFill>
        </w:rPr>
        <w:t>。提升养老服务质效，建成</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医养结合</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示范点8个，完成老年人家庭养老床位建设、适老化改造100户，升级护理型养老床位1500余张，投建</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社区老年食堂</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9个。加大妇女儿童、青少年、残疾人等重点群体保障服务力度，</w:t>
      </w:r>
      <w:r>
        <w:rPr>
          <w:rFonts w:ascii="Times New Roman" w:hAnsi="Times New Roman" w:eastAsia="方正仿宋_GBK" w:cs="Times New Roman"/>
          <w:color w:val="000000" w:themeColor="text1"/>
          <w:sz w:val="32"/>
          <w:szCs w:val="32"/>
          <w14:textFill>
            <w14:solidFill>
              <w14:schemeClr w14:val="tx1"/>
            </w14:solidFill>
          </w14:textFill>
        </w:rPr>
        <w:t>加强低保边缘人群、刚性支出困难群众救助，支出各类救助金</w:t>
      </w:r>
      <w:r>
        <w:rPr>
          <w:rFonts w:ascii="Times New Roman" w:hAnsi="Times New Roman" w:eastAsia="微软雅黑" w:cs="Times New Roman"/>
          <w:color w:val="000000" w:themeColor="text1"/>
          <w:sz w:val="32"/>
          <w:szCs w:val="32"/>
          <w:shd w:val="clear" w:color="auto" w:fill="FFFFFF"/>
          <w14:textFill>
            <w14:solidFill>
              <w14:schemeClr w14:val="tx1"/>
            </w14:solidFill>
          </w14:textFill>
        </w:rPr>
        <w:t>2100</w:t>
      </w:r>
      <w:r>
        <w:rPr>
          <w:rFonts w:ascii="Times New Roman" w:hAnsi="Times New Roman" w:eastAsia="方正仿宋_GBK" w:cs="Times New Roman"/>
          <w:color w:val="000000" w:themeColor="text1"/>
          <w:sz w:val="32"/>
          <w:szCs w:val="32"/>
          <w14:textFill>
            <w14:solidFill>
              <w14:schemeClr w14:val="tx1"/>
            </w14:solidFill>
          </w14:textFill>
        </w:rPr>
        <w:t>万元</w:t>
      </w:r>
      <w:r>
        <w:rPr>
          <w:rFonts w:ascii="Times New Roman" w:hAnsi="Times New Roman" w:eastAsia="方正仿宋_GBK" w:cs="Times New Roman"/>
          <w:color w:val="000000" w:themeColor="text1"/>
          <w:kern w:val="2"/>
          <w:sz w:val="32"/>
          <w:szCs w:val="32"/>
          <w14:textFill>
            <w14:solidFill>
              <w14:schemeClr w14:val="tx1"/>
            </w14:solidFill>
          </w14:textFill>
        </w:rPr>
        <w:t>。筹集保障性租赁住房3010套。成功创建重庆市第八届双拥模范城。</w:t>
      </w:r>
      <w:r>
        <w:rPr>
          <w:rFonts w:ascii="Times New Roman" w:hAnsi="Times New Roman" w:eastAsia="方正仿宋_GBK" w:cs="Times New Roman"/>
          <w:b/>
          <w:bCs/>
          <w:color w:val="000000" w:themeColor="text1"/>
          <w:kern w:val="2"/>
          <w:sz w:val="32"/>
          <w:szCs w:val="32"/>
          <w14:textFill>
            <w14:solidFill>
              <w14:schemeClr w14:val="tx1"/>
            </w14:solidFill>
          </w14:textFill>
        </w:rPr>
        <w:t>公共服务持续加强。</w:t>
      </w:r>
      <w:r>
        <w:rPr>
          <w:rFonts w:ascii="Times New Roman" w:hAnsi="Times New Roman" w:eastAsia="方正仿宋_GBK" w:cs="Times New Roman"/>
          <w:color w:val="000000" w:themeColor="text1"/>
          <w:kern w:val="2"/>
          <w:sz w:val="32"/>
          <w:szCs w:val="32"/>
          <w14:textFill>
            <w14:solidFill>
              <w14:schemeClr w14:val="tx1"/>
            </w14:solidFill>
          </w14:textFill>
        </w:rPr>
        <w:t>促进教育均衡发展，</w:t>
      </w:r>
      <w:r>
        <w:rPr>
          <w:rFonts w:ascii="Times New Roman" w:hAnsi="Times New Roman" w:eastAsia="方正仿宋_GBK" w:cs="Times New Roman"/>
          <w:color w:val="000000" w:themeColor="text1"/>
          <w:sz w:val="32"/>
          <w:szCs w:val="32"/>
          <w14:textFill>
            <w14:solidFill>
              <w14:schemeClr w14:val="tx1"/>
            </w14:solidFill>
          </w14:textFill>
        </w:rPr>
        <w:t>公办园在园幼儿人数占比</w:t>
      </w:r>
      <w:r>
        <w:rPr>
          <w:rFonts w:hint="eastAsia" w:ascii="Times New Roman" w:hAnsi="Times New Roman" w:eastAsia="方正仿宋_GBK" w:cs="Times New Roman"/>
          <w:color w:val="000000" w:themeColor="text1"/>
          <w:sz w:val="32"/>
          <w:szCs w:val="32"/>
          <w14:textFill>
            <w14:solidFill>
              <w14:schemeClr w14:val="tx1"/>
            </w14:solidFill>
          </w14:textFill>
        </w:rPr>
        <w:t>达</w:t>
      </w:r>
      <w:r>
        <w:rPr>
          <w:rFonts w:ascii="Times New Roman" w:hAnsi="Times New Roman" w:eastAsia="方正仿宋_GBK" w:cs="Times New Roman"/>
          <w:color w:val="000000" w:themeColor="text1"/>
          <w:sz w:val="32"/>
          <w:szCs w:val="32"/>
          <w14:textFill>
            <w14:solidFill>
              <w14:schemeClr w14:val="tx1"/>
            </w14:solidFill>
          </w14:textFill>
        </w:rPr>
        <w:t>56</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6%、</w:t>
      </w:r>
      <w:r>
        <w:rPr>
          <w:rFonts w:ascii="Times New Roman" w:hAnsi="Times New Roman" w:eastAsia="方正仿宋_GBK" w:cs="Times New Roman"/>
          <w:color w:val="000000" w:themeColor="text1"/>
          <w:spacing w:val="-2"/>
          <w:sz w:val="32"/>
          <w:szCs w:val="32"/>
          <w14:textFill>
            <w14:solidFill>
              <w14:schemeClr w14:val="tx1"/>
            </w14:solidFill>
          </w14:textFill>
        </w:rPr>
        <w:t>学前教育普惠率达</w:t>
      </w:r>
      <w:r>
        <w:rPr>
          <w:rFonts w:ascii="Times New Roman" w:hAnsi="Times New Roman" w:eastAsia="方正仿宋_GBK" w:cs="Times New Roman"/>
          <w:color w:val="000000" w:themeColor="text1"/>
          <w:sz w:val="32"/>
          <w:szCs w:val="32"/>
          <w14:textFill>
            <w14:solidFill>
              <w14:schemeClr w14:val="tx1"/>
            </w14:solidFill>
          </w14:textFill>
        </w:rPr>
        <w:t>93.7%，</w:t>
      </w:r>
      <w:r>
        <w:rPr>
          <w:rFonts w:ascii="Times New Roman" w:hAnsi="Times New Roman" w:eastAsia="方正仿宋_GBK" w:cs="Times New Roman"/>
          <w:color w:val="000000" w:themeColor="text1"/>
          <w:kern w:val="2"/>
          <w:sz w:val="32"/>
          <w:szCs w:val="32"/>
          <w14:textFill>
            <w14:solidFill>
              <w14:schemeClr w14:val="tx1"/>
            </w14:solidFill>
          </w14:textFill>
        </w:rPr>
        <w:t>建成投用西辰小学、义渡小学、37中自成校区，李雪芮运动学校、D9地块新建学校等项目提速推进，茄子溪中学晋升为市联招学校</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我区</w:t>
      </w:r>
      <w:r>
        <w:rPr>
          <w:rFonts w:hint="eastAsia" w:ascii="方正仿宋_GBK" w:hAnsi="方正仿宋_GBK" w:eastAsia="方正仿宋_GBK" w:cs="方正仿宋_GBK"/>
          <w:color w:val="000000" w:themeColor="text1"/>
          <w:kern w:val="2"/>
          <w:sz w:val="32"/>
          <w:szCs w:val="32"/>
          <w14:textFill>
            <w14:solidFill>
              <w14:schemeClr w14:val="tx1"/>
            </w14:solidFill>
          </w14:textFill>
        </w:rPr>
        <w:t>荣获首批全国中小学科学教育实验区荣誉，</w:t>
      </w:r>
      <w:r>
        <w:rPr>
          <w:rFonts w:hint="eastAsia" w:ascii="方正仿宋_GBK" w:hAnsi="方正仿宋_GBK" w:eastAsia="方正仿宋_GBK" w:cs="方正仿宋_GBK"/>
          <w:color w:val="000000" w:themeColor="text1"/>
          <w:sz w:val="32"/>
          <w:szCs w:val="32"/>
          <w14:textFill>
            <w14:solidFill>
              <w14:schemeClr w14:val="tx1"/>
            </w14:solidFill>
          </w14:textFill>
        </w:rPr>
        <w:t>成为全</w:t>
      </w:r>
      <w:r>
        <w:rPr>
          <w:rFonts w:ascii="Times New Roman" w:hAnsi="Times New Roman" w:eastAsia="方正仿宋_GBK" w:cs="Times New Roman"/>
          <w:color w:val="000000" w:themeColor="text1"/>
          <w:sz w:val="32"/>
          <w:szCs w:val="32"/>
          <w14:textFill>
            <w14:solidFill>
              <w14:schemeClr w14:val="tx1"/>
            </w14:solidFill>
          </w14:textFill>
        </w:rPr>
        <w:t>市深化新时代教育评价改革试点区，入选第三批智慧教育应用示范区县，思政教育研究获国家级教育成果奖二等奖。</w:t>
      </w:r>
      <w:r>
        <w:rPr>
          <w:rFonts w:ascii="Times New Roman" w:hAnsi="Times New Roman" w:eastAsia="方正仿宋_GBK" w:cs="Times New Roman"/>
          <w:color w:val="000000" w:themeColor="text1"/>
          <w:kern w:val="2"/>
          <w:sz w:val="32"/>
          <w:szCs w:val="32"/>
          <w14:textFill>
            <w14:solidFill>
              <w14:schemeClr w14:val="tx1"/>
            </w14:solidFill>
          </w14:textFill>
        </w:rPr>
        <w:t>推进托幼一体化建设，新增12家幼儿园开托，新建托位600个，每千人口托位数达3.22个。增加医疗高品质供给，重医附属康复医院正式运营，重钢总医院通过三级综合医院评审，建成重庆首家医用微生态诊疗中心，获批市级临床重点专科</w:t>
      </w:r>
      <w:r>
        <w:rPr>
          <w:rFonts w:hint="eastAsia" w:ascii="Times New Roman" w:hAnsi="Times New Roman" w:eastAsia="方正仿宋_GBK" w:cs="Times New Roman"/>
          <w:color w:val="000000" w:themeColor="text1"/>
          <w:kern w:val="2"/>
          <w:sz w:val="32"/>
          <w:szCs w:val="32"/>
          <w14:textFill>
            <w14:solidFill>
              <w14:schemeClr w14:val="tx1"/>
            </w14:solidFill>
          </w14:textFill>
        </w:rPr>
        <w:t>培育项目</w:t>
      </w:r>
      <w:r>
        <w:rPr>
          <w:rFonts w:ascii="Times New Roman" w:hAnsi="Times New Roman" w:eastAsia="方正仿宋_GBK" w:cs="Times New Roman"/>
          <w:color w:val="000000" w:themeColor="text1"/>
          <w:kern w:val="2"/>
          <w:sz w:val="32"/>
          <w:szCs w:val="32"/>
          <w14:textFill>
            <w14:solidFill>
              <w14:schemeClr w14:val="tx1"/>
            </w14:solidFill>
          </w14:textFill>
        </w:rPr>
        <w:t>3个，跳磴镇创建</w:t>
      </w:r>
      <w:r>
        <w:rPr>
          <w:rFonts w:hint="eastAsia" w:ascii="Times New Roman" w:hAnsi="Times New Roman" w:eastAsia="方正仿宋_GBK" w:cs="Times New Roman"/>
          <w:color w:val="000000" w:themeColor="text1"/>
          <w:kern w:val="2"/>
          <w:sz w:val="32"/>
          <w:szCs w:val="32"/>
          <w14:textFill>
            <w14:solidFill>
              <w14:schemeClr w14:val="tx1"/>
            </w14:solidFill>
          </w14:textFill>
        </w:rPr>
        <w:t>为</w:t>
      </w:r>
      <w:r>
        <w:rPr>
          <w:rFonts w:ascii="Times New Roman" w:hAnsi="Times New Roman" w:eastAsia="方正仿宋_GBK" w:cs="Times New Roman"/>
          <w:color w:val="000000" w:themeColor="text1"/>
          <w:kern w:val="2"/>
          <w:sz w:val="32"/>
          <w:szCs w:val="32"/>
          <w14:textFill>
            <w14:solidFill>
              <w14:schemeClr w14:val="tx1"/>
            </w14:solidFill>
          </w14:textFill>
        </w:rPr>
        <w:t>国家卫生镇。繁荣发展文体事业，</w:t>
      </w:r>
      <w:r>
        <w:rPr>
          <w:rFonts w:ascii="Times New Roman" w:hAnsi="Times New Roman" w:eastAsia="方正仿宋_GBK" w:cs="Times New Roman"/>
          <w:color w:val="000000" w:themeColor="text1"/>
          <w:sz w:val="32"/>
          <w:szCs w:val="32"/>
          <w14:textFill>
            <w14:solidFill>
              <w14:schemeClr w14:val="tx1"/>
            </w14:solidFill>
          </w14:textFill>
        </w:rPr>
        <w:t>设立梅忠智等名家艺术馆室，新建文图分馆7个，区美术馆获评全国最美乡村公共文化空间，34件文化作品获市级及以上奖项；市区共建高尔夫、女子拳击、自行车优秀运动</w:t>
      </w:r>
      <w:r>
        <w:rPr>
          <w:rFonts w:ascii="Times New Roman" w:hAnsi="Times New Roman" w:eastAsia="方正仿宋_GBK" w:cs="Times New Roman"/>
          <w:color w:val="000000" w:themeColor="text1"/>
          <w:kern w:val="10"/>
          <w:sz w:val="32"/>
          <w:szCs w:val="32"/>
          <w14:textFill>
            <w14:solidFill>
              <w14:schemeClr w14:val="tx1"/>
            </w14:solidFill>
          </w14:textFill>
        </w:rPr>
        <w:t>队，举办国家级、市级体育赛事30余场，</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李雪芮杯</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羽毛球公开赛获评川渝体育旅游精品赛事。</w:t>
      </w:r>
      <w:r>
        <w:rPr>
          <w:rFonts w:ascii="Times New Roman" w:hAnsi="Times New Roman" w:eastAsia="方正仿宋_GBK" w:cs="Times New Roman"/>
          <w:b/>
          <w:bCs/>
          <w:color w:val="000000" w:themeColor="text1"/>
          <w:sz w:val="32"/>
          <w:szCs w:val="32"/>
          <w14:textFill>
            <w14:solidFill>
              <w14:schemeClr w14:val="tx1"/>
            </w14:solidFill>
          </w14:textFill>
        </w:rPr>
        <w:t>社会大局安定有序。</w:t>
      </w:r>
      <w:r>
        <w:rPr>
          <w:rFonts w:ascii="Times New Roman" w:hAnsi="Times New Roman" w:eastAsia="方正仿宋_GBK" w:cs="Times New Roman"/>
          <w:color w:val="000000" w:themeColor="text1"/>
          <w:kern w:val="10"/>
          <w:sz w:val="32"/>
          <w:szCs w:val="32"/>
          <w14:textFill>
            <w14:solidFill>
              <w14:schemeClr w14:val="tx1"/>
            </w14:solidFill>
          </w14:textFill>
        </w:rPr>
        <w:t>以党建统领完善</w:t>
      </w:r>
      <w:r>
        <w:rPr>
          <w:rFonts w:hint="eastAsia" w:ascii="方正仿宋_GBK" w:hAnsi="Times New Roman" w:eastAsia="方正仿宋_GBK" w:cs="Times New Roman"/>
          <w:color w:val="000000" w:themeColor="text1"/>
          <w:kern w:val="10"/>
          <w:sz w:val="32"/>
          <w:szCs w:val="32"/>
          <w14:textFill>
            <w14:solidFill>
              <w14:schemeClr w14:val="tx1"/>
            </w14:solidFill>
          </w14:textFill>
        </w:rPr>
        <w:t>“</w:t>
      </w:r>
      <w:r>
        <w:rPr>
          <w:rFonts w:ascii="Times New Roman" w:hAnsi="Times New Roman" w:eastAsia="方正仿宋_GBK" w:cs="Times New Roman"/>
          <w:color w:val="000000" w:themeColor="text1"/>
          <w:kern w:val="10"/>
          <w:sz w:val="32"/>
          <w:szCs w:val="32"/>
          <w14:textFill>
            <w14:solidFill>
              <w14:schemeClr w14:val="tx1"/>
            </w14:solidFill>
          </w14:textFill>
        </w:rPr>
        <w:t>141</w:t>
      </w:r>
      <w:r>
        <w:rPr>
          <w:rFonts w:hint="eastAsia" w:ascii="方正仿宋_GBK" w:hAnsi="Times New Roman" w:eastAsia="方正仿宋_GBK" w:cs="Times New Roman"/>
          <w:color w:val="000000" w:themeColor="text1"/>
          <w:kern w:val="10"/>
          <w:sz w:val="32"/>
          <w:szCs w:val="32"/>
          <w14:textFill>
            <w14:solidFill>
              <w14:schemeClr w14:val="tx1"/>
            </w14:solidFill>
          </w14:textFill>
        </w:rPr>
        <w:t>”</w:t>
      </w:r>
      <w:r>
        <w:rPr>
          <w:rFonts w:ascii="Times New Roman" w:hAnsi="Times New Roman" w:eastAsia="方正仿宋_GBK" w:cs="Times New Roman"/>
          <w:color w:val="000000" w:themeColor="text1"/>
          <w:kern w:val="10"/>
          <w:sz w:val="32"/>
          <w:szCs w:val="32"/>
          <w14:textFill>
            <w14:solidFill>
              <w14:schemeClr w14:val="tx1"/>
            </w14:solidFill>
          </w14:textFill>
        </w:rPr>
        <w:t>基层智治体系建设，坚持和发展新时代</w:t>
      </w:r>
      <w:r>
        <w:rPr>
          <w:rFonts w:hint="eastAsia" w:ascii="方正仿宋_GBK" w:hAnsi="Times New Roman" w:eastAsia="方正仿宋_GBK" w:cs="Times New Roman"/>
          <w:color w:val="000000" w:themeColor="text1"/>
          <w:kern w:val="10"/>
          <w:sz w:val="32"/>
          <w:szCs w:val="32"/>
          <w14:textFill>
            <w14:solidFill>
              <w14:schemeClr w14:val="tx1"/>
            </w14:solidFill>
          </w14:textFill>
        </w:rPr>
        <w:t>“</w:t>
      </w:r>
      <w:r>
        <w:rPr>
          <w:rFonts w:ascii="Times New Roman" w:hAnsi="Times New Roman" w:eastAsia="方正仿宋_GBK" w:cs="Times New Roman"/>
          <w:color w:val="000000" w:themeColor="text1"/>
          <w:kern w:val="10"/>
          <w:sz w:val="32"/>
          <w:szCs w:val="32"/>
          <w14:textFill>
            <w14:solidFill>
              <w14:schemeClr w14:val="tx1"/>
            </w14:solidFill>
          </w14:textFill>
        </w:rPr>
        <w:t>枫桥经验</w:t>
      </w:r>
      <w:r>
        <w:rPr>
          <w:rFonts w:hint="eastAsia" w:ascii="方正仿宋_GBK" w:hAnsi="Times New Roman" w:eastAsia="方正仿宋_GBK" w:cs="Times New Roman"/>
          <w:color w:val="000000" w:themeColor="text1"/>
          <w:kern w:val="10"/>
          <w:sz w:val="32"/>
          <w:szCs w:val="32"/>
          <w14:textFill>
            <w14:solidFill>
              <w14:schemeClr w14:val="tx1"/>
            </w14:solidFill>
          </w14:textFill>
        </w:rPr>
        <w:t>”</w:t>
      </w:r>
      <w:r>
        <w:rPr>
          <w:rFonts w:ascii="Times New Roman" w:hAnsi="Times New Roman" w:eastAsia="方正仿宋_GBK" w:cs="Times New Roman"/>
          <w:color w:val="000000" w:themeColor="text1"/>
          <w:kern w:val="10"/>
          <w:sz w:val="32"/>
          <w:szCs w:val="32"/>
          <w14:textFill>
            <w14:solidFill>
              <w14:schemeClr w14:val="tx1"/>
            </w14:solidFill>
          </w14:textFill>
        </w:rPr>
        <w:t>，跃</w:t>
      </w:r>
      <w:r>
        <w:rPr>
          <w:rFonts w:ascii="Times New Roman" w:hAnsi="Times New Roman" w:eastAsia="方正仿宋_GBK" w:cs="Times New Roman"/>
          <w:color w:val="000000" w:themeColor="text1"/>
          <w:sz w:val="32"/>
          <w:szCs w:val="32"/>
          <w14:textFill>
            <w14:solidFill>
              <w14:schemeClr w14:val="tx1"/>
            </w14:solidFill>
          </w14:textFill>
        </w:rPr>
        <w:t>进村司法所获评市级首批</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枫桥式</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司法所。加强社会治安防控体系建设，率先推</w:t>
      </w:r>
      <w:r>
        <w:rPr>
          <w:rFonts w:hint="eastAsia" w:ascii="Times New Roman" w:hAnsi="Times New Roman" w:eastAsia="方正仿宋_GBK" w:cs="Times New Roman"/>
          <w:color w:val="000000" w:themeColor="text1"/>
          <w:sz w:val="32"/>
          <w:szCs w:val="32"/>
          <w14:textFill>
            <w14:solidFill>
              <w14:schemeClr w14:val="tx1"/>
            </w14:solidFill>
          </w14:textFill>
        </w:rPr>
        <w:t>行</w:t>
      </w:r>
      <w:r>
        <w:rPr>
          <w:rFonts w:ascii="Times New Roman" w:hAnsi="Times New Roman" w:eastAsia="方正仿宋_GBK" w:cs="Times New Roman"/>
          <w:color w:val="000000" w:themeColor="text1"/>
          <w:sz w:val="32"/>
          <w:szCs w:val="32"/>
          <w14:textFill>
            <w14:solidFill>
              <w14:schemeClr w14:val="tx1"/>
            </w14:solidFill>
          </w14:textFill>
        </w:rPr>
        <w:t>机动巡逻战训巡合一，在全市创新打造</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数字警务室</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荣获全国公安基层技术革新奖三等奖，公安合成作战中心获评全国公安机关成绩突出青年集体，现行命案连续14年全破。全力保障公共安全，严格落实安全生产责任制，连续6年未发生较大及以上生产安全事故和自然灾害事件，生产安全事故死亡人数连续3年下降。严守食品药品安全底线，落实粮食安全首长责任制，重要民生商品价格基本稳定。有效化解经济金融风险，10个</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保交楼</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项目</w:t>
      </w:r>
      <w:r>
        <w:rPr>
          <w:rFonts w:hint="eastAsia" w:ascii="Times New Roman" w:hAnsi="Times New Roman" w:eastAsia="方正仿宋_GBK" w:cs="Times New Roman"/>
          <w:color w:val="000000" w:themeColor="text1"/>
          <w:sz w:val="32"/>
          <w:szCs w:val="32"/>
          <w14:textFill>
            <w14:solidFill>
              <w14:schemeClr w14:val="tx1"/>
            </w14:solidFill>
          </w14:textFill>
        </w:rPr>
        <w:t>实现销号</w:t>
      </w:r>
      <w:r>
        <w:rPr>
          <w:rFonts w:ascii="Times New Roman" w:hAnsi="Times New Roman" w:eastAsia="方正仿宋_GBK" w:cs="Times New Roman"/>
          <w:color w:val="000000" w:themeColor="text1"/>
          <w:sz w:val="32"/>
          <w:szCs w:val="32"/>
          <w14:textFill>
            <w14:solidFill>
              <w14:schemeClr w14:val="tx1"/>
            </w14:solidFill>
          </w14:textFill>
        </w:rPr>
        <w:t>，全区无高风险评级金融机构。</w:t>
      </w:r>
    </w:p>
    <w:p>
      <w:pPr>
        <w:widowControl w:val="0"/>
        <w:spacing w:after="0" w:line="594" w:lineRule="exact"/>
        <w:ind w:firstLine="640" w:firstLineChars="200"/>
        <w:jc w:val="both"/>
        <w:rPr>
          <w:rFonts w:ascii="Times New Roman" w:hAnsi="Times New Roman" w:eastAsia="方正楷体_GBK" w:cs="Times New Roman"/>
          <w:color w:val="000000" w:themeColor="text1"/>
          <w:kern w:val="2"/>
          <w:sz w:val="32"/>
          <w:szCs w:val="32"/>
          <w:shd w:val="clear" w:color="auto" w:fill="FFFFFF"/>
          <w14:textFill>
            <w14:solidFill>
              <w14:schemeClr w14:val="tx1"/>
            </w14:solidFill>
          </w14:textFill>
        </w:rPr>
      </w:pPr>
      <w:r>
        <w:rPr>
          <w:rFonts w:ascii="Times New Roman" w:hAnsi="Times New Roman" w:eastAsia="方正楷体_GBK" w:cs="Times New Roman"/>
          <w:color w:val="000000" w:themeColor="text1"/>
          <w:kern w:val="2"/>
          <w:sz w:val="32"/>
          <w:szCs w:val="32"/>
          <w:shd w:val="clear" w:color="auto" w:fill="FFFFFF"/>
          <w14:textFill>
            <w14:solidFill>
              <w14:schemeClr w14:val="tx1"/>
            </w14:solidFill>
          </w14:textFill>
        </w:rPr>
        <w:t>（四）发展中存在的困难问题</w:t>
      </w:r>
    </w:p>
    <w:p>
      <w:pPr>
        <w:widowControl w:val="0"/>
        <w:spacing w:after="0" w:line="594"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2023年以来，面对外部环境错综复杂、市场需求不足、内生动力较弱等多重挑战，全区经济承压前行、持续恢复，经济展现出发展韧性与活力，但也要看到，不确定不稳定因素仍然较多，一些矛盾和困难依然存在。</w:t>
      </w:r>
      <w:r>
        <w:rPr>
          <w:rFonts w:ascii="Times New Roman" w:hAnsi="Times New Roman" w:eastAsia="方正仿宋_GBK" w:cs="Times New Roman"/>
          <w:b/>
          <w:bCs/>
          <w:color w:val="000000" w:themeColor="text1"/>
          <w:sz w:val="32"/>
          <w:szCs w:val="32"/>
          <w14:textFill>
            <w14:solidFill>
              <w14:schemeClr w14:val="tx1"/>
            </w14:solidFill>
          </w14:textFill>
        </w:rPr>
        <w:t>一是产业结构调整亟需加力。</w:t>
      </w:r>
      <w:r>
        <w:rPr>
          <w:rFonts w:ascii="Times New Roman" w:hAnsi="Times New Roman" w:eastAsia="方正仿宋_GBK" w:cs="Times New Roman"/>
          <w:color w:val="000000" w:themeColor="text1"/>
          <w:sz w:val="32"/>
          <w:szCs w:val="32"/>
          <w14:textFill>
            <w14:solidFill>
              <w14:schemeClr w14:val="tx1"/>
            </w14:solidFill>
          </w14:textFill>
        </w:rPr>
        <w:t>工业经济运行的韧性不足，</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一企独大</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现象突出，尚未形成多元化支撑格局；工业迭代升级及新动能培育不足，以先进材料、小面产业、软件产业等为代表的特色优势产业规模还偏小。现代服务业发展水平不高，管理咨询、检验检测、知识产权服务、科技服务等生产性服务业欠缺，高品质生</w:t>
      </w:r>
      <w:r>
        <w:rPr>
          <w:rFonts w:hint="eastAsia" w:ascii="Times New Roman" w:hAnsi="Times New Roman" w:eastAsia="方正仿宋_GBK" w:cs="Times New Roman"/>
          <w:color w:val="000000" w:themeColor="text1"/>
          <w:sz w:val="32"/>
          <w:szCs w:val="32"/>
          <w14:textFill>
            <w14:solidFill>
              <w14:schemeClr w14:val="tx1"/>
            </w14:solidFill>
          </w14:textFill>
        </w:rPr>
        <w:t>活</w:t>
      </w:r>
      <w:r>
        <w:rPr>
          <w:rFonts w:ascii="Times New Roman" w:hAnsi="Times New Roman" w:eastAsia="方正仿宋_GBK" w:cs="Times New Roman"/>
          <w:color w:val="000000" w:themeColor="text1"/>
          <w:sz w:val="32"/>
          <w:szCs w:val="32"/>
          <w14:textFill>
            <w14:solidFill>
              <w14:schemeClr w14:val="tx1"/>
            </w14:solidFill>
          </w14:textFill>
        </w:rPr>
        <w:t>性服务业供给不足。</w:t>
      </w:r>
      <w:r>
        <w:rPr>
          <w:rFonts w:ascii="Times New Roman" w:hAnsi="Times New Roman" w:eastAsia="方正仿宋_GBK" w:cs="Times New Roman"/>
          <w:b/>
          <w:bCs/>
          <w:color w:val="000000" w:themeColor="text1"/>
          <w:sz w:val="32"/>
          <w:szCs w:val="32"/>
          <w14:textFill>
            <w14:solidFill>
              <w14:schemeClr w14:val="tx1"/>
            </w14:solidFill>
          </w14:textFill>
        </w:rPr>
        <w:t>二是发展动能转换亟待提速。</w:t>
      </w:r>
      <w:r>
        <w:rPr>
          <w:rFonts w:ascii="Times New Roman" w:hAnsi="Times New Roman" w:eastAsia="方正仿宋_GBK" w:cs="Times New Roman"/>
          <w:color w:val="000000" w:themeColor="text1"/>
          <w:sz w:val="32"/>
          <w:szCs w:val="32"/>
          <w14:textFill>
            <w14:solidFill>
              <w14:schemeClr w14:val="tx1"/>
            </w14:solidFill>
          </w14:textFill>
        </w:rPr>
        <w:t>有效投资增长乏力，受债务管控、政策调整等因素影响，部分政府投资项目进度放缓；房地产仍处于下行周期，供需两端购置能力及信心疲弱，房地产投资</w:t>
      </w:r>
      <w:r>
        <w:rPr>
          <w:rFonts w:hint="eastAsia" w:ascii="Times New Roman" w:hAnsi="Times New Roman" w:eastAsia="方正仿宋_GBK" w:cs="Times New Roman"/>
          <w:color w:val="000000" w:themeColor="text1"/>
          <w:sz w:val="32"/>
          <w:szCs w:val="32"/>
          <w14:textFill>
            <w14:solidFill>
              <w14:schemeClr w14:val="tx1"/>
            </w14:solidFill>
          </w14:textFill>
        </w:rPr>
        <w:t>增长乏力</w:t>
      </w:r>
      <w:r>
        <w:rPr>
          <w:rFonts w:ascii="Times New Roman" w:hAnsi="Times New Roman" w:eastAsia="方正仿宋_GBK" w:cs="Times New Roman"/>
          <w:color w:val="000000" w:themeColor="text1"/>
          <w:sz w:val="32"/>
          <w:szCs w:val="32"/>
          <w14:textFill>
            <w14:solidFill>
              <w14:schemeClr w14:val="tx1"/>
            </w14:solidFill>
          </w14:textFill>
        </w:rPr>
        <w:t>。消费需求仍显不足，居民消费能力、消费意愿未完全恢复，高端消费、线上消费存在外流，新兴消费业态培育不足。外经贸领域活力不足，</w:t>
      </w:r>
      <w:r>
        <w:rPr>
          <w:rFonts w:hint="eastAsia" w:ascii="Times New Roman" w:hAnsi="Times New Roman" w:eastAsia="方正仿宋_GBK" w:cs="Times New Roman"/>
          <w:color w:val="000000" w:themeColor="text1"/>
          <w:sz w:val="32"/>
          <w:szCs w:val="32"/>
          <w14:textFill>
            <w14:solidFill>
              <w14:schemeClr w14:val="tx1"/>
            </w14:solidFill>
          </w14:textFill>
        </w:rPr>
        <w:t>使用</w:t>
      </w:r>
      <w:r>
        <w:rPr>
          <w:rFonts w:ascii="Times New Roman" w:hAnsi="Times New Roman" w:eastAsia="方正仿宋_GBK" w:cs="Times New Roman"/>
          <w:color w:val="000000" w:themeColor="text1"/>
          <w:sz w:val="32"/>
          <w:szCs w:val="32"/>
          <w14:textFill>
            <w14:solidFill>
              <w14:schemeClr w14:val="tx1"/>
            </w14:solidFill>
          </w14:textFill>
        </w:rPr>
        <w:t>外资亟待突破。</w:t>
      </w:r>
      <w:r>
        <w:rPr>
          <w:rFonts w:ascii="Times New Roman" w:hAnsi="Times New Roman" w:eastAsia="方正仿宋_GBK" w:cs="Times New Roman"/>
          <w:b/>
          <w:bCs/>
          <w:color w:val="000000" w:themeColor="text1"/>
          <w:sz w:val="32"/>
          <w:szCs w:val="32"/>
          <w14:textFill>
            <w14:solidFill>
              <w14:schemeClr w14:val="tx1"/>
            </w14:solidFill>
          </w14:textFill>
        </w:rPr>
        <w:t>三是企业服务体系亟需健全。</w:t>
      </w:r>
      <w:r>
        <w:rPr>
          <w:rFonts w:ascii="Times New Roman" w:hAnsi="Times New Roman" w:eastAsia="方正仿宋_GBK" w:cs="Times New Roman"/>
          <w:color w:val="000000" w:themeColor="text1"/>
          <w:sz w:val="32"/>
          <w:szCs w:val="32"/>
          <w14:textFill>
            <w14:solidFill>
              <w14:schemeClr w14:val="tx1"/>
            </w14:solidFill>
          </w14:textFill>
        </w:rPr>
        <w:t>能源、物流等要素成本偏高，民营企业特别是中小微企业融资难问题依然存在，围绕减轻企业负担、加大市场主体培育、优化营商环境等方面，措施举措有待完善。</w:t>
      </w:r>
      <w:r>
        <w:rPr>
          <w:rFonts w:ascii="Times New Roman" w:hAnsi="Times New Roman" w:eastAsia="方正仿宋_GBK" w:cs="Times New Roman"/>
          <w:b/>
          <w:bCs/>
          <w:color w:val="000000" w:themeColor="text1"/>
          <w:sz w:val="32"/>
          <w:szCs w:val="32"/>
          <w14:textFill>
            <w14:solidFill>
              <w14:schemeClr w14:val="tx1"/>
            </w14:solidFill>
          </w14:textFill>
        </w:rPr>
        <w:t>四是惠民安民力度仍需加大。</w:t>
      </w:r>
      <w:r>
        <w:rPr>
          <w:rFonts w:ascii="Times New Roman" w:hAnsi="Times New Roman" w:eastAsia="方正仿宋_GBK" w:cs="Times New Roman"/>
          <w:color w:val="000000" w:themeColor="text1"/>
          <w:sz w:val="32"/>
          <w:szCs w:val="32"/>
          <w14:textFill>
            <w14:solidFill>
              <w14:schemeClr w14:val="tx1"/>
            </w14:solidFill>
          </w14:textFill>
        </w:rPr>
        <w:t>教育、医疗、养老、托幼等优质公共服务供给与群众需求还有差距，就业结构性矛盾比较突出，居民持续增收基础有待巩固。财政收支矛盾日益突出，房地产、金融等重点领域风险需高度关注，统筹发展和安全压力加大。</w:t>
      </w:r>
    </w:p>
    <w:p>
      <w:pPr>
        <w:widowControl w:val="0"/>
        <w:spacing w:after="0" w:line="594" w:lineRule="exact"/>
        <w:ind w:firstLine="640" w:firstLineChars="200"/>
        <w:jc w:val="both"/>
        <w:rPr>
          <w:rFonts w:ascii="Times New Roman" w:hAnsi="Times New Roman" w:eastAsia="方正黑体_GBK" w:cs="Times New Roman"/>
          <w:color w:val="000000" w:themeColor="text1"/>
          <w:kern w:val="2"/>
          <w:sz w:val="32"/>
          <w:szCs w:val="32"/>
          <w14:textFill>
            <w14:solidFill>
              <w14:schemeClr w14:val="tx1"/>
            </w14:solidFill>
          </w14:textFill>
        </w:rPr>
      </w:pPr>
      <w:r>
        <w:rPr>
          <w:rFonts w:ascii="Times New Roman" w:hAnsi="Times New Roman" w:eastAsia="方正黑体_GBK" w:cs="Times New Roman"/>
          <w:color w:val="000000" w:themeColor="text1"/>
          <w:kern w:val="2"/>
          <w:sz w:val="32"/>
          <w:szCs w:val="32"/>
          <w14:textFill>
            <w14:solidFill>
              <w14:schemeClr w14:val="tx1"/>
            </w14:solidFill>
          </w14:textFill>
        </w:rPr>
        <w:t>二、2024年国民经济和社会发展主要指标和项目安排</w:t>
      </w:r>
    </w:p>
    <w:p>
      <w:pPr>
        <w:widowControl w:val="0"/>
        <w:spacing w:after="0" w:line="594" w:lineRule="exact"/>
        <w:ind w:firstLine="640" w:firstLineChars="200"/>
        <w:jc w:val="both"/>
        <w:rPr>
          <w:rFonts w:ascii="Times New Roman" w:hAnsi="Times New Roman" w:eastAsia="方正仿宋_GBK" w:cs="Times New Roman"/>
          <w:color w:val="000000" w:themeColor="text1"/>
          <w:kern w:val="2"/>
          <w:sz w:val="32"/>
          <w:szCs w:val="32"/>
          <w14:textFill>
            <w14:solidFill>
              <w14:schemeClr w14:val="tx1"/>
            </w14:solidFill>
          </w14:textFill>
        </w:rPr>
      </w:pPr>
      <w:r>
        <w:rPr>
          <w:rFonts w:ascii="Times New Roman" w:hAnsi="Times New Roman" w:eastAsia="方正仿宋_GBK" w:cs="Times New Roman"/>
          <w:color w:val="000000" w:themeColor="text1"/>
          <w:kern w:val="2"/>
          <w:sz w:val="32"/>
          <w:szCs w:val="32"/>
          <w14:textFill>
            <w14:solidFill>
              <w14:schemeClr w14:val="tx1"/>
            </w14:solidFill>
          </w14:textFill>
        </w:rPr>
        <w:t>2024年</w:t>
      </w:r>
      <w:r>
        <w:rPr>
          <w:rFonts w:hint="eastAsia" w:ascii="Times New Roman" w:hAnsi="Times New Roman" w:eastAsia="方正仿宋_GBK" w:cs="Times New Roman"/>
          <w:color w:val="000000" w:themeColor="text1"/>
          <w:kern w:val="2"/>
          <w:sz w:val="32"/>
          <w:szCs w:val="32"/>
          <w14:textFill>
            <w14:solidFill>
              <w14:schemeClr w14:val="tx1"/>
            </w14:solidFill>
          </w14:textFill>
        </w:rPr>
        <w:t>，是中华人民共和国成立</w:t>
      </w:r>
      <w:r>
        <w:rPr>
          <w:rFonts w:ascii="Times New Roman" w:hAnsi="Times New Roman" w:eastAsia="方正仿宋_GBK" w:cs="Times New Roman"/>
          <w:color w:val="000000" w:themeColor="text1"/>
          <w:kern w:val="2"/>
          <w:sz w:val="32"/>
          <w:szCs w:val="32"/>
          <w14:textFill>
            <w14:solidFill>
              <w14:schemeClr w14:val="tx1"/>
            </w14:solidFill>
          </w14:textFill>
        </w:rPr>
        <w:t>75</w:t>
      </w:r>
      <w:r>
        <w:rPr>
          <w:rFonts w:hint="eastAsia" w:ascii="Times New Roman" w:hAnsi="Times New Roman" w:eastAsia="方正仿宋_GBK" w:cs="Times New Roman"/>
          <w:color w:val="000000" w:themeColor="text1"/>
          <w:kern w:val="2"/>
          <w:sz w:val="32"/>
          <w:szCs w:val="32"/>
          <w14:textFill>
            <w14:solidFill>
              <w14:schemeClr w14:val="tx1"/>
            </w14:solidFill>
          </w14:textFill>
        </w:rPr>
        <w:t>周年，是实现</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hint="eastAsia" w:ascii="Times New Roman" w:hAnsi="Times New Roman" w:eastAsia="方正仿宋_GBK" w:cs="Times New Roman"/>
          <w:color w:val="000000" w:themeColor="text1"/>
          <w:kern w:val="2"/>
          <w:sz w:val="32"/>
          <w:szCs w:val="32"/>
          <w14:textFill>
            <w14:solidFill>
              <w14:schemeClr w14:val="tx1"/>
            </w14:solidFill>
          </w14:textFill>
        </w:rPr>
        <w:t>十四五</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hint="eastAsia" w:ascii="Times New Roman" w:hAnsi="Times New Roman" w:eastAsia="方正仿宋_GBK" w:cs="Times New Roman"/>
          <w:color w:val="000000" w:themeColor="text1"/>
          <w:kern w:val="2"/>
          <w:sz w:val="32"/>
          <w:szCs w:val="32"/>
          <w14:textFill>
            <w14:solidFill>
              <w14:schemeClr w14:val="tx1"/>
            </w14:solidFill>
          </w14:textFill>
        </w:rPr>
        <w:t>规划目标任务的关键一年，也是大渡口实现换挡提速的提升之年。</w:t>
      </w:r>
      <w:r>
        <w:rPr>
          <w:rFonts w:ascii="Times New Roman" w:hAnsi="Times New Roman" w:eastAsia="方正仿宋_GBK" w:cs="Times New Roman"/>
          <w:color w:val="000000" w:themeColor="text1"/>
          <w:kern w:val="2"/>
          <w:sz w:val="32"/>
          <w:szCs w:val="32"/>
          <w14:textFill>
            <w14:solidFill>
              <w14:schemeClr w14:val="tx1"/>
            </w14:solidFill>
          </w14:textFill>
        </w:rPr>
        <w:t>今年4月，习近平总书记来渝视察，对重庆工作成绩给</w:t>
      </w:r>
      <w:r>
        <w:rPr>
          <w:rFonts w:hint="eastAsia" w:ascii="方正仿宋_GBK" w:hAnsi="方正仿宋_GBK" w:eastAsia="方正仿宋_GBK" w:cs="方正仿宋_GBK"/>
          <w:color w:val="000000" w:themeColor="text1"/>
          <w:kern w:val="2"/>
          <w:sz w:val="32"/>
          <w:szCs w:val="32"/>
          <w14:textFill>
            <w14:solidFill>
              <w14:schemeClr w14:val="tx1"/>
            </w14:solidFill>
          </w14:textFill>
        </w:rPr>
        <w:t>予“六个新”的肯定</w:t>
      </w:r>
      <w:r>
        <w:rPr>
          <w:rFonts w:ascii="Times New Roman" w:hAnsi="Times New Roman" w:eastAsia="方正仿宋_GBK" w:cs="Times New Roman"/>
          <w:color w:val="000000" w:themeColor="text1"/>
          <w:kern w:val="2"/>
          <w:sz w:val="32"/>
          <w:szCs w:val="32"/>
          <w14:textFill>
            <w14:solidFill>
              <w14:schemeClr w14:val="tx1"/>
            </w14:solidFill>
          </w14:textFill>
        </w:rPr>
        <w:t>勉励，赋予重庆打造新时代西部大开发重要战略支点、内陆开放综合枢</w:t>
      </w:r>
      <w:r>
        <w:rPr>
          <w:rFonts w:hint="eastAsia" w:ascii="方正仿宋_GBK" w:hAnsi="方正仿宋_GBK" w:eastAsia="方正仿宋_GBK" w:cs="方正仿宋_GBK"/>
          <w:color w:val="000000" w:themeColor="text1"/>
          <w:kern w:val="2"/>
          <w:sz w:val="32"/>
          <w:szCs w:val="32"/>
          <w14:textFill>
            <w14:solidFill>
              <w14:schemeClr w14:val="tx1"/>
            </w14:solidFill>
          </w14:textFill>
        </w:rPr>
        <w:t>纽“两大定位”，部</w:t>
      </w:r>
      <w:r>
        <w:rPr>
          <w:rFonts w:ascii="Times New Roman" w:hAnsi="Times New Roman" w:eastAsia="方正仿宋_GBK" w:cs="Times New Roman"/>
          <w:color w:val="000000" w:themeColor="text1"/>
          <w:kern w:val="2"/>
          <w:sz w:val="32"/>
          <w:szCs w:val="32"/>
          <w14:textFill>
            <w14:solidFill>
              <w14:schemeClr w14:val="tx1"/>
            </w14:solidFill>
          </w14:textFill>
        </w:rPr>
        <w:t>署提出</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四项任务</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，就推动新时代西部大开发形成新格局明确</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六个坚持</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重要要求，为重庆立足西部、服务大局提供了根本指引。我们要坚决贯彻落实党中央、国务院决策部署，</w:t>
      </w:r>
      <w:r>
        <w:rPr>
          <w:rFonts w:ascii="Times New Roman" w:hAnsi="Times New Roman" w:eastAsia="方正仿宋_GBK" w:cs="Times New Roman"/>
          <w:color w:val="000000" w:themeColor="text1"/>
          <w:sz w:val="32"/>
          <w:szCs w:val="32"/>
          <w14:textFill>
            <w14:solidFill>
              <w14:schemeClr w14:val="tx1"/>
            </w14:solidFill>
          </w14:textFill>
        </w:rPr>
        <w:t>坚持稳中求进、以进促稳、先立后破，</w:t>
      </w:r>
      <w:r>
        <w:rPr>
          <w:rFonts w:ascii="Times New Roman" w:hAnsi="Times New Roman" w:eastAsia="方正仿宋_GBK" w:cs="Times New Roman"/>
          <w:color w:val="000000" w:themeColor="text1"/>
          <w:kern w:val="2"/>
          <w:sz w:val="32"/>
          <w:szCs w:val="32"/>
          <w14:textFill>
            <w14:solidFill>
              <w14:schemeClr w14:val="tx1"/>
            </w14:solidFill>
          </w14:textFill>
        </w:rPr>
        <w:t>切实增强经济活力、防范化解风险、改善社会预期，巩固和增强经济回升向好态势，持续推动经济实现质的有效提升和量的合理增长，增进民生福祉、保持社会稳定，奋力谱写现代化新重庆大渡口新篇章。</w:t>
      </w:r>
    </w:p>
    <w:p>
      <w:pPr>
        <w:widowControl w:val="0"/>
        <w:spacing w:after="0" w:line="594" w:lineRule="exact"/>
        <w:ind w:firstLine="640" w:firstLineChars="200"/>
        <w:jc w:val="both"/>
        <w:rPr>
          <w:rFonts w:ascii="Times New Roman" w:hAnsi="Times New Roman" w:eastAsia="方正楷体_GBK" w:cs="Times New Roman"/>
          <w:color w:val="000000" w:themeColor="text1"/>
          <w:kern w:val="2"/>
          <w:sz w:val="32"/>
          <w:szCs w:val="32"/>
          <w14:textFill>
            <w14:solidFill>
              <w14:schemeClr w14:val="tx1"/>
            </w14:solidFill>
          </w14:textFill>
        </w:rPr>
      </w:pPr>
      <w:r>
        <w:rPr>
          <w:rFonts w:ascii="Times New Roman" w:hAnsi="Times New Roman" w:eastAsia="方正楷体_GBK" w:cs="Times New Roman"/>
          <w:color w:val="000000" w:themeColor="text1"/>
          <w:kern w:val="2"/>
          <w:sz w:val="32"/>
          <w:szCs w:val="32"/>
          <w14:textFill>
            <w14:solidFill>
              <w14:schemeClr w14:val="tx1"/>
            </w14:solidFill>
          </w14:textFill>
        </w:rPr>
        <w:t>（一）主要发展目标</w:t>
      </w:r>
    </w:p>
    <w:p>
      <w:pPr>
        <w:widowControl w:val="0"/>
        <w:adjustRightInd w:val="0"/>
        <w:snapToGrid w:val="0"/>
        <w:spacing w:after="0" w:line="594"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2"/>
          <w:sz w:val="32"/>
          <w:szCs w:val="32"/>
          <w14:textFill>
            <w14:solidFill>
              <w14:schemeClr w14:val="tx1"/>
            </w14:solidFill>
          </w14:textFill>
        </w:rPr>
        <w:t>按照中央、市委和区委经济工作会议精神，综合分析国内外形势变化、我区经济发展基础和潜力，与</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十四五</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规划目标相衔接，兼顾需要与可能、长期与短期、速度与质量、总量与结构，建议全年地区生产总值增长6%、争取实现更好结果。确立这一目标，主要考虑四个方面因素：</w:t>
      </w:r>
      <w:r>
        <w:rPr>
          <w:rFonts w:hint="eastAsia" w:ascii="方正仿宋_GBK" w:hAnsi="方正仿宋_GBK" w:eastAsia="方正仿宋_GBK" w:cs="方正仿宋_GBK"/>
          <w:b/>
          <w:bCs/>
          <w:color w:val="000000" w:themeColor="text1"/>
          <w:kern w:val="2"/>
          <w:sz w:val="32"/>
          <w:szCs w:val="32"/>
          <w14:textFill>
            <w14:solidFill>
              <w14:schemeClr w14:val="tx1"/>
            </w14:solidFill>
          </w14:textFill>
        </w:rPr>
        <w:t>一是战略机遇有利好</w:t>
      </w:r>
      <w:r>
        <w:rPr>
          <w:rFonts w:ascii="Times New Roman" w:hAnsi="Times New Roman" w:eastAsia="方正黑体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当前，长江经济带发展、成渝地区双城经济圈建设、西部陆海新通道建设等国家战略持续释放利好，</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一带一路</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国际合作重大项目——柴可夫斯基音乐学院落地钓鱼嘴半岛，中国（重庆）自由贸易试验区大渡口联动创新区成功创建，我区战略优势加快重塑</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有利于聚焦优质要素资源、加快转型发展。</w:t>
      </w:r>
      <w:r>
        <w:rPr>
          <w:rFonts w:ascii="方正仿宋_GBK" w:hAnsi="方正仿宋_GBK" w:eastAsia="方正仿宋_GBK" w:cs="方正仿宋_GBK"/>
          <w:b/>
          <w:bCs/>
          <w:color w:val="000000" w:themeColor="text1"/>
          <w:kern w:val="2"/>
          <w:sz w:val="32"/>
          <w:szCs w:val="32"/>
          <w14:textFill>
            <w14:solidFill>
              <w14:schemeClr w14:val="tx1"/>
            </w14:solidFill>
          </w14:textFill>
        </w:rPr>
        <w:t>二是产业发展有支撑</w:t>
      </w:r>
      <w:r>
        <w:rPr>
          <w:rFonts w:ascii="Times New Roman" w:hAnsi="Times New Roman" w:eastAsia="方正黑体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电子信息、摩托车、消费品等产业增势良好，工业经济将</w:t>
      </w:r>
      <w:r>
        <w:rPr>
          <w:rFonts w:hint="eastAsia" w:ascii="Times New Roman" w:hAnsi="Times New Roman" w:eastAsia="方正仿宋_GBK" w:cs="Times New Roman"/>
          <w:color w:val="000000" w:themeColor="text1"/>
          <w:sz w:val="32"/>
          <w:szCs w:val="32"/>
          <w14:textFill>
            <w14:solidFill>
              <w14:schemeClr w14:val="tx1"/>
            </w14:solidFill>
          </w14:textFill>
        </w:rPr>
        <w:t>企稳回升</w:t>
      </w:r>
      <w:r>
        <w:rPr>
          <w:rFonts w:ascii="Times New Roman" w:hAnsi="Times New Roman" w:eastAsia="方正仿宋_GBK" w:cs="Times New Roman"/>
          <w:color w:val="000000" w:themeColor="text1"/>
          <w:sz w:val="32"/>
          <w:szCs w:val="32"/>
          <w14:textFill>
            <w14:solidFill>
              <w14:schemeClr w14:val="tx1"/>
            </w14:solidFill>
          </w14:textFill>
        </w:rPr>
        <w:t>；中冶建工等特一级企业持续带动，建筑业将保持平稳增长；消费升级加快推进，现代金融、物流等提速发展，其他服务业提质提效，将推动服务业扩容提质；华韶智算中心、春风动力等一批重大项目落地见效，经济新增长点不断涌现，将有力支撑既定目标实现。</w:t>
      </w:r>
      <w:r>
        <w:rPr>
          <w:rFonts w:ascii="方正仿宋_GBK" w:hAnsi="方正仿宋_GBK" w:eastAsia="方正仿宋_GBK" w:cs="方正仿宋_GBK"/>
          <w:b/>
          <w:bCs/>
          <w:color w:val="000000" w:themeColor="text1"/>
          <w:kern w:val="2"/>
          <w:sz w:val="32"/>
          <w:szCs w:val="32"/>
          <w14:textFill>
            <w14:solidFill>
              <w14:schemeClr w14:val="tx1"/>
            </w14:solidFill>
          </w14:textFill>
        </w:rPr>
        <w:t>三是高质量发展有需要</w:t>
      </w:r>
      <w:r>
        <w:rPr>
          <w:rFonts w:ascii="Times New Roman" w:hAnsi="Times New Roman" w:eastAsia="方正黑体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经济社会高质量发展需要以合理经济增速作支撑，较快经济增速有利于创造更多就业、提供更多公共服务、拓展更多财源，也有利于在发展中化解风险矛盾。</w:t>
      </w:r>
      <w:r>
        <w:rPr>
          <w:rFonts w:ascii="方正仿宋_GBK" w:hAnsi="方正仿宋_GBK" w:eastAsia="方正仿宋_GBK" w:cs="方正仿宋_GBK"/>
          <w:b/>
          <w:bCs/>
          <w:color w:val="000000" w:themeColor="text1"/>
          <w:kern w:val="2"/>
          <w:sz w:val="32"/>
          <w:szCs w:val="32"/>
          <w14:textFill>
            <w14:solidFill>
              <w14:schemeClr w14:val="tx1"/>
            </w14:solidFill>
          </w14:textFill>
        </w:rPr>
        <w:t>四是赶超进位有需要</w:t>
      </w:r>
      <w:r>
        <w:rPr>
          <w:rFonts w:ascii="Times New Roman" w:hAnsi="Times New Roman" w:eastAsia="方正黑体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2024年全市地区生产总值增速目标为6%。我们将增长目标设定为6%、争取实现更好结果，体现积极进取的工作导向，也体现中心城区的担当作为，有利于缩小与先进区县的差距，不断增强区域竞争力和区域辐射力。</w:t>
      </w:r>
      <w:r>
        <w:rPr>
          <w:rFonts w:ascii="Times New Roman" w:hAnsi="Times New Roman" w:eastAsia="方正仿宋_GBK" w:cs="Times New Roman"/>
          <w:color w:val="000000" w:themeColor="text1"/>
          <w:sz w:val="32"/>
          <w:szCs w:val="32"/>
          <w14:textFill>
            <w14:solidFill>
              <w14:schemeClr w14:val="tx1"/>
            </w14:solidFill>
          </w14:textFill>
        </w:rPr>
        <w:t>同时，2023年基数较低，6%以上的增长目标符合现阶段我区潜在增长水平，有利于引导预期、提振信心，凝聚发展共识。</w:t>
      </w:r>
    </w:p>
    <w:p>
      <w:pPr>
        <w:widowControl w:val="0"/>
        <w:spacing w:after="0" w:line="594" w:lineRule="exact"/>
        <w:ind w:firstLine="640" w:firstLineChars="200"/>
        <w:jc w:val="both"/>
        <w:rPr>
          <w:rFonts w:ascii="Times New Roman" w:hAnsi="Times New Roman" w:eastAsia="方正仿宋_GBK" w:cs="Times New Roman"/>
          <w:color w:val="000000" w:themeColor="text1"/>
          <w:kern w:val="2"/>
          <w:sz w:val="32"/>
          <w:szCs w:val="32"/>
          <w14:textFill>
            <w14:solidFill>
              <w14:schemeClr w14:val="tx1"/>
            </w14:solidFill>
          </w14:textFill>
        </w:rPr>
      </w:pPr>
      <w:r>
        <w:rPr>
          <w:rFonts w:ascii="Times New Roman" w:hAnsi="Times New Roman" w:eastAsia="方正仿宋_GBK" w:cs="Times New Roman"/>
          <w:color w:val="000000" w:themeColor="text1"/>
          <w:kern w:val="2"/>
          <w:sz w:val="32"/>
          <w:szCs w:val="32"/>
          <w14:textFill>
            <w14:solidFill>
              <w14:schemeClr w14:val="tx1"/>
            </w14:solidFill>
          </w14:textFill>
        </w:rPr>
        <w:t>对标2024年重庆市国民经济与社会发展计划指标体系，2024 年我区国民经济和社会发展计划指标在沿用2023年指标体系基础上进一步优化调整</w:t>
      </w:r>
      <w:r>
        <w:rPr>
          <w:rFonts w:hint="eastAsia" w:ascii="Times New Roman" w:hAnsi="Times New Roman" w:eastAsia="方正仿宋_GBK" w:cs="Times New Roman"/>
          <w:color w:val="000000" w:themeColor="text1"/>
          <w:kern w:val="2"/>
          <w:sz w:val="32"/>
          <w:szCs w:val="32"/>
          <w14:textFill>
            <w14:solidFill>
              <w14:schemeClr w14:val="tx1"/>
            </w14:solidFill>
          </w14:textFill>
        </w:rPr>
        <w:t>。结合</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885</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hint="eastAsia" w:ascii="Times New Roman" w:hAnsi="Times New Roman" w:eastAsia="方正仿宋_GBK" w:cs="Times New Roman"/>
          <w:color w:val="000000" w:themeColor="text1"/>
          <w:kern w:val="2"/>
          <w:sz w:val="32"/>
          <w:szCs w:val="32"/>
          <w14:textFill>
            <w14:solidFill>
              <w14:schemeClr w14:val="tx1"/>
            </w14:solidFill>
          </w14:textFill>
        </w:rPr>
        <w:t>机制指标体系，将</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数字产业增加值占地区生产总值比重</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指标调整为</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数字经济核心产业增加值增速</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；根据</w:t>
      </w:r>
      <w:r>
        <w:rPr>
          <w:rFonts w:ascii="Times New Roman" w:hAnsi="Times New Roman" w:eastAsia="方正仿宋_GBK" w:cs="Times New Roman"/>
          <w:color w:val="000000" w:themeColor="text1"/>
          <w:sz w:val="32"/>
          <w:szCs w:val="32"/>
          <w14:textFill>
            <w14:solidFill>
              <w14:schemeClr w14:val="tx1"/>
            </w14:solidFill>
          </w14:textFill>
        </w:rPr>
        <w:t>GDP</w:t>
      </w:r>
      <w:r>
        <w:rPr>
          <w:rFonts w:hint="eastAsia" w:ascii="Times New Roman" w:hAnsi="Times New Roman" w:eastAsia="方正仿宋_GBK" w:cs="Times New Roman"/>
          <w:color w:val="000000" w:themeColor="text1"/>
          <w:sz w:val="32"/>
          <w:szCs w:val="32"/>
          <w14:textFill>
            <w14:solidFill>
              <w14:schemeClr w14:val="tx1"/>
            </w14:solidFill>
          </w14:textFill>
        </w:rPr>
        <w:t>核算方法变化，将</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本外币存贷款余额增速</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指标调整为</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金融业增加值增速</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；同时，</w:t>
      </w:r>
      <w:r>
        <w:rPr>
          <w:rFonts w:ascii="Times New Roman" w:hAnsi="Times New Roman" w:eastAsia="方正仿宋_GBK" w:cs="Times New Roman"/>
          <w:color w:val="000000" w:themeColor="text1"/>
          <w:kern w:val="2"/>
          <w:sz w:val="32"/>
          <w:szCs w:val="32"/>
          <w14:textFill>
            <w14:solidFill>
              <w14:schemeClr w14:val="tx1"/>
            </w14:solidFill>
          </w14:textFill>
        </w:rPr>
        <w:t>新增工业投资增速1项指标</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优化调整后的指标共计33项，其中约束性指标8项，是政府履行公共职能必须完成的；其余25项为预期性指标，体现导向性，是政府期望达到的目标。</w:t>
      </w:r>
    </w:p>
    <w:p>
      <w:pPr>
        <w:widowControl w:val="0"/>
        <w:spacing w:after="0" w:line="594" w:lineRule="exact"/>
        <w:jc w:val="center"/>
        <w:rPr>
          <w:rFonts w:ascii="Times New Roman" w:hAnsi="Times New Roman" w:eastAsia="方正黑体_GBK" w:cs="Times New Roman"/>
          <w:color w:val="000000" w:themeColor="text1"/>
          <w:sz w:val="28"/>
          <w:szCs w:val="28"/>
          <w14:textFill>
            <w14:solidFill>
              <w14:schemeClr w14:val="tx1"/>
            </w14:solidFill>
          </w14:textFill>
        </w:rPr>
      </w:pPr>
      <w:r>
        <w:rPr>
          <w:rFonts w:ascii="Times New Roman" w:hAnsi="Times New Roman" w:eastAsia="方正黑体_GBK" w:cs="Times New Roman"/>
          <w:color w:val="000000" w:themeColor="text1"/>
          <w:sz w:val="28"/>
          <w:szCs w:val="28"/>
          <w14:textFill>
            <w14:solidFill>
              <w14:schemeClr w14:val="tx1"/>
            </w14:solidFill>
          </w14:textFill>
        </w:rPr>
        <w:t>表2：2024年国民经济和社会发展预期目标</w:t>
      </w:r>
    </w:p>
    <w:tbl>
      <w:tblPr>
        <w:tblStyle w:val="13"/>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605"/>
        <w:gridCol w:w="4426"/>
        <w:gridCol w:w="1728"/>
        <w:gridCol w:w="1059"/>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tblHeader/>
          <w:jc w:val="center"/>
        </w:trPr>
        <w:tc>
          <w:tcPr>
            <w:tcW w:w="605" w:type="dxa"/>
            <w:vAlign w:val="center"/>
          </w:tcPr>
          <w:p>
            <w:pPr>
              <w:widowControl w:val="0"/>
              <w:spacing w:after="0" w:line="0" w:lineRule="atLeas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序号</w:t>
            </w:r>
          </w:p>
        </w:tc>
        <w:tc>
          <w:tcPr>
            <w:tcW w:w="4426" w:type="dxa"/>
            <w:vAlign w:val="center"/>
          </w:tcPr>
          <w:p>
            <w:pPr>
              <w:widowControl w:val="0"/>
              <w:spacing w:after="0" w:line="0" w:lineRule="atLeas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指标名称</w:t>
            </w:r>
          </w:p>
        </w:tc>
        <w:tc>
          <w:tcPr>
            <w:tcW w:w="1728" w:type="dxa"/>
            <w:vAlign w:val="center"/>
          </w:tcPr>
          <w:p>
            <w:pPr>
              <w:widowControl w:val="0"/>
              <w:spacing w:after="0" w:line="0" w:lineRule="atLeas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单位</w:t>
            </w:r>
          </w:p>
        </w:tc>
        <w:tc>
          <w:tcPr>
            <w:tcW w:w="1059" w:type="dxa"/>
            <w:vAlign w:val="center"/>
          </w:tcPr>
          <w:p>
            <w:pPr>
              <w:widowControl w:val="0"/>
              <w:spacing w:after="0" w:line="0" w:lineRule="atLeas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指标属性</w:t>
            </w:r>
          </w:p>
        </w:tc>
        <w:tc>
          <w:tcPr>
            <w:tcW w:w="2115" w:type="dxa"/>
            <w:vAlign w:val="center"/>
          </w:tcPr>
          <w:p>
            <w:pPr>
              <w:widowControl w:val="0"/>
              <w:spacing w:after="0" w:line="0" w:lineRule="atLeas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2024年目标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地区生产总值增速</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人均地区生产总值</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（万元）</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15"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全员劳动生产率</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（万元/人）</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4</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规上工业增加值增速</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25"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5</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固定资产投资增速</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85"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6</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工业投资增速</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7</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社会消费品零售总额增速</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8</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战略性新兴制造业产值占规上工业总产值比重</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9</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服务业增加值增速</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24"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10</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数字经济核心产业增加值增速</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11</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文化产业增加值占地区生产总值比重</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12</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研究与试验发展支出占地区生产总值比重</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24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3.7左右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13</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万人发明专利拥有量</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（件）</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27</w:t>
            </w:r>
            <w:r>
              <w:rPr>
                <w:rFonts w:hint="eastAsia" w:ascii="Times New Roman" w:hAnsi="Times New Roman" w:eastAsia="方正仿宋_GBK" w:cs="Times New Roman"/>
                <w:color w:val="000000" w:themeColor="text1"/>
                <w:sz w:val="24"/>
                <w:szCs w:val="24"/>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14</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金融业增加值增速</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正增长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15</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进出口总额增速</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16</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实际使用外资</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r>
              <w:rPr>
                <w:rFonts w:hint="eastAsia" w:ascii="Times New Roman" w:hAnsi="Times New Roman" w:eastAsia="方正仿宋_GBK" w:cs="Times New Roman"/>
                <w:color w:val="000000" w:themeColor="text1"/>
                <w:sz w:val="24"/>
                <w:szCs w:val="24"/>
                <w14:textFill>
                  <w14:solidFill>
                    <w14:schemeClr w14:val="tx1"/>
                  </w14:solidFill>
                </w14:textFill>
              </w:rPr>
              <w:t>万</w:t>
            </w:r>
            <w:r>
              <w:rPr>
                <w:rFonts w:ascii="Times New Roman" w:hAnsi="Times New Roman" w:eastAsia="方正仿宋_GBK" w:cs="Times New Roman"/>
                <w:color w:val="000000" w:themeColor="text1"/>
                <w:sz w:val="24"/>
                <w:szCs w:val="24"/>
                <w14:textFill>
                  <w14:solidFill>
                    <w14:schemeClr w14:val="tx1"/>
                  </w14:solidFill>
                </w14:textFill>
              </w:rPr>
              <w:t>美元）</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完成市级下达</w:t>
            </w:r>
            <w:r>
              <w:rPr>
                <w:rFonts w:hint="eastAsia" w:ascii="Times New Roman" w:hAnsi="Times New Roman" w:eastAsia="方正仿宋_GBK" w:cs="Times New Roman"/>
                <w:color w:val="000000" w:themeColor="text1"/>
                <w:sz w:val="24"/>
                <w:szCs w:val="24"/>
                <w14:textFill>
                  <w14:solidFill>
                    <w14:schemeClr w14:val="tx1"/>
                  </w14:solidFill>
                </w14:textFill>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17</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民营经济市场主体</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（家）</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18</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民营经济增加值增速</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26"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19</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一般公共预算收入增速</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20</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单位地区生产总值能源消耗降低</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约束性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完成市级下达任务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21</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单位地区生产总值二氧化碳排放降低</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约束性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完成市级下达任务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327"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22</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国家考核断面水质优良率</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约束性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23</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环境空气质量优良天数</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（天）</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约束性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113"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24</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森林覆盖率</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约束性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81"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25</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人均公园绿地面积</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（平方米）</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约束性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685"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26</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建成区路网密度</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（公里/平方公里）</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15"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27</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全区居民人均可支配收入增速</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与GDP增长同步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15"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28</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城镇新增就业人数</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（人）</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15"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29</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每千名老人养老床位数</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（张）</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15"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30</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每千人口拥有3岁以下婴幼儿托位数</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（个）</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15"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31</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每千人口拥有执业（助理）医师数</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（人）</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预期性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15"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32</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公办园在园幼儿人数占比</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约束性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415" w:hRule="atLeast"/>
          <w:jc w:val="center"/>
        </w:trPr>
        <w:tc>
          <w:tcPr>
            <w:tcW w:w="60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33</w:t>
            </w:r>
          </w:p>
        </w:tc>
        <w:tc>
          <w:tcPr>
            <w:tcW w:w="4426" w:type="dxa"/>
            <w:vAlign w:val="center"/>
          </w:tcPr>
          <w:p>
            <w:pPr>
              <w:widowControl w:val="0"/>
              <w:spacing w:after="0" w:line="3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安全事故死亡人数</w:t>
            </w:r>
          </w:p>
        </w:tc>
        <w:tc>
          <w:tcPr>
            <w:tcW w:w="1728" w:type="dxa"/>
            <w:vAlign w:val="center"/>
          </w:tcPr>
          <w:p>
            <w:pPr>
              <w:widowControl w:val="0"/>
              <w:spacing w:after="0" w:line="3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（人）</w:t>
            </w:r>
          </w:p>
        </w:tc>
        <w:tc>
          <w:tcPr>
            <w:tcW w:w="1059"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约束性</w:t>
            </w:r>
          </w:p>
        </w:tc>
        <w:tc>
          <w:tcPr>
            <w:tcW w:w="2115" w:type="dxa"/>
            <w:vAlign w:val="center"/>
          </w:tcPr>
          <w:p>
            <w:pPr>
              <w:widowControl w:val="0"/>
              <w:spacing w:after="0"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≤14</w:t>
            </w:r>
          </w:p>
        </w:tc>
      </w:tr>
    </w:tbl>
    <w:p>
      <w:pPr>
        <w:widowControl w:val="0"/>
        <w:spacing w:after="0" w:line="594" w:lineRule="exact"/>
        <w:ind w:firstLine="640" w:firstLineChars="200"/>
        <w:jc w:val="both"/>
        <w:rPr>
          <w:rFonts w:ascii="Times New Roman" w:hAnsi="Times New Roman" w:eastAsia="方正楷体_GBK" w:cs="Times New Roman"/>
          <w:color w:val="000000" w:themeColor="text1"/>
          <w:kern w:val="2"/>
          <w:sz w:val="32"/>
          <w:szCs w:val="32"/>
          <w14:textFill>
            <w14:solidFill>
              <w14:schemeClr w14:val="tx1"/>
            </w14:solidFill>
          </w14:textFill>
        </w:rPr>
      </w:pPr>
      <w:r>
        <w:rPr>
          <w:rFonts w:ascii="Times New Roman" w:hAnsi="Times New Roman" w:eastAsia="方正楷体_GBK" w:cs="Times New Roman"/>
          <w:color w:val="000000" w:themeColor="text1"/>
          <w:kern w:val="2"/>
          <w:sz w:val="32"/>
          <w:szCs w:val="32"/>
          <w14:textFill>
            <w14:solidFill>
              <w14:schemeClr w14:val="tx1"/>
            </w14:solidFill>
          </w14:textFill>
        </w:rPr>
        <w:t>（</w:t>
      </w:r>
      <w:r>
        <w:rPr>
          <w:rFonts w:hint="eastAsia" w:ascii="Times New Roman" w:hAnsi="Times New Roman" w:eastAsia="方正楷体_GBK" w:cs="Times New Roman"/>
          <w:color w:val="000000" w:themeColor="text1"/>
          <w:kern w:val="2"/>
          <w:sz w:val="32"/>
          <w:szCs w:val="32"/>
          <w14:textFill>
            <w14:solidFill>
              <w14:schemeClr w14:val="tx1"/>
            </w14:solidFill>
          </w14:textFill>
        </w:rPr>
        <w:t>二</w:t>
      </w:r>
      <w:r>
        <w:rPr>
          <w:rFonts w:ascii="Times New Roman" w:hAnsi="Times New Roman" w:eastAsia="方正楷体_GBK" w:cs="Times New Roman"/>
          <w:color w:val="000000" w:themeColor="text1"/>
          <w:kern w:val="2"/>
          <w:sz w:val="32"/>
          <w:szCs w:val="32"/>
          <w14:textFill>
            <w14:solidFill>
              <w14:schemeClr w14:val="tx1"/>
            </w14:solidFill>
          </w14:textFill>
        </w:rPr>
        <w:t>）重点项目安排</w:t>
      </w:r>
    </w:p>
    <w:p>
      <w:pPr>
        <w:widowControl w:val="0"/>
        <w:topLinePunct/>
        <w:spacing w:after="0" w:line="594" w:lineRule="exact"/>
        <w:ind w:firstLine="640" w:firstLineChars="200"/>
        <w:jc w:val="both"/>
        <w:rPr>
          <w:rFonts w:ascii="Times New Roman" w:hAnsi="Times New Roman" w:eastAsia="方正仿宋_GBK" w:cs="Times New Roman"/>
          <w:color w:val="000000" w:themeColor="text1"/>
          <w:kern w:val="2"/>
          <w:sz w:val="32"/>
          <w:szCs w:val="32"/>
          <w14:textFill>
            <w14:solidFill>
              <w14:schemeClr w14:val="tx1"/>
            </w14:solidFill>
          </w14:textFill>
        </w:rPr>
      </w:pPr>
      <w:r>
        <w:rPr>
          <w:rFonts w:ascii="Times New Roman" w:hAnsi="Times New Roman" w:eastAsia="方正仿宋_GBK" w:cs="Times New Roman"/>
          <w:color w:val="000000" w:themeColor="text1"/>
          <w:kern w:val="2"/>
          <w:sz w:val="32"/>
          <w:szCs w:val="32"/>
          <w14:textFill>
            <w14:solidFill>
              <w14:schemeClr w14:val="tx1"/>
            </w14:solidFill>
          </w14:textFill>
        </w:rPr>
        <w:t>2024</w:t>
      </w:r>
      <w:r>
        <w:rPr>
          <w:rFonts w:hint="eastAsia" w:ascii="Times New Roman" w:hAnsi="Times New Roman" w:eastAsia="方正仿宋_GBK" w:cs="Times New Roman"/>
          <w:color w:val="000000" w:themeColor="text1"/>
          <w:kern w:val="2"/>
          <w:sz w:val="32"/>
          <w:szCs w:val="32"/>
          <w14:textFill>
            <w14:solidFill>
              <w14:schemeClr w14:val="tx1"/>
            </w14:solidFill>
          </w14:textFill>
        </w:rPr>
        <w:t>年全区拟实施建设项目</w:t>
      </w:r>
      <w:r>
        <w:rPr>
          <w:rFonts w:ascii="Times New Roman" w:hAnsi="Times New Roman" w:eastAsia="方正仿宋_GBK" w:cs="Times New Roman"/>
          <w:color w:val="000000" w:themeColor="text1"/>
          <w:kern w:val="2"/>
          <w:sz w:val="32"/>
          <w:szCs w:val="32"/>
          <w14:textFill>
            <w14:solidFill>
              <w14:schemeClr w14:val="tx1"/>
            </w14:solidFill>
          </w14:textFill>
        </w:rPr>
        <w:t>360</w:t>
      </w:r>
      <w:r>
        <w:rPr>
          <w:rFonts w:hint="eastAsia" w:ascii="Times New Roman" w:hAnsi="Times New Roman" w:eastAsia="方正仿宋_GBK" w:cs="Times New Roman"/>
          <w:color w:val="000000" w:themeColor="text1"/>
          <w:kern w:val="2"/>
          <w:sz w:val="32"/>
          <w:szCs w:val="32"/>
          <w14:textFill>
            <w14:solidFill>
              <w14:schemeClr w14:val="tx1"/>
            </w14:solidFill>
          </w14:textFill>
        </w:rPr>
        <w:t>个，总投资</w:t>
      </w:r>
      <w:r>
        <w:rPr>
          <w:rFonts w:ascii="Times New Roman" w:hAnsi="Times New Roman" w:eastAsia="方正仿宋_GBK" w:cs="Times New Roman"/>
          <w:color w:val="000000" w:themeColor="text1"/>
          <w:kern w:val="2"/>
          <w:sz w:val="32"/>
          <w:szCs w:val="32"/>
          <w14:textFill>
            <w14:solidFill>
              <w14:schemeClr w14:val="tx1"/>
            </w14:solidFill>
          </w14:textFill>
        </w:rPr>
        <w:t>2108</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3</w:t>
      </w:r>
      <w:r>
        <w:rPr>
          <w:rFonts w:hint="eastAsia" w:ascii="Times New Roman" w:hAnsi="Times New Roman" w:eastAsia="方正仿宋_GBK" w:cs="Times New Roman"/>
          <w:color w:val="000000" w:themeColor="text1"/>
          <w:kern w:val="2"/>
          <w:sz w:val="32"/>
          <w:szCs w:val="32"/>
          <w14:textFill>
            <w14:solidFill>
              <w14:schemeClr w14:val="tx1"/>
            </w14:solidFill>
          </w14:textFill>
        </w:rPr>
        <w:t>亿元，年度计划投资</w:t>
      </w:r>
      <w:r>
        <w:rPr>
          <w:rFonts w:ascii="Times New Roman" w:hAnsi="Times New Roman" w:eastAsia="方正仿宋_GBK" w:cs="Times New Roman"/>
          <w:color w:val="000000" w:themeColor="text1"/>
          <w:kern w:val="2"/>
          <w:sz w:val="32"/>
          <w:szCs w:val="32"/>
          <w14:textFill>
            <w14:solidFill>
              <w14:schemeClr w14:val="tx1"/>
            </w14:solidFill>
          </w14:textFill>
        </w:rPr>
        <w:t>243</w:t>
      </w:r>
      <w:r>
        <w:rPr>
          <w:rFonts w:hint="eastAsia" w:ascii="Times New Roman" w:hAnsi="Times New Roman" w:eastAsia="方正仿宋_GBK" w:cs="Times New Roman"/>
          <w:color w:val="000000" w:themeColor="text1"/>
          <w:kern w:val="2"/>
          <w:sz w:val="32"/>
          <w:szCs w:val="32"/>
          <w14:textFill>
            <w14:solidFill>
              <w14:schemeClr w14:val="tx1"/>
            </w14:solidFill>
          </w14:textFill>
        </w:rPr>
        <w:t>亿元。按投资主体分：市级投资项目</w:t>
      </w:r>
      <w:r>
        <w:rPr>
          <w:rFonts w:ascii="Times New Roman" w:hAnsi="Times New Roman" w:eastAsia="方正仿宋_GBK" w:cs="Times New Roman"/>
          <w:color w:val="000000" w:themeColor="text1"/>
          <w:kern w:val="2"/>
          <w:sz w:val="32"/>
          <w:szCs w:val="32"/>
          <w14:textFill>
            <w14:solidFill>
              <w14:schemeClr w14:val="tx1"/>
            </w14:solidFill>
          </w14:textFill>
        </w:rPr>
        <w:t>81</w:t>
      </w:r>
      <w:r>
        <w:rPr>
          <w:rFonts w:hint="eastAsia" w:ascii="Times New Roman" w:hAnsi="Times New Roman" w:eastAsia="方正仿宋_GBK" w:cs="Times New Roman"/>
          <w:color w:val="000000" w:themeColor="text1"/>
          <w:kern w:val="2"/>
          <w:sz w:val="32"/>
          <w:szCs w:val="32"/>
          <w14:textFill>
            <w14:solidFill>
              <w14:schemeClr w14:val="tx1"/>
            </w14:solidFill>
          </w14:textFill>
        </w:rPr>
        <w:t>个、计划投资</w:t>
      </w:r>
      <w:r>
        <w:rPr>
          <w:rFonts w:ascii="Times New Roman" w:hAnsi="Times New Roman" w:eastAsia="方正仿宋_GBK" w:cs="Times New Roman"/>
          <w:color w:val="000000" w:themeColor="text1"/>
          <w:kern w:val="2"/>
          <w:sz w:val="32"/>
          <w:szCs w:val="32"/>
          <w14:textFill>
            <w14:solidFill>
              <w14:schemeClr w14:val="tx1"/>
            </w14:solidFill>
          </w14:textFill>
        </w:rPr>
        <w:t>50</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5</w:t>
      </w:r>
      <w:r>
        <w:rPr>
          <w:rFonts w:hint="eastAsia" w:ascii="Times New Roman" w:hAnsi="Times New Roman" w:eastAsia="方正仿宋_GBK" w:cs="Times New Roman"/>
          <w:color w:val="000000" w:themeColor="text1"/>
          <w:kern w:val="2"/>
          <w:sz w:val="32"/>
          <w:szCs w:val="32"/>
          <w14:textFill>
            <w14:solidFill>
              <w14:schemeClr w14:val="tx1"/>
            </w14:solidFill>
          </w14:textFill>
        </w:rPr>
        <w:t>亿元；区政府投资项目</w:t>
      </w:r>
      <w:r>
        <w:rPr>
          <w:rFonts w:ascii="Times New Roman" w:hAnsi="Times New Roman" w:eastAsia="方正仿宋_GBK" w:cs="Times New Roman"/>
          <w:color w:val="000000" w:themeColor="text1"/>
          <w:kern w:val="2"/>
          <w:sz w:val="32"/>
          <w:szCs w:val="32"/>
          <w14:textFill>
            <w14:solidFill>
              <w14:schemeClr w14:val="tx1"/>
            </w14:solidFill>
          </w14:textFill>
        </w:rPr>
        <w:t>145</w:t>
      </w:r>
      <w:r>
        <w:rPr>
          <w:rFonts w:hint="eastAsia" w:ascii="Times New Roman" w:hAnsi="Times New Roman" w:eastAsia="方正仿宋_GBK" w:cs="Times New Roman"/>
          <w:color w:val="000000" w:themeColor="text1"/>
          <w:kern w:val="2"/>
          <w:sz w:val="32"/>
          <w:szCs w:val="32"/>
          <w14:textFill>
            <w14:solidFill>
              <w14:schemeClr w14:val="tx1"/>
            </w14:solidFill>
          </w14:textFill>
        </w:rPr>
        <w:t>个（含区属平台公司)、计划投资</w:t>
      </w:r>
      <w:r>
        <w:rPr>
          <w:rFonts w:ascii="Times New Roman" w:hAnsi="Times New Roman" w:eastAsia="方正仿宋_GBK" w:cs="Times New Roman"/>
          <w:color w:val="000000" w:themeColor="text1"/>
          <w:kern w:val="2"/>
          <w:sz w:val="32"/>
          <w:szCs w:val="32"/>
          <w14:textFill>
            <w14:solidFill>
              <w14:schemeClr w14:val="tx1"/>
            </w14:solidFill>
          </w14:textFill>
        </w:rPr>
        <w:t>68</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7</w:t>
      </w:r>
      <w:r>
        <w:rPr>
          <w:rFonts w:hint="eastAsia" w:ascii="Times New Roman" w:hAnsi="Times New Roman" w:eastAsia="方正仿宋_GBK" w:cs="Times New Roman"/>
          <w:color w:val="000000" w:themeColor="text1"/>
          <w:kern w:val="2"/>
          <w:sz w:val="32"/>
          <w:szCs w:val="32"/>
          <w14:textFill>
            <w14:solidFill>
              <w14:schemeClr w14:val="tx1"/>
            </w14:solidFill>
          </w14:textFill>
        </w:rPr>
        <w:t>亿元；社会投资项目</w:t>
      </w:r>
      <w:r>
        <w:rPr>
          <w:rFonts w:ascii="Times New Roman" w:hAnsi="Times New Roman" w:eastAsia="方正仿宋_GBK" w:cs="Times New Roman"/>
          <w:color w:val="000000" w:themeColor="text1"/>
          <w:kern w:val="2"/>
          <w:sz w:val="32"/>
          <w:szCs w:val="32"/>
          <w14:textFill>
            <w14:solidFill>
              <w14:schemeClr w14:val="tx1"/>
            </w14:solidFill>
          </w14:textFill>
        </w:rPr>
        <w:t>134</w:t>
      </w:r>
      <w:r>
        <w:rPr>
          <w:rFonts w:hint="eastAsia" w:ascii="Times New Roman" w:hAnsi="Times New Roman" w:eastAsia="方正仿宋_GBK" w:cs="Times New Roman"/>
          <w:color w:val="000000" w:themeColor="text1"/>
          <w:kern w:val="2"/>
          <w:sz w:val="32"/>
          <w:szCs w:val="32"/>
          <w14:textFill>
            <w14:solidFill>
              <w14:schemeClr w14:val="tx1"/>
            </w14:solidFill>
          </w14:textFill>
        </w:rPr>
        <w:t>个、计划投资</w:t>
      </w:r>
      <w:r>
        <w:rPr>
          <w:rFonts w:ascii="Times New Roman" w:hAnsi="Times New Roman" w:eastAsia="方正仿宋_GBK" w:cs="Times New Roman"/>
          <w:color w:val="000000" w:themeColor="text1"/>
          <w:kern w:val="2"/>
          <w:sz w:val="32"/>
          <w:szCs w:val="32"/>
          <w14:textFill>
            <w14:solidFill>
              <w14:schemeClr w14:val="tx1"/>
            </w14:solidFill>
          </w14:textFill>
        </w:rPr>
        <w:t>123</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8</w:t>
      </w:r>
      <w:r>
        <w:rPr>
          <w:rFonts w:hint="eastAsia" w:ascii="Times New Roman" w:hAnsi="Times New Roman" w:eastAsia="方正仿宋_GBK" w:cs="Times New Roman"/>
          <w:color w:val="000000" w:themeColor="text1"/>
          <w:kern w:val="2"/>
          <w:sz w:val="32"/>
          <w:szCs w:val="32"/>
          <w14:textFill>
            <w14:solidFill>
              <w14:schemeClr w14:val="tx1"/>
            </w14:solidFill>
          </w14:textFill>
        </w:rPr>
        <w:t>亿元。按行业分：产业项目</w:t>
      </w:r>
      <w:r>
        <w:rPr>
          <w:rFonts w:ascii="Times New Roman" w:hAnsi="Times New Roman" w:eastAsia="方正仿宋_GBK" w:cs="Times New Roman"/>
          <w:color w:val="000000" w:themeColor="text1"/>
          <w:kern w:val="2"/>
          <w:sz w:val="32"/>
          <w:szCs w:val="32"/>
          <w14:textFill>
            <w14:solidFill>
              <w14:schemeClr w14:val="tx1"/>
            </w14:solidFill>
          </w14:textFill>
        </w:rPr>
        <w:t>101</w:t>
      </w:r>
      <w:r>
        <w:rPr>
          <w:rFonts w:hint="eastAsia" w:ascii="Times New Roman" w:hAnsi="Times New Roman" w:eastAsia="方正仿宋_GBK" w:cs="Times New Roman"/>
          <w:color w:val="000000" w:themeColor="text1"/>
          <w:kern w:val="2"/>
          <w:sz w:val="32"/>
          <w:szCs w:val="32"/>
          <w14:textFill>
            <w14:solidFill>
              <w14:schemeClr w14:val="tx1"/>
            </w14:solidFill>
          </w14:textFill>
        </w:rPr>
        <w:t>个，计划投资</w:t>
      </w:r>
      <w:r>
        <w:rPr>
          <w:rFonts w:ascii="Times New Roman" w:hAnsi="Times New Roman" w:eastAsia="方正仿宋_GBK" w:cs="Times New Roman"/>
          <w:color w:val="000000" w:themeColor="text1"/>
          <w:kern w:val="2"/>
          <w:sz w:val="32"/>
          <w:szCs w:val="32"/>
          <w14:textFill>
            <w14:solidFill>
              <w14:schemeClr w14:val="tx1"/>
            </w14:solidFill>
          </w14:textFill>
        </w:rPr>
        <w:t>66</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5</w:t>
      </w:r>
      <w:r>
        <w:rPr>
          <w:rFonts w:hint="eastAsia" w:ascii="Times New Roman" w:hAnsi="Times New Roman" w:eastAsia="方正仿宋_GBK" w:cs="Times New Roman"/>
          <w:color w:val="000000" w:themeColor="text1"/>
          <w:kern w:val="2"/>
          <w:sz w:val="32"/>
          <w:szCs w:val="32"/>
          <w14:textFill>
            <w14:solidFill>
              <w14:schemeClr w14:val="tx1"/>
            </w14:solidFill>
          </w14:textFill>
        </w:rPr>
        <w:t>亿元，占比</w:t>
      </w:r>
      <w:r>
        <w:rPr>
          <w:rFonts w:ascii="Times New Roman" w:hAnsi="Times New Roman" w:eastAsia="方正仿宋_GBK" w:cs="Times New Roman"/>
          <w:color w:val="000000" w:themeColor="text1"/>
          <w:kern w:val="2"/>
          <w:sz w:val="32"/>
          <w:szCs w:val="32"/>
          <w14:textFill>
            <w14:solidFill>
              <w14:schemeClr w14:val="tx1"/>
            </w14:solidFill>
          </w14:textFill>
        </w:rPr>
        <w:t>27</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3</w:t>
      </w:r>
      <w:r>
        <w:rPr>
          <w:rFonts w:hint="eastAsia" w:ascii="Times New Roman" w:hAnsi="Times New Roman" w:eastAsia="方正仿宋_GBK" w:cs="Times New Roman"/>
          <w:color w:val="000000" w:themeColor="text1"/>
          <w:kern w:val="2"/>
          <w:sz w:val="32"/>
          <w:szCs w:val="32"/>
          <w14:textFill>
            <w14:solidFill>
              <w14:schemeClr w14:val="tx1"/>
            </w14:solidFill>
          </w14:textFill>
        </w:rPr>
        <w:t>%；基础设施项目</w:t>
      </w:r>
      <w:r>
        <w:rPr>
          <w:rFonts w:ascii="Times New Roman" w:hAnsi="Times New Roman" w:eastAsia="方正仿宋_GBK" w:cs="Times New Roman"/>
          <w:color w:val="000000" w:themeColor="text1"/>
          <w:kern w:val="2"/>
          <w:sz w:val="32"/>
          <w:szCs w:val="32"/>
          <w14:textFill>
            <w14:solidFill>
              <w14:schemeClr w14:val="tx1"/>
            </w14:solidFill>
          </w14:textFill>
        </w:rPr>
        <w:t>163</w:t>
      </w:r>
      <w:r>
        <w:rPr>
          <w:rFonts w:hint="eastAsia" w:ascii="Times New Roman" w:hAnsi="Times New Roman" w:eastAsia="方正仿宋_GBK" w:cs="Times New Roman"/>
          <w:color w:val="000000" w:themeColor="text1"/>
          <w:kern w:val="2"/>
          <w:sz w:val="32"/>
          <w:szCs w:val="32"/>
          <w14:textFill>
            <w14:solidFill>
              <w14:schemeClr w14:val="tx1"/>
            </w14:solidFill>
          </w14:textFill>
        </w:rPr>
        <w:t>个，计划投资</w:t>
      </w:r>
      <w:r>
        <w:rPr>
          <w:rFonts w:ascii="Times New Roman" w:hAnsi="Times New Roman" w:eastAsia="方正仿宋_GBK" w:cs="Times New Roman"/>
          <w:color w:val="000000" w:themeColor="text1"/>
          <w:kern w:val="2"/>
          <w:sz w:val="32"/>
          <w:szCs w:val="32"/>
          <w14:textFill>
            <w14:solidFill>
              <w14:schemeClr w14:val="tx1"/>
            </w14:solidFill>
          </w14:textFill>
        </w:rPr>
        <w:t>55</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7</w:t>
      </w:r>
      <w:r>
        <w:rPr>
          <w:rFonts w:hint="eastAsia" w:ascii="Times New Roman" w:hAnsi="Times New Roman" w:eastAsia="方正仿宋_GBK" w:cs="Times New Roman"/>
          <w:color w:val="000000" w:themeColor="text1"/>
          <w:kern w:val="2"/>
          <w:sz w:val="32"/>
          <w:szCs w:val="32"/>
          <w14:textFill>
            <w14:solidFill>
              <w14:schemeClr w14:val="tx1"/>
            </w14:solidFill>
          </w14:textFill>
        </w:rPr>
        <w:t>亿元，占比</w:t>
      </w:r>
      <w:r>
        <w:rPr>
          <w:rFonts w:ascii="Times New Roman" w:hAnsi="Times New Roman" w:eastAsia="方正仿宋_GBK" w:cs="Times New Roman"/>
          <w:color w:val="000000" w:themeColor="text1"/>
          <w:kern w:val="2"/>
          <w:sz w:val="32"/>
          <w:szCs w:val="32"/>
          <w14:textFill>
            <w14:solidFill>
              <w14:schemeClr w14:val="tx1"/>
            </w14:solidFill>
          </w14:textFill>
        </w:rPr>
        <w:t>22</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9</w:t>
      </w:r>
      <w:r>
        <w:rPr>
          <w:rFonts w:hint="eastAsia" w:ascii="Times New Roman" w:hAnsi="Times New Roman" w:eastAsia="方正仿宋_GBK" w:cs="Times New Roman"/>
          <w:color w:val="000000" w:themeColor="text1"/>
          <w:kern w:val="2"/>
          <w:sz w:val="32"/>
          <w:szCs w:val="32"/>
          <w14:textFill>
            <w14:solidFill>
              <w14:schemeClr w14:val="tx1"/>
            </w14:solidFill>
          </w14:textFill>
        </w:rPr>
        <w:t>%；社会事业项目</w:t>
      </w:r>
      <w:r>
        <w:rPr>
          <w:rFonts w:ascii="Times New Roman" w:hAnsi="Times New Roman" w:eastAsia="方正仿宋_GBK" w:cs="Times New Roman"/>
          <w:color w:val="000000" w:themeColor="text1"/>
          <w:kern w:val="2"/>
          <w:sz w:val="32"/>
          <w:szCs w:val="32"/>
          <w14:textFill>
            <w14:solidFill>
              <w14:schemeClr w14:val="tx1"/>
            </w14:solidFill>
          </w14:textFill>
        </w:rPr>
        <w:t>69</w:t>
      </w:r>
      <w:r>
        <w:rPr>
          <w:rFonts w:hint="eastAsia" w:ascii="Times New Roman" w:hAnsi="Times New Roman" w:eastAsia="方正仿宋_GBK" w:cs="Times New Roman"/>
          <w:color w:val="000000" w:themeColor="text1"/>
          <w:kern w:val="2"/>
          <w:sz w:val="32"/>
          <w:szCs w:val="32"/>
          <w14:textFill>
            <w14:solidFill>
              <w14:schemeClr w14:val="tx1"/>
            </w14:solidFill>
          </w14:textFill>
        </w:rPr>
        <w:t>个，计划投资</w:t>
      </w:r>
      <w:r>
        <w:rPr>
          <w:rFonts w:ascii="Times New Roman" w:hAnsi="Times New Roman" w:eastAsia="方正仿宋_GBK" w:cs="Times New Roman"/>
          <w:color w:val="000000" w:themeColor="text1"/>
          <w:kern w:val="2"/>
          <w:sz w:val="32"/>
          <w:szCs w:val="32"/>
          <w14:textFill>
            <w14:solidFill>
              <w14:schemeClr w14:val="tx1"/>
            </w14:solidFill>
          </w14:textFill>
        </w:rPr>
        <w:t>54</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9</w:t>
      </w:r>
      <w:r>
        <w:rPr>
          <w:rFonts w:hint="eastAsia" w:ascii="Times New Roman" w:hAnsi="Times New Roman" w:eastAsia="方正仿宋_GBK" w:cs="Times New Roman"/>
          <w:color w:val="000000" w:themeColor="text1"/>
          <w:kern w:val="2"/>
          <w:sz w:val="32"/>
          <w:szCs w:val="32"/>
          <w14:textFill>
            <w14:solidFill>
              <w14:schemeClr w14:val="tx1"/>
            </w14:solidFill>
          </w14:textFill>
        </w:rPr>
        <w:t>亿元，占比</w:t>
      </w:r>
      <w:r>
        <w:rPr>
          <w:rFonts w:ascii="Times New Roman" w:hAnsi="Times New Roman" w:eastAsia="方正仿宋_GBK" w:cs="Times New Roman"/>
          <w:color w:val="000000" w:themeColor="text1"/>
          <w:kern w:val="2"/>
          <w:sz w:val="32"/>
          <w:szCs w:val="32"/>
          <w14:textFill>
            <w14:solidFill>
              <w14:schemeClr w14:val="tx1"/>
            </w14:solidFill>
          </w14:textFill>
        </w:rPr>
        <w:t>22</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6</w:t>
      </w:r>
      <w:r>
        <w:rPr>
          <w:rFonts w:hint="eastAsia" w:ascii="Times New Roman" w:hAnsi="Times New Roman" w:eastAsia="方正仿宋_GBK" w:cs="Times New Roman"/>
          <w:color w:val="000000" w:themeColor="text1"/>
          <w:kern w:val="2"/>
          <w:sz w:val="32"/>
          <w:szCs w:val="32"/>
          <w14:textFill>
            <w14:solidFill>
              <w14:schemeClr w14:val="tx1"/>
            </w14:solidFill>
          </w14:textFill>
        </w:rPr>
        <w:t>%；土地开发项目</w:t>
      </w:r>
      <w:r>
        <w:rPr>
          <w:rFonts w:ascii="Times New Roman" w:hAnsi="Times New Roman" w:eastAsia="方正仿宋_GBK" w:cs="Times New Roman"/>
          <w:color w:val="000000" w:themeColor="text1"/>
          <w:kern w:val="2"/>
          <w:sz w:val="32"/>
          <w:szCs w:val="32"/>
          <w14:textFill>
            <w14:solidFill>
              <w14:schemeClr w14:val="tx1"/>
            </w14:solidFill>
          </w14:textFill>
        </w:rPr>
        <w:t>27</w:t>
      </w:r>
      <w:r>
        <w:rPr>
          <w:rFonts w:hint="eastAsia" w:ascii="Times New Roman" w:hAnsi="Times New Roman" w:eastAsia="方正仿宋_GBK" w:cs="Times New Roman"/>
          <w:color w:val="000000" w:themeColor="text1"/>
          <w:kern w:val="2"/>
          <w:sz w:val="32"/>
          <w:szCs w:val="32"/>
          <w14:textFill>
            <w14:solidFill>
              <w14:schemeClr w14:val="tx1"/>
            </w14:solidFill>
          </w14:textFill>
        </w:rPr>
        <w:t>个，计划投资</w:t>
      </w:r>
      <w:r>
        <w:rPr>
          <w:rFonts w:ascii="Times New Roman" w:hAnsi="Times New Roman" w:eastAsia="方正仿宋_GBK" w:cs="Times New Roman"/>
          <w:color w:val="000000" w:themeColor="text1"/>
          <w:kern w:val="2"/>
          <w:sz w:val="32"/>
          <w:szCs w:val="32"/>
          <w14:textFill>
            <w14:solidFill>
              <w14:schemeClr w14:val="tx1"/>
            </w14:solidFill>
          </w14:textFill>
        </w:rPr>
        <w:t>66</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1</w:t>
      </w:r>
      <w:r>
        <w:rPr>
          <w:rFonts w:hint="eastAsia" w:ascii="Times New Roman" w:hAnsi="Times New Roman" w:eastAsia="方正仿宋_GBK" w:cs="Times New Roman"/>
          <w:color w:val="000000" w:themeColor="text1"/>
          <w:kern w:val="2"/>
          <w:sz w:val="32"/>
          <w:szCs w:val="32"/>
          <w14:textFill>
            <w14:solidFill>
              <w14:schemeClr w14:val="tx1"/>
            </w14:solidFill>
          </w14:textFill>
        </w:rPr>
        <w:t>亿元，占比</w:t>
      </w:r>
      <w:r>
        <w:rPr>
          <w:rFonts w:ascii="Times New Roman" w:hAnsi="Times New Roman" w:eastAsia="方正仿宋_GBK" w:cs="Times New Roman"/>
          <w:color w:val="000000" w:themeColor="text1"/>
          <w:kern w:val="2"/>
          <w:sz w:val="32"/>
          <w:szCs w:val="32"/>
          <w14:textFill>
            <w14:solidFill>
              <w14:schemeClr w14:val="tx1"/>
            </w14:solidFill>
          </w14:textFill>
        </w:rPr>
        <w:t>27</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2</w:t>
      </w:r>
      <w:r>
        <w:rPr>
          <w:rFonts w:hint="eastAsia" w:ascii="Times New Roman" w:hAnsi="Times New Roman" w:eastAsia="方正仿宋_GBK" w:cs="Times New Roman"/>
          <w:color w:val="000000" w:themeColor="text1"/>
          <w:kern w:val="2"/>
          <w:sz w:val="32"/>
          <w:szCs w:val="32"/>
          <w14:textFill>
            <w14:solidFill>
              <w14:schemeClr w14:val="tx1"/>
            </w14:solidFill>
          </w14:textFill>
        </w:rPr>
        <w:t>%。同时，启动前期项目</w:t>
      </w:r>
      <w:r>
        <w:rPr>
          <w:rFonts w:ascii="Times New Roman" w:hAnsi="Times New Roman" w:eastAsia="方正仿宋_GBK" w:cs="Times New Roman"/>
          <w:color w:val="000000" w:themeColor="text1"/>
          <w:kern w:val="2"/>
          <w:sz w:val="32"/>
          <w:szCs w:val="32"/>
          <w14:textFill>
            <w14:solidFill>
              <w14:schemeClr w14:val="tx1"/>
            </w14:solidFill>
          </w14:textFill>
        </w:rPr>
        <w:t>143</w:t>
      </w:r>
      <w:r>
        <w:rPr>
          <w:rFonts w:hint="eastAsia" w:ascii="Times New Roman" w:hAnsi="Times New Roman" w:eastAsia="方正仿宋_GBK" w:cs="Times New Roman"/>
          <w:color w:val="000000" w:themeColor="text1"/>
          <w:kern w:val="2"/>
          <w:sz w:val="32"/>
          <w:szCs w:val="32"/>
          <w14:textFill>
            <w14:solidFill>
              <w14:schemeClr w14:val="tx1"/>
            </w14:solidFill>
          </w14:textFill>
        </w:rPr>
        <w:t>个，总投资</w:t>
      </w:r>
      <w:r>
        <w:rPr>
          <w:rFonts w:ascii="Times New Roman" w:hAnsi="Times New Roman" w:eastAsia="方正仿宋_GBK" w:cs="Times New Roman"/>
          <w:color w:val="000000" w:themeColor="text1"/>
          <w:kern w:val="2"/>
          <w:sz w:val="32"/>
          <w:szCs w:val="32"/>
          <w14:textFill>
            <w14:solidFill>
              <w14:schemeClr w14:val="tx1"/>
            </w14:solidFill>
          </w14:textFill>
        </w:rPr>
        <w:t>639</w:t>
      </w:r>
      <w:r>
        <w:rPr>
          <w:rFonts w:hint="eastAsia" w:ascii="Times New Roman" w:hAnsi="Times New Roman" w:eastAsia="方正仿宋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5</w:t>
      </w:r>
      <w:r>
        <w:rPr>
          <w:rFonts w:hint="eastAsia" w:ascii="Times New Roman" w:hAnsi="Times New Roman" w:eastAsia="方正仿宋_GBK" w:cs="Times New Roman"/>
          <w:color w:val="000000" w:themeColor="text1"/>
          <w:kern w:val="2"/>
          <w:sz w:val="32"/>
          <w:szCs w:val="32"/>
          <w14:textFill>
            <w14:solidFill>
              <w14:schemeClr w14:val="tx1"/>
            </w14:solidFill>
          </w14:textFill>
        </w:rPr>
        <w:t>亿元。年度工作中，将深入落实</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hint="eastAsia" w:ascii="Times New Roman" w:hAnsi="Times New Roman" w:eastAsia="方正仿宋_GBK" w:cs="Times New Roman"/>
          <w:color w:val="000000" w:themeColor="text1"/>
          <w:kern w:val="2"/>
          <w:sz w:val="32"/>
          <w:szCs w:val="32"/>
          <w14:textFill>
            <w14:solidFill>
              <w14:schemeClr w14:val="tx1"/>
            </w14:solidFill>
          </w14:textFill>
        </w:rPr>
        <w:t>五个一</w:t>
      </w:r>
      <w:r>
        <w:rPr>
          <w:rFonts w:hint="eastAsia" w:ascii="方正仿宋_GBK" w:hAnsi="Times New Roman" w:eastAsia="方正仿宋_GBK" w:cs="Times New Roman"/>
          <w:color w:val="000000" w:themeColor="text1"/>
          <w:kern w:val="2"/>
          <w:sz w:val="32"/>
          <w:szCs w:val="32"/>
          <w14:textFill>
            <w14:solidFill>
              <w14:schemeClr w14:val="tx1"/>
            </w14:solidFill>
          </w14:textFill>
        </w:rPr>
        <w:t>”</w:t>
      </w:r>
      <w:r>
        <w:rPr>
          <w:rFonts w:hint="eastAsia" w:ascii="Times New Roman" w:hAnsi="Times New Roman" w:eastAsia="方正仿宋_GBK" w:cs="Times New Roman"/>
          <w:color w:val="000000" w:themeColor="text1"/>
          <w:kern w:val="2"/>
          <w:sz w:val="32"/>
          <w:szCs w:val="32"/>
          <w14:textFill>
            <w14:solidFill>
              <w14:schemeClr w14:val="tx1"/>
            </w14:solidFill>
          </w14:textFill>
        </w:rPr>
        <w:t>工作机制，加强项目调度，提速重点项目建设，加快推动前期项目开工，加大项目谋划储备，积极扩大投资增量，不断做大投资规模，确保完成全年固定资产投资同比增长</w:t>
      </w:r>
      <w:r>
        <w:rPr>
          <w:rFonts w:ascii="Times New Roman" w:hAnsi="Times New Roman" w:eastAsia="方正仿宋_GBK" w:cs="Times New Roman"/>
          <w:color w:val="000000" w:themeColor="text1"/>
          <w:kern w:val="2"/>
          <w:sz w:val="32"/>
          <w:szCs w:val="32"/>
          <w14:textFill>
            <w14:solidFill>
              <w14:schemeClr w14:val="tx1"/>
            </w14:solidFill>
          </w14:textFill>
        </w:rPr>
        <w:t>5</w:t>
      </w:r>
      <w:r>
        <w:rPr>
          <w:rFonts w:hint="eastAsia" w:ascii="Times New Roman" w:hAnsi="Times New Roman" w:eastAsia="方正仿宋_GBK" w:cs="Times New Roman"/>
          <w:color w:val="000000" w:themeColor="text1"/>
          <w:kern w:val="2"/>
          <w:sz w:val="32"/>
          <w:szCs w:val="32"/>
          <w14:textFill>
            <w14:solidFill>
              <w14:schemeClr w14:val="tx1"/>
            </w14:solidFill>
          </w14:textFill>
        </w:rPr>
        <w:t>%目标。</w:t>
      </w:r>
    </w:p>
    <w:p>
      <w:pPr>
        <w:widowControl w:val="0"/>
        <w:spacing w:after="0" w:line="594" w:lineRule="exact"/>
        <w:ind w:firstLine="640" w:firstLineChars="200"/>
        <w:jc w:val="both"/>
        <w:rPr>
          <w:rFonts w:ascii="Times New Roman" w:hAnsi="Times New Roman" w:eastAsia="方正黑体_GBK" w:cs="Times New Roman"/>
          <w:color w:val="000000" w:themeColor="text1"/>
          <w:kern w:val="2"/>
          <w:sz w:val="32"/>
          <w:szCs w:val="32"/>
          <w14:textFill>
            <w14:solidFill>
              <w14:schemeClr w14:val="tx1"/>
            </w14:solidFill>
          </w14:textFill>
        </w:rPr>
      </w:pPr>
      <w:r>
        <w:rPr>
          <w:rFonts w:ascii="Times New Roman" w:hAnsi="Times New Roman" w:eastAsia="方正黑体_GBK" w:cs="Times New Roman"/>
          <w:color w:val="000000" w:themeColor="text1"/>
          <w:kern w:val="2"/>
          <w:sz w:val="32"/>
          <w:szCs w:val="32"/>
          <w14:textFill>
            <w14:solidFill>
              <w14:schemeClr w14:val="tx1"/>
            </w14:solidFill>
          </w14:textFill>
        </w:rPr>
        <w:t>三、2024年重点工作</w:t>
      </w:r>
    </w:p>
    <w:p>
      <w:pPr>
        <w:widowControl w:val="0"/>
        <w:adjustRightInd w:val="0"/>
        <w:snapToGrid w:val="0"/>
        <w:spacing w:after="0" w:line="594" w:lineRule="exact"/>
        <w:ind w:firstLine="640" w:firstLineChars="200"/>
        <w:jc w:val="both"/>
        <w:rPr>
          <w:rFonts w:ascii="Times New Roman" w:hAnsi="Times New Roman" w:eastAsia="方正仿宋_GBK" w:cs="Times New Roman"/>
          <w:color w:val="000000" w:themeColor="text1"/>
          <w:kern w:val="2"/>
          <w:sz w:val="32"/>
          <w:szCs w:val="32"/>
          <w14:textFill>
            <w14:solidFill>
              <w14:schemeClr w14:val="tx1"/>
            </w14:solidFill>
          </w14:textFill>
        </w:rPr>
      </w:pPr>
      <w:r>
        <w:rPr>
          <w:rFonts w:ascii="Times New Roman" w:hAnsi="Times New Roman" w:eastAsia="方正仿宋_GBK" w:cs="Times New Roman"/>
          <w:color w:val="000000" w:themeColor="text1"/>
          <w:kern w:val="2"/>
          <w:sz w:val="32"/>
          <w:szCs w:val="32"/>
          <w14:textFill>
            <w14:solidFill>
              <w14:schemeClr w14:val="tx1"/>
            </w14:solidFill>
          </w14:textFill>
        </w:rPr>
        <w:t>2024年，要坚持以习近平新时代中国特色社会主义思想为指导，全面贯彻党的二十大、二十届二中全会和中央经济工作会议精神，</w:t>
      </w:r>
      <w:r>
        <w:rPr>
          <w:rFonts w:hint="eastAsia" w:ascii="Times New Roman" w:hAnsi="Times New Roman" w:eastAsia="方正仿宋_GBK" w:cs="Times New Roman"/>
          <w:color w:val="000000" w:themeColor="text1"/>
          <w:kern w:val="2"/>
          <w:sz w:val="32"/>
          <w:szCs w:val="32"/>
          <w14:textFill>
            <w14:solidFill>
              <w14:schemeClr w14:val="tx1"/>
            </w14:solidFill>
          </w14:textFill>
        </w:rPr>
        <w:t>深入学习贯彻习近平总书记视察重庆重要讲话重要指示精神，认真落实市委六届二次、三次、四次、五次全会决策部署和市委经济工作会议精神，深化落实区委十三届七次全会和区委经济工作会议精神，</w:t>
      </w:r>
      <w:r>
        <w:rPr>
          <w:rFonts w:ascii="Times New Roman" w:hAnsi="Times New Roman" w:eastAsia="方正仿宋_GBK" w:cs="Times New Roman"/>
          <w:color w:val="000000" w:themeColor="text1"/>
          <w:kern w:val="2"/>
          <w:sz w:val="32"/>
          <w:szCs w:val="32"/>
          <w14:textFill>
            <w14:solidFill>
              <w14:schemeClr w14:val="tx1"/>
            </w14:solidFill>
          </w14:textFill>
        </w:rPr>
        <w:t>坚持稳中求进工作总基调，</w:t>
      </w:r>
      <w:r>
        <w:rPr>
          <w:rFonts w:ascii="Times New Roman" w:hAnsi="Times New Roman" w:eastAsia="方正仿宋_GBK" w:cs="Times New Roman"/>
          <w:color w:val="000000" w:themeColor="text1"/>
          <w:sz w:val="32"/>
          <w:szCs w:val="32"/>
          <w14:textFill>
            <w14:solidFill>
              <w14:schemeClr w14:val="tx1"/>
            </w14:solidFill>
          </w14:textFill>
        </w:rPr>
        <w:t>完整、准确、全面贯彻新发展理念，积极服务和融入新发展格局，着力推动高质量发展</w:t>
      </w:r>
      <w:r>
        <w:rPr>
          <w:rFonts w:ascii="Times New Roman" w:hAnsi="Times New Roman" w:eastAsia="方正仿宋_GBK" w:cs="Times New Roman"/>
          <w:bCs/>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sz w:val="32"/>
          <w:szCs w:val="32"/>
          <w14:textFill>
            <w14:solidFill>
              <w14:schemeClr w14:val="tx1"/>
            </w14:solidFill>
          </w14:textFill>
        </w:rPr>
        <w:t>全力推进中国式现代化，</w:t>
      </w:r>
      <w:r>
        <w:rPr>
          <w:rFonts w:ascii="Times New Roman" w:hAnsi="Times New Roman" w:eastAsia="方正仿宋_GBK" w:cs="Times New Roman"/>
          <w:bCs/>
          <w:color w:val="000000" w:themeColor="text1"/>
          <w:sz w:val="32"/>
          <w:szCs w:val="32"/>
          <w14:textFill>
            <w14:solidFill>
              <w14:schemeClr w14:val="tx1"/>
            </w14:solidFill>
          </w14:textFill>
        </w:rPr>
        <w:t>全面深化改革开放，统筹扩大内需和深化供给侧结构性改革，统筹新型城镇化和乡村全面振兴，统筹高质量发展和高水平安全，</w:t>
      </w:r>
      <w:r>
        <w:rPr>
          <w:rFonts w:ascii="Times New Roman" w:hAnsi="Times New Roman" w:eastAsia="方正仿宋_GBK" w:cs="Times New Roman"/>
          <w:color w:val="000000" w:themeColor="text1"/>
          <w:kern w:val="2"/>
          <w:sz w:val="32"/>
          <w:szCs w:val="32"/>
          <w14:textFill>
            <w14:solidFill>
              <w14:schemeClr w14:val="tx1"/>
            </w14:solidFill>
          </w14:textFill>
        </w:rPr>
        <w:t>坚持稳进增效、除险固安、改革突破、惠民强企工作导向</w:t>
      </w:r>
      <w:r>
        <w:rPr>
          <w:rFonts w:ascii="Times New Roman" w:hAnsi="Times New Roman" w:eastAsia="方正仿宋_GBK" w:cs="Times New Roman"/>
          <w:bCs/>
          <w:color w:val="000000" w:themeColor="text1"/>
          <w:sz w:val="32"/>
          <w:szCs w:val="32"/>
          <w14:textFill>
            <w14:solidFill>
              <w14:schemeClr w14:val="tx1"/>
            </w14:solidFill>
          </w14:textFill>
        </w:rPr>
        <w:t>，全力实施</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拼经济促发展、新型工业化、现代服务业、公园城市、互联互通、社会民生福祉、风险防范化解</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七大提升行动，</w:t>
      </w:r>
      <w:r>
        <w:rPr>
          <w:rFonts w:hint="eastAsia" w:ascii="Times New Roman" w:hAnsi="Times New Roman" w:eastAsia="方正仿宋_GBK" w:cs="Times New Roman"/>
          <w:bCs/>
          <w:color w:val="000000" w:themeColor="text1"/>
          <w:sz w:val="32"/>
          <w:szCs w:val="32"/>
          <w14:textFill>
            <w14:solidFill>
              <w14:schemeClr w14:val="tx1"/>
            </w14:solidFill>
          </w14:textFill>
        </w:rPr>
        <w:t>奋力开启第三次创业新征程，谱写</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sz w:val="32"/>
          <w:szCs w:val="32"/>
          <w14:textFill>
            <w14:solidFill>
              <w14:schemeClr w14:val="tx1"/>
            </w14:solidFill>
          </w14:textFill>
        </w:rPr>
        <w:t>公园大渡口、多彩艺术湾</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sz w:val="32"/>
          <w:szCs w:val="32"/>
          <w14:textFill>
            <w14:solidFill>
              <w14:schemeClr w14:val="tx1"/>
            </w14:solidFill>
          </w14:textFill>
        </w:rPr>
        <w:t>建设新篇章</w:t>
      </w:r>
      <w:r>
        <w:rPr>
          <w:rFonts w:ascii="Times New Roman" w:hAnsi="Times New Roman" w:eastAsia="方正仿宋_GBK" w:cs="Times New Roman"/>
          <w:color w:val="000000" w:themeColor="text1"/>
          <w:kern w:val="2"/>
          <w:sz w:val="32"/>
          <w:szCs w:val="32"/>
          <w14:textFill>
            <w14:solidFill>
              <w14:schemeClr w14:val="tx1"/>
            </w14:solidFill>
          </w14:textFill>
        </w:rPr>
        <w:t xml:space="preserve">。 </w:t>
      </w:r>
    </w:p>
    <w:p>
      <w:pPr>
        <w:widowControl w:val="0"/>
        <w:spacing w:after="0" w:line="594" w:lineRule="exact"/>
        <w:ind w:firstLine="640" w:firstLineChars="200"/>
        <w:jc w:val="both"/>
        <w:rPr>
          <w:rFonts w:ascii="Times New Roman" w:hAnsi="Times New Roman" w:eastAsia="方正楷体_GBK" w:cs="Times New Roman"/>
          <w:bCs/>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（一）突出重大战略引领，推动发展能级新提升</w:t>
      </w:r>
    </w:p>
    <w:p>
      <w:pPr>
        <w:widowControl w:val="0"/>
        <w:spacing w:after="0" w:line="594" w:lineRule="exact"/>
        <w:ind w:firstLine="643" w:firstLineChars="200"/>
        <w:jc w:val="both"/>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楷体_GBK" w:cs="Times New Roman"/>
          <w:b/>
          <w:color w:val="000000" w:themeColor="text1"/>
          <w:sz w:val="32"/>
          <w:szCs w:val="32"/>
          <w14:textFill>
            <w14:solidFill>
              <w14:schemeClr w14:val="tx1"/>
            </w14:solidFill>
          </w14:textFill>
        </w:rPr>
        <w:t xml:space="preserve">1. </w:t>
      </w:r>
      <w:r>
        <w:rPr>
          <w:rFonts w:ascii="Times New Roman" w:hAnsi="Times New Roman" w:eastAsia="方正仿宋_GBK" w:cs="Times New Roman"/>
          <w:b/>
          <w:color w:val="000000" w:themeColor="text1"/>
          <w:sz w:val="32"/>
          <w:szCs w:val="32"/>
          <w14:textFill>
            <w14:solidFill>
              <w14:schemeClr w14:val="tx1"/>
            </w14:solidFill>
          </w14:textFill>
        </w:rPr>
        <w:t>以成渝地区双城经济圈建设引领区域协调发展。</w:t>
      </w:r>
      <w:r>
        <w:rPr>
          <w:rFonts w:ascii="Times New Roman" w:hAnsi="Times New Roman" w:eastAsia="方正仿宋_GBK" w:cs="Times New Roman"/>
          <w:bCs/>
          <w:color w:val="000000" w:themeColor="text1"/>
          <w:sz w:val="32"/>
          <w:szCs w:val="32"/>
          <w14:textFill>
            <w14:solidFill>
              <w14:schemeClr w14:val="tx1"/>
            </w14:solidFill>
          </w14:textFill>
        </w:rPr>
        <w:t>深化落实成渝地区双城经济圈建设行动方案，迭代升级</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四张清单</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谋划实施一批合作事项、共建项目。持续拓展同四川成都友好市（区）县的政府合作、企业联动、部门协作，加快形成一体化工作体系。聚焦双核引领联动、构建现代化产业体系、科技创新等领域强化合作联动，实现优势互补、互促共赢。支持建桥园区与四川绵阳安州工业园、渠县工业园区共建双城产业合作示范园区及产业信息平台，促进企业配套协作。强化与电子科技大学、重庆理工大学、重庆</w:t>
      </w:r>
      <w:r>
        <w:rPr>
          <w:rFonts w:hint="eastAsia" w:ascii="Times New Roman" w:hAnsi="Times New Roman" w:eastAsia="方正仿宋_GBK" w:cs="Times New Roman"/>
          <w:bCs/>
          <w:color w:val="000000" w:themeColor="text1"/>
          <w:sz w:val="32"/>
          <w:szCs w:val="32"/>
          <w14:textFill>
            <w14:solidFill>
              <w14:schemeClr w14:val="tx1"/>
            </w14:solidFill>
          </w14:textFill>
        </w:rPr>
        <w:t>科技</w:t>
      </w:r>
      <w:r>
        <w:rPr>
          <w:rFonts w:ascii="Times New Roman" w:hAnsi="Times New Roman" w:eastAsia="方正仿宋_GBK" w:cs="Times New Roman"/>
          <w:bCs/>
          <w:color w:val="000000" w:themeColor="text1"/>
          <w:sz w:val="32"/>
          <w:szCs w:val="32"/>
          <w14:textFill>
            <w14:solidFill>
              <w14:schemeClr w14:val="tx1"/>
            </w14:solidFill>
          </w14:textFill>
        </w:rPr>
        <w:t>大学等高校及科研院所校地合作，共享两地科创资源。推动公共服务便利互惠，围绕教育、文化、体育、医疗卫生等领域探索合作新路径。落实</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一区两群</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区县对口协同发展机制，深化拓展与忠县磨子乡协同发展事项，不断扩大产业协同、城乡互动、科技协作、市场互通等多领域合作新成效。</w:t>
      </w:r>
    </w:p>
    <w:p>
      <w:pPr>
        <w:widowControl w:val="0"/>
        <w:spacing w:after="0" w:line="594" w:lineRule="exact"/>
        <w:ind w:firstLine="643" w:firstLineChars="200"/>
        <w:jc w:val="both"/>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楷体_GBK" w:cs="Times New Roman"/>
          <w:b/>
          <w:color w:val="000000" w:themeColor="text1"/>
          <w:sz w:val="32"/>
          <w:szCs w:val="32"/>
          <w14:textFill>
            <w14:solidFill>
              <w14:schemeClr w14:val="tx1"/>
            </w14:solidFill>
          </w14:textFill>
        </w:rPr>
        <w:t xml:space="preserve">2. </w:t>
      </w:r>
      <w:r>
        <w:rPr>
          <w:rFonts w:ascii="Times New Roman" w:hAnsi="Times New Roman" w:eastAsia="方正仿宋_GBK" w:cs="Times New Roman"/>
          <w:b/>
          <w:color w:val="000000" w:themeColor="text1"/>
          <w:sz w:val="32"/>
          <w:szCs w:val="32"/>
          <w14:textFill>
            <w14:solidFill>
              <w14:schemeClr w14:val="tx1"/>
            </w14:solidFill>
          </w14:textFill>
        </w:rPr>
        <w:t>以西部陆海新通道建设引领对外开放合作。</w:t>
      </w:r>
      <w:r>
        <w:rPr>
          <w:rFonts w:ascii="Times New Roman" w:hAnsi="Times New Roman" w:eastAsia="方正仿宋_GBK" w:cs="Times New Roman"/>
          <w:bCs/>
          <w:color w:val="000000" w:themeColor="text1"/>
          <w:sz w:val="32"/>
          <w:szCs w:val="32"/>
          <w14:textFill>
            <w14:solidFill>
              <w14:schemeClr w14:val="tx1"/>
            </w14:solidFill>
          </w14:textFill>
        </w:rPr>
        <w:t>探索发挥通道纽带功能，加强与东盟国家产业互补，吸引东盟国家知名企业来渝来区投资发展，开展国际产能和装备制造合作。积极推动与RCEP区域跨区域协同，依托建桥园区设立陆海新通道国际合作先行区，发挥陆海新通道</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通道+枢纽+产业+物流</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集群化优势，构建</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大渡口—北部湾—东盟</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跨境产业链供应链，推进跨境跨区产业合作园区建设。力促重庆跨境数字资产登记服务中心建成运营，充分发挥自贸试验区联动创新区市级平台的联动作用，</w:t>
      </w:r>
      <w:r>
        <w:rPr>
          <w:rFonts w:hint="eastAsia" w:ascii="Times New Roman" w:hAnsi="Times New Roman" w:eastAsia="方正仿宋_GBK" w:cs="Times New Roman"/>
          <w:bCs/>
          <w:color w:val="000000" w:themeColor="text1"/>
          <w:sz w:val="32"/>
          <w:szCs w:val="32"/>
          <w14:textFill>
            <w14:solidFill>
              <w14:schemeClr w14:val="tx1"/>
            </w14:solidFill>
          </w14:textFill>
        </w:rPr>
        <w:t>推动</w:t>
      </w:r>
      <w:r>
        <w:rPr>
          <w:rFonts w:ascii="Times New Roman" w:hAnsi="Times New Roman" w:eastAsia="方正仿宋_GBK" w:cs="Times New Roman"/>
          <w:bCs/>
          <w:color w:val="000000" w:themeColor="text1"/>
          <w:sz w:val="32"/>
          <w:szCs w:val="32"/>
          <w14:textFill>
            <w14:solidFill>
              <w14:schemeClr w14:val="tx1"/>
            </w14:solidFill>
          </w14:textFill>
        </w:rPr>
        <w:t>外贸优势企业扩大境外贸易规模，引导培育二手车、重庆小面等出口增量。优化完善贸易投资自由化便利化，做好外资企业服务工作。全年实现外贸进出口总额33亿元</w:t>
      </w:r>
      <w:r>
        <w:rPr>
          <w:rFonts w:hint="eastAsia" w:ascii="Times New Roman"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实际使用外资完成市级下达任务。</w:t>
      </w:r>
    </w:p>
    <w:p>
      <w:pPr>
        <w:widowControl w:val="0"/>
        <w:spacing w:after="0" w:line="594" w:lineRule="exact"/>
        <w:ind w:firstLine="643" w:firstLineChars="200"/>
        <w:jc w:val="both"/>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楷体_GBK" w:cs="Times New Roman"/>
          <w:b/>
          <w:color w:val="000000" w:themeColor="text1"/>
          <w:sz w:val="32"/>
          <w:szCs w:val="32"/>
          <w14:textFill>
            <w14:solidFill>
              <w14:schemeClr w14:val="tx1"/>
            </w14:solidFill>
          </w14:textFill>
        </w:rPr>
        <w:t>3</w:t>
      </w:r>
      <w:r>
        <w:rPr>
          <w:rFonts w:ascii="Times New Roman" w:hAnsi="Times New Roman" w:eastAsia="方正仿宋_GBK" w:cs="Times New Roman"/>
          <w:b/>
          <w:color w:val="000000" w:themeColor="text1"/>
          <w:sz w:val="32"/>
          <w:szCs w:val="32"/>
          <w14:textFill>
            <w14:solidFill>
              <w14:schemeClr w14:val="tx1"/>
            </w14:solidFill>
          </w14:textFill>
        </w:rPr>
        <w:t>. 以数字化变革引领全面深化改革。</w:t>
      </w:r>
      <w:r>
        <w:rPr>
          <w:rFonts w:ascii="Times New Roman" w:hAnsi="Times New Roman" w:eastAsia="方正仿宋_GBK" w:cs="Times New Roman"/>
          <w:bCs/>
          <w:color w:val="000000" w:themeColor="text1"/>
          <w:sz w:val="32"/>
          <w:szCs w:val="32"/>
          <w14:textFill>
            <w14:solidFill>
              <w14:schemeClr w14:val="tx1"/>
            </w14:solidFill>
          </w14:textFill>
        </w:rPr>
        <w:t>全面融入全市</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1361</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总体框架布局，推动区级城市运行和治理中心</w:t>
      </w:r>
      <w:r>
        <w:rPr>
          <w:rFonts w:hint="eastAsia" w:ascii="Times New Roman"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镇街治理中心实战实效，促进线上智治平台与线下</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141</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体系深度融合。围绕数字重庆</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六大系统</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，推动核心业务梳理、数据归集、</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一件事</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谋划等核心绩效攻坚突破，</w:t>
      </w:r>
      <w:r>
        <w:rPr>
          <w:rFonts w:hint="eastAsia" w:ascii="Times New Roman" w:hAnsi="Times New Roman" w:eastAsia="方正仿宋_GBK" w:cs="Times New Roman"/>
          <w:bCs/>
          <w:color w:val="000000" w:themeColor="text1"/>
          <w:sz w:val="32"/>
          <w:szCs w:val="32"/>
          <w14:textFill>
            <w14:solidFill>
              <w14:schemeClr w14:val="tx1"/>
            </w14:solidFill>
          </w14:textFill>
        </w:rPr>
        <w:t>实现</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油气存储安全监管</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社区</w:t>
      </w:r>
      <w:r>
        <w:rPr>
          <w:rFonts w:hint="eastAsia" w:ascii="Times New Roman"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前哨</w:t>
      </w:r>
      <w:r>
        <w:rPr>
          <w:rFonts w:hint="eastAsia" w:ascii="Times New Roman"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应用</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等场景开发上线，推动更多典型应用</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一地创新、全市推广</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。围绕企业全生命周期监测数据和城市运行数据归集，持续推进区级数据仓建设。依托</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sz w:val="32"/>
          <w:szCs w:val="32"/>
          <w14:textFill>
            <w14:solidFill>
              <w14:schemeClr w14:val="tx1"/>
            </w14:solidFill>
          </w14:textFill>
        </w:rPr>
        <w:t>渝</w:t>
      </w:r>
      <w:r>
        <w:rPr>
          <w:rFonts w:ascii="Times New Roman" w:hAnsi="Times New Roman" w:eastAsia="方正仿宋_GBK" w:cs="Times New Roman"/>
          <w:bCs/>
          <w:color w:val="000000" w:themeColor="text1"/>
          <w:sz w:val="32"/>
          <w:szCs w:val="32"/>
          <w14:textFill>
            <w14:solidFill>
              <w14:schemeClr w14:val="tx1"/>
            </w14:solidFill>
          </w14:textFill>
        </w:rPr>
        <w:t>快政</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提高行政办公效率，加快区域视联网建设，完善</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一网两线</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政务网络布局。依托</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渝快办</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 xml:space="preserve">拓展高频服务事项，以数字赋能利企便民。   </w:t>
      </w:r>
    </w:p>
    <w:p>
      <w:pPr>
        <w:widowControl w:val="0"/>
        <w:spacing w:after="0" w:line="594" w:lineRule="exact"/>
        <w:ind w:firstLine="643" w:firstLineChars="200"/>
        <w:jc w:val="both"/>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
          <w:color w:val="000000" w:themeColor="text1"/>
          <w:sz w:val="32"/>
          <w:szCs w:val="32"/>
          <w14:textFill>
            <w14:solidFill>
              <w14:schemeClr w14:val="tx1"/>
            </w14:solidFill>
          </w14:textFill>
        </w:rPr>
        <w:t>4. 以</w:t>
      </w:r>
      <w:r>
        <w:rPr>
          <w:rFonts w:hint="eastAsia" w:ascii="方正仿宋_GBK" w:hAnsi="Times New Roman" w:eastAsia="方正仿宋_GBK" w:cs="Times New Roman"/>
          <w:b/>
          <w:color w:val="000000" w:themeColor="text1"/>
          <w:sz w:val="32"/>
          <w:szCs w:val="32"/>
          <w14:textFill>
            <w14:solidFill>
              <w14:schemeClr w14:val="tx1"/>
            </w14:solidFill>
          </w14:textFill>
        </w:rPr>
        <w:t>“</w:t>
      </w:r>
      <w:r>
        <w:rPr>
          <w:rFonts w:ascii="Times New Roman" w:hAnsi="Times New Roman" w:eastAsia="方正仿宋_GBK" w:cs="Times New Roman"/>
          <w:b/>
          <w:color w:val="000000" w:themeColor="text1"/>
          <w:sz w:val="32"/>
          <w:szCs w:val="32"/>
          <w14:textFill>
            <w14:solidFill>
              <w14:schemeClr w14:val="tx1"/>
            </w14:solidFill>
          </w14:textFill>
        </w:rPr>
        <w:t>三攻坚一盘活</w:t>
      </w:r>
      <w:r>
        <w:rPr>
          <w:rFonts w:hint="eastAsia" w:ascii="方正仿宋_GBK" w:hAnsi="Times New Roman" w:eastAsia="方正仿宋_GBK" w:cs="Times New Roman"/>
          <w:b/>
          <w:color w:val="000000" w:themeColor="text1"/>
          <w:sz w:val="32"/>
          <w:szCs w:val="32"/>
          <w14:textFill>
            <w14:solidFill>
              <w14:schemeClr w14:val="tx1"/>
            </w14:solidFill>
          </w14:textFill>
        </w:rPr>
        <w:t>”</w:t>
      </w:r>
      <w:r>
        <w:rPr>
          <w:rFonts w:ascii="Times New Roman" w:hAnsi="Times New Roman" w:eastAsia="方正仿宋_GBK" w:cs="Times New Roman"/>
          <w:b/>
          <w:color w:val="000000" w:themeColor="text1"/>
          <w:sz w:val="32"/>
          <w:szCs w:val="32"/>
          <w14:textFill>
            <w14:solidFill>
              <w14:schemeClr w14:val="tx1"/>
            </w14:solidFill>
          </w14:textFill>
        </w:rPr>
        <w:t>改革突破提升国资国企效益。</w:t>
      </w:r>
      <w:r>
        <w:rPr>
          <w:rFonts w:ascii="Times New Roman" w:hAnsi="Times New Roman" w:eastAsia="方正仿宋_GBK" w:cs="Times New Roman"/>
          <w:bCs/>
          <w:color w:val="000000" w:themeColor="text1"/>
          <w:sz w:val="32"/>
          <w:szCs w:val="32"/>
          <w14:textFill>
            <w14:solidFill>
              <w14:schemeClr w14:val="tx1"/>
            </w14:solidFill>
          </w14:textFill>
        </w:rPr>
        <w:t>打赢国企改革攻坚战，深化国企</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瘦身健体</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，强化国企队伍建设，提升统一监管质效，推进国企做大做强，国企资产总额突破700亿元，营业收入达到20亿元，实现利税5亿元。打赢园区改革攻坚战，进一步健全管理体系、优化产业布局、提升招商质效，推进</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亩均论英雄</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改革，强化土地集约节约利用，园区规上工业企业营业收入达到350亿元，规上制造业企业亩均税收增长4%以上。打赢政企分离改革攻坚战，分类推进党政机关、事业单位和镇街所属企业全面</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脱钩</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，实现区级经营性国有资产100%集中统一监管。</w:t>
      </w:r>
      <w:r>
        <w:rPr>
          <w:rFonts w:hint="eastAsia" w:ascii="Times New Roman" w:hAnsi="Times New Roman" w:eastAsia="方正仿宋_GBK" w:cs="Times New Roman"/>
          <w:bCs/>
          <w:color w:val="000000" w:themeColor="text1"/>
          <w:sz w:val="32"/>
          <w:szCs w:val="32"/>
          <w14:textFill>
            <w14:solidFill>
              <w14:schemeClr w14:val="tx1"/>
            </w14:solidFill>
          </w14:textFill>
        </w:rPr>
        <w:t>纵深推进国有资产盘活改革，</w:t>
      </w:r>
      <w:r>
        <w:rPr>
          <w:rFonts w:ascii="Times New Roman" w:hAnsi="Times New Roman" w:eastAsia="方正仿宋_GBK" w:cs="Times New Roman"/>
          <w:bCs/>
          <w:color w:val="000000" w:themeColor="text1"/>
          <w:sz w:val="32"/>
          <w:szCs w:val="32"/>
          <w14:textFill>
            <w14:solidFill>
              <w14:schemeClr w14:val="tx1"/>
            </w14:solidFill>
          </w14:textFill>
        </w:rPr>
        <w:t>深化清产核资，推进资产确权，实现区级党政机关办公用房统一管理、经营性资产统一归并划转</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p>
    <w:p>
      <w:pPr>
        <w:widowControl w:val="0"/>
        <w:spacing w:after="0" w:line="594" w:lineRule="exact"/>
        <w:ind w:firstLine="640" w:firstLineChars="200"/>
        <w:jc w:val="both"/>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（二）坚持科技创新赋能，锻造产业竞争新优势</w:t>
      </w:r>
    </w:p>
    <w:p>
      <w:pPr>
        <w:widowControl w:val="0"/>
        <w:spacing w:after="0" w:line="594" w:lineRule="exact"/>
        <w:ind w:firstLine="643"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5. 增强科技创新能力。</w:t>
      </w:r>
      <w:r>
        <w:rPr>
          <w:rFonts w:ascii="Times New Roman" w:hAnsi="Times New Roman" w:eastAsia="方正仿宋_GBK" w:cs="Times New Roman"/>
          <w:color w:val="000000" w:themeColor="text1"/>
          <w:sz w:val="32"/>
          <w:szCs w:val="32"/>
          <w14:textFill>
            <w14:solidFill>
              <w14:schemeClr w14:val="tx1"/>
            </w14:solidFill>
          </w14:textFill>
        </w:rPr>
        <w:t>以科技创新引领现代化产业体系建设，发展新质生产力。落实</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双倍增</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行动计划，</w:t>
      </w:r>
      <w:r>
        <w:rPr>
          <w:rFonts w:hint="eastAsia" w:ascii="Times New Roman" w:hAnsi="Times New Roman" w:eastAsia="方正仿宋_GBK" w:cs="Times New Roman"/>
          <w:color w:val="000000" w:themeColor="text1"/>
          <w:sz w:val="32"/>
          <w:szCs w:val="32"/>
          <w14:textFill>
            <w14:solidFill>
              <w14:schemeClr w14:val="tx1"/>
            </w14:solidFill>
          </w14:textFill>
        </w:rPr>
        <w:t>新增</w:t>
      </w:r>
      <w:r>
        <w:rPr>
          <w:rFonts w:ascii="Times New Roman" w:hAnsi="Times New Roman" w:eastAsia="方正仿宋_GBK" w:cs="Times New Roman"/>
          <w:color w:val="000000" w:themeColor="text1"/>
          <w:sz w:val="32"/>
          <w:szCs w:val="32"/>
          <w14:textFill>
            <w14:solidFill>
              <w14:schemeClr w14:val="tx1"/>
            </w14:solidFill>
          </w14:textFill>
        </w:rPr>
        <w:t>科技型企业100家、高新技术企业20家。推动创新平台集聚，</w:t>
      </w:r>
      <w:r>
        <w:rPr>
          <w:rFonts w:ascii="Times New Roman" w:hAnsi="Times New Roman" w:eastAsia="方正仿宋_GBK" w:cs="Times New Roman"/>
          <w:color w:val="000000" w:themeColor="text1"/>
          <w:kern w:val="2"/>
          <w:sz w:val="32"/>
          <w:szCs w:val="32"/>
          <w14:textFill>
            <w14:solidFill>
              <w14:schemeClr w14:val="tx1"/>
            </w14:solidFill>
          </w14:textFill>
        </w:rPr>
        <w:t>建好用好产业创新联合体、重点实验室、技术创新战略联盟，</w:t>
      </w:r>
      <w:r>
        <w:rPr>
          <w:rFonts w:ascii="Times New Roman" w:hAnsi="Times New Roman" w:eastAsia="方正仿宋_GBK" w:cs="Times New Roman"/>
          <w:color w:val="000000" w:themeColor="text1"/>
          <w:sz w:val="32"/>
          <w:szCs w:val="32"/>
          <w14:textFill>
            <w14:solidFill>
              <w14:schemeClr w14:val="tx1"/>
            </w14:solidFill>
          </w14:textFill>
        </w:rPr>
        <w:t>推动中元汇吉国家级企业技术中心、市医疗器械体外诊断产业公共服务中心等平台建设。巩固提升创新生态，加快</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创新</w:t>
      </w:r>
      <w:r>
        <w:rPr>
          <w:rFonts w:hint="eastAsia" w:ascii="Times New Roman" w:hAnsi="Times New Roman" w:eastAsia="方正仿宋_GBK" w:cs="Times New Roman"/>
          <w:color w:val="000000" w:themeColor="text1"/>
          <w:sz w:val="32"/>
          <w:szCs w:val="32"/>
          <w14:textFill>
            <w14:solidFill>
              <w14:schemeClr w14:val="tx1"/>
            </w14:solidFill>
          </w14:textFill>
        </w:rPr>
        <w:t>十五</w:t>
      </w:r>
      <w:r>
        <w:rPr>
          <w:rFonts w:ascii="Times New Roman" w:hAnsi="Times New Roman" w:eastAsia="方正仿宋_GBK" w:cs="Times New Roman"/>
          <w:color w:val="000000" w:themeColor="text1"/>
          <w:sz w:val="32"/>
          <w:szCs w:val="32"/>
          <w14:textFill>
            <w14:solidFill>
              <w14:schemeClr w14:val="tx1"/>
            </w14:solidFill>
          </w14:textFill>
        </w:rPr>
        <w:t>条</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政策落地，完善科技金融服务，推动知识价值信用贷扩面放量，用好用活创业种子基金，全区研发投入增长10%、研发投入强度达到3.7%，保持全市前列。加快科技成果转化，企业技术合同认定登记金额达到20亿元，万人发明专利拥有量达到27</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5件，位居全市前列。加大引才引智力度，完善</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1+5+N</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人才政策体系，落实卓越工程师</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三大专项</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，办好</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公园大渡口等您来</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系列引才活动</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新增国家级、市级博士后科研工作站各1个。</w:t>
      </w:r>
    </w:p>
    <w:p>
      <w:pPr>
        <w:widowControl w:val="0"/>
        <w:spacing w:after="0" w:line="594" w:lineRule="exact"/>
        <w:ind w:firstLine="643" w:firstLineChars="200"/>
        <w:jc w:val="both"/>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6. 做大做强优势制造业。</w:t>
      </w:r>
      <w:r>
        <w:rPr>
          <w:rFonts w:ascii="Times New Roman" w:hAnsi="Times New Roman" w:eastAsia="方正仿宋_GBK" w:cs="Times New Roman"/>
          <w:color w:val="000000" w:themeColor="text1"/>
          <w:sz w:val="32"/>
          <w:szCs w:val="32"/>
          <w14:textFill>
            <w14:solidFill>
              <w14:schemeClr w14:val="tx1"/>
            </w14:solidFill>
          </w14:textFill>
        </w:rPr>
        <w:t>大数据智能化产业方面，建成海康威视三期、萤石生产基地项目，</w:t>
      </w:r>
      <w:r>
        <w:rPr>
          <w:rFonts w:hint="eastAsia" w:ascii="Times New Roman" w:hAnsi="Times New Roman" w:eastAsia="方正仿宋_GBK" w:cs="Times New Roman"/>
          <w:color w:val="000000" w:themeColor="text1"/>
          <w:sz w:val="32"/>
          <w:szCs w:val="32"/>
          <w14:textFill>
            <w14:solidFill>
              <w14:schemeClr w14:val="tx1"/>
            </w14:solidFill>
          </w14:textFill>
        </w:rPr>
        <w:t>服务</w:t>
      </w:r>
      <w:r>
        <w:rPr>
          <w:rFonts w:ascii="Times New Roman" w:hAnsi="Times New Roman" w:eastAsia="方正仿宋_GBK" w:cs="Times New Roman"/>
          <w:color w:val="000000" w:themeColor="text1"/>
          <w:sz w:val="32"/>
          <w:szCs w:val="32"/>
          <w14:textFill>
            <w14:solidFill>
              <w14:schemeClr w14:val="tx1"/>
            </w14:solidFill>
          </w14:textFill>
        </w:rPr>
        <w:t>软信企业发展壮大，全产业营收增长10%。大健康生物医药产业方面，建成中元汇吉生物科技园，</w:t>
      </w:r>
      <w:r>
        <w:rPr>
          <w:rFonts w:hint="eastAsia" w:ascii="Times New Roman" w:hAnsi="Times New Roman" w:eastAsia="方正仿宋_GBK" w:cs="Times New Roman"/>
          <w:color w:val="000000" w:themeColor="text1"/>
          <w:sz w:val="32"/>
          <w:szCs w:val="32"/>
          <w14:textFill>
            <w14:solidFill>
              <w14:schemeClr w14:val="tx1"/>
            </w14:solidFill>
          </w14:textFill>
        </w:rPr>
        <w:t>推动</w:t>
      </w:r>
      <w:r>
        <w:rPr>
          <w:rFonts w:ascii="Times New Roman" w:hAnsi="Times New Roman" w:eastAsia="方正仿宋_GBK" w:cs="Times New Roman"/>
          <w:color w:val="000000" w:themeColor="text1"/>
          <w:sz w:val="32"/>
          <w:szCs w:val="32"/>
          <w14:textFill>
            <w14:solidFill>
              <w14:schemeClr w14:val="tx1"/>
            </w14:solidFill>
          </w14:textFill>
        </w:rPr>
        <w:t>创新型区域检验中心建设，组建全市体外诊断供应链公共服务平台和流通行业联盟，全产业营收增长25%。生态环保产业方面，依托三峰环境、德润环境等企业拓展延伸垃圾焚烧发电产业链，布局储能、协同供热、环卫一体化等产业新赛道，加快中南高科智能制造科技园等项目建设，全产业营收增长25%。新材料产业方面，</w:t>
      </w:r>
      <w:r>
        <w:rPr>
          <w:rFonts w:hint="eastAsia" w:ascii="Times New Roman" w:hAnsi="Times New Roman" w:eastAsia="方正仿宋_GBK" w:cs="Times New Roman"/>
          <w:color w:val="000000" w:themeColor="text1"/>
          <w:sz w:val="32"/>
          <w:szCs w:val="32"/>
          <w14:textFill>
            <w14:solidFill>
              <w14:schemeClr w14:val="tx1"/>
            </w14:solidFill>
          </w14:textFill>
        </w:rPr>
        <w:t>推动</w:t>
      </w:r>
      <w:r>
        <w:rPr>
          <w:rFonts w:ascii="Times New Roman" w:hAnsi="Times New Roman" w:eastAsia="方正仿宋_GBK" w:cs="Times New Roman"/>
          <w:color w:val="000000" w:themeColor="text1"/>
          <w:sz w:val="32"/>
          <w:szCs w:val="32"/>
          <w14:textFill>
            <w14:solidFill>
              <w14:schemeClr w14:val="tx1"/>
            </w14:solidFill>
          </w14:textFill>
        </w:rPr>
        <w:t>国际复材打造玻纤复合材料下游应用产业园，建成节能门窗生产线等项目，全产业营收增长12%。重庆小面产业方面，加快重庆小面</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八个一</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新发展战略落地，</w:t>
      </w:r>
      <w:r>
        <w:rPr>
          <w:rFonts w:hint="eastAsia" w:ascii="Times New Roman" w:hAnsi="Times New Roman" w:eastAsia="方正仿宋_GBK" w:cs="Times New Roman"/>
          <w:color w:val="000000" w:themeColor="text1"/>
          <w:sz w:val="32"/>
          <w:szCs w:val="32"/>
          <w14:textFill>
            <w14:solidFill>
              <w14:schemeClr w14:val="tx1"/>
            </w14:solidFill>
          </w14:textFill>
        </w:rPr>
        <w:t>完工</w:t>
      </w:r>
      <w:r>
        <w:rPr>
          <w:rFonts w:ascii="Times New Roman" w:hAnsi="Times New Roman" w:eastAsia="方正仿宋_GBK" w:cs="Times New Roman"/>
          <w:color w:val="000000" w:themeColor="text1"/>
          <w:sz w:val="32"/>
          <w:szCs w:val="32"/>
          <w14:textFill>
            <w14:solidFill>
              <w14:schemeClr w14:val="tx1"/>
            </w14:solidFill>
          </w14:textFill>
        </w:rPr>
        <w:t>重庆小面产业园生产中心二期</w:t>
      </w:r>
      <w:r>
        <w:rPr>
          <w:rFonts w:hint="eastAsia" w:ascii="Times New Roman" w:hAnsi="Times New Roman" w:eastAsia="方正仿宋_GBK" w:cs="Times New Roman"/>
          <w:color w:val="000000" w:themeColor="text1"/>
          <w:sz w:val="32"/>
          <w:szCs w:val="32"/>
          <w14:textFill>
            <w14:solidFill>
              <w14:schemeClr w14:val="tx1"/>
            </w14:solidFill>
          </w14:textFill>
        </w:rPr>
        <w:t>项目</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提速</w:t>
      </w:r>
      <w:r>
        <w:rPr>
          <w:rFonts w:ascii="Times New Roman" w:hAnsi="Times New Roman" w:eastAsia="方正仿宋_GBK" w:cs="Times New Roman"/>
          <w:color w:val="000000" w:themeColor="text1"/>
          <w:sz w:val="32"/>
          <w:szCs w:val="32"/>
          <w14:textFill>
            <w14:solidFill>
              <w14:schemeClr w14:val="tx1"/>
            </w14:solidFill>
          </w14:textFill>
        </w:rPr>
        <w:t>重庆市麦制品产业集群公共服务平台建设，推动供应链体系构建、品牌连锁推广、产业基金组建等工作，助力产业爆发式增长</w:t>
      </w:r>
      <w:r>
        <w:rPr>
          <w:rFonts w:ascii="Times New Roman" w:hAnsi="Times New Roman" w:eastAsia="方正仿宋_GBK" w:cs="Times New Roman"/>
          <w:color w:val="000000" w:themeColor="text1"/>
          <w:sz w:val="32"/>
          <w:szCs w:val="32"/>
          <w:lang w:bidi="ar"/>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推动传统产业转型升级，</w:t>
      </w:r>
      <w:r>
        <w:rPr>
          <w:rFonts w:hint="eastAsia" w:ascii="Times New Roman" w:hAnsi="Times New Roman" w:eastAsia="方正仿宋_GBK" w:cs="Times New Roman"/>
          <w:color w:val="000000" w:themeColor="text1"/>
          <w:sz w:val="32"/>
          <w:szCs w:val="32"/>
          <w14:textFill>
            <w14:solidFill>
              <w14:schemeClr w14:val="tx1"/>
            </w14:solidFill>
          </w14:textFill>
        </w:rPr>
        <w:t>深入实施制造业重大技术改造升级和大规模设备更新工程，</w:t>
      </w:r>
      <w:r>
        <w:rPr>
          <w:rFonts w:ascii="Times New Roman" w:hAnsi="Times New Roman" w:eastAsia="方正仿宋_GBK" w:cs="Times New Roman"/>
          <w:color w:val="000000" w:themeColor="text1"/>
          <w:sz w:val="32"/>
          <w:szCs w:val="32"/>
          <w14:textFill>
            <w14:solidFill>
              <w14:schemeClr w14:val="tx1"/>
            </w14:solidFill>
          </w14:textFill>
        </w:rPr>
        <w:t>完成企业技改项目20个，力促虬龙总部主体完工，确保春风动力一期投产，整合全区汽摩配企业资源，加快向高端化、智能化、绿色化方向转型发展。加快推动重钢与宝武集团融合发展，拓展企业在区布局。出台《建筑业高质量发展若干措施（试行）》，竣工中冶</w:t>
      </w:r>
      <w:r>
        <w:rPr>
          <w:rFonts w:hint="eastAsia" w:ascii="Times New Roman" w:hAnsi="Times New Roman" w:eastAsia="方正仿宋_GBK" w:cs="Times New Roman"/>
          <w:color w:val="000000" w:themeColor="text1"/>
          <w:sz w:val="32"/>
          <w:szCs w:val="32"/>
          <w14:textFill>
            <w14:solidFill>
              <w14:schemeClr w14:val="tx1"/>
            </w14:solidFill>
          </w14:textFill>
        </w:rPr>
        <w:t>建工</w:t>
      </w:r>
      <w:r>
        <w:rPr>
          <w:rFonts w:ascii="Times New Roman" w:hAnsi="Times New Roman" w:eastAsia="方正仿宋_GBK" w:cs="Times New Roman"/>
          <w:color w:val="000000" w:themeColor="text1"/>
          <w:sz w:val="32"/>
          <w:szCs w:val="32"/>
          <w14:textFill>
            <w14:solidFill>
              <w14:schemeClr w14:val="tx1"/>
            </w14:solidFill>
          </w14:textFill>
        </w:rPr>
        <w:t>绿色建筑材料</w:t>
      </w:r>
      <w:r>
        <w:rPr>
          <w:rFonts w:hint="eastAsia" w:ascii="Times New Roman" w:hAnsi="Times New Roman" w:eastAsia="方正仿宋_GBK" w:cs="Times New Roman"/>
          <w:color w:val="000000" w:themeColor="text1"/>
          <w:sz w:val="32"/>
          <w:szCs w:val="32"/>
          <w14:textFill>
            <w14:solidFill>
              <w14:schemeClr w14:val="tx1"/>
            </w14:solidFill>
          </w14:textFill>
        </w:rPr>
        <w:t>中试及转换基地</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重庆建工</w:t>
      </w:r>
      <w:r>
        <w:rPr>
          <w:rFonts w:ascii="Times New Roman" w:hAnsi="Times New Roman" w:eastAsia="方正仿宋_GBK" w:cs="Times New Roman"/>
          <w:color w:val="000000" w:themeColor="text1"/>
          <w:sz w:val="32"/>
          <w:szCs w:val="32"/>
          <w14:textFill>
            <w14:solidFill>
              <w14:schemeClr w14:val="tx1"/>
            </w14:solidFill>
          </w14:textFill>
        </w:rPr>
        <w:t>新型绿色环保建材智能生产示范基地等项目，</w:t>
      </w:r>
      <w:r>
        <w:rPr>
          <w:rFonts w:ascii="Times New Roman" w:hAnsi="Times New Roman" w:eastAsia="方正仿宋_GBK" w:cs="Times New Roman"/>
          <w:bCs/>
          <w:color w:val="000000" w:themeColor="text1"/>
          <w:sz w:val="32"/>
          <w:szCs w:val="32"/>
          <w:shd w:val="clear" w:color="auto" w:fill="FFFFFF"/>
          <w14:textFill>
            <w14:solidFill>
              <w14:schemeClr w14:val="tx1"/>
            </w14:solidFill>
          </w14:textFill>
        </w:rPr>
        <w:t>全年建筑业产值增长</w:t>
      </w:r>
      <w:r>
        <w:rPr>
          <w:rFonts w:ascii="Times New Roman" w:hAnsi="Times New Roman" w:eastAsia="方正楷体_GBK" w:cs="Times New Roman"/>
          <w:bCs/>
          <w:color w:val="000000" w:themeColor="text1"/>
          <w:sz w:val="32"/>
          <w:szCs w:val="32"/>
          <w:shd w:val="clear" w:color="auto" w:fill="FFFFFF"/>
          <w14:textFill>
            <w14:solidFill>
              <w14:schemeClr w14:val="tx1"/>
            </w14:solidFill>
          </w14:textFill>
        </w:rPr>
        <w:t>14%</w:t>
      </w:r>
      <w:r>
        <w:rPr>
          <w:rFonts w:hint="eastAsia" w:ascii="Times New Roman" w:hAnsi="Times New Roman" w:eastAsia="方正仿宋_GBK" w:cs="Times New Roman"/>
          <w:color w:val="000000" w:themeColor="text1"/>
          <w:sz w:val="32"/>
          <w:szCs w:val="32"/>
          <w14:textFill>
            <w14:solidFill>
              <w14:schemeClr w14:val="tx1"/>
            </w14:solidFill>
          </w14:textFill>
        </w:rPr>
        <w:t>以上</w:t>
      </w:r>
      <w:r>
        <w:rPr>
          <w:rFonts w:ascii="Times New Roman" w:hAnsi="Times New Roman" w:eastAsia="方正楷体_GBK" w:cs="Times New Roman"/>
          <w:color w:val="000000" w:themeColor="text1"/>
          <w:sz w:val="32"/>
          <w:szCs w:val="32"/>
          <w14:textFill>
            <w14:solidFill>
              <w14:schemeClr w14:val="tx1"/>
            </w14:solidFill>
          </w14:textFill>
        </w:rPr>
        <w:t>。</w:t>
      </w:r>
    </w:p>
    <w:p>
      <w:pPr>
        <w:pStyle w:val="24"/>
        <w:widowControl w:val="0"/>
        <w:spacing w:after="0" w:line="594" w:lineRule="exact"/>
        <w:ind w:left="0" w:firstLine="643"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7. 狠抓服务业增量补短。</w:t>
      </w:r>
      <w:r>
        <w:rPr>
          <w:rFonts w:ascii="Times New Roman" w:hAnsi="Times New Roman" w:eastAsia="方正仿宋_GBK" w:cs="Times New Roman"/>
          <w:color w:val="000000" w:themeColor="text1"/>
          <w:sz w:val="32"/>
          <w:szCs w:val="32"/>
          <w14:textFill>
            <w14:solidFill>
              <w14:schemeClr w14:val="tx1"/>
            </w14:solidFill>
          </w14:textFill>
        </w:rPr>
        <w:t>实施服务业三年倍增计划，推动商贸服务提质升级，加快龙湖剑峤天街、天安数码城三期等项目建设，推动万象汇B馆开业运营，完工投用盘龙汇综合交易配送中心，培育建设西城大道新能源汽摩集聚消费区，全年新增纳统商贸单位100家以上。推动文旅服务加快发展，</w:t>
      </w:r>
      <w:r>
        <w:rPr>
          <w:rFonts w:hint="eastAsia" w:ascii="Times New Roman" w:hAnsi="Times New Roman" w:eastAsia="方正仿宋_GBK" w:cs="Times New Roman"/>
          <w:color w:val="000000" w:themeColor="text1"/>
          <w:sz w:val="32"/>
          <w:szCs w:val="32"/>
          <w14:textFill>
            <w14:solidFill>
              <w14:schemeClr w14:val="tx1"/>
            </w14:solidFill>
          </w14:textFill>
        </w:rPr>
        <w:t>启动</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新港码头—大渡村—义渡古镇</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连片开发，</w:t>
      </w:r>
      <w:r>
        <w:rPr>
          <w:rFonts w:ascii="Times New Roman" w:hAnsi="Times New Roman" w:eastAsia="方正仿宋_GBK" w:cs="Times New Roman"/>
          <w:color w:val="000000" w:themeColor="text1"/>
          <w:sz w:val="32"/>
          <w:szCs w:val="32"/>
          <w14:textFill>
            <w14:solidFill>
              <w14:schemeClr w14:val="tx1"/>
            </w14:solidFill>
          </w14:textFill>
        </w:rPr>
        <w:t>加快大渡口缆车等项目建设，依托义渡古镇片区、南海温泉片区文旅载体，打造爆款过夜游产品。提速建设高标准酒店，积极引育会展企业。依托影视产业基地招引30家上下游企业入驻，新增文旅企业35家，文化产业增加值增长8 %以上。推动现代金融业扩容提质，支持金融机构提升规模，支持股权投资类机构提升业绩，争取阿里资产西部公司等优质企业和金融机构落户</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推动现代物流特色发展，加快万吨商旅融合总部基地建设，推动</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万吨通</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Times New Roman"/>
          <w:color w:val="000000" w:themeColor="text1"/>
          <w:sz w:val="32"/>
          <w:szCs w:val="32"/>
          <w14:textFill>
            <w14:solidFill>
              <w14:schemeClr w14:val="tx1"/>
            </w14:solidFill>
          </w14:textFill>
        </w:rPr>
        <w:t>平台</w:t>
      </w:r>
      <w:r>
        <w:rPr>
          <w:rFonts w:ascii="Times New Roman" w:hAnsi="Times New Roman" w:eastAsia="方正仿宋_GBK" w:cs="Times New Roman"/>
          <w:color w:val="000000" w:themeColor="text1"/>
          <w:sz w:val="32"/>
          <w:szCs w:val="32"/>
          <w14:textFill>
            <w14:solidFill>
              <w14:schemeClr w14:val="tx1"/>
            </w14:solidFill>
          </w14:textFill>
        </w:rPr>
        <w:t>落地运营，争创国家骨干冷链物流基地；</w:t>
      </w:r>
      <w:r>
        <w:rPr>
          <w:rFonts w:hint="eastAsia" w:ascii="Times New Roman" w:hAnsi="Times New Roman" w:eastAsia="方正仿宋_GBK" w:cs="Times New Roman"/>
          <w:color w:val="000000" w:themeColor="text1"/>
          <w:sz w:val="32"/>
          <w:szCs w:val="32"/>
          <w14:textFill>
            <w14:solidFill>
              <w14:schemeClr w14:val="tx1"/>
            </w14:solidFill>
          </w14:textFill>
        </w:rPr>
        <w:t>推动</w:t>
      </w:r>
      <w:r>
        <w:rPr>
          <w:rFonts w:ascii="Times New Roman" w:hAnsi="Times New Roman" w:eastAsia="方正仿宋_GBK" w:cs="Times New Roman"/>
          <w:color w:val="000000" w:themeColor="text1"/>
          <w:sz w:val="32"/>
          <w:szCs w:val="32"/>
          <w14:textFill>
            <w14:solidFill>
              <w14:schemeClr w14:val="tx1"/>
            </w14:solidFill>
          </w14:textFill>
        </w:rPr>
        <w:t>龙文钢材市场转型升级，实现数字化交易平台试运营。推动专业服务多点开花，引导天安数码城、华伦元石国际打造生物医药商贸专业园区，培育发展研发设计、检验检测、科技服务等专业服务业。全年服务业增加值增长6%以上，新增规上服务业企业40家。</w:t>
      </w:r>
    </w:p>
    <w:p>
      <w:pPr>
        <w:pStyle w:val="24"/>
        <w:widowControl w:val="0"/>
        <w:spacing w:after="0" w:line="594" w:lineRule="exact"/>
        <w:ind w:left="0" w:firstLine="643"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color w:val="000000" w:themeColor="text1"/>
          <w:sz w:val="32"/>
          <w:szCs w:val="32"/>
          <w14:textFill>
            <w14:solidFill>
              <w14:schemeClr w14:val="tx1"/>
            </w14:solidFill>
          </w14:textFill>
        </w:rPr>
        <w:t>8. 抢占数字经济新赛道。</w:t>
      </w:r>
      <w:r>
        <w:rPr>
          <w:rFonts w:ascii="Times New Roman" w:hAnsi="Times New Roman" w:eastAsia="方正仿宋_GBK" w:cs="Times New Roman"/>
          <w:color w:val="000000" w:themeColor="text1"/>
          <w:sz w:val="32"/>
          <w:szCs w:val="32"/>
          <w14:textFill>
            <w14:solidFill>
              <w14:schemeClr w14:val="tx1"/>
            </w14:solidFill>
          </w14:textFill>
        </w:rPr>
        <w:t>加快数智转型，引导企业争创数字化转型试点示范、双化协同示范，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积极</w:t>
      </w:r>
      <w:r>
        <w:rPr>
          <w:rFonts w:ascii="Times New Roman" w:hAnsi="Times New Roman" w:eastAsia="方正仿宋_GBK" w:cs="Times New Roman"/>
          <w:color w:val="000000" w:themeColor="text1"/>
          <w:sz w:val="32"/>
          <w:szCs w:val="32"/>
          <w14:textFill>
            <w14:solidFill>
              <w14:schemeClr w14:val="tx1"/>
            </w14:solidFill>
          </w14:textFill>
        </w:rPr>
        <w:t>新建智能工厂、数字化车间。深入实施</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满天星</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行动，盘活楼宇10万平方米以上，加快推动华韶智算中心、东华软件西南总部基地等项目建设，做大做强软件产业园，积极培育</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启明星</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北斗星</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企业，全年新引育软件企业50家，实现</w:t>
      </w:r>
      <w:r>
        <w:rPr>
          <w:rFonts w:hint="eastAsia" w:ascii="Times New Roman" w:hAnsi="Times New Roman" w:eastAsia="方正仿宋_GBK" w:cs="Times New Roman"/>
          <w:color w:val="000000" w:themeColor="text1"/>
          <w:sz w:val="32"/>
          <w:szCs w:val="32"/>
          <w14:textFill>
            <w14:solidFill>
              <w14:schemeClr w14:val="tx1"/>
            </w14:solidFill>
          </w14:textFill>
        </w:rPr>
        <w:t>软件产业</w:t>
      </w:r>
      <w:r>
        <w:rPr>
          <w:rFonts w:ascii="Times New Roman" w:hAnsi="Times New Roman" w:eastAsia="方正仿宋_GBK" w:cs="Times New Roman"/>
          <w:color w:val="000000" w:themeColor="text1"/>
          <w:sz w:val="32"/>
          <w:szCs w:val="32"/>
          <w14:textFill>
            <w14:solidFill>
              <w14:schemeClr w14:val="tx1"/>
            </w14:solidFill>
          </w14:textFill>
        </w:rPr>
        <w:t>营收增长30%。实施专精特新</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小巨人</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企业倍增计划，新增</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专精特新</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企业12家</w:t>
      </w:r>
      <w:r>
        <w:rPr>
          <w:rFonts w:hint="eastAsia" w:ascii="Times New Roman" w:hAnsi="Times New Roman" w:eastAsia="方正仿宋_GBK" w:cs="Times New Roman"/>
          <w:color w:val="000000" w:themeColor="text1"/>
          <w:sz w:val="32"/>
          <w:szCs w:val="32"/>
          <w14:textFill>
            <w14:solidFill>
              <w14:schemeClr w14:val="tx1"/>
            </w14:solidFill>
          </w14:textFill>
        </w:rPr>
        <w:t>以上</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小巨人</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企业1家。推进重庆市现代产业链服务平台做深做实，力争完成授信5亿元以上，新增1家以上合作银行。</w:t>
      </w:r>
    </w:p>
    <w:p>
      <w:pPr>
        <w:widowControl w:val="0"/>
        <w:spacing w:after="0" w:line="594" w:lineRule="exact"/>
        <w:jc w:val="center"/>
        <w:rPr>
          <w:rFonts w:ascii="Times New Roman" w:hAnsi="Times New Roman" w:eastAsia="方正黑体_GBK" w:cs="Times New Roman"/>
          <w:color w:val="000000" w:themeColor="text1"/>
          <w:sz w:val="28"/>
          <w:szCs w:val="28"/>
          <w14:textFill>
            <w14:solidFill>
              <w14:schemeClr w14:val="tx1"/>
            </w14:solidFill>
          </w14:textFill>
        </w:rPr>
      </w:pPr>
      <w:r>
        <w:rPr>
          <w:rFonts w:ascii="Times New Roman" w:hAnsi="Times New Roman" w:eastAsia="方正黑体_GBK" w:cs="Times New Roman"/>
          <w:color w:val="000000" w:themeColor="text1"/>
          <w:sz w:val="28"/>
          <w:szCs w:val="28"/>
          <w14:textFill>
            <w14:solidFill>
              <w14:schemeClr w14:val="tx1"/>
            </w14:solidFill>
          </w14:textFill>
        </w:rPr>
        <w:t>专栏</w:t>
      </w:r>
      <w:r>
        <w:rPr>
          <w:rFonts w:hint="eastAsia" w:ascii="Times New Roman" w:hAnsi="Times New Roman" w:eastAsia="方正黑体_GBK" w:cs="Times New Roman"/>
          <w:color w:val="000000" w:themeColor="text1"/>
          <w:sz w:val="28"/>
          <w:szCs w:val="28"/>
          <w:lang w:val="en-US" w:eastAsia="zh-CN"/>
          <w14:textFill>
            <w14:solidFill>
              <w14:schemeClr w14:val="tx1"/>
            </w14:solidFill>
          </w14:textFill>
        </w:rPr>
        <w:t>2</w:t>
      </w:r>
      <w:r>
        <w:rPr>
          <w:rFonts w:ascii="Times New Roman" w:hAnsi="Times New Roman" w:eastAsia="方正黑体_GBK" w:cs="Times New Roman"/>
          <w:color w:val="000000" w:themeColor="text1"/>
          <w:sz w:val="28"/>
          <w:szCs w:val="28"/>
          <w14:textFill>
            <w14:solidFill>
              <w14:schemeClr w14:val="tx1"/>
            </w14:solidFill>
          </w14:textFill>
        </w:rPr>
        <w:t>：2024年产业建设重点项目</w:t>
      </w:r>
    </w:p>
    <w:tbl>
      <w:tblPr>
        <w:tblStyle w:val="13"/>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118" w:type="dxa"/>
            <w:vAlign w:val="center"/>
          </w:tcPr>
          <w:p>
            <w:pPr>
              <w:widowControl w:val="0"/>
              <w:tabs>
                <w:tab w:val="left" w:pos="1534"/>
              </w:tabs>
              <w:spacing w:after="0" w:line="260" w:lineRule="exact"/>
              <w:jc w:val="both"/>
              <w:rPr>
                <w:rFonts w:ascii="Times New Roman" w:hAnsi="Times New Roman" w:eastAsia="方正仿宋_GBK" w:cs="Times New Roman"/>
                <w:bCs/>
                <w:color w:val="000000" w:themeColor="text1"/>
                <w:sz w:val="21"/>
                <w:szCs w:val="21"/>
                <w14:textFill>
                  <w14:solidFill>
                    <w14:schemeClr w14:val="tx1"/>
                  </w14:solidFill>
                </w14:textFill>
              </w:rPr>
            </w:pPr>
            <w:r>
              <w:rPr>
                <w:rFonts w:ascii="Times New Roman" w:hAnsi="Times New Roman" w:eastAsia="方正黑体_GBK" w:cs="Times New Roman"/>
                <w:bCs/>
                <w:color w:val="000000" w:themeColor="text1"/>
                <w:sz w:val="21"/>
                <w:szCs w:val="21"/>
                <w14:textFill>
                  <w14:solidFill>
                    <w14:schemeClr w14:val="tx1"/>
                  </w14:solidFill>
                </w14:textFill>
              </w:rPr>
              <w:t>新兴产业项目：</w:t>
            </w:r>
            <w:r>
              <w:rPr>
                <w:rFonts w:ascii="Times New Roman" w:hAnsi="Times New Roman" w:eastAsia="方正仿宋_GBK" w:cs="Times New Roman"/>
                <w:bCs/>
                <w:color w:val="000000" w:themeColor="text1"/>
                <w:sz w:val="21"/>
                <w:szCs w:val="21"/>
                <w14:textFill>
                  <w14:solidFill>
                    <w14:schemeClr w14:val="tx1"/>
                  </w14:solidFill>
                </w14:textFill>
              </w:rPr>
              <w:t>海康威视科技园三期、萤石生产基地、华韶智算中心一期项目、宝武西南总部、东华软件西南总部基地、中元汇吉生物科技园、N10</w:t>
            </w:r>
            <w:r>
              <w:rPr>
                <w:rFonts w:hint="eastAsia" w:ascii="Times New Roman"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2</w:t>
            </w:r>
            <w:r>
              <w:rPr>
                <w:rFonts w:hint="eastAsia" w:ascii="Times New Roman"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1</w:t>
            </w:r>
            <w:r>
              <w:rPr>
                <w:rFonts w:hint="eastAsia" w:ascii="Times New Roman" w:hAnsi="Times New Roman" w:eastAsia="方正仿宋_GBK" w:cs="Times New Roman"/>
                <w:bCs/>
                <w:color w:val="000000" w:themeColor="text1"/>
                <w:sz w:val="21"/>
                <w:szCs w:val="21"/>
                <w14:textFill>
                  <w14:solidFill>
                    <w14:schemeClr w14:val="tx1"/>
                  </w14:solidFill>
                </w14:textFill>
              </w:rPr>
              <w:t>地块生物医药产业园三期项目</w:t>
            </w:r>
            <w:r>
              <w:rPr>
                <w:rFonts w:ascii="Times New Roman" w:hAnsi="Times New Roman" w:eastAsia="方正仿宋_GBK" w:cs="Times New Roman"/>
                <w:bCs/>
                <w:color w:val="000000" w:themeColor="text1"/>
                <w:sz w:val="21"/>
                <w:szCs w:val="21"/>
                <w14:textFill>
                  <w14:solidFill>
                    <w14:schemeClr w14:val="tx1"/>
                  </w14:solidFill>
                </w14:textFill>
              </w:rPr>
              <w:t>、虬龙科技研发总部项目、中南高科智能制造科技园项目、聚氨酯节能门窗生产线项目、新能源汽车减速器及自动变速器用高精度齿轮产能提升项目、</w:t>
            </w:r>
            <w:r>
              <w:rPr>
                <w:rStyle w:val="36"/>
                <w:rFonts w:hint="default" w:ascii="Times New Roman" w:hAnsi="Times New Roman" w:eastAsia="方正仿宋_GBK" w:cs="Times New Roman"/>
                <w:color w:val="000000" w:themeColor="text1"/>
                <w:sz w:val="21"/>
                <w:szCs w:val="21"/>
                <w:lang w:bidi="ar"/>
                <w14:textFill>
                  <w14:solidFill>
                    <w14:schemeClr w14:val="tx1"/>
                  </w14:solidFill>
                </w14:textFill>
              </w:rPr>
              <w:t>重庆市麦制品产业集群公共服务平台、</w:t>
            </w:r>
            <w:r>
              <w:rPr>
                <w:rFonts w:ascii="Times New Roman" w:hAnsi="Times New Roman" w:eastAsia="方正仿宋_GBK" w:cs="Times New Roman"/>
                <w:bCs/>
                <w:color w:val="000000" w:themeColor="text1"/>
                <w:sz w:val="21"/>
                <w:szCs w:val="21"/>
                <w14:textFill>
                  <w14:solidFill>
                    <w14:schemeClr w14:val="tx1"/>
                  </w14:solidFill>
                </w14:textFill>
              </w:rPr>
              <w:t>井谷元重庆小面调味料车间建设、红九九扩能搬迁项目、快消品研发生产基地标准厂房项目、钰鑫快消品研发中心及生产项目、</w:t>
            </w:r>
            <w:r>
              <w:rPr>
                <w:rStyle w:val="36"/>
                <w:rFonts w:hint="default" w:ascii="Times New Roman" w:hAnsi="Times New Roman" w:eastAsia="方正仿宋_GBK" w:cs="Times New Roman"/>
                <w:color w:val="000000" w:themeColor="text1"/>
                <w:sz w:val="21"/>
                <w:szCs w:val="21"/>
                <w:lang w:bidi="ar"/>
                <w14:textFill>
                  <w14:solidFill>
                    <w14:schemeClr w14:val="tx1"/>
                  </w14:solidFill>
                </w14:textFill>
              </w:rPr>
              <w:t>春风动力摩托车制造基地、</w:t>
            </w:r>
            <w:r>
              <w:rPr>
                <w:rFonts w:ascii="Times New Roman" w:hAnsi="Times New Roman" w:eastAsia="方正仿宋_GBK" w:cs="Times New Roman"/>
                <w:bCs/>
                <w:color w:val="000000" w:themeColor="text1"/>
                <w:sz w:val="21"/>
                <w:szCs w:val="21"/>
                <w14:textFill>
                  <w14:solidFill>
                    <w14:schemeClr w14:val="tx1"/>
                  </w14:solidFill>
                </w14:textFill>
              </w:rPr>
              <w:t>兴达汽车线束总成生产基地技术改造项目二期、</w:t>
            </w:r>
            <w:r>
              <w:rPr>
                <w:rFonts w:hint="eastAsia" w:ascii="Times New Roman" w:hAnsi="Times New Roman" w:eastAsia="方正仿宋_GBK" w:cs="Times New Roman"/>
                <w:bCs/>
                <w:color w:val="000000" w:themeColor="text1"/>
                <w:sz w:val="21"/>
                <w:szCs w:val="21"/>
                <w14:textFill>
                  <w14:solidFill>
                    <w14:schemeClr w14:val="tx1"/>
                  </w14:solidFill>
                </w14:textFill>
              </w:rPr>
              <w:t>重庆建工</w:t>
            </w:r>
            <w:r>
              <w:rPr>
                <w:rFonts w:ascii="Times New Roman" w:hAnsi="Times New Roman" w:eastAsia="方正仿宋_GBK" w:cs="Times New Roman"/>
                <w:bCs/>
                <w:color w:val="000000" w:themeColor="text1"/>
                <w:sz w:val="21"/>
                <w:szCs w:val="21"/>
                <w14:textFill>
                  <w14:solidFill>
                    <w14:schemeClr w14:val="tx1"/>
                  </w14:solidFill>
                </w14:textFill>
              </w:rPr>
              <w:t>新型绿色环保建材智能生产示范基地、</w:t>
            </w:r>
            <w:r>
              <w:rPr>
                <w:rFonts w:hint="eastAsia" w:ascii="Times New Roman" w:hAnsi="Times New Roman" w:eastAsia="方正仿宋_GBK" w:cs="Times New Roman"/>
                <w:bCs/>
                <w:color w:val="000000" w:themeColor="text1"/>
                <w:sz w:val="21"/>
                <w:szCs w:val="21"/>
                <w14:textFill>
                  <w14:solidFill>
                    <w14:schemeClr w14:val="tx1"/>
                  </w14:solidFill>
                </w14:textFill>
              </w:rPr>
              <w:t>中冶建工绿色建筑材料中试及转换基地</w:t>
            </w:r>
          </w:p>
          <w:p>
            <w:pPr>
              <w:widowControl w:val="0"/>
              <w:spacing w:after="0" w:line="260" w:lineRule="exact"/>
              <w:jc w:val="both"/>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黑体_GBK" w:cs="Times New Roman"/>
                <w:bCs/>
                <w:color w:val="000000" w:themeColor="text1"/>
                <w:sz w:val="21"/>
                <w:szCs w:val="21"/>
                <w14:textFill>
                  <w14:solidFill>
                    <w14:schemeClr w14:val="tx1"/>
                  </w14:solidFill>
                </w14:textFill>
              </w:rPr>
              <w:t>现代服务业项目：</w:t>
            </w:r>
            <w:r>
              <w:rPr>
                <w:rFonts w:hint="eastAsia" w:ascii="Times New Roman" w:hAnsi="Times New Roman" w:eastAsia="方正仿宋_GBK" w:cs="Times New Roman"/>
                <w:bCs/>
                <w:color w:val="000000" w:themeColor="text1"/>
                <w:sz w:val="21"/>
                <w:szCs w:val="21"/>
                <w14:textFill>
                  <w14:solidFill>
                    <w14:schemeClr w14:val="tx1"/>
                  </w14:solidFill>
                </w14:textFill>
              </w:rPr>
              <w:t>茄子溪长江音悦港</w:t>
            </w:r>
            <w:r>
              <w:rPr>
                <w:rFonts w:ascii="Times New Roman" w:hAnsi="Times New Roman" w:eastAsia="方正仿宋_GBK" w:cs="Times New Roman"/>
                <w:bCs/>
                <w:color w:val="000000" w:themeColor="text1"/>
                <w:sz w:val="21"/>
                <w:szCs w:val="21"/>
                <w14:textFill>
                  <w14:solidFill>
                    <w14:schemeClr w14:val="tx1"/>
                  </w14:solidFill>
                </w14:textFill>
              </w:rPr>
              <w:t>、</w:t>
            </w:r>
            <w:r>
              <w:rPr>
                <w:rStyle w:val="29"/>
                <w:rFonts w:hint="default" w:ascii="Times New Roman" w:hAnsi="Times New Roman" w:eastAsia="方正仿宋_GBK" w:cs="Times New Roman"/>
                <w:color w:val="000000" w:themeColor="text1"/>
                <w:sz w:val="21"/>
                <w:szCs w:val="21"/>
                <w:lang w:bidi="ar"/>
                <w14:textFill>
                  <w14:solidFill>
                    <w14:schemeClr w14:val="tx1"/>
                  </w14:solidFill>
                </w14:textFill>
              </w:rPr>
              <w:t>天安产业三期</w:t>
            </w:r>
            <w:r>
              <w:rPr>
                <w:rStyle w:val="30"/>
                <w:rFonts w:eastAsia="方正仿宋_GBK"/>
                <w:color w:val="000000" w:themeColor="text1"/>
                <w:sz w:val="21"/>
                <w:szCs w:val="21"/>
                <w:lang w:bidi="ar"/>
                <w14:textFill>
                  <w14:solidFill>
                    <w14:schemeClr w14:val="tx1"/>
                  </w14:solidFill>
                </w14:textFill>
              </w:rPr>
              <w:t>B</w:t>
            </w:r>
            <w:r>
              <w:rPr>
                <w:rStyle w:val="29"/>
                <w:rFonts w:hint="default" w:ascii="Times New Roman" w:hAnsi="Times New Roman" w:eastAsia="方正仿宋_GBK" w:cs="Times New Roman"/>
                <w:color w:val="000000" w:themeColor="text1"/>
                <w:sz w:val="21"/>
                <w:szCs w:val="21"/>
                <w:lang w:bidi="ar"/>
                <w14:textFill>
                  <w14:solidFill>
                    <w14:schemeClr w14:val="tx1"/>
                  </w14:solidFill>
                </w14:textFill>
              </w:rPr>
              <w:t>组团、</w:t>
            </w:r>
            <w:r>
              <w:rPr>
                <w:rFonts w:ascii="Times New Roman" w:hAnsi="Times New Roman" w:eastAsia="方正仿宋_GBK" w:cs="Times New Roman"/>
                <w:bCs/>
                <w:color w:val="000000" w:themeColor="text1"/>
                <w:sz w:val="21"/>
                <w:szCs w:val="21"/>
                <w14:textFill>
                  <w14:solidFill>
                    <w14:schemeClr w14:val="tx1"/>
                  </w14:solidFill>
                </w14:textFill>
              </w:rPr>
              <w:t>重庆万吨商旅融合总部基地、</w:t>
            </w:r>
            <w:r>
              <w:rPr>
                <w:rFonts w:hint="eastAsia" w:ascii="Times New Roman" w:hAnsi="Times New Roman" w:eastAsia="方正仿宋_GBK" w:cs="Times New Roman"/>
                <w:bCs/>
                <w:color w:val="000000" w:themeColor="text1"/>
                <w:sz w:val="21"/>
                <w:szCs w:val="21"/>
                <w14:textFill>
                  <w14:solidFill>
                    <w14:schemeClr w14:val="tx1"/>
                  </w14:solidFill>
                </w14:textFill>
              </w:rPr>
              <w:t>潜能喜来登酒店</w:t>
            </w:r>
            <w:r>
              <w:rPr>
                <w:rFonts w:ascii="Times New Roman" w:hAnsi="Times New Roman" w:eastAsia="方正仿宋_GBK" w:cs="Times New Roman"/>
                <w:bCs/>
                <w:color w:val="000000" w:themeColor="text1"/>
                <w:sz w:val="21"/>
                <w:szCs w:val="21"/>
                <w14:textFill>
                  <w14:solidFill>
                    <w14:schemeClr w14:val="tx1"/>
                  </w14:solidFill>
                </w14:textFill>
              </w:rPr>
              <w:t>、</w:t>
            </w:r>
            <w:r>
              <w:rPr>
                <w:rStyle w:val="29"/>
                <w:rFonts w:hint="default" w:ascii="Times New Roman" w:hAnsi="Times New Roman" w:eastAsia="方正仿宋_GBK" w:cs="Times New Roman"/>
                <w:color w:val="000000" w:themeColor="text1"/>
                <w:sz w:val="21"/>
                <w:szCs w:val="21"/>
                <w:lang w:bidi="ar"/>
                <w14:textFill>
                  <w14:solidFill>
                    <w14:schemeClr w14:val="tx1"/>
                  </w14:solidFill>
                </w14:textFill>
              </w:rPr>
              <w:t>万象汇</w:t>
            </w:r>
            <w:r>
              <w:rPr>
                <w:rStyle w:val="30"/>
                <w:rFonts w:eastAsia="方正仿宋_GBK"/>
                <w:color w:val="000000" w:themeColor="text1"/>
                <w:sz w:val="21"/>
                <w:szCs w:val="21"/>
                <w:lang w:bidi="ar"/>
                <w14:textFill>
                  <w14:solidFill>
                    <w14:schemeClr w14:val="tx1"/>
                  </w14:solidFill>
                </w14:textFill>
              </w:rPr>
              <w:t>B</w:t>
            </w:r>
            <w:r>
              <w:rPr>
                <w:rStyle w:val="29"/>
                <w:rFonts w:hint="default" w:ascii="Times New Roman" w:hAnsi="Times New Roman" w:eastAsia="方正仿宋_GBK" w:cs="Times New Roman"/>
                <w:color w:val="000000" w:themeColor="text1"/>
                <w:sz w:val="21"/>
                <w:szCs w:val="21"/>
                <w:lang w:bidi="ar"/>
                <w14:textFill>
                  <w14:solidFill>
                    <w14:schemeClr w14:val="tx1"/>
                  </w14:solidFill>
                </w14:textFill>
              </w:rPr>
              <w:t>馆提质升级项目、</w:t>
            </w:r>
            <w:r>
              <w:rPr>
                <w:rFonts w:ascii="Times New Roman" w:hAnsi="Times New Roman" w:eastAsia="方正仿宋_GBK" w:cs="Times New Roman"/>
                <w:bCs/>
                <w:color w:val="000000" w:themeColor="text1"/>
                <w:sz w:val="21"/>
                <w:szCs w:val="21"/>
                <w14:textFill>
                  <w14:solidFill>
                    <w14:schemeClr w14:val="tx1"/>
                  </w14:solidFill>
                </w14:textFill>
              </w:rPr>
              <w:t>义渡古镇提档升级、</w:t>
            </w:r>
            <w:r>
              <w:rPr>
                <w:rStyle w:val="36"/>
                <w:rFonts w:hint="default" w:ascii="Times New Roman" w:hAnsi="Times New Roman" w:eastAsia="方正仿宋_GBK" w:cs="Times New Roman"/>
                <w:color w:val="000000" w:themeColor="text1"/>
                <w:sz w:val="21"/>
                <w:szCs w:val="21"/>
                <w:lang w:bidi="ar"/>
                <w14:textFill>
                  <w14:solidFill>
                    <w14:schemeClr w14:val="tx1"/>
                  </w14:solidFill>
                </w14:textFill>
              </w:rPr>
              <w:t>大渡口缆车项目、</w:t>
            </w:r>
            <w:r>
              <w:rPr>
                <w:rStyle w:val="29"/>
                <w:rFonts w:hint="default" w:ascii="Times New Roman" w:hAnsi="Times New Roman" w:eastAsia="方正仿宋_GBK" w:cs="Times New Roman"/>
                <w:color w:val="000000" w:themeColor="text1"/>
                <w:sz w:val="21"/>
                <w:szCs w:val="21"/>
                <w:lang w:bidi="ar"/>
                <w14:textFill>
                  <w14:solidFill>
                    <w14:schemeClr w14:val="tx1"/>
                  </w14:solidFill>
                </w14:textFill>
              </w:rPr>
              <w:t>盘龙汇综合交易配送中心、</w:t>
            </w:r>
            <w:r>
              <w:rPr>
                <w:rFonts w:ascii="Times New Roman" w:hAnsi="Times New Roman" w:eastAsia="方正仿宋_GBK" w:cs="Times New Roman"/>
                <w:bCs/>
                <w:color w:val="000000" w:themeColor="text1"/>
                <w:sz w:val="21"/>
                <w:szCs w:val="21"/>
                <w14:textFill>
                  <w14:solidFill>
                    <w14:schemeClr w14:val="tx1"/>
                  </w14:solidFill>
                </w14:textFill>
              </w:rPr>
              <w:t>四号仓库影视基地二期工程、萝亚婚庆基地、渔秋浩改造提升项目、</w:t>
            </w:r>
            <w:r>
              <w:rPr>
                <w:rStyle w:val="36"/>
                <w:rFonts w:hint="default" w:ascii="Times New Roman" w:hAnsi="Times New Roman" w:eastAsia="方正仿宋_GBK" w:cs="Times New Roman"/>
                <w:color w:val="000000" w:themeColor="text1"/>
                <w:sz w:val="21"/>
                <w:szCs w:val="21"/>
                <w:lang w:bidi="ar"/>
                <w14:textFill>
                  <w14:solidFill>
                    <w14:schemeClr w14:val="tx1"/>
                  </w14:solidFill>
                </w14:textFill>
              </w:rPr>
              <w:t>天堂堡轨道</w:t>
            </w:r>
            <w:r>
              <w:rPr>
                <w:rStyle w:val="38"/>
                <w:rFonts w:eastAsia="方正仿宋_GBK"/>
                <w:color w:val="000000" w:themeColor="text1"/>
                <w:sz w:val="21"/>
                <w:szCs w:val="21"/>
                <w:lang w:bidi="ar"/>
                <w14:textFill>
                  <w14:solidFill>
                    <w14:schemeClr w14:val="tx1"/>
                  </w14:solidFill>
                </w14:textFill>
              </w:rPr>
              <w:t>TOD</w:t>
            </w:r>
            <w:r>
              <w:rPr>
                <w:rStyle w:val="36"/>
                <w:rFonts w:hint="default" w:ascii="Times New Roman" w:hAnsi="Times New Roman" w:eastAsia="方正仿宋_GBK" w:cs="Times New Roman"/>
                <w:color w:val="000000" w:themeColor="text1"/>
                <w:sz w:val="21"/>
                <w:szCs w:val="21"/>
                <w:lang w:bidi="ar"/>
                <w14:textFill>
                  <w14:solidFill>
                    <w14:schemeClr w14:val="tx1"/>
                  </w14:solidFill>
                </w14:textFill>
              </w:rPr>
              <w:t>项目</w:t>
            </w:r>
          </w:p>
        </w:tc>
      </w:tr>
    </w:tbl>
    <w:p>
      <w:pPr>
        <w:widowControl w:val="0"/>
        <w:spacing w:after="0" w:line="594" w:lineRule="exact"/>
        <w:ind w:firstLine="640" w:firstLineChars="200"/>
        <w:jc w:val="both"/>
        <w:rPr>
          <w:rFonts w:ascii="Times New Roman" w:hAnsi="Times New Roman" w:eastAsia="方正楷体_GBK" w:cs="Times New Roman"/>
          <w:bCs/>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（三）充分激发需求潜力，释放经济增长新动能</w:t>
      </w:r>
    </w:p>
    <w:p>
      <w:pPr>
        <w:widowControl w:val="0"/>
        <w:spacing w:after="0" w:line="594" w:lineRule="exact"/>
        <w:ind w:firstLine="643"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9. 拓展有效投资空间。</w:t>
      </w:r>
      <w:r>
        <w:rPr>
          <w:rFonts w:ascii="Times New Roman" w:hAnsi="Times New Roman" w:eastAsia="方正仿宋_GBK" w:cs="Times New Roman"/>
          <w:color w:val="000000" w:themeColor="text1"/>
          <w:sz w:val="32"/>
          <w:szCs w:val="32"/>
          <w14:textFill>
            <w14:solidFill>
              <w14:schemeClr w14:val="tx1"/>
            </w14:solidFill>
          </w14:textFill>
        </w:rPr>
        <w:t>全力抓项目促投资，完善项目管理机制，加快推动在建、新开工、前期</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三张清单</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重点项目建设。精准对接国家政策投向，包装策划</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平急两用</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城中村改造、保障性租赁住房等项目，发挥中央预算内投资、专项债券撬动作用，拓宽多元化资金来源。激发民间投资活力，加强投融资模式论证创新，加大重点领域项目推介力度，吸引社会资本参与重点领域开发建设，全年民间投资（不含房地产投资）</w:t>
      </w:r>
      <w:r>
        <w:rPr>
          <w:rFonts w:hint="eastAsia" w:ascii="Times New Roman" w:hAnsi="Times New Roman" w:eastAsia="方正仿宋_GBK" w:cs="Times New Roman"/>
          <w:color w:val="000000" w:themeColor="text1"/>
          <w:sz w:val="32"/>
          <w:szCs w:val="32"/>
          <w14:textFill>
            <w14:solidFill>
              <w14:schemeClr w14:val="tx1"/>
            </w14:solidFill>
          </w14:textFill>
        </w:rPr>
        <w:t>占固投比重达</w:t>
      </w:r>
      <w:r>
        <w:rPr>
          <w:rFonts w:ascii="Times New Roman" w:hAnsi="Times New Roman" w:eastAsia="方正仿宋_GBK" w:cs="Times New Roman"/>
          <w:color w:val="000000" w:themeColor="text1"/>
          <w:sz w:val="32"/>
          <w:szCs w:val="32"/>
          <w14:textFill>
            <w14:solidFill>
              <w14:schemeClr w14:val="tx1"/>
            </w14:solidFill>
          </w14:textFill>
        </w:rPr>
        <w:t>15%。推动房地产投资止滑企稳，从房地产市场供需两端综合发力，加大土地出让力度，加快推进保交楼和</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两久</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项目建设，支持刚性和改善性住房需求。提高招商引资质效，聚焦大产业构建、大企业引领、大项目支撑，推进行业头部企业招商，</w:t>
      </w:r>
      <w:r>
        <w:rPr>
          <w:rFonts w:ascii="Times New Roman" w:hAnsi="Times New Roman" w:eastAsia="方正仿宋_GBK" w:cs="Times New Roman"/>
          <w:snapToGrid w:val="0"/>
          <w:color w:val="000000" w:themeColor="text1"/>
          <w:sz w:val="32"/>
          <w:szCs w:val="32"/>
          <w14:textFill>
            <w14:solidFill>
              <w14:schemeClr w14:val="tx1"/>
            </w14:solidFill>
          </w14:textFill>
        </w:rPr>
        <w:t>抓好</w:t>
      </w:r>
      <w:r>
        <w:rPr>
          <w:rFonts w:ascii="Times New Roman" w:hAnsi="Times New Roman" w:eastAsia="方正仿宋_GBK" w:cs="Times New Roman"/>
          <w:color w:val="000000" w:themeColor="text1"/>
          <w:sz w:val="32"/>
          <w:szCs w:val="32"/>
          <w14:textFill>
            <w14:solidFill>
              <w14:schemeClr w14:val="tx1"/>
            </w14:solidFill>
          </w14:textFill>
        </w:rPr>
        <w:t>产业链招商、专业招商、以商招商，高水平承接产业转移，强化项目落地全程服务，努力在建链补链强链上实现新突破，全年实现签约合同额300亿元、资金到位150亿元。</w:t>
      </w:r>
    </w:p>
    <w:p>
      <w:pPr>
        <w:widowControl w:val="0"/>
        <w:numPr>
          <w:ilvl w:val="0"/>
          <w:numId w:val="1"/>
        </w:numPr>
        <w:spacing w:after="0" w:line="594" w:lineRule="exact"/>
        <w:ind w:firstLine="643"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加快消费回暖升级。</w:t>
      </w:r>
      <w:r>
        <w:rPr>
          <w:rFonts w:ascii="Times New Roman" w:hAnsi="Times New Roman" w:eastAsia="方正仿宋_GBK" w:cs="Times New Roman"/>
          <w:color w:val="000000" w:themeColor="text1"/>
          <w:sz w:val="32"/>
          <w:szCs w:val="32"/>
          <w14:textFill>
            <w14:solidFill>
              <w14:schemeClr w14:val="tx1"/>
            </w14:solidFill>
          </w14:textFill>
        </w:rPr>
        <w:t>全力打造国际消费中心城市核心区，持续浓厚市场消费氛围，举办第四届中国</w:t>
      </w:r>
      <w:r>
        <w:rPr>
          <w:rFonts w:hint="eastAsia" w:ascii="方正小标宋_GBK" w:hAnsi="方正小标宋_GBK" w:eastAsia="方正小标宋_GBK" w:cs="方正小标宋_GBK"/>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重庆小面文化节等提振消费活动。培育夜市经济和特色街区，改造升级义渡商贸城、公园时光里夜市，依托重钢大学生宿舍等老旧房屋打造都市青年街区，打造双山泛巴国城片区、九宫庙步行街餐饮消费集聚带。培育</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公园商圈、多彩生活</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消费促进品牌，推动大渡口公园、爱情公园、心湖公园等培育打造</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公园+</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商业新场景，建设</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生态购物商圈</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。完成重庆小面电商产业园扩建工程，实施重庆小面</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百城万店</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品牌连锁化经营新模式。强化消费政策供给，</w:t>
      </w:r>
      <w:r>
        <w:rPr>
          <w:rFonts w:hint="eastAsia" w:ascii="方正仿宋_GBK" w:hAnsi="方正仿宋_GBK" w:eastAsia="方正仿宋_GBK" w:cs="Times New Roman"/>
          <w:color w:val="000000" w:themeColor="text1"/>
          <w:sz w:val="32"/>
          <w:szCs w:val="32"/>
          <w14:textFill>
            <w14:solidFill>
              <w14:schemeClr w14:val="tx1"/>
            </w14:solidFill>
          </w14:textFill>
        </w:rPr>
        <w:t>推动消费品以旧换新，</w:t>
      </w:r>
      <w:r>
        <w:rPr>
          <w:rFonts w:ascii="Times New Roman" w:hAnsi="Times New Roman" w:eastAsia="方正仿宋_GBK" w:cs="Times New Roman"/>
          <w:color w:val="000000" w:themeColor="text1"/>
          <w:sz w:val="32"/>
          <w:szCs w:val="32"/>
          <w14:textFill>
            <w14:solidFill>
              <w14:schemeClr w14:val="tx1"/>
            </w14:solidFill>
          </w14:textFill>
        </w:rPr>
        <w:t>扩大新能源汽车、养老服务、教育医疗、文化体育服务等消费，发展</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银发经济</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，有序发展直播带货等新消费业态，确保全年社会消费品零售总额增长8%。</w:t>
      </w:r>
    </w:p>
    <w:p>
      <w:pPr>
        <w:widowControl w:val="0"/>
        <w:spacing w:after="0" w:line="594" w:lineRule="exact"/>
        <w:ind w:firstLine="643" w:firstLineChars="200"/>
        <w:jc w:val="both"/>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11. 培育优质市场主体。</w:t>
      </w:r>
      <w:r>
        <w:rPr>
          <w:rFonts w:ascii="Times New Roman" w:hAnsi="Times New Roman" w:eastAsia="方正仿宋_GBK" w:cs="Times New Roman"/>
          <w:color w:val="000000" w:themeColor="text1"/>
          <w:sz w:val="32"/>
          <w:szCs w:val="32"/>
          <w14:textFill>
            <w14:solidFill>
              <w14:schemeClr w14:val="tx1"/>
            </w14:solidFill>
          </w14:textFill>
        </w:rPr>
        <w:t>迭代升级</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两机制一方案</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工作体系，建好用好经济运行调度平台，健全部门、镇街、企业联动协同、数据分享等工作机制，形成全力拼经济促发展的工作合力。落细落实惠企助企政策，强化要素保障，推动企业降本增效，加快构建</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政府基金+社会资本+银行贷款+上市融资</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中小企业融资矩阵体系。完善领导干部和部门联系服务企业机制，开展好</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一对一</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午餐对接会，加强重点企业、重点项目专班服务。加快企业公共服务平台建设，优化</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重庆高新医疗器械研究院</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易企飞</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等既有平台功能布局，丰富服务内容。</w:t>
      </w:r>
      <w:r>
        <w:rPr>
          <w:rFonts w:ascii="Times New Roman" w:hAnsi="Times New Roman" w:eastAsia="方正仿宋_GBK" w:cs="Times New Roman"/>
          <w:bCs/>
          <w:color w:val="000000" w:themeColor="text1"/>
          <w:sz w:val="32"/>
          <w:szCs w:val="32"/>
          <w14:textFill>
            <w14:solidFill>
              <w14:schemeClr w14:val="tx1"/>
            </w14:solidFill>
          </w14:textFill>
        </w:rPr>
        <w:t>持续优化营商环境，落实</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信用重庆</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升级版建设，完善信用警示、惩戒、修复机制，创新</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信易+</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应用场景，宣传</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信易贷</w:t>
      </w:r>
      <w:r>
        <w:rPr>
          <w:rFonts w:hint="eastAsia" w:ascii="方正小标宋_GBK" w:hAnsi="方正小标宋_GBK" w:eastAsia="方正小标宋_GBK" w:cs="方正小标宋_GBK"/>
          <w:color w:val="000000" w:themeColor="text1"/>
          <w:kern w:val="2"/>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渝惠融</w:t>
      </w:r>
      <w:r>
        <w:rPr>
          <w:rFonts w:hint="eastAsia" w:ascii="方正仿宋_GBK" w:hAnsi="Times New Roman" w:eastAsia="方正仿宋_GBK" w:cs="Times New Roman"/>
          <w:bCs/>
          <w:color w:val="000000" w:themeColor="text1"/>
          <w:sz w:val="32"/>
          <w:szCs w:val="32"/>
          <w14:textFill>
            <w14:solidFill>
              <w14:schemeClr w14:val="tx1"/>
            </w14:solidFill>
          </w14:textFill>
        </w:rPr>
        <w:t>”</w:t>
      </w:r>
      <w:r>
        <w:rPr>
          <w:rFonts w:ascii="Times New Roman" w:hAnsi="Times New Roman" w:eastAsia="方正仿宋_GBK" w:cs="Times New Roman"/>
          <w:bCs/>
          <w:color w:val="000000" w:themeColor="text1"/>
          <w:sz w:val="32"/>
          <w:szCs w:val="32"/>
          <w14:textFill>
            <w14:solidFill>
              <w14:schemeClr w14:val="tx1"/>
            </w14:solidFill>
          </w14:textFill>
        </w:rPr>
        <w:t>平台，推动信用示范城市建设。</w:t>
      </w:r>
      <w:r>
        <w:rPr>
          <w:rFonts w:ascii="Times New Roman" w:hAnsi="Times New Roman" w:eastAsia="方正仿宋_GBK" w:cs="Times New Roman"/>
          <w:color w:val="000000" w:themeColor="text1"/>
          <w:sz w:val="32"/>
          <w:szCs w:val="32"/>
          <w14:textFill>
            <w14:solidFill>
              <w14:schemeClr w14:val="tx1"/>
            </w14:solidFill>
          </w14:textFill>
        </w:rPr>
        <w:t>力争</w:t>
      </w:r>
      <w:r>
        <w:rPr>
          <w:rFonts w:ascii="Times New Roman" w:hAnsi="Times New Roman" w:eastAsia="方正仿宋_GBK" w:cs="Times New Roman"/>
          <w:bCs/>
          <w:color w:val="000000" w:themeColor="text1"/>
          <w:sz w:val="32"/>
          <w:szCs w:val="32"/>
          <w14:textFill>
            <w14:solidFill>
              <w14:schemeClr w14:val="tx1"/>
            </w14:solidFill>
          </w14:textFill>
        </w:rPr>
        <w:t>全年</w:t>
      </w:r>
      <w:r>
        <w:rPr>
          <w:rFonts w:ascii="Times New Roman" w:hAnsi="Times New Roman" w:eastAsia="方正仿宋_GBK" w:cs="Times New Roman"/>
          <w:color w:val="000000" w:themeColor="text1"/>
          <w:sz w:val="32"/>
          <w:szCs w:val="32"/>
          <w14:textFill>
            <w14:solidFill>
              <w14:schemeClr w14:val="tx1"/>
            </w14:solidFill>
          </w14:textFill>
        </w:rPr>
        <w:t>新登记纳税主体0.3万户，升规上限市场主体150户；</w:t>
      </w:r>
      <w:r>
        <w:rPr>
          <w:rFonts w:ascii="Times New Roman" w:hAnsi="Times New Roman" w:eastAsia="方正仿宋_GBK" w:cs="Times New Roman"/>
          <w:bCs/>
          <w:color w:val="000000" w:themeColor="text1"/>
          <w:sz w:val="32"/>
          <w:szCs w:val="32"/>
          <w14:textFill>
            <w14:solidFill>
              <w14:schemeClr w14:val="tx1"/>
            </w14:solidFill>
          </w14:textFill>
        </w:rPr>
        <w:t>民营经济市场主体增速达16%、民营企业增速达12%。</w:t>
      </w:r>
    </w:p>
    <w:p>
      <w:pPr>
        <w:pStyle w:val="2"/>
        <w:spacing w:line="594" w:lineRule="exact"/>
        <w:ind w:firstLine="640" w:firstLineChars="200"/>
        <w:rPr>
          <w:rFonts w:eastAsia="方正楷体_GBK"/>
          <w:bCs/>
          <w:color w:val="000000" w:themeColor="text1"/>
          <w:kern w:val="2"/>
          <w:szCs w:val="32"/>
          <w14:textFill>
            <w14:solidFill>
              <w14:schemeClr w14:val="tx1"/>
            </w14:solidFill>
          </w14:textFill>
        </w:rPr>
      </w:pPr>
      <w:r>
        <w:rPr>
          <w:rFonts w:eastAsia="方正楷体_GBK"/>
          <w:bCs/>
          <w:color w:val="000000" w:themeColor="text1"/>
          <w:kern w:val="2"/>
          <w:szCs w:val="32"/>
          <w14:textFill>
            <w14:solidFill>
              <w14:schemeClr w14:val="tx1"/>
            </w14:solidFill>
          </w14:textFill>
        </w:rPr>
        <w:t>（四）加强城市品牌建设，塑造城乡融合新面貌</w:t>
      </w:r>
    </w:p>
    <w:p>
      <w:pPr>
        <w:widowControl w:val="0"/>
        <w:spacing w:after="0" w:line="594" w:lineRule="exact"/>
        <w:ind w:firstLine="643"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kern w:val="2"/>
          <w:sz w:val="32"/>
          <w:szCs w:val="32"/>
          <w14:textFill>
            <w14:solidFill>
              <w14:schemeClr w14:val="tx1"/>
            </w14:solidFill>
          </w14:textFill>
        </w:rPr>
        <w:t>12</w:t>
      </w:r>
      <w:r>
        <w:rPr>
          <w:rFonts w:ascii="Times New Roman" w:hAnsi="Times New Roman" w:eastAsia="方正仿宋_GBK" w:cs="Times New Roman"/>
          <w:b/>
          <w:bCs/>
          <w:color w:val="000000" w:themeColor="text1"/>
          <w:sz w:val="32"/>
          <w:szCs w:val="32"/>
          <w14:textFill>
            <w14:solidFill>
              <w14:schemeClr w14:val="tx1"/>
            </w14:solidFill>
          </w14:textFill>
        </w:rPr>
        <w:t>. 做靓高品质艺术湾。</w:t>
      </w:r>
      <w:r>
        <w:rPr>
          <w:rFonts w:ascii="Times New Roman" w:hAnsi="Times New Roman" w:eastAsia="方正仿宋_GBK" w:cs="Times New Roman"/>
          <w:color w:val="000000" w:themeColor="text1"/>
          <w:sz w:val="32"/>
          <w:szCs w:val="40"/>
          <w14:textFill>
            <w14:solidFill>
              <w14:schemeClr w14:val="tx1"/>
            </w14:solidFill>
          </w14:textFill>
        </w:rPr>
        <w:t>开工建设重庆柴院，</w:t>
      </w:r>
      <w:r>
        <w:rPr>
          <w:rFonts w:hint="eastAsia" w:ascii="Times New Roman" w:hAnsi="Times New Roman" w:eastAsia="方正仿宋_GBK" w:cs="Times New Roman"/>
          <w:color w:val="000000" w:themeColor="text1"/>
          <w:sz w:val="32"/>
          <w:szCs w:val="40"/>
          <w14:textFill>
            <w14:solidFill>
              <w14:schemeClr w14:val="tx1"/>
            </w14:solidFill>
          </w14:textFill>
        </w:rPr>
        <w:t>以一流水平高标准建设俄罗斯特色小镇，</w:t>
      </w:r>
      <w:r>
        <w:rPr>
          <w:rFonts w:ascii="Times New Roman" w:hAnsi="Times New Roman" w:eastAsia="方正仿宋_GBK" w:cs="Times New Roman"/>
          <w:color w:val="000000" w:themeColor="text1"/>
          <w:kern w:val="2"/>
          <w:sz w:val="32"/>
          <w:szCs w:val="32"/>
          <w14:textFill>
            <w14:solidFill>
              <w14:schemeClr w14:val="tx1"/>
            </w14:solidFill>
          </w14:textFill>
        </w:rPr>
        <w:t>提速长江音悦港、宝武西南总部等功能性项目建设，</w:t>
      </w:r>
      <w:r>
        <w:rPr>
          <w:rFonts w:ascii="Times New Roman" w:hAnsi="Times New Roman" w:eastAsia="方正仿宋_GBK" w:cs="Times New Roman"/>
          <w:color w:val="000000" w:themeColor="text1"/>
          <w:sz w:val="32"/>
          <w:szCs w:val="40"/>
          <w14:textFill>
            <w14:solidFill>
              <w14:schemeClr w14:val="tx1"/>
            </w14:solidFill>
          </w14:textFill>
        </w:rPr>
        <w:t>加快重庆（国际）小球赛事中心前期工作。</w:t>
      </w:r>
      <w:r>
        <w:rPr>
          <w:rFonts w:ascii="Times New Roman" w:hAnsi="Times New Roman" w:eastAsia="方正仿宋_GBK" w:cs="Times New Roman"/>
          <w:color w:val="000000" w:themeColor="text1"/>
          <w:kern w:val="2"/>
          <w:sz w:val="32"/>
          <w:szCs w:val="32"/>
          <w14:textFill>
            <w14:solidFill>
              <w14:schemeClr w14:val="tx1"/>
            </w14:solidFill>
          </w14:textFill>
        </w:rPr>
        <w:t>持续</w:t>
      </w:r>
      <w:r>
        <w:rPr>
          <w:rFonts w:ascii="Times New Roman" w:hAnsi="Times New Roman" w:eastAsia="方正仿宋_GBK" w:cs="Times New Roman"/>
          <w:color w:val="000000" w:themeColor="text1"/>
          <w:sz w:val="32"/>
          <w:szCs w:val="32"/>
          <w14:textFill>
            <w14:solidFill>
              <w14:schemeClr w14:val="tx1"/>
            </w14:solidFill>
          </w14:textFill>
        </w:rPr>
        <w:t>完善片区功能设施，实现嘉南线连接道、</w:t>
      </w:r>
      <w:r>
        <w:rPr>
          <w:rFonts w:hint="eastAsia" w:ascii="Times New Roman" w:hAnsi="Times New Roman" w:eastAsia="方正仿宋_GBK" w:cs="Times New Roman"/>
          <w:color w:val="000000" w:themeColor="text1"/>
          <w:sz w:val="32"/>
          <w:szCs w:val="32"/>
          <w14:textFill>
            <w14:solidFill>
              <w14:schemeClr w14:val="tx1"/>
            </w14:solidFill>
          </w14:textFill>
        </w:rPr>
        <w:t>重钢</w:t>
      </w:r>
      <w:r>
        <w:rPr>
          <w:rFonts w:ascii="Times New Roman" w:hAnsi="Times New Roman" w:eastAsia="方正仿宋_GBK" w:cs="Times New Roman"/>
          <w:color w:val="000000" w:themeColor="text1"/>
          <w:sz w:val="32"/>
          <w:szCs w:val="32"/>
          <w14:textFill>
            <w14:solidFill>
              <w14:schemeClr w14:val="tx1"/>
            </w14:solidFill>
          </w14:textFill>
        </w:rPr>
        <w:t>南北干道、音乐大道中段全线贯通，加快推进大滨路</w:t>
      </w:r>
      <w:r>
        <w:rPr>
          <w:rFonts w:hint="eastAsia" w:ascii="Times New Roman" w:hAnsi="Times New Roman" w:eastAsia="方正仿宋_GBK" w:cs="Times New Roman"/>
          <w:color w:val="000000" w:themeColor="text1"/>
          <w:sz w:val="32"/>
          <w:szCs w:val="32"/>
          <w14:textFill>
            <w14:solidFill>
              <w14:schemeClr w14:val="tx1"/>
            </w14:solidFill>
          </w14:textFill>
        </w:rPr>
        <w:t>与</w:t>
      </w:r>
      <w:r>
        <w:rPr>
          <w:rFonts w:ascii="Times New Roman" w:hAnsi="Times New Roman" w:eastAsia="方正仿宋_GBK" w:cs="Times New Roman"/>
          <w:color w:val="000000" w:themeColor="text1"/>
          <w:sz w:val="32"/>
          <w:szCs w:val="32"/>
          <w14:textFill>
            <w14:solidFill>
              <w14:schemeClr w14:val="tx1"/>
            </w14:solidFill>
          </w14:textFill>
        </w:rPr>
        <w:t>九滨路连接道、大滨路</w:t>
      </w:r>
      <w:r>
        <w:rPr>
          <w:rFonts w:hint="eastAsia" w:ascii="Times New Roman" w:hAnsi="Times New Roman" w:eastAsia="方正仿宋_GBK" w:cs="Times New Roman"/>
          <w:color w:val="000000" w:themeColor="text1"/>
          <w:sz w:val="32"/>
          <w:szCs w:val="32"/>
          <w14:textFill>
            <w14:solidFill>
              <w14:schemeClr w14:val="tx1"/>
            </w14:solidFill>
          </w14:textFill>
        </w:rPr>
        <w:t>重钢段</w:t>
      </w:r>
      <w:r>
        <w:rPr>
          <w:rFonts w:ascii="Times New Roman" w:hAnsi="Times New Roman" w:eastAsia="方正仿宋_GBK" w:cs="Times New Roman"/>
          <w:color w:val="000000" w:themeColor="text1"/>
          <w:sz w:val="32"/>
          <w:szCs w:val="32"/>
          <w14:textFill>
            <w14:solidFill>
              <w14:schemeClr w14:val="tx1"/>
            </w14:solidFill>
          </w14:textFill>
        </w:rPr>
        <w:t>二期、老成渝铁路改造大渡口段等项目建设。加快构建文化艺术交流空间，推动义渡古镇运营管理招商、重整开街，策划举办品牌音乐节等活动，</w:t>
      </w:r>
      <w:r>
        <w:rPr>
          <w:rFonts w:ascii="Times New Roman" w:hAnsi="Times New Roman" w:eastAsia="方正仿宋_GBK" w:cs="Times New Roman"/>
          <w:color w:val="000000" w:themeColor="text1"/>
          <w:kern w:val="2"/>
          <w:sz w:val="32"/>
          <w:szCs w:val="40"/>
          <w14:textFill>
            <w14:solidFill>
              <w14:schemeClr w14:val="tx1"/>
            </w14:solidFill>
          </w14:textFill>
        </w:rPr>
        <w:t>吸引体育运营、音乐文创、演艺经纪、影视娱乐等相关产业集聚</w:t>
      </w:r>
      <w:r>
        <w:rPr>
          <w:rFonts w:ascii="Times New Roman" w:hAnsi="Times New Roman" w:eastAsia="方正仿宋_GBK" w:cs="Times New Roman"/>
          <w:color w:val="000000" w:themeColor="text1"/>
          <w:sz w:val="32"/>
          <w:szCs w:val="32"/>
          <w14:textFill>
            <w14:solidFill>
              <w14:schemeClr w14:val="tx1"/>
            </w14:solidFill>
          </w14:textFill>
        </w:rPr>
        <w:t>。</w:t>
      </w:r>
    </w:p>
    <w:p>
      <w:pPr>
        <w:pStyle w:val="2"/>
        <w:spacing w:line="594" w:lineRule="exact"/>
        <w:ind w:firstLine="643" w:firstLineChars="200"/>
        <w:rPr>
          <w:rFonts w:eastAsia="方正仿宋_GBK"/>
          <w:color w:val="000000" w:themeColor="text1"/>
          <w:szCs w:val="32"/>
          <w14:textFill>
            <w14:solidFill>
              <w14:schemeClr w14:val="tx1"/>
            </w14:solidFill>
          </w14:textFill>
        </w:rPr>
      </w:pPr>
      <w:r>
        <w:rPr>
          <w:rFonts w:eastAsia="方正仿宋_GBK"/>
          <w:b/>
          <w:bCs/>
          <w:color w:val="000000" w:themeColor="text1"/>
          <w:kern w:val="2"/>
          <w:szCs w:val="32"/>
          <w14:textFill>
            <w14:solidFill>
              <w14:schemeClr w14:val="tx1"/>
            </w14:solidFill>
          </w14:textFill>
        </w:rPr>
        <w:t>13. 打造新范式公园城。</w:t>
      </w:r>
      <w:r>
        <w:rPr>
          <w:rFonts w:eastAsia="方正仿宋_GBK"/>
          <w:color w:val="000000" w:themeColor="text1"/>
          <w:szCs w:val="32"/>
          <w14:textFill>
            <w14:solidFill>
              <w14:schemeClr w14:val="tx1"/>
            </w14:solidFill>
          </w14:textFill>
        </w:rPr>
        <w:t>与市城管局共建城市绿地更新与共享、口袋公园建设示范区，打造现代化公园城市。制定公园建设分年度项目清单，重点实施口袋公园建设、城市绿荫工程、山城步道建设、坡坎崖绿化美化、绿道品质提升，启动</w:t>
      </w:r>
      <w:r>
        <w:rPr>
          <w:rFonts w:hint="eastAsia" w:eastAsia="方正仿宋_GBK"/>
          <w:color w:val="000000" w:themeColor="text1"/>
          <w:szCs w:val="32"/>
          <w14:textFill>
            <w14:solidFill>
              <w14:schemeClr w14:val="tx1"/>
            </w14:solidFill>
          </w14:textFill>
        </w:rPr>
        <w:t>伏牛大道坡坎崖游乐公园</w:t>
      </w:r>
      <w:r>
        <w:rPr>
          <w:rFonts w:eastAsia="方正仿宋_GBK"/>
          <w:color w:val="000000" w:themeColor="text1"/>
          <w:szCs w:val="32"/>
          <w14:textFill>
            <w14:solidFill>
              <w14:schemeClr w14:val="tx1"/>
            </w14:solidFill>
          </w14:textFill>
        </w:rPr>
        <w:t>、滨江户外体育公园、白居寺公园品质提升、双山体育公园等项目建设，全年新增城市慢行绿道8.4公里、绿地面积40万平方米，人均公园绿地面积保持中心城区前列。深化国家生态园林城市创建，开展园林式细胞单位评比、系列最美评选活动。编制实施《大渡口区城市公园市场化建设方案》，加快盘活思源公园、美德公园等闲置经营性资产。</w:t>
      </w:r>
    </w:p>
    <w:p>
      <w:pPr>
        <w:pStyle w:val="2"/>
        <w:spacing w:line="594" w:lineRule="exact"/>
        <w:ind w:firstLine="643" w:firstLineChars="200"/>
        <w:rPr>
          <w:rFonts w:eastAsia="方正仿宋_GBK"/>
          <w:color w:val="000000" w:themeColor="text1"/>
          <w:kern w:val="2"/>
          <w:szCs w:val="32"/>
          <w14:textFill>
            <w14:solidFill>
              <w14:schemeClr w14:val="tx1"/>
            </w14:solidFill>
          </w14:textFill>
        </w:rPr>
      </w:pPr>
      <w:r>
        <w:rPr>
          <w:rFonts w:eastAsia="方正仿宋_GBK"/>
          <w:b/>
          <w:bCs/>
          <w:color w:val="000000" w:themeColor="text1"/>
          <w:szCs w:val="32"/>
          <w14:textFill>
            <w14:solidFill>
              <w14:schemeClr w14:val="tx1"/>
            </w14:solidFill>
          </w14:textFill>
        </w:rPr>
        <w:t>14. 提升城市功能品质。</w:t>
      </w:r>
      <w:r>
        <w:rPr>
          <w:rFonts w:eastAsia="方正仿宋_GBK"/>
          <w:color w:val="000000" w:themeColor="text1"/>
          <w:szCs w:val="32"/>
          <w14:textFill>
            <w14:solidFill>
              <w14:schemeClr w14:val="tx1"/>
            </w14:solidFill>
          </w14:textFill>
        </w:rPr>
        <w:t>全年完成农村征地</w:t>
      </w:r>
      <w:r>
        <w:rPr>
          <w:rFonts w:eastAsia="方正仿宋_GBK"/>
          <w:color w:val="000000" w:themeColor="text1"/>
          <w:kern w:val="2"/>
          <w:szCs w:val="32"/>
          <w14:textFill>
            <w14:solidFill>
              <w14:schemeClr w14:val="tx1"/>
            </w14:solidFill>
          </w14:textFill>
        </w:rPr>
        <w:t>1000亩、国有土地上房屋征收5万平方米，确保完成土地出让500亩。精准实施城市有机更新，加快革马社区、翠柏小区等9个老旧小区和五一互助</w:t>
      </w:r>
      <w:r>
        <w:rPr>
          <w:rFonts w:hint="eastAsia" w:eastAsia="方正仿宋_GBK"/>
          <w:color w:val="000000" w:themeColor="text1"/>
          <w:kern w:val="2"/>
          <w:szCs w:val="32"/>
          <w14:textFill>
            <w14:solidFill>
              <w14:schemeClr w14:val="tx1"/>
            </w14:solidFill>
          </w14:textFill>
        </w:rPr>
        <w:t>、民新民乐片区</w:t>
      </w:r>
      <w:r>
        <w:rPr>
          <w:rFonts w:hint="eastAsia" w:ascii="方正仿宋_GBK" w:eastAsia="方正仿宋_GBK"/>
          <w:color w:val="000000" w:themeColor="text1"/>
          <w:kern w:val="2"/>
          <w:szCs w:val="32"/>
          <w14:textFill>
            <w14:solidFill>
              <w14:schemeClr w14:val="tx1"/>
            </w14:solidFill>
          </w14:textFill>
        </w:rPr>
        <w:t>“</w:t>
      </w:r>
      <w:r>
        <w:rPr>
          <w:rFonts w:eastAsia="方正仿宋_GBK"/>
          <w:color w:val="000000" w:themeColor="text1"/>
          <w:kern w:val="2"/>
          <w:szCs w:val="32"/>
          <w14:textFill>
            <w14:solidFill>
              <w14:schemeClr w14:val="tx1"/>
            </w14:solidFill>
          </w14:textFill>
        </w:rPr>
        <w:t>城中村</w:t>
      </w:r>
      <w:r>
        <w:rPr>
          <w:rFonts w:hint="eastAsia" w:ascii="方正仿宋_GBK" w:eastAsia="方正仿宋_GBK"/>
          <w:color w:val="000000" w:themeColor="text1"/>
          <w:kern w:val="2"/>
          <w:szCs w:val="32"/>
          <w14:textFill>
            <w14:solidFill>
              <w14:schemeClr w14:val="tx1"/>
            </w14:solidFill>
          </w14:textFill>
        </w:rPr>
        <w:t>”</w:t>
      </w:r>
      <w:r>
        <w:rPr>
          <w:rFonts w:eastAsia="方正仿宋_GBK"/>
          <w:color w:val="000000" w:themeColor="text1"/>
          <w:kern w:val="2"/>
          <w:szCs w:val="32"/>
          <w14:textFill>
            <w14:solidFill>
              <w14:schemeClr w14:val="tx1"/>
            </w14:solidFill>
          </w14:textFill>
        </w:rPr>
        <w:t>改造。推动</w:t>
      </w:r>
      <w:r>
        <w:rPr>
          <w:rFonts w:eastAsia="方正仿宋_GBK"/>
          <w:color w:val="000000" w:themeColor="text1"/>
          <w:szCs w:val="32"/>
          <w14:textFill>
            <w14:solidFill>
              <w14:schemeClr w14:val="tx1"/>
            </w14:solidFill>
          </w14:textFill>
        </w:rPr>
        <w:t>快速路三纵线双山隧道至金家湾立交段改造、新袁茄路南段、陶家隧道等项目提速建设，建成区路网密度达6.95公里/平方公里</w:t>
      </w:r>
      <w:r>
        <w:rPr>
          <w:rFonts w:hint="eastAsia" w:eastAsia="方正仿宋_GBK"/>
          <w:color w:val="000000" w:themeColor="text1"/>
          <w:szCs w:val="32"/>
          <w14:textFill>
            <w14:solidFill>
              <w14:schemeClr w14:val="tx1"/>
            </w14:solidFill>
          </w14:textFill>
        </w:rPr>
        <w:t>。启动</w:t>
      </w:r>
      <w:r>
        <w:rPr>
          <w:rFonts w:eastAsia="方正仿宋_GBK"/>
          <w:color w:val="000000" w:themeColor="text1"/>
          <w:kern w:val="2"/>
          <w:szCs w:val="32"/>
          <w14:textFill>
            <w14:solidFill>
              <w14:schemeClr w14:val="tx1"/>
            </w14:solidFill>
          </w14:textFill>
        </w:rPr>
        <w:t>九宫庙、茄子溪等片区雨污水管网整治工程</w:t>
      </w:r>
      <w:r>
        <w:rPr>
          <w:rFonts w:eastAsia="方正仿宋_GBK"/>
          <w:color w:val="000000" w:themeColor="text1"/>
          <w:szCs w:val="32"/>
          <w14:textFill>
            <w14:solidFill>
              <w14:schemeClr w14:val="tx1"/>
            </w14:solidFill>
          </w14:textFill>
        </w:rPr>
        <w:t>，</w:t>
      </w:r>
      <w:r>
        <w:rPr>
          <w:rFonts w:eastAsia="方正仿宋_GBK"/>
          <w:color w:val="000000" w:themeColor="text1"/>
          <w:kern w:val="2"/>
          <w:szCs w:val="32"/>
          <w14:textFill>
            <w14:solidFill>
              <w14:schemeClr w14:val="tx1"/>
            </w14:solidFill>
          </w14:textFill>
        </w:rPr>
        <w:t>完成</w:t>
      </w:r>
      <w:r>
        <w:rPr>
          <w:rFonts w:eastAsia="方正仿宋_GBK"/>
          <w:color w:val="000000" w:themeColor="text1"/>
          <w:szCs w:val="40"/>
          <w14:textFill>
            <w14:solidFill>
              <w14:schemeClr w14:val="tx1"/>
            </w14:solidFill>
          </w14:textFill>
        </w:rPr>
        <w:t>黄桷堡枢纽站场、</w:t>
      </w:r>
      <w:r>
        <w:rPr>
          <w:rFonts w:eastAsia="方正仿宋_GBK"/>
          <w:color w:val="000000" w:themeColor="text1"/>
          <w:kern w:val="2"/>
          <w:szCs w:val="32"/>
          <w14:textFill>
            <w14:solidFill>
              <w14:schemeClr w14:val="tx1"/>
            </w14:solidFill>
          </w14:textFill>
        </w:rPr>
        <w:t>陈庹路枢纽站场二期建设。开展占道停车、缺株少绿、设施补缺等8个重点专项整治行动，提升重要窗口城市形象。推动智慧城市建设，加快建设城市综合管理服务平台，城区LED节能路灯覆盖率达到100%。</w:t>
      </w:r>
      <w:r>
        <w:rPr>
          <w:rFonts w:eastAsia="方正仿宋_GBK"/>
          <w:color w:val="000000" w:themeColor="text1"/>
          <w:szCs w:val="32"/>
          <w14:textFill>
            <w14:solidFill>
              <w14:schemeClr w14:val="tx1"/>
            </w14:solidFill>
          </w14:textFill>
        </w:rPr>
        <w:t>发挥青年在城市更新、消费新场景打造中的创造力和活力，推进青年发展型城市建设。</w:t>
      </w:r>
    </w:p>
    <w:p>
      <w:pPr>
        <w:pStyle w:val="5"/>
        <w:widowControl w:val="0"/>
        <w:spacing w:after="0" w:line="594" w:lineRule="exact"/>
        <w:ind w:firstLine="643" w:firstLineChars="200"/>
        <w:jc w:val="both"/>
        <w:rPr>
          <w:rFonts w:ascii="Times New Roman" w:hAnsi="Times New Roman" w:eastAsia="方正仿宋_GBK" w:cs="Times New Roman"/>
          <w:color w:val="000000" w:themeColor="text1"/>
          <w:kern w:val="2"/>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15</w:t>
      </w:r>
      <w:r>
        <w:rPr>
          <w:rFonts w:ascii="Times New Roman" w:hAnsi="Times New Roman" w:eastAsia="方正仿宋_GBK" w:cs="Times New Roman"/>
          <w:b/>
          <w:bCs/>
          <w:color w:val="000000" w:themeColor="text1"/>
          <w:kern w:val="2"/>
          <w:sz w:val="32"/>
          <w:szCs w:val="32"/>
          <w14:textFill>
            <w14:solidFill>
              <w14:schemeClr w14:val="tx1"/>
            </w14:solidFill>
          </w14:textFill>
        </w:rPr>
        <w:t>. 建设都市型和美乡村</w:t>
      </w:r>
      <w:r>
        <w:rPr>
          <w:rFonts w:ascii="Times New Roman" w:hAnsi="Times New Roman" w:eastAsia="方正楷体_GBK" w:cs="Times New Roman"/>
          <w:color w:val="000000" w:themeColor="text1"/>
          <w:kern w:val="2"/>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14:textFill>
            <w14:solidFill>
              <w14:schemeClr w14:val="tx1"/>
            </w14:solidFill>
          </w14:textFill>
        </w:rPr>
        <w:t>统筹推进农村基础设施提档升级、农村人居环境整治和田园景观建设，推进西小路等农村公路改造，推进丰收坝水厂三期扩建。</w:t>
      </w:r>
      <w:r>
        <w:rPr>
          <w:rFonts w:hint="default" w:ascii="Times New Roman" w:hAnsi="Times New Roman" w:eastAsia="方正仿宋_GBK" w:cs="Times New Roman"/>
          <w:color w:val="000000" w:themeColor="text1"/>
          <w:kern w:val="2"/>
          <w:sz w:val="32"/>
          <w:szCs w:val="32"/>
          <w14:textFill>
            <w14:solidFill>
              <w14:schemeClr w14:val="tx1"/>
            </w14:solidFill>
          </w14:textFill>
        </w:rPr>
        <w:t>完成粮食生产任务，</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全年</w:t>
      </w:r>
      <w:r>
        <w:rPr>
          <w:rFonts w:hint="default" w:ascii="Times New Roman" w:hAnsi="Times New Roman" w:eastAsia="方正仿宋_GBK" w:cs="Times New Roman"/>
          <w:color w:val="000000" w:themeColor="text1"/>
          <w:kern w:val="2"/>
          <w:sz w:val="32"/>
          <w:szCs w:val="32"/>
          <w14:textFill>
            <w14:solidFill>
              <w14:schemeClr w14:val="tx1"/>
            </w14:solidFill>
          </w14:textFill>
        </w:rPr>
        <w:t>粮食播种面积</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达</w:t>
      </w:r>
      <w:r>
        <w:rPr>
          <w:rFonts w:hint="default" w:ascii="Times New Roman" w:hAnsi="Times New Roman" w:eastAsia="方正仿宋_GBK" w:cs="Times New Roman"/>
          <w:color w:val="000000" w:themeColor="text1"/>
          <w:kern w:val="2"/>
          <w:sz w:val="32"/>
          <w:szCs w:val="32"/>
          <w14:textFill>
            <w14:solidFill>
              <w14:schemeClr w14:val="tx1"/>
            </w14:solidFill>
          </w14:textFill>
        </w:rPr>
        <w:t>2000亩、粮食产量</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达</w:t>
      </w:r>
      <w:r>
        <w:rPr>
          <w:rFonts w:hint="default" w:ascii="Times New Roman" w:hAnsi="Times New Roman" w:eastAsia="方正仿宋_GBK" w:cs="Times New Roman"/>
          <w:color w:val="000000" w:themeColor="text1"/>
          <w:kern w:val="2"/>
          <w:sz w:val="32"/>
          <w:szCs w:val="32"/>
          <w14:textFill>
            <w14:solidFill>
              <w14:schemeClr w14:val="tx1"/>
            </w14:solidFill>
          </w14:textFill>
        </w:rPr>
        <w:t>600吨。</w:t>
      </w:r>
      <w:r>
        <w:rPr>
          <w:rFonts w:ascii="Times New Roman" w:hAnsi="Times New Roman" w:eastAsia="方正仿宋_GBK" w:cs="Times New Roman"/>
          <w:color w:val="000000" w:themeColor="text1"/>
          <w:kern w:val="2"/>
          <w:sz w:val="32"/>
          <w:szCs w:val="32"/>
          <w14:textFill>
            <w14:solidFill>
              <w14:schemeClr w14:val="tx1"/>
            </w14:solidFill>
          </w14:textFill>
        </w:rPr>
        <w:t>发展现代都市农业，</w:t>
      </w:r>
      <w:r>
        <w:rPr>
          <w:rFonts w:ascii="Times New Roman" w:hAnsi="Times New Roman" w:eastAsia="方正仿宋_GBK" w:cs="Times New Roman"/>
          <w:color w:val="000000" w:themeColor="text1"/>
          <w:sz w:val="32"/>
          <w:szCs w:val="32"/>
          <w14:textFill>
            <w14:solidFill>
              <w14:schemeClr w14:val="tx1"/>
            </w14:solidFill>
          </w14:textFill>
        </w:rPr>
        <w:t>建成红九九扩能搬迁等项目，做优农产品加工业。</w:t>
      </w:r>
      <w:r>
        <w:rPr>
          <w:rFonts w:hint="eastAsia" w:ascii="Times New Roman" w:hAnsi="Times New Roman" w:eastAsia="方正仿宋_GBK" w:cs="Times New Roman"/>
          <w:color w:val="000000" w:themeColor="text1"/>
          <w:sz w:val="32"/>
          <w:szCs w:val="32"/>
          <w14:textFill>
            <w14:solidFill>
              <w14:schemeClr w14:val="tx1"/>
            </w14:solidFill>
          </w14:textFill>
        </w:rPr>
        <w:t>提档升级</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金鳌田园</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国家4A级旅游景区，建成云上田园等项目，常态化开展农耕文化体验活动。持续推进中梁山康养项目和石林寺综合体招商建设，力争建成投用蒲公英成长酷玩营地二期。</w:t>
      </w:r>
      <w:r>
        <w:rPr>
          <w:rFonts w:ascii="Times New Roman" w:hAnsi="Times New Roman" w:eastAsia="方正仿宋_GBK" w:cs="Times New Roman"/>
          <w:color w:val="000000" w:themeColor="text1"/>
          <w:kern w:val="2"/>
          <w:sz w:val="32"/>
          <w:szCs w:val="32"/>
          <w14:textFill>
            <w14:solidFill>
              <w14:schemeClr w14:val="tx1"/>
            </w14:solidFill>
          </w14:textFill>
        </w:rPr>
        <w:t>巩固提升农村集体产权制度改革成果，落实强村富民措施，积极发展新型农村集体经济。</w:t>
      </w:r>
    </w:p>
    <w:p>
      <w:pPr>
        <w:widowControl w:val="0"/>
        <w:adjustRightInd w:val="0"/>
        <w:snapToGrid w:val="0"/>
        <w:spacing w:after="0" w:line="594" w:lineRule="exact"/>
        <w:jc w:val="center"/>
        <w:rPr>
          <w:rFonts w:ascii="Times New Roman" w:hAnsi="Times New Roman" w:eastAsia="方正黑体_GBK" w:cs="Times New Roman"/>
          <w:color w:val="000000" w:themeColor="text1"/>
          <w:sz w:val="28"/>
          <w:szCs w:val="28"/>
          <w14:textFill>
            <w14:solidFill>
              <w14:schemeClr w14:val="tx1"/>
            </w14:solidFill>
          </w14:textFill>
        </w:rPr>
      </w:pPr>
      <w:r>
        <w:rPr>
          <w:rFonts w:ascii="Times New Roman" w:hAnsi="Times New Roman" w:eastAsia="方正黑体_GBK" w:cs="Times New Roman"/>
          <w:color w:val="000000" w:themeColor="text1"/>
          <w:sz w:val="28"/>
          <w:szCs w:val="28"/>
          <w14:textFill>
            <w14:solidFill>
              <w14:schemeClr w14:val="tx1"/>
            </w14:solidFill>
          </w14:textFill>
        </w:rPr>
        <w:t>专栏</w:t>
      </w:r>
      <w:r>
        <w:rPr>
          <w:rFonts w:hint="eastAsia" w:ascii="Times New Roman" w:hAnsi="Times New Roman" w:eastAsia="方正黑体_GBK" w:cs="Times New Roman"/>
          <w:color w:val="000000" w:themeColor="text1"/>
          <w:sz w:val="28"/>
          <w:szCs w:val="28"/>
          <w:lang w:val="en-US" w:eastAsia="zh-CN"/>
          <w14:textFill>
            <w14:solidFill>
              <w14:schemeClr w14:val="tx1"/>
            </w14:solidFill>
          </w14:textFill>
        </w:rPr>
        <w:t>3</w:t>
      </w:r>
      <w:r>
        <w:rPr>
          <w:rFonts w:ascii="Times New Roman" w:hAnsi="Times New Roman" w:eastAsia="方正黑体_GBK" w:cs="Times New Roman"/>
          <w:color w:val="000000" w:themeColor="text1"/>
          <w:sz w:val="28"/>
          <w:szCs w:val="28"/>
          <w14:textFill>
            <w14:solidFill>
              <w14:schemeClr w14:val="tx1"/>
            </w14:solidFill>
          </w14:textFill>
        </w:rPr>
        <w:t>：2024年城乡融合重点项目</w:t>
      </w:r>
    </w:p>
    <w:tbl>
      <w:tblPr>
        <w:tblStyle w:val="14"/>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203" w:type="dxa"/>
          </w:tcPr>
          <w:p>
            <w:pPr>
              <w:widowControl w:val="0"/>
              <w:spacing w:after="0" w:line="260" w:lineRule="exact"/>
              <w:jc w:val="both"/>
              <w:rPr>
                <w:rFonts w:ascii="Times New Roman" w:hAnsi="Times New Roman" w:eastAsia="方正仿宋_GBK" w:cs="Times New Roman"/>
                <w:bCs/>
                <w:color w:val="000000" w:themeColor="text1"/>
                <w:sz w:val="21"/>
                <w:szCs w:val="21"/>
                <w14:textFill>
                  <w14:solidFill>
                    <w14:schemeClr w14:val="tx1"/>
                  </w14:solidFill>
                </w14:textFill>
              </w:rPr>
            </w:pPr>
            <w:r>
              <w:rPr>
                <w:rFonts w:ascii="Times New Roman" w:hAnsi="Times New Roman" w:eastAsia="方正黑体_GBK" w:cs="Times New Roman"/>
                <w:bCs/>
                <w:color w:val="000000" w:themeColor="text1"/>
                <w:sz w:val="21"/>
                <w:szCs w:val="21"/>
                <w14:textFill>
                  <w14:solidFill>
                    <w14:schemeClr w14:val="tx1"/>
                  </w14:solidFill>
                </w14:textFill>
              </w:rPr>
              <w:t>公园建设：</w:t>
            </w:r>
            <w:r>
              <w:rPr>
                <w:rFonts w:ascii="Times New Roman" w:hAnsi="Times New Roman" w:eastAsia="方正仿宋_GBK" w:cs="Times New Roman"/>
                <w:bCs/>
                <w:color w:val="000000" w:themeColor="text1"/>
                <w:sz w:val="21"/>
                <w:szCs w:val="21"/>
                <w14:textFill>
                  <w14:solidFill>
                    <w14:schemeClr w14:val="tx1"/>
                  </w14:solidFill>
                </w14:textFill>
              </w:rPr>
              <w:t>双山体育公园建设工程、</w:t>
            </w:r>
            <w:r>
              <w:rPr>
                <w:rFonts w:hint="eastAsia" w:ascii="Times New Roman" w:hAnsi="Times New Roman" w:eastAsia="方正仿宋_GBK" w:cs="Times New Roman"/>
                <w:bCs/>
                <w:color w:val="000000" w:themeColor="text1"/>
                <w:sz w:val="21"/>
                <w:szCs w:val="21"/>
                <w14:textFill>
                  <w14:solidFill>
                    <w14:schemeClr w14:val="tx1"/>
                  </w14:solidFill>
                </w14:textFill>
              </w:rPr>
              <w:t>伏牛大道坡坎崖游乐公园</w:t>
            </w:r>
            <w:r>
              <w:rPr>
                <w:rFonts w:ascii="Times New Roman" w:hAnsi="Times New Roman" w:eastAsia="方正仿宋_GBK" w:cs="Times New Roman"/>
                <w:bCs/>
                <w:color w:val="000000" w:themeColor="text1"/>
                <w:sz w:val="21"/>
                <w:szCs w:val="21"/>
                <w14:textFill>
                  <w14:solidFill>
                    <w14:schemeClr w14:val="tx1"/>
                  </w14:solidFill>
                </w14:textFill>
              </w:rPr>
              <w:t>、白沙沱长江铁路大桥遗址公园、滨江户外体育公园建设项目、I分区公园绿地建设、白居寺公园品质提升、2024年城市街头绿地及更新项目、嘉南线配套绿化项目</w:t>
            </w:r>
          </w:p>
          <w:p>
            <w:pPr>
              <w:widowControl w:val="0"/>
              <w:spacing w:after="0" w:line="260" w:lineRule="exact"/>
              <w:jc w:val="both"/>
              <w:rPr>
                <w:rFonts w:ascii="Times New Roman" w:hAnsi="Times New Roman" w:eastAsia="方正仿宋_GBK" w:cs="Times New Roman"/>
                <w:bCs/>
                <w:color w:val="000000" w:themeColor="text1"/>
                <w:sz w:val="21"/>
                <w:szCs w:val="21"/>
                <w14:textFill>
                  <w14:solidFill>
                    <w14:schemeClr w14:val="tx1"/>
                  </w14:solidFill>
                </w14:textFill>
              </w:rPr>
            </w:pPr>
            <w:r>
              <w:rPr>
                <w:rFonts w:ascii="Times New Roman" w:hAnsi="Times New Roman" w:eastAsia="方正黑体_GBK" w:cs="Times New Roman"/>
                <w:bCs/>
                <w:color w:val="000000" w:themeColor="text1"/>
                <w:sz w:val="21"/>
                <w:szCs w:val="21"/>
                <w14:textFill>
                  <w14:solidFill>
                    <w14:schemeClr w14:val="tx1"/>
                  </w14:solidFill>
                </w14:textFill>
              </w:rPr>
              <w:t>道路交通：</w:t>
            </w:r>
            <w:r>
              <w:rPr>
                <w:rFonts w:hint="eastAsia" w:ascii="Times New Roman" w:hAnsi="Times New Roman" w:eastAsia="方正仿宋_GBK" w:cs="Times New Roman"/>
                <w:bCs/>
                <w:color w:val="000000" w:themeColor="text1"/>
                <w:sz w:val="21"/>
                <w:szCs w:val="21"/>
                <w14:textFill>
                  <w14:solidFill>
                    <w14:schemeClr w14:val="tx1"/>
                  </w14:solidFill>
                </w14:textFill>
              </w:rPr>
              <w:t>成渝铁路重庆至江津站段改造项目大渡口区站房配套设施工程、</w:t>
            </w:r>
            <w:r>
              <w:rPr>
                <w:rFonts w:ascii="Times New Roman" w:hAnsi="Times New Roman" w:eastAsia="方正仿宋_GBK" w:cs="Times New Roman"/>
                <w:bCs/>
                <w:color w:val="000000" w:themeColor="text1"/>
                <w:sz w:val="21"/>
                <w:szCs w:val="21"/>
                <w14:textFill>
                  <w14:solidFill>
                    <w14:schemeClr w14:val="tx1"/>
                  </w14:solidFill>
                </w14:textFill>
              </w:rPr>
              <w:t>八横线白市驿隧道至黄桷坪大桥段、陶家隧道、三纵线双山隧道至金家湾立交段改造工程、大滨路与九滨路连接道、五台山立交至双山隧道段改造工程建设、嘉南线连接道、新郭伏路福茄路至金建路段二期、</w:t>
            </w:r>
            <w:r>
              <w:rPr>
                <w:rFonts w:hint="eastAsia" w:ascii="Times New Roman" w:hAnsi="Times New Roman" w:eastAsia="方正仿宋_GBK" w:cs="Times New Roman"/>
                <w:bCs/>
                <w:color w:val="000000" w:themeColor="text1"/>
                <w:sz w:val="21"/>
                <w:szCs w:val="21"/>
                <w14:textFill>
                  <w14:solidFill>
                    <w14:schemeClr w14:val="tx1"/>
                  </w14:solidFill>
                </w14:textFill>
              </w:rPr>
              <w:t>音乐大道北延伸段</w:t>
            </w:r>
            <w:r>
              <w:rPr>
                <w:rFonts w:ascii="Times New Roman" w:hAnsi="Times New Roman" w:eastAsia="方正仿宋_GBK" w:cs="Times New Roman"/>
                <w:bCs/>
                <w:color w:val="000000" w:themeColor="text1"/>
                <w:sz w:val="21"/>
                <w:szCs w:val="21"/>
                <w14:textFill>
                  <w14:solidFill>
                    <w14:schemeClr w14:val="tx1"/>
                  </w14:solidFill>
                </w14:textFill>
              </w:rPr>
              <w:t>、跳磴南侧Z3路、钢花支路拓宽改造工程暨快速路八横线联络线、跳磴南侧片区路网项目</w:t>
            </w:r>
            <w:r>
              <w:rPr>
                <w:rFonts w:hint="eastAsia" w:ascii="Times New Roman" w:hAnsi="Times New Roman" w:eastAsia="方正仿宋_GBK" w:cs="Times New Roman"/>
                <w:bCs/>
                <w:color w:val="000000" w:themeColor="text1"/>
                <w:sz w:val="21"/>
                <w:szCs w:val="21"/>
                <w14:textFill>
                  <w14:solidFill>
                    <w14:schemeClr w14:val="tx1"/>
                  </w14:solidFill>
                </w14:textFill>
              </w:rPr>
              <w:t>一期</w:t>
            </w:r>
            <w:r>
              <w:rPr>
                <w:rFonts w:ascii="Times New Roman" w:hAnsi="Times New Roman" w:eastAsia="方正仿宋_GBK" w:cs="Times New Roman"/>
                <w:bCs/>
                <w:color w:val="000000" w:themeColor="text1"/>
                <w:sz w:val="21"/>
                <w:szCs w:val="21"/>
                <w14:textFill>
                  <w14:solidFill>
                    <w14:schemeClr w14:val="tx1"/>
                  </w14:solidFill>
                </w14:textFill>
              </w:rPr>
              <w:t>、福晟路网、跳磴南侧两横一纵路网工程、</w:t>
            </w:r>
            <w:r>
              <w:rPr>
                <w:rFonts w:hint="eastAsia" w:ascii="Times New Roman" w:hAnsi="Times New Roman" w:eastAsia="方正仿宋_GBK" w:cs="Times New Roman"/>
                <w:bCs/>
                <w:color w:val="000000" w:themeColor="text1"/>
                <w:sz w:val="21"/>
                <w:szCs w:val="21"/>
                <w14:textFill>
                  <w14:solidFill>
                    <w14:schemeClr w14:val="tx1"/>
                  </w14:solidFill>
                </w14:textFill>
              </w:rPr>
              <w:t>刘家坝片区路网工程二期</w:t>
            </w:r>
            <w:r>
              <w:rPr>
                <w:rFonts w:ascii="Times New Roman" w:hAnsi="Times New Roman" w:eastAsia="方正仿宋_GBK" w:cs="Times New Roman"/>
                <w:bCs/>
                <w:color w:val="000000" w:themeColor="text1"/>
                <w:sz w:val="21"/>
                <w:szCs w:val="21"/>
                <w14:textFill>
                  <w14:solidFill>
                    <w14:schemeClr w14:val="tx1"/>
                  </w14:solidFill>
                </w14:textFill>
              </w:rPr>
              <w:t>、</w:t>
            </w:r>
            <w:r>
              <w:rPr>
                <w:rFonts w:hint="eastAsia" w:ascii="Times New Roman" w:hAnsi="Times New Roman" w:eastAsia="方正仿宋_GBK" w:cs="Times New Roman"/>
                <w:bCs/>
                <w:color w:val="000000" w:themeColor="text1"/>
                <w:sz w:val="21"/>
                <w:szCs w:val="21"/>
                <w14:textFill>
                  <w14:solidFill>
                    <w14:schemeClr w14:val="tx1"/>
                  </w14:solidFill>
                </w14:textFill>
              </w:rPr>
              <w:t>八桥镇储备地块安置房周边道路整治工程一期</w:t>
            </w:r>
            <w:r>
              <w:rPr>
                <w:rFonts w:ascii="Times New Roman" w:hAnsi="Times New Roman" w:eastAsia="方正仿宋_GBK" w:cs="Times New Roman"/>
                <w:bCs/>
                <w:color w:val="000000" w:themeColor="text1"/>
                <w:sz w:val="21"/>
                <w:szCs w:val="21"/>
                <w14:textFill>
                  <w14:solidFill>
                    <w14:schemeClr w14:val="tx1"/>
                  </w14:solidFill>
                </w14:textFill>
              </w:rPr>
              <w:t>、恒大I分区项目配套道路二期、钓鱼嘴五号路、创新村片区道路</w:t>
            </w:r>
          </w:p>
          <w:p>
            <w:pPr>
              <w:widowControl w:val="0"/>
              <w:spacing w:after="0" w:line="260" w:lineRule="exact"/>
              <w:jc w:val="both"/>
              <w:rPr>
                <w:rFonts w:ascii="Times New Roman" w:hAnsi="Times New Roman" w:eastAsia="方正仿宋_GBK" w:cs="Times New Roman"/>
                <w:bCs/>
                <w:color w:val="000000" w:themeColor="text1"/>
                <w:sz w:val="21"/>
                <w:szCs w:val="21"/>
                <w14:textFill>
                  <w14:solidFill>
                    <w14:schemeClr w14:val="tx1"/>
                  </w14:solidFill>
                </w14:textFill>
              </w:rPr>
            </w:pPr>
            <w:r>
              <w:rPr>
                <w:rFonts w:ascii="Times New Roman" w:hAnsi="Times New Roman" w:eastAsia="方正黑体_GBK" w:cs="Times New Roman"/>
                <w:bCs/>
                <w:color w:val="000000" w:themeColor="text1"/>
                <w:sz w:val="21"/>
                <w:szCs w:val="21"/>
                <w14:textFill>
                  <w14:solidFill>
                    <w14:schemeClr w14:val="tx1"/>
                  </w14:solidFill>
                </w14:textFill>
              </w:rPr>
              <w:t>能源配套：</w:t>
            </w:r>
            <w:r>
              <w:rPr>
                <w:rFonts w:ascii="Times New Roman" w:hAnsi="Times New Roman" w:eastAsia="方正仿宋_GBK" w:cs="Times New Roman"/>
                <w:bCs/>
                <w:color w:val="000000" w:themeColor="text1"/>
                <w:sz w:val="21"/>
                <w:szCs w:val="21"/>
                <w14:textFill>
                  <w14:solidFill>
                    <w14:schemeClr w14:val="tx1"/>
                  </w14:solidFill>
                </w14:textFill>
              </w:rPr>
              <w:t>35千伏中征一、二线及110千伏柏敖线迁改、</w:t>
            </w:r>
            <w:r>
              <w:rPr>
                <w:rFonts w:hint="eastAsia" w:ascii="Times New Roman" w:hAnsi="Times New Roman" w:eastAsia="方正仿宋_GBK" w:cs="Times New Roman"/>
                <w:bCs/>
                <w:color w:val="000000" w:themeColor="text1"/>
                <w:sz w:val="21"/>
                <w:szCs w:val="21"/>
                <w14:textFill>
                  <w14:solidFill>
                    <w14:schemeClr w14:val="tx1"/>
                  </w14:solidFill>
                </w14:textFill>
              </w:rPr>
              <w:t>大渡口</w:t>
            </w:r>
            <w:r>
              <w:rPr>
                <w:rFonts w:ascii="Times New Roman" w:hAnsi="Times New Roman" w:eastAsia="方正仿宋_GBK" w:cs="Times New Roman"/>
                <w:bCs/>
                <w:color w:val="000000" w:themeColor="text1"/>
                <w:sz w:val="21"/>
                <w:szCs w:val="21"/>
                <w14:textFill>
                  <w14:solidFill>
                    <w14:schemeClr w14:val="tx1"/>
                  </w14:solidFill>
                </w14:textFill>
              </w:rPr>
              <w:t>10</w:t>
            </w:r>
            <w:r>
              <w:rPr>
                <w:rFonts w:hint="eastAsia" w:ascii="Times New Roman" w:hAnsi="Times New Roman" w:eastAsia="方正仿宋_GBK" w:cs="Times New Roman"/>
                <w:bCs/>
                <w:color w:val="000000" w:themeColor="text1"/>
                <w:sz w:val="21"/>
                <w:szCs w:val="21"/>
                <w14:textFill>
                  <w14:solidFill>
                    <w14:schemeClr w14:val="tx1"/>
                  </w14:solidFill>
                </w14:textFill>
              </w:rPr>
              <w:t>千伏刘柏线等线路迁改工程</w:t>
            </w:r>
            <w:r>
              <w:rPr>
                <w:rFonts w:ascii="Times New Roman" w:hAnsi="Times New Roman" w:eastAsia="方正仿宋_GBK" w:cs="Times New Roman"/>
                <w:bCs/>
                <w:color w:val="000000" w:themeColor="text1"/>
                <w:sz w:val="21"/>
                <w:szCs w:val="21"/>
                <w14:textFill>
                  <w14:solidFill>
                    <w14:schemeClr w14:val="tx1"/>
                  </w14:solidFill>
                </w14:textFill>
              </w:rPr>
              <w:t>、西大附中刘家坝东片区110kV马刘东西线、柏建线、刘海线电力迁改、萤石生产基地项目35千伏专用变电站建设项目、建桥C区环保产业园配电项目电力通道建设、中元汇吉生产基地10千伏开闭所建设</w:t>
            </w:r>
          </w:p>
          <w:p>
            <w:pPr>
              <w:widowControl w:val="0"/>
              <w:spacing w:after="0" w:line="260" w:lineRule="exact"/>
              <w:jc w:val="both"/>
              <w:rPr>
                <w:rFonts w:ascii="Times New Roman" w:hAnsi="Times New Roman" w:eastAsia="方正仿宋_GBK" w:cs="Times New Roman"/>
                <w:bCs/>
                <w:color w:val="000000" w:themeColor="text1"/>
                <w:sz w:val="21"/>
                <w:szCs w:val="21"/>
                <w14:textFill>
                  <w14:solidFill>
                    <w14:schemeClr w14:val="tx1"/>
                  </w14:solidFill>
                </w14:textFill>
              </w:rPr>
            </w:pPr>
            <w:r>
              <w:rPr>
                <w:rFonts w:ascii="Times New Roman" w:hAnsi="Times New Roman" w:eastAsia="方正黑体_GBK" w:cs="Times New Roman"/>
                <w:bCs/>
                <w:color w:val="000000" w:themeColor="text1"/>
                <w:sz w:val="21"/>
                <w:szCs w:val="21"/>
                <w14:textFill>
                  <w14:solidFill>
                    <w14:schemeClr w14:val="tx1"/>
                  </w14:solidFill>
                </w14:textFill>
              </w:rPr>
              <w:t>公共配套：</w:t>
            </w:r>
            <w:bookmarkStart w:id="0" w:name="_Hlk167823012"/>
            <w:r>
              <w:rPr>
                <w:rFonts w:ascii="Times New Roman" w:hAnsi="Times New Roman" w:eastAsia="方正仿宋_GBK" w:cs="Times New Roman"/>
                <w:bCs/>
                <w:color w:val="000000" w:themeColor="text1"/>
                <w:sz w:val="21"/>
                <w:szCs w:val="21"/>
                <w14:textFill>
                  <w14:solidFill>
                    <w14:schemeClr w14:val="tx1"/>
                  </w14:solidFill>
                </w14:textFill>
              </w:rPr>
              <w:t>大渡口区葛老溪片区雨污水管网整治工程、九宫庙片区雨污水管网整治工程、茄子溪片区雨污水管网整治工程、N08-1地块停车场、移民城镇智慧化及应急能力建设工程、嘉南线连接道DN1400给水管道工程、建桥大道至南北大道南延段DN1400给水管道工程、N32-2地块停车场、育才小学天桥</w:t>
            </w:r>
          </w:p>
          <w:bookmarkEnd w:id="0"/>
          <w:p>
            <w:pPr>
              <w:widowControl w:val="0"/>
              <w:spacing w:after="0" w:line="260" w:lineRule="exact"/>
              <w:jc w:val="both"/>
              <w:rPr>
                <w:rFonts w:ascii="Times New Roman" w:hAnsi="Times New Roman" w:eastAsia="方正仿宋_GBK" w:cs="Times New Roman"/>
                <w:bCs/>
                <w:color w:val="000000" w:themeColor="text1"/>
                <w:sz w:val="21"/>
                <w:szCs w:val="21"/>
                <w14:textFill>
                  <w14:solidFill>
                    <w14:schemeClr w14:val="tx1"/>
                  </w14:solidFill>
                </w14:textFill>
              </w:rPr>
            </w:pPr>
            <w:r>
              <w:rPr>
                <w:rFonts w:ascii="Times New Roman" w:hAnsi="Times New Roman" w:eastAsia="方正黑体_GBK" w:cs="Times New Roman"/>
                <w:bCs/>
                <w:color w:val="000000" w:themeColor="text1"/>
                <w:sz w:val="21"/>
                <w:szCs w:val="21"/>
                <w14:textFill>
                  <w14:solidFill>
                    <w14:schemeClr w14:val="tx1"/>
                  </w14:solidFill>
                </w14:textFill>
              </w:rPr>
              <w:t>城市更新及老旧小区改造：</w:t>
            </w:r>
            <w:bookmarkStart w:id="1" w:name="_Hlk167823020"/>
            <w:r>
              <w:rPr>
                <w:rStyle w:val="29"/>
                <w:rFonts w:hint="default" w:ascii="Times New Roman" w:hAnsi="Times New Roman" w:eastAsia="方正仿宋_GBK" w:cs="Times New Roman"/>
                <w:color w:val="000000" w:themeColor="text1"/>
                <w:sz w:val="21"/>
                <w:szCs w:val="21"/>
                <w:lang w:bidi="ar"/>
                <w14:textFill>
                  <w14:solidFill>
                    <w14:schemeClr w14:val="tx1"/>
                  </w14:solidFill>
                </w14:textFill>
              </w:rPr>
              <w:t>艺度创城市更新一期、二期；</w:t>
            </w:r>
            <w:r>
              <w:rPr>
                <w:rFonts w:ascii="Times New Roman" w:hAnsi="Times New Roman" w:eastAsia="方正仿宋_GBK" w:cs="Times New Roman"/>
                <w:bCs/>
                <w:color w:val="000000" w:themeColor="text1"/>
                <w:sz w:val="21"/>
                <w:szCs w:val="21"/>
                <w14:textFill>
                  <w14:solidFill>
                    <w14:schemeClr w14:val="tx1"/>
                  </w14:solidFill>
                </w14:textFill>
              </w:rPr>
              <w:t>革马中心片区、大堰片区、跃进（跃新）片区、堰兴片区、大堰二村片区、渝铁片区、翠柏小区、柏华小区、重钢宿舍片区老旧小区改造</w:t>
            </w:r>
          </w:p>
          <w:bookmarkEnd w:id="1"/>
          <w:p>
            <w:pPr>
              <w:widowControl w:val="0"/>
              <w:spacing w:after="0" w:line="260" w:lineRule="exact"/>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方正黑体_GBK" w:cs="Times New Roman"/>
                <w:bCs/>
                <w:color w:val="000000" w:themeColor="text1"/>
                <w:sz w:val="21"/>
                <w:szCs w:val="21"/>
                <w14:textFill>
                  <w14:solidFill>
                    <w14:schemeClr w14:val="tx1"/>
                  </w14:solidFill>
                </w14:textFill>
              </w:rPr>
              <w:t>乡村振兴：</w:t>
            </w:r>
            <w:bookmarkStart w:id="2" w:name="_Hlk167823029"/>
            <w:r>
              <w:rPr>
                <w:rFonts w:hint="eastAsia" w:ascii="方正仿宋_GBK"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金鳌田园</w:t>
            </w:r>
            <w:r>
              <w:rPr>
                <w:rFonts w:hint="eastAsia" w:ascii="方正仿宋_GBK"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综合体基础设施建设项目、</w:t>
            </w:r>
            <w:r>
              <w:rPr>
                <w:rFonts w:hint="eastAsia" w:ascii="Times New Roman" w:hAnsi="Times New Roman" w:eastAsia="方正仿宋_GBK" w:cs="Times New Roman"/>
                <w:bCs/>
                <w:color w:val="000000" w:themeColor="text1"/>
                <w:sz w:val="21"/>
                <w:szCs w:val="21"/>
                <w14:textFill>
                  <w14:solidFill>
                    <w14:schemeClr w14:val="tx1"/>
                  </w14:solidFill>
                </w14:textFill>
              </w:rPr>
              <w:t>金鳌撒欢乐园项目</w:t>
            </w:r>
            <w:r>
              <w:rPr>
                <w:rFonts w:ascii="Times New Roman" w:hAnsi="Times New Roman" w:eastAsia="方正仿宋_GBK" w:cs="Times New Roman"/>
                <w:color w:val="000000" w:themeColor="text1"/>
                <w:sz w:val="21"/>
                <w:szCs w:val="21"/>
                <w:lang w:bidi="ar"/>
                <w14:textFill>
                  <w14:solidFill>
                    <w14:schemeClr w14:val="tx1"/>
                  </w14:solidFill>
                </w14:textFill>
              </w:rPr>
              <w:t>、</w:t>
            </w:r>
            <w:r>
              <w:rPr>
                <w:rFonts w:hint="eastAsia" w:ascii="方正仿宋_GBK" w:hAnsi="Times New Roman" w:eastAsia="方正仿宋_GBK" w:cs="Times New Roman"/>
                <w:color w:val="000000" w:themeColor="text1"/>
                <w:sz w:val="21"/>
                <w:szCs w:val="21"/>
                <w:lang w:bidi="ar"/>
                <w14:textFill>
                  <w14:solidFill>
                    <w14:schemeClr w14:val="tx1"/>
                  </w14:solidFill>
                </w14:textFill>
              </w:rPr>
              <w:t>“</w:t>
            </w:r>
            <w:r>
              <w:rPr>
                <w:rStyle w:val="48"/>
                <w:rFonts w:hint="default" w:ascii="Times New Roman" w:hAnsi="Times New Roman" w:eastAsia="方正仿宋_GBK" w:cs="Times New Roman"/>
                <w:color w:val="000000" w:themeColor="text1"/>
                <w:sz w:val="21"/>
                <w:szCs w:val="21"/>
                <w:lang w:bidi="ar"/>
                <w14:textFill>
                  <w14:solidFill>
                    <w14:schemeClr w14:val="tx1"/>
                  </w14:solidFill>
                </w14:textFill>
              </w:rPr>
              <w:t>金鳌田园</w:t>
            </w:r>
            <w:r>
              <w:rPr>
                <w:rFonts w:hint="eastAsia" w:ascii="方正仿宋_GBK" w:hAnsi="Times New Roman" w:eastAsia="方正仿宋_GBK" w:cs="Times New Roman"/>
                <w:color w:val="000000" w:themeColor="text1"/>
                <w:sz w:val="21"/>
                <w:szCs w:val="21"/>
                <w:lang w:bidi="ar"/>
                <w14:textFill>
                  <w14:solidFill>
                    <w14:schemeClr w14:val="tx1"/>
                  </w14:solidFill>
                </w14:textFill>
              </w:rPr>
              <w:t>”</w:t>
            </w:r>
            <w:r>
              <w:rPr>
                <w:rStyle w:val="48"/>
                <w:rFonts w:hint="default" w:ascii="Times New Roman" w:hAnsi="Times New Roman" w:eastAsia="方正仿宋_GBK" w:cs="Times New Roman"/>
                <w:color w:val="000000" w:themeColor="text1"/>
                <w:sz w:val="21"/>
                <w:szCs w:val="21"/>
                <w:lang w:bidi="ar"/>
                <w14:textFill>
                  <w14:solidFill>
                    <w14:schemeClr w14:val="tx1"/>
                  </w14:solidFill>
                </w14:textFill>
              </w:rPr>
              <w:t>民宿旅游项目、</w:t>
            </w:r>
            <w:r>
              <w:rPr>
                <w:rFonts w:ascii="Times New Roman" w:hAnsi="Times New Roman" w:eastAsia="方正仿宋_GBK" w:cs="Times New Roman"/>
                <w:bCs/>
                <w:color w:val="000000" w:themeColor="text1"/>
                <w:sz w:val="21"/>
                <w:szCs w:val="21"/>
                <w14:textFill>
                  <w14:solidFill>
                    <w14:schemeClr w14:val="tx1"/>
                  </w14:solidFill>
                </w14:textFill>
              </w:rPr>
              <w:t>衔接推进乡村振兴项目、蒲公英酷玩成长营地、中梁山农房整治项目（含危旧房）、跳磴镇水系连通及水美乡村建设工程、农村人居环境整治项目、跳磴镇石盘村等移民村</w:t>
            </w:r>
            <w:r>
              <w:rPr>
                <w:rFonts w:hint="eastAsia" w:ascii="方正仿宋_GBK"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一改三提</w:t>
            </w:r>
            <w:r>
              <w:rPr>
                <w:rFonts w:hint="eastAsia" w:ascii="方正仿宋_GBK"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工程</w:t>
            </w:r>
            <w:bookmarkEnd w:id="2"/>
          </w:p>
        </w:tc>
      </w:tr>
    </w:tbl>
    <w:p>
      <w:pPr>
        <w:pStyle w:val="2"/>
        <w:spacing w:line="594" w:lineRule="exact"/>
        <w:ind w:firstLine="640" w:firstLineChars="200"/>
        <w:rPr>
          <w:rFonts w:eastAsia="方正仿宋_GBK"/>
          <w:color w:val="000000" w:themeColor="text1"/>
          <w:szCs w:val="32"/>
          <w14:textFill>
            <w14:solidFill>
              <w14:schemeClr w14:val="tx1"/>
            </w14:solidFill>
          </w14:textFill>
        </w:rPr>
      </w:pPr>
      <w:r>
        <w:rPr>
          <w:rFonts w:eastAsia="方正楷体_GBK"/>
          <w:bCs/>
          <w:color w:val="000000" w:themeColor="text1"/>
          <w:kern w:val="2"/>
          <w:szCs w:val="32"/>
          <w14:textFill>
            <w14:solidFill>
              <w14:schemeClr w14:val="tx1"/>
            </w14:solidFill>
          </w14:textFill>
        </w:rPr>
        <w:t>（五）全力减污降碳增绿，促进环境质量新改善</w:t>
      </w:r>
    </w:p>
    <w:p>
      <w:pPr>
        <w:pStyle w:val="2"/>
        <w:spacing w:line="594" w:lineRule="exact"/>
        <w:ind w:firstLine="643" w:firstLineChars="200"/>
        <w:rPr>
          <w:rFonts w:eastAsia="方正仿宋_GBK"/>
          <w:color w:val="000000" w:themeColor="text1"/>
          <w:szCs w:val="32"/>
          <w14:textFill>
            <w14:solidFill>
              <w14:schemeClr w14:val="tx1"/>
            </w14:solidFill>
          </w14:textFill>
        </w:rPr>
      </w:pPr>
      <w:r>
        <w:rPr>
          <w:b/>
          <w:bCs/>
          <w:color w:val="000000" w:themeColor="text1"/>
          <w:szCs w:val="32"/>
          <w14:textFill>
            <w14:solidFill>
              <w14:schemeClr w14:val="tx1"/>
            </w14:solidFill>
          </w14:textFill>
        </w:rPr>
        <w:t xml:space="preserve">16. </w:t>
      </w:r>
      <w:r>
        <w:rPr>
          <w:rFonts w:hint="eastAsia" w:ascii="方正仿宋_GBK" w:eastAsia="方正仿宋_GBK"/>
          <w:b/>
          <w:bCs/>
          <w:color w:val="000000" w:themeColor="text1"/>
          <w:szCs w:val="32"/>
          <w14:textFill>
            <w14:solidFill>
              <w14:schemeClr w14:val="tx1"/>
            </w14:solidFill>
          </w14:textFill>
        </w:rPr>
        <w:t>加强生态保护修复。</w:t>
      </w:r>
      <w:r>
        <w:rPr>
          <w:rFonts w:eastAsia="方正仿宋_GBK"/>
          <w:color w:val="000000" w:themeColor="text1"/>
          <w:szCs w:val="32"/>
          <w14:textFill>
            <w14:solidFill>
              <w14:schemeClr w14:val="tx1"/>
            </w14:solidFill>
          </w14:textFill>
        </w:rPr>
        <w:t>深入推动长江经济带发展，坚决筑牢长江上游重要生态屏障，探索创新生态环境治理模式，有序推进美丽重庆先行区建设全域覆盖。全面落实</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三线一单</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生态环境分区管控要求，坚决制止违反生态环境准入清单规定进行生产建设活动的行为。严守中梁山、金鳌山等城市绿脉，加快EOD项目建设。加强长江岸线资源保护，加快</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两江四岸</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治理提升，建成钓鱼嘴滨江段一标段，启动茄子溪段。加强渔政执法能力建设，持续做好长江十年禁渔执法工作。</w:t>
      </w:r>
    </w:p>
    <w:p>
      <w:pPr>
        <w:pStyle w:val="2"/>
        <w:spacing w:line="594" w:lineRule="exact"/>
        <w:ind w:firstLine="643" w:firstLineChars="200"/>
        <w:rPr>
          <w:rFonts w:eastAsia="方正仿宋_GBK"/>
          <w:color w:val="000000" w:themeColor="text1"/>
          <w:szCs w:val="32"/>
          <w14:textFill>
            <w14:solidFill>
              <w14:schemeClr w14:val="tx1"/>
            </w14:solidFill>
          </w14:textFill>
        </w:rPr>
      </w:pPr>
      <w:r>
        <w:rPr>
          <w:b/>
          <w:bCs/>
          <w:color w:val="000000" w:themeColor="text1"/>
          <w:szCs w:val="32"/>
          <w14:textFill>
            <w14:solidFill>
              <w14:schemeClr w14:val="tx1"/>
            </w14:solidFill>
          </w14:textFill>
        </w:rPr>
        <w:t xml:space="preserve">17. </w:t>
      </w:r>
      <w:r>
        <w:rPr>
          <w:rFonts w:hint="eastAsia" w:ascii="方正仿宋_GBK" w:eastAsia="方正仿宋_GBK"/>
          <w:b/>
          <w:bCs/>
          <w:color w:val="000000" w:themeColor="text1"/>
          <w:szCs w:val="32"/>
          <w14:textFill>
            <w14:solidFill>
              <w14:schemeClr w14:val="tx1"/>
            </w14:solidFill>
          </w14:textFill>
        </w:rPr>
        <w:t>加大污染治理力度。</w:t>
      </w:r>
      <w:r>
        <w:rPr>
          <w:rFonts w:eastAsia="方正仿宋_GBK"/>
          <w:color w:val="000000" w:themeColor="text1"/>
          <w:szCs w:val="32"/>
          <w14:textFill>
            <w14:solidFill>
              <w14:schemeClr w14:val="tx1"/>
            </w14:solidFill>
          </w14:textFill>
        </w:rPr>
        <w:t>落实</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河长制</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，巩固长江入河排污口整治成效，实施次级河流入河排口</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查测溯治</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工作，启动跳磴河市级幸福河湖创建，开工大九污水处理厂（三期）扩建工程，竣工投用</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清水绿岸</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二期工程、伏牛溪污水处理厂一期工程，长江丰收坝国考断面水质保持Ⅱ类及以上，饮用水源地水质达标率100%。深入打好蓝天污染</w:t>
      </w:r>
      <w:r>
        <w:rPr>
          <w:rFonts w:hint="eastAsia" w:eastAsia="方正仿宋_GBK"/>
          <w:color w:val="000000" w:themeColor="text1"/>
          <w:szCs w:val="32"/>
          <w:lang w:eastAsia="zh-CN"/>
          <w14:textFill>
            <w14:solidFill>
              <w14:schemeClr w14:val="tx1"/>
            </w14:solidFill>
          </w14:textFill>
        </w:rPr>
        <w:t>防治</w:t>
      </w:r>
      <w:r>
        <w:rPr>
          <w:rFonts w:eastAsia="方正仿宋_GBK"/>
          <w:color w:val="000000" w:themeColor="text1"/>
          <w:szCs w:val="32"/>
          <w14:textFill>
            <w14:solidFill>
              <w14:schemeClr w14:val="tx1"/>
            </w14:solidFill>
          </w14:textFill>
        </w:rPr>
        <w:t>攻坚战，深化柴油货车污染治理，</w:t>
      </w:r>
      <w:r>
        <w:rPr>
          <w:rFonts w:hint="eastAsia" w:eastAsia="方正仿宋_GBK"/>
          <w:color w:val="000000" w:themeColor="text1"/>
          <w:szCs w:val="32"/>
          <w14:textFill>
            <w14:solidFill>
              <w14:schemeClr w14:val="tx1"/>
            </w14:solidFill>
          </w14:textFill>
        </w:rPr>
        <w:t>强化</w:t>
      </w:r>
      <w:r>
        <w:rPr>
          <w:rFonts w:eastAsia="方正仿宋_GBK"/>
          <w:color w:val="000000" w:themeColor="text1"/>
          <w:szCs w:val="32"/>
          <w14:textFill>
            <w14:solidFill>
              <w14:schemeClr w14:val="tx1"/>
            </w14:solidFill>
          </w14:textFill>
        </w:rPr>
        <w:t>大气面源污染治理，</w:t>
      </w:r>
      <w:r>
        <w:rPr>
          <w:rFonts w:eastAsia="方正仿宋_GBK"/>
          <w:color w:val="000000" w:themeColor="text1"/>
          <w:szCs w:val="40"/>
          <w14:textFill>
            <w14:solidFill>
              <w14:schemeClr w14:val="tx1"/>
            </w14:solidFill>
          </w14:textFill>
        </w:rPr>
        <w:t>推进重点企业大气污染防治技改项目建设，</w:t>
      </w:r>
      <w:r>
        <w:rPr>
          <w:rFonts w:eastAsia="方正仿宋_GBK"/>
          <w:color w:val="000000" w:themeColor="text1"/>
          <w:szCs w:val="32"/>
          <w14:textFill>
            <w14:solidFill>
              <w14:schemeClr w14:val="tx1"/>
            </w14:solidFill>
          </w14:textFill>
        </w:rPr>
        <w:t>实施居民楼公共烟道颗粒物集中治理示范项目二期，确保全年空气质量优良天数不低于290天。强化农用地土壤污染防治和安全利用，创新土壤污染防治监管模式，受污染耕地安全利用率达到93%以上。强化建成区交通噪声控制，声环境功能区夜间达标率达到80%以上。</w:t>
      </w:r>
    </w:p>
    <w:p>
      <w:pPr>
        <w:pStyle w:val="2"/>
        <w:spacing w:line="594" w:lineRule="exact"/>
        <w:ind w:firstLine="643" w:firstLineChars="200"/>
        <w:rPr>
          <w:rFonts w:eastAsia="方正仿宋_GBK"/>
          <w:color w:val="000000" w:themeColor="text1"/>
          <w:szCs w:val="32"/>
          <w14:textFill>
            <w14:solidFill>
              <w14:schemeClr w14:val="tx1"/>
            </w14:solidFill>
          </w14:textFill>
        </w:rPr>
      </w:pPr>
      <w:r>
        <w:rPr>
          <w:rFonts w:eastAsia="方正仿宋_GBK"/>
          <w:b/>
          <w:bCs/>
          <w:color w:val="000000" w:themeColor="text1"/>
          <w:szCs w:val="32"/>
          <w14:textFill>
            <w14:solidFill>
              <w14:schemeClr w14:val="tx1"/>
            </w14:solidFill>
          </w14:textFill>
        </w:rPr>
        <w:t>18. 加快绿色低碳转型。</w:t>
      </w:r>
      <w:r>
        <w:rPr>
          <w:rFonts w:eastAsia="方正仿宋_GBK"/>
          <w:color w:val="000000" w:themeColor="text1"/>
          <w:szCs w:val="32"/>
          <w14:textFill>
            <w14:solidFill>
              <w14:schemeClr w14:val="tx1"/>
            </w14:solidFill>
          </w14:textFill>
        </w:rPr>
        <w:t>大力发展绿色低碳循环经济，有序做好</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双碳</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工作，深入推进工业、建筑、交通等重点领域节能，利用能耗双控预算管理平台，加强重点用能单位能耗监测，确保完成市级下达的能耗强度下降目标。加快发展绿色制造业，重点发展生态环保、新能源等绿色产业，积极推进节能降碳技术改造，创建一批绿色工厂。宣传绿色发展理念，倡导绿色低碳生活方式，持续推进绿色细胞创建。持续开展</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无废城市</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建设，深入推进垃圾分类治理，健全分类投放、分类收集、分类运输、分类处理的生活垃圾管理系统。</w:t>
      </w:r>
    </w:p>
    <w:p>
      <w:pPr>
        <w:widowControl w:val="0"/>
        <w:spacing w:after="0" w:line="594" w:lineRule="exact"/>
        <w:jc w:val="center"/>
        <w:rPr>
          <w:rFonts w:ascii="Times New Roman" w:hAnsi="Times New Roman" w:eastAsia="方正黑体_GBK" w:cs="Times New Roman"/>
          <w:b/>
          <w:bCs/>
          <w:color w:val="000000" w:themeColor="text1"/>
          <w:sz w:val="28"/>
          <w:szCs w:val="28"/>
          <w14:textFill>
            <w14:solidFill>
              <w14:schemeClr w14:val="tx1"/>
            </w14:solidFill>
          </w14:textFill>
        </w:rPr>
      </w:pPr>
      <w:r>
        <w:rPr>
          <w:rFonts w:ascii="Times New Roman" w:hAnsi="Times New Roman" w:eastAsia="方正黑体_GBK" w:cs="Times New Roman"/>
          <w:color w:val="000000" w:themeColor="text1"/>
          <w:sz w:val="28"/>
          <w:szCs w:val="28"/>
          <w14:textFill>
            <w14:solidFill>
              <w14:schemeClr w14:val="tx1"/>
            </w14:solidFill>
          </w14:textFill>
        </w:rPr>
        <w:t>专栏</w:t>
      </w:r>
      <w:r>
        <w:rPr>
          <w:rFonts w:hint="eastAsia" w:ascii="Times New Roman" w:hAnsi="Times New Roman" w:eastAsia="方正黑体_GBK" w:cs="Times New Roman"/>
          <w:color w:val="000000" w:themeColor="text1"/>
          <w:sz w:val="28"/>
          <w:szCs w:val="28"/>
          <w:lang w:val="en-US" w:eastAsia="zh-CN"/>
          <w14:textFill>
            <w14:solidFill>
              <w14:schemeClr w14:val="tx1"/>
            </w14:solidFill>
          </w14:textFill>
        </w:rPr>
        <w:t>4</w:t>
      </w:r>
      <w:r>
        <w:rPr>
          <w:rFonts w:ascii="Times New Roman" w:hAnsi="Times New Roman" w:eastAsia="方正黑体_GBK" w:cs="Times New Roman"/>
          <w:color w:val="000000" w:themeColor="text1"/>
          <w:sz w:val="28"/>
          <w:szCs w:val="28"/>
          <w14:textFill>
            <w14:solidFill>
              <w14:schemeClr w14:val="tx1"/>
            </w14:solidFill>
          </w14:textFill>
        </w:rPr>
        <w:t>：2024年绿色发展项目</w:t>
      </w:r>
    </w:p>
    <w:tbl>
      <w:tblPr>
        <w:tblStyle w:val="13"/>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120" w:type="dxa"/>
            <w:vAlign w:val="center"/>
          </w:tcPr>
          <w:p>
            <w:pPr>
              <w:widowControl w:val="0"/>
              <w:spacing w:after="0" w:line="260" w:lineRule="exact"/>
              <w:jc w:val="both"/>
              <w:rPr>
                <w:rFonts w:ascii="Times New Roman" w:hAnsi="Times New Roman" w:eastAsia="方正仿宋_GBK" w:cs="Times New Roman"/>
                <w:bCs/>
                <w:color w:val="000000" w:themeColor="text1"/>
                <w:sz w:val="21"/>
                <w:szCs w:val="21"/>
                <w14:textFill>
                  <w14:solidFill>
                    <w14:schemeClr w14:val="tx1"/>
                  </w14:solidFill>
                </w14:textFill>
              </w:rPr>
            </w:pPr>
            <w:r>
              <w:rPr>
                <w:rFonts w:ascii="Times New Roman" w:hAnsi="Times New Roman" w:eastAsia="方正黑体_GBK" w:cs="Times New Roman"/>
                <w:bCs/>
                <w:color w:val="000000" w:themeColor="text1"/>
                <w:sz w:val="21"/>
                <w:szCs w:val="21"/>
                <w14:textFill>
                  <w14:solidFill>
                    <w14:schemeClr w14:val="tx1"/>
                  </w14:solidFill>
                </w14:textFill>
              </w:rPr>
              <w:t>环境治理提升：</w:t>
            </w:r>
            <w:bookmarkStart w:id="3" w:name="_Hlk167824167"/>
            <w:r>
              <w:rPr>
                <w:rFonts w:hint="eastAsia" w:ascii="方正仿宋_GBK"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两江四岸</w:t>
            </w:r>
            <w:r>
              <w:rPr>
                <w:rFonts w:hint="eastAsia" w:ascii="方正仿宋_GBK"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治理提升工程钓鱼嘴滨江段一标段项目、</w:t>
            </w:r>
            <w:r>
              <w:rPr>
                <w:rFonts w:hint="eastAsia" w:ascii="方正仿宋_GBK"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两江四岸</w:t>
            </w:r>
            <w:r>
              <w:rPr>
                <w:rFonts w:hint="eastAsia" w:ascii="方正仿宋_GBK"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治理提升工程大滨路茄子溪段项目、重钢片区土地整治及市政基础设施项目、重钢片区渔鳅浩地块配套设施及整治项目、大渡口区跳磴河</w:t>
            </w:r>
            <w:r>
              <w:rPr>
                <w:rFonts w:hint="eastAsia" w:ascii="方正仿宋_GBK"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清水绿岸</w:t>
            </w:r>
            <w:r>
              <w:rPr>
                <w:rFonts w:hint="eastAsia" w:ascii="方正仿宋_GBK"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治理提升工程二期项目、伏牛溪污水处理厂（一期）工程、大九污水处理厂（三期）扩建、焦化厂配套设施及整治项目1标段、烧结厂配套设施及整治项目1标段、青龙嘴地块配套设施及整治项目</w:t>
            </w:r>
          </w:p>
          <w:bookmarkEnd w:id="3"/>
          <w:p>
            <w:pPr>
              <w:widowControl w:val="0"/>
              <w:spacing w:after="0" w:line="260" w:lineRule="exact"/>
              <w:jc w:val="both"/>
              <w:rPr>
                <w:rFonts w:ascii="Times New Roman" w:hAnsi="Times New Roman" w:eastAsia="方正仿宋_GBK" w:cs="Times New Roman"/>
                <w:color w:val="000000" w:themeColor="text1"/>
                <w:sz w:val="21"/>
                <w:szCs w:val="21"/>
                <w14:textFill>
                  <w14:solidFill>
                    <w14:schemeClr w14:val="tx1"/>
                  </w14:solidFill>
                </w14:textFill>
              </w:rPr>
            </w:pPr>
            <w:r>
              <w:rPr>
                <w:rFonts w:ascii="Times New Roman" w:hAnsi="Times New Roman" w:eastAsia="方正黑体_GBK" w:cs="Times New Roman"/>
                <w:bCs/>
                <w:color w:val="000000" w:themeColor="text1"/>
                <w:sz w:val="21"/>
                <w:szCs w:val="21"/>
                <w14:textFill>
                  <w14:solidFill>
                    <w14:schemeClr w14:val="tx1"/>
                  </w14:solidFill>
                </w14:textFill>
              </w:rPr>
              <w:t>绿色低碳发展：</w:t>
            </w:r>
            <w:r>
              <w:rPr>
                <w:rFonts w:ascii="Times New Roman" w:hAnsi="Times New Roman" w:eastAsia="方正仿宋_GBK" w:cs="Times New Roman"/>
                <w:bCs/>
                <w:color w:val="000000" w:themeColor="text1"/>
                <w:sz w:val="21"/>
                <w:szCs w:val="21"/>
                <w14:textFill>
                  <w14:solidFill>
                    <w14:schemeClr w14:val="tx1"/>
                  </w14:solidFill>
                </w14:textFill>
              </w:rPr>
              <w:t>大渡口区中梁山环境综合治理与绿色产业融合发展（</w:t>
            </w:r>
            <w:r>
              <w:rPr>
                <w:rFonts w:ascii="Times New Roman" w:hAnsi="Times New Roman" w:eastAsia="方正仿宋_GBK" w:cs="Times New Roman"/>
                <w:color w:val="000000" w:themeColor="text1"/>
                <w:sz w:val="21"/>
                <w:szCs w:val="21"/>
                <w14:textFill>
                  <w14:solidFill>
                    <w14:schemeClr w14:val="tx1"/>
                  </w14:solidFill>
                </w14:textFill>
              </w:rPr>
              <w:t>EOD</w:t>
            </w:r>
            <w:r>
              <w:rPr>
                <w:rFonts w:ascii="Times New Roman"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color w:val="000000" w:themeColor="text1"/>
                <w:sz w:val="21"/>
                <w:szCs w:val="21"/>
                <w14:textFill>
                  <w14:solidFill>
                    <w14:schemeClr w14:val="tx1"/>
                  </w14:solidFill>
                </w14:textFill>
              </w:rPr>
              <w:t>项目</w:t>
            </w:r>
            <w:r>
              <w:rPr>
                <w:rFonts w:ascii="Times New Roman" w:hAnsi="Times New Roman" w:eastAsia="方正仿宋_GBK" w:cs="Times New Roman"/>
                <w:bCs/>
                <w:color w:val="000000" w:themeColor="text1"/>
                <w:sz w:val="21"/>
                <w:szCs w:val="21"/>
                <w14:textFill>
                  <w14:solidFill>
                    <w14:schemeClr w14:val="tx1"/>
                  </w14:solidFill>
                </w14:textFill>
              </w:rPr>
              <w:t>、建桥C区环保产业园配套设施及整治项目、建桥C区双石河一期绿化景观工程</w:t>
            </w:r>
          </w:p>
        </w:tc>
      </w:tr>
    </w:tbl>
    <w:p>
      <w:pPr>
        <w:pStyle w:val="2"/>
        <w:spacing w:line="594" w:lineRule="exact"/>
        <w:ind w:firstLine="640" w:firstLineChars="200"/>
        <w:rPr>
          <w:rFonts w:eastAsia="方正仿宋_GBK"/>
          <w:color w:val="000000" w:themeColor="text1"/>
          <w:szCs w:val="32"/>
          <w14:textFill>
            <w14:solidFill>
              <w14:schemeClr w14:val="tx1"/>
            </w14:solidFill>
          </w14:textFill>
        </w:rPr>
      </w:pPr>
      <w:r>
        <w:rPr>
          <w:rFonts w:eastAsia="方正楷体_GBK"/>
          <w:bCs/>
          <w:color w:val="000000" w:themeColor="text1"/>
          <w:kern w:val="2"/>
          <w:szCs w:val="32"/>
          <w14:textFill>
            <w14:solidFill>
              <w14:schemeClr w14:val="tx1"/>
            </w14:solidFill>
          </w14:textFill>
        </w:rPr>
        <w:t>（六）提升人民生活品质，营造和谐安定新环境</w:t>
      </w:r>
    </w:p>
    <w:p>
      <w:pPr>
        <w:pStyle w:val="2"/>
        <w:spacing w:line="594" w:lineRule="exact"/>
        <w:ind w:firstLine="643" w:firstLineChars="200"/>
        <w:rPr>
          <w:rFonts w:eastAsia="方正仿宋_GBK"/>
          <w:color w:val="000000" w:themeColor="text1"/>
          <w:szCs w:val="32"/>
          <w14:textFill>
            <w14:solidFill>
              <w14:schemeClr w14:val="tx1"/>
            </w14:solidFill>
          </w14:textFill>
        </w:rPr>
      </w:pPr>
      <w:r>
        <w:rPr>
          <w:rFonts w:eastAsia="方正仿宋_GBK"/>
          <w:b/>
          <w:bCs/>
          <w:color w:val="000000" w:themeColor="text1"/>
          <w:szCs w:val="32"/>
          <w14:textFill>
            <w14:solidFill>
              <w14:schemeClr w14:val="tx1"/>
            </w14:solidFill>
          </w14:textFill>
        </w:rPr>
        <w:t>19. 强化社会民生保障。</w:t>
      </w:r>
      <w:r>
        <w:rPr>
          <w:rFonts w:eastAsia="方正仿宋_GBK"/>
          <w:color w:val="000000" w:themeColor="text1"/>
          <w:szCs w:val="32"/>
          <w14:textFill>
            <w14:solidFill>
              <w14:schemeClr w14:val="tx1"/>
            </w14:solidFill>
          </w14:textFill>
        </w:rPr>
        <w:t>促进高质量充分就业，开展</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助企纾困</w:t>
      </w:r>
      <w:r>
        <w:rPr>
          <w:rFonts w:hint="eastAsia" w:ascii="方正小标宋_GBK" w:hAnsi="方正小标宋_GBK" w:eastAsia="方正小标宋_GBK" w:cs="方正小标宋_GBK"/>
          <w:color w:val="000000" w:themeColor="text1"/>
          <w:kern w:val="2"/>
          <w:szCs w:val="32"/>
          <w14:textFill>
            <w14:solidFill>
              <w14:schemeClr w14:val="tx1"/>
            </w14:solidFill>
          </w14:textFill>
        </w:rPr>
        <w:t>·</w:t>
      </w:r>
      <w:r>
        <w:rPr>
          <w:rFonts w:eastAsia="方正仿宋_GBK"/>
          <w:color w:val="000000" w:themeColor="text1"/>
          <w:szCs w:val="32"/>
          <w14:textFill>
            <w14:solidFill>
              <w14:schemeClr w14:val="tx1"/>
            </w14:solidFill>
          </w14:textFill>
        </w:rPr>
        <w:t>人社在行动</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活动，争取建立数字人才市场大渡口分市场，</w:t>
      </w:r>
      <w:r>
        <w:rPr>
          <w:rFonts w:hint="eastAsia" w:eastAsia="方正仿宋_GBK"/>
          <w:color w:val="000000" w:themeColor="text1"/>
          <w:szCs w:val="32"/>
          <w:lang w:eastAsia="zh-CN"/>
          <w14:textFill>
            <w14:solidFill>
              <w14:schemeClr w14:val="tx1"/>
            </w14:solidFill>
          </w14:textFill>
        </w:rPr>
        <w:t>服务</w:t>
      </w:r>
      <w:r>
        <w:rPr>
          <w:rFonts w:eastAsia="方正仿宋_GBK"/>
          <w:color w:val="000000" w:themeColor="text1"/>
          <w:szCs w:val="32"/>
          <w14:textFill>
            <w14:solidFill>
              <w14:schemeClr w14:val="tx1"/>
            </w14:solidFill>
          </w14:textFill>
        </w:rPr>
        <w:t>龙文集团创办数字人才产业学院，开展职业技能培训2600人，新增城镇就业10000人，</w:t>
      </w:r>
      <w:r>
        <w:rPr>
          <w:rFonts w:eastAsia="方正仿宋_GBK"/>
          <w:color w:val="000000" w:themeColor="text1"/>
          <w:kern w:val="2"/>
          <w:szCs w:val="32"/>
          <w14:textFill>
            <w14:solidFill>
              <w14:schemeClr w14:val="tx1"/>
            </w14:solidFill>
          </w14:textFill>
        </w:rPr>
        <w:t>城镇调查失业率控制在</w:t>
      </w:r>
      <w:r>
        <w:rPr>
          <w:rFonts w:eastAsia="方正仿宋_GBK"/>
          <w:color w:val="000000" w:themeColor="text1"/>
          <w:szCs w:val="32"/>
          <w14:textFill>
            <w14:solidFill>
              <w14:schemeClr w14:val="tx1"/>
            </w14:solidFill>
          </w14:textFill>
        </w:rPr>
        <w:t>5.5%以内</w:t>
      </w:r>
      <w:r>
        <w:rPr>
          <w:rFonts w:eastAsia="方正仿宋_GBK"/>
          <w:color w:val="000000" w:themeColor="text1"/>
          <w:kern w:val="2"/>
          <w:szCs w:val="32"/>
          <w14:textFill>
            <w14:solidFill>
              <w14:schemeClr w14:val="tx1"/>
            </w14:solidFill>
          </w14:textFill>
        </w:rPr>
        <w:t>。</w:t>
      </w:r>
      <w:r>
        <w:rPr>
          <w:rFonts w:eastAsia="方正仿宋_GBK"/>
          <w:color w:val="000000" w:themeColor="text1"/>
          <w:szCs w:val="32"/>
          <w14:textFill>
            <w14:solidFill>
              <w14:schemeClr w14:val="tx1"/>
            </w14:solidFill>
          </w14:textFill>
        </w:rPr>
        <w:t>实施</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渝保渝快</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惠民行动计划，完成市级社保公共服务标准化基地建设中期验收，</w:t>
      </w:r>
      <w:r>
        <w:rPr>
          <w:rFonts w:eastAsia="方正仿宋_GBK"/>
          <w:color w:val="000000" w:themeColor="text1"/>
          <w:kern w:val="2"/>
          <w:szCs w:val="32"/>
          <w14:textFill>
            <w14:solidFill>
              <w14:schemeClr w14:val="tx1"/>
            </w14:solidFill>
          </w14:textFill>
        </w:rPr>
        <w:t>城乡居民基本养老保险、基本医疗保险参保率巩固在97%、95%以上</w:t>
      </w:r>
      <w:r>
        <w:rPr>
          <w:rFonts w:eastAsia="方正仿宋_GBK"/>
          <w:color w:val="000000" w:themeColor="text1"/>
          <w:szCs w:val="32"/>
          <w14:textFill>
            <w14:solidFill>
              <w14:schemeClr w14:val="tx1"/>
            </w14:solidFill>
          </w14:textFill>
        </w:rPr>
        <w:t>。</w:t>
      </w:r>
      <w:r>
        <w:rPr>
          <w:rFonts w:hint="eastAsia" w:ascii="方正仿宋_GBK" w:hAnsi="方正仿宋_GBK" w:eastAsia="方正仿宋_GBK" w:cs="方正仿宋_GBK"/>
          <w:color w:val="000000" w:themeColor="text1"/>
          <w:szCs w:val="32"/>
          <w:shd w:val="clear" w:color="auto" w:fill="FFFFFF"/>
          <w14:textFill>
            <w14:solidFill>
              <w14:schemeClr w14:val="tx1"/>
            </w14:solidFill>
          </w14:textFill>
        </w:rPr>
        <w:t>实施分层分类社会救助，推进精准保障，不断提升救助服务能力，办好散居特困人员“解需暖心”实事。</w:t>
      </w:r>
      <w:r>
        <w:rPr>
          <w:rFonts w:eastAsia="方正仿宋_GBK"/>
          <w:color w:val="000000" w:themeColor="text1"/>
          <w:szCs w:val="32"/>
          <w14:textFill>
            <w14:solidFill>
              <w14:schemeClr w14:val="tx1"/>
            </w14:solidFill>
          </w14:textFill>
        </w:rPr>
        <w:t>推动养老服务</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普惠可及</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w:t>
      </w:r>
      <w:r>
        <w:rPr>
          <w:rFonts w:hint="eastAsia" w:eastAsia="方正仿宋_GBK"/>
          <w:color w:val="000000" w:themeColor="text1"/>
          <w:szCs w:val="32"/>
          <w14:textFill>
            <w14:solidFill>
              <w14:schemeClr w14:val="tx1"/>
            </w14:solidFill>
          </w14:textFill>
        </w:rPr>
        <w:t>启动</w:t>
      </w:r>
      <w:r>
        <w:rPr>
          <w:rFonts w:eastAsia="方正仿宋_GBK"/>
          <w:color w:val="000000" w:themeColor="text1"/>
          <w:szCs w:val="32"/>
          <w14:textFill>
            <w14:solidFill>
              <w14:schemeClr w14:val="tx1"/>
            </w14:solidFill>
          </w14:textFill>
        </w:rPr>
        <w:t>区养老院新建项目，深入实施困难老年人家庭适老化改造、家庭养老床位、社区老年食堂等惠老项目。新开工保障性住房500套。加强妇女、儿童权益保障，健全残疾人关爱服务体系。深入推进国防动员建设和国防教育，积极创建全国双拥模范城。办好一批</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急难愁盼</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民生实事，提升群众幸福指数。</w:t>
      </w:r>
    </w:p>
    <w:p>
      <w:pPr>
        <w:pStyle w:val="2"/>
        <w:spacing w:line="594" w:lineRule="exact"/>
        <w:ind w:firstLine="643" w:firstLineChars="200"/>
        <w:rPr>
          <w:rFonts w:eastAsia="方正仿宋_GBK"/>
          <w:color w:val="000000" w:themeColor="text1"/>
          <w:szCs w:val="32"/>
          <w:lang w:val="zh-CN"/>
          <w14:textFill>
            <w14:solidFill>
              <w14:schemeClr w14:val="tx1"/>
            </w14:solidFill>
          </w14:textFill>
        </w:rPr>
      </w:pPr>
      <w:r>
        <w:rPr>
          <w:rFonts w:eastAsia="方正仿宋_GBK"/>
          <w:b/>
          <w:bCs/>
          <w:color w:val="000000" w:themeColor="text1"/>
          <w:szCs w:val="32"/>
          <w14:textFill>
            <w14:solidFill>
              <w14:schemeClr w14:val="tx1"/>
            </w14:solidFill>
          </w14:textFill>
        </w:rPr>
        <w:t>20. 增加公共服务供给。</w:t>
      </w:r>
      <w:r>
        <w:rPr>
          <w:rFonts w:eastAsia="方正仿宋_GBK"/>
          <w:color w:val="000000" w:themeColor="text1"/>
          <w:szCs w:val="32"/>
          <w:lang w:val="zh-CN"/>
          <w14:textFill>
            <w14:solidFill>
              <w14:schemeClr w14:val="tx1"/>
            </w14:solidFill>
          </w14:textFill>
        </w:rPr>
        <w:t>加快教育强区建设，</w:t>
      </w:r>
      <w:r>
        <w:rPr>
          <w:rFonts w:hint="eastAsia" w:eastAsia="方正仿宋_GBK"/>
          <w:color w:val="000000" w:themeColor="text1"/>
          <w:szCs w:val="32"/>
          <w:lang w:val="zh-CN"/>
          <w14:textFill>
            <w14:solidFill>
              <w14:schemeClr w14:val="tx1"/>
            </w14:solidFill>
          </w14:textFill>
        </w:rPr>
        <w:t>推进</w:t>
      </w:r>
      <w:r>
        <w:rPr>
          <w:rFonts w:eastAsia="方正仿宋_GBK"/>
          <w:color w:val="000000" w:themeColor="text1"/>
          <w:szCs w:val="32"/>
          <w:lang w:val="zh-CN"/>
          <w14:textFill>
            <w14:solidFill>
              <w14:schemeClr w14:val="tx1"/>
            </w14:solidFill>
          </w14:textFill>
        </w:rPr>
        <w:t>全国义务教育优质均衡发展区、学前教育普及普惠区</w:t>
      </w:r>
      <w:r>
        <w:rPr>
          <w:rFonts w:hint="eastAsia" w:eastAsia="方正仿宋_GBK"/>
          <w:color w:val="000000" w:themeColor="text1"/>
          <w:szCs w:val="32"/>
          <w:lang w:val="zh-CN"/>
          <w14:textFill>
            <w14:solidFill>
              <w14:schemeClr w14:val="tx1"/>
            </w14:solidFill>
          </w14:textFill>
        </w:rPr>
        <w:t>创建</w:t>
      </w:r>
      <w:r>
        <w:rPr>
          <w:rFonts w:eastAsia="方正仿宋_GBK"/>
          <w:color w:val="000000" w:themeColor="text1"/>
          <w:szCs w:val="32"/>
          <w:lang w:val="zh-CN"/>
          <w14:textFill>
            <w14:solidFill>
              <w14:schemeClr w14:val="tx1"/>
            </w14:solidFill>
          </w14:textFill>
        </w:rPr>
        <w:t>，建成投用李雪芮运动学校、D9地块新建学校、区实改扩建一期工程等项目，</w:t>
      </w:r>
      <w:r>
        <w:rPr>
          <w:rFonts w:hint="eastAsia" w:eastAsia="方正仿宋_GBK"/>
          <w:color w:val="000000" w:themeColor="text1"/>
          <w:szCs w:val="32"/>
          <w:lang w:val="zh-CN"/>
          <w14:textFill>
            <w14:solidFill>
              <w14:schemeClr w14:val="tx1"/>
            </w14:solidFill>
          </w14:textFill>
        </w:rPr>
        <w:t>加快建设</w:t>
      </w:r>
      <w:r>
        <w:rPr>
          <w:rFonts w:eastAsia="方正仿宋_GBK"/>
          <w:color w:val="000000" w:themeColor="text1"/>
          <w:szCs w:val="32"/>
          <w:lang w:val="zh-CN"/>
          <w14:textFill>
            <w14:solidFill>
              <w14:schemeClr w14:val="tx1"/>
            </w14:solidFill>
          </w14:textFill>
        </w:rPr>
        <w:t>西大附中、茄子溪中学改扩建</w:t>
      </w:r>
      <w:r>
        <w:rPr>
          <w:rFonts w:hint="eastAsia" w:eastAsia="方正仿宋_GBK"/>
          <w:color w:val="000000" w:themeColor="text1"/>
          <w:szCs w:val="32"/>
          <w:lang w:val="zh-CN"/>
          <w14:textFill>
            <w14:solidFill>
              <w14:schemeClr w14:val="tx1"/>
            </w14:solidFill>
          </w14:textFill>
        </w:rPr>
        <w:t>等</w:t>
      </w:r>
      <w:r>
        <w:rPr>
          <w:rFonts w:eastAsia="方正仿宋_GBK"/>
          <w:color w:val="000000" w:themeColor="text1"/>
          <w:szCs w:val="32"/>
          <w:lang w:val="zh-CN"/>
          <w14:textFill>
            <w14:solidFill>
              <w14:schemeClr w14:val="tx1"/>
            </w14:solidFill>
          </w14:textFill>
        </w:rPr>
        <w:t>项目。持续扩大普高优质资源供给，推进辖区高中学校与巴蜀中学纵深合作，开展艺术高端学生体系化建设。提升医疗卫生服务能力，加快公立三甲医院、重庆市残疾人康复中心二期等项目建设，完成区中医院、区妇幼保健院搬迁，与重医附二院、四川大学华西医院建立专科联盟。</w:t>
      </w:r>
      <w:r>
        <w:rPr>
          <w:rFonts w:eastAsia="方正仿宋_GBK"/>
          <w:color w:val="000000" w:themeColor="text1"/>
          <w:szCs w:val="32"/>
          <w14:textFill>
            <w14:solidFill>
              <w14:schemeClr w14:val="tx1"/>
            </w14:solidFill>
          </w14:textFill>
        </w:rPr>
        <w:t>扩大公共文化体育供给，</w:t>
      </w:r>
      <w:r>
        <w:rPr>
          <w:rFonts w:eastAsia="方正仿宋_GBK"/>
          <w:color w:val="000000" w:themeColor="text1"/>
          <w:szCs w:val="32"/>
          <w:lang w:val="zh-CN"/>
          <w14:textFill>
            <w14:solidFill>
              <w14:schemeClr w14:val="tx1"/>
            </w14:solidFill>
          </w14:textFill>
        </w:rPr>
        <w:t>推进城市书房建设、区博物馆迁建前期工作，深化打磨音乐文化IP，</w:t>
      </w:r>
      <w:r>
        <w:rPr>
          <w:rFonts w:eastAsia="方正仿宋_GBK"/>
          <w:color w:val="000000" w:themeColor="text1"/>
          <w:szCs w:val="32"/>
          <w14:textFill>
            <w14:solidFill>
              <w14:schemeClr w14:val="tx1"/>
            </w14:solidFill>
          </w14:textFill>
        </w:rPr>
        <w:t>加强义渡文化、金鳌文化等保护开发</w:t>
      </w:r>
      <w:r>
        <w:rPr>
          <w:rFonts w:eastAsia="方正仿宋_GBK"/>
          <w:color w:val="000000" w:themeColor="text1"/>
          <w:szCs w:val="32"/>
          <w:lang w:val="zh-CN"/>
          <w14:textFill>
            <w14:solidFill>
              <w14:schemeClr w14:val="tx1"/>
            </w14:solidFill>
          </w14:textFill>
        </w:rPr>
        <w:t>。建成李雪芮全民健身中心，完善镇街社区</w:t>
      </w:r>
      <w:r>
        <w:rPr>
          <w:rFonts w:hint="eastAsia" w:ascii="方正仿宋_GBK" w:eastAsia="方正仿宋_GBK"/>
          <w:color w:val="000000" w:themeColor="text1"/>
          <w:szCs w:val="32"/>
          <w:lang w:val="zh-CN"/>
          <w14:textFill>
            <w14:solidFill>
              <w14:schemeClr w14:val="tx1"/>
            </w14:solidFill>
          </w14:textFill>
        </w:rPr>
        <w:t>“</w:t>
      </w:r>
      <w:r>
        <w:rPr>
          <w:rFonts w:eastAsia="方正仿宋_GBK"/>
          <w:color w:val="000000" w:themeColor="text1"/>
          <w:szCs w:val="32"/>
          <w:lang w:val="zh-CN"/>
          <w14:textFill>
            <w14:solidFill>
              <w14:schemeClr w14:val="tx1"/>
            </w14:solidFill>
          </w14:textFill>
        </w:rPr>
        <w:t>15分钟健身圈</w:t>
      </w:r>
      <w:r>
        <w:rPr>
          <w:rFonts w:hint="eastAsia" w:ascii="方正仿宋_GBK" w:eastAsia="方正仿宋_GBK"/>
          <w:color w:val="000000" w:themeColor="text1"/>
          <w:szCs w:val="32"/>
          <w:lang w:val="zh-CN"/>
          <w14:textFill>
            <w14:solidFill>
              <w14:schemeClr w14:val="tx1"/>
            </w14:solidFill>
          </w14:textFill>
        </w:rPr>
        <w:t>”</w:t>
      </w:r>
      <w:r>
        <w:rPr>
          <w:rFonts w:eastAsia="方正仿宋_GBK"/>
          <w:color w:val="000000" w:themeColor="text1"/>
          <w:szCs w:val="32"/>
          <w:lang w:val="zh-CN"/>
          <w14:textFill>
            <w14:solidFill>
              <w14:schemeClr w14:val="tx1"/>
            </w14:solidFill>
          </w14:textFill>
        </w:rPr>
        <w:t>，打造智跑重庆、PWT世界定向精英巡回赛等品牌赛事。</w:t>
      </w:r>
    </w:p>
    <w:p>
      <w:pPr>
        <w:widowControl w:val="0"/>
        <w:spacing w:after="0" w:line="594" w:lineRule="exact"/>
        <w:jc w:val="center"/>
        <w:rPr>
          <w:rFonts w:ascii="Times New Roman" w:hAnsi="Times New Roman" w:eastAsia="方正黑体_GBK" w:cs="Times New Roman"/>
          <w:color w:val="000000" w:themeColor="text1"/>
          <w:sz w:val="28"/>
          <w:szCs w:val="28"/>
          <w14:textFill>
            <w14:solidFill>
              <w14:schemeClr w14:val="tx1"/>
            </w14:solidFill>
          </w14:textFill>
        </w:rPr>
      </w:pPr>
      <w:r>
        <w:rPr>
          <w:rFonts w:ascii="Times New Roman" w:hAnsi="Times New Roman" w:eastAsia="方正黑体_GBK" w:cs="Times New Roman"/>
          <w:color w:val="000000" w:themeColor="text1"/>
          <w:sz w:val="28"/>
          <w:szCs w:val="28"/>
          <w14:textFill>
            <w14:solidFill>
              <w14:schemeClr w14:val="tx1"/>
            </w14:solidFill>
          </w14:textFill>
        </w:rPr>
        <w:t>专栏</w:t>
      </w:r>
      <w:r>
        <w:rPr>
          <w:rFonts w:hint="eastAsia" w:ascii="Times New Roman" w:hAnsi="Times New Roman" w:eastAsia="方正黑体_GBK" w:cs="Times New Roman"/>
          <w:color w:val="000000" w:themeColor="text1"/>
          <w:sz w:val="28"/>
          <w:szCs w:val="28"/>
          <w:lang w:val="en-US" w:eastAsia="zh-CN"/>
          <w14:textFill>
            <w14:solidFill>
              <w14:schemeClr w14:val="tx1"/>
            </w14:solidFill>
          </w14:textFill>
        </w:rPr>
        <w:t>5</w:t>
      </w:r>
      <w:r>
        <w:rPr>
          <w:rFonts w:ascii="Times New Roman" w:hAnsi="Times New Roman" w:eastAsia="方正黑体_GBK" w:cs="Times New Roman"/>
          <w:color w:val="000000" w:themeColor="text1"/>
          <w:sz w:val="28"/>
          <w:szCs w:val="28"/>
          <w14:textFill>
            <w14:solidFill>
              <w14:schemeClr w14:val="tx1"/>
            </w14:solidFill>
          </w14:textFill>
        </w:rPr>
        <w:t>：2024年公共服务建设项目</w:t>
      </w:r>
    </w:p>
    <w:tbl>
      <w:tblPr>
        <w:tblStyle w:val="13"/>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118" w:type="dxa"/>
            <w:vAlign w:val="center"/>
          </w:tcPr>
          <w:p>
            <w:pPr>
              <w:widowControl w:val="0"/>
              <w:spacing w:after="0" w:line="260" w:lineRule="exact"/>
              <w:jc w:val="both"/>
              <w:rPr>
                <w:rFonts w:ascii="Times New Roman" w:hAnsi="Times New Roman" w:eastAsia="方正黑体_GBK" w:cs="Times New Roman"/>
                <w:bCs/>
                <w:color w:val="000000" w:themeColor="text1"/>
                <w:sz w:val="21"/>
                <w:szCs w:val="21"/>
                <w14:textFill>
                  <w14:solidFill>
                    <w14:schemeClr w14:val="tx1"/>
                  </w14:solidFill>
                </w14:textFill>
              </w:rPr>
            </w:pPr>
            <w:r>
              <w:rPr>
                <w:rFonts w:ascii="Times New Roman" w:hAnsi="Times New Roman" w:eastAsia="方正黑体_GBK" w:cs="Times New Roman"/>
                <w:bCs/>
                <w:color w:val="000000" w:themeColor="text1"/>
                <w:sz w:val="21"/>
                <w:szCs w:val="21"/>
                <w14:textFill>
                  <w14:solidFill>
                    <w14:schemeClr w14:val="tx1"/>
                  </w14:solidFill>
                </w14:textFill>
              </w:rPr>
              <w:t>学校建设：</w:t>
            </w:r>
            <w:r>
              <w:rPr>
                <w:rFonts w:hint="eastAsia" w:ascii="Times New Roman" w:hAnsi="Times New Roman" w:eastAsia="方正仿宋_GBK" w:cs="Times New Roman"/>
                <w:bCs/>
                <w:color w:val="000000" w:themeColor="text1"/>
                <w:sz w:val="21"/>
                <w:szCs w:val="21"/>
                <w14:textFill>
                  <w14:solidFill>
                    <w14:schemeClr w14:val="tx1"/>
                  </w14:solidFill>
                </w14:textFill>
              </w:rPr>
              <w:t>柴可夫斯基音乐学院、</w:t>
            </w:r>
            <w:r>
              <w:rPr>
                <w:rFonts w:ascii="Times New Roman" w:hAnsi="Times New Roman" w:eastAsia="方正仿宋_GBK" w:cs="Times New Roman"/>
                <w:bCs/>
                <w:color w:val="000000" w:themeColor="text1"/>
                <w:sz w:val="21"/>
                <w:szCs w:val="21"/>
                <w14:textFill>
                  <w14:solidFill>
                    <w14:schemeClr w14:val="tx1"/>
                  </w14:solidFill>
                </w14:textFill>
              </w:rPr>
              <w:t>H13</w:t>
            </w:r>
            <w:r>
              <w:rPr>
                <w:rFonts w:hint="eastAsia" w:ascii="Times New Roman" w:hAnsi="Times New Roman" w:eastAsia="方正仿宋_GBK" w:cs="Times New Roman"/>
                <w:bCs/>
                <w:color w:val="000000" w:themeColor="text1"/>
                <w:sz w:val="21"/>
                <w:szCs w:val="21"/>
                <w14:textFill>
                  <w14:solidFill>
                    <w14:schemeClr w14:val="tx1"/>
                  </w14:solidFill>
                </w14:textFill>
              </w:rPr>
              <w:t>地块新建学校（西南大学附属中学校）、区实验小学扩建工程、茄子溪中学改扩建项目、</w:t>
            </w:r>
            <w:r>
              <w:rPr>
                <w:rFonts w:ascii="Times New Roman" w:hAnsi="Times New Roman" w:eastAsia="方正仿宋_GBK" w:cs="Times New Roman"/>
                <w:bCs/>
                <w:color w:val="000000" w:themeColor="text1"/>
                <w:sz w:val="21"/>
                <w:szCs w:val="21"/>
                <w14:textFill>
                  <w14:solidFill>
                    <w14:schemeClr w14:val="tx1"/>
                  </w14:solidFill>
                </w14:textFill>
              </w:rPr>
              <w:t>D9</w:t>
            </w:r>
            <w:r>
              <w:rPr>
                <w:rFonts w:hint="eastAsia" w:ascii="Times New Roman" w:hAnsi="Times New Roman" w:eastAsia="方正仿宋_GBK" w:cs="Times New Roman"/>
                <w:bCs/>
                <w:color w:val="000000" w:themeColor="text1"/>
                <w:sz w:val="21"/>
                <w:szCs w:val="21"/>
                <w14:textFill>
                  <w14:solidFill>
                    <w14:schemeClr w14:val="tx1"/>
                  </w14:solidFill>
                </w14:textFill>
              </w:rPr>
              <w:t>地块新建学校、李雪芮运动学校、大渡口区育才小学（双山校区）扩建项目、民族中学和庹家坳小学改扩建项目（二期）、重庆数字产业学院项目</w:t>
            </w:r>
          </w:p>
          <w:p>
            <w:pPr>
              <w:widowControl w:val="0"/>
              <w:spacing w:after="0" w:line="260" w:lineRule="exact"/>
              <w:jc w:val="both"/>
              <w:rPr>
                <w:rFonts w:ascii="Times New Roman" w:hAnsi="Times New Roman" w:eastAsia="方正仿宋_GBK" w:cs="Times New Roman"/>
                <w:bCs/>
                <w:color w:val="000000" w:themeColor="text1"/>
                <w:sz w:val="21"/>
                <w:szCs w:val="21"/>
                <w14:textFill>
                  <w14:solidFill>
                    <w14:schemeClr w14:val="tx1"/>
                  </w14:solidFill>
                </w14:textFill>
              </w:rPr>
            </w:pPr>
            <w:r>
              <w:rPr>
                <w:rFonts w:ascii="Times New Roman" w:hAnsi="Times New Roman" w:eastAsia="方正黑体_GBK" w:cs="Times New Roman"/>
                <w:bCs/>
                <w:color w:val="000000" w:themeColor="text1"/>
                <w:sz w:val="21"/>
                <w:szCs w:val="21"/>
                <w14:textFill>
                  <w14:solidFill>
                    <w14:schemeClr w14:val="tx1"/>
                  </w14:solidFill>
                </w14:textFill>
              </w:rPr>
              <w:t>文体设施：</w:t>
            </w:r>
            <w:r>
              <w:rPr>
                <w:rFonts w:hint="eastAsia" w:ascii="Times New Roman" w:hAnsi="Times New Roman" w:eastAsia="方正仿宋_GBK" w:cs="Times New Roman"/>
                <w:bCs/>
                <w:color w:val="000000" w:themeColor="text1"/>
                <w:sz w:val="21"/>
                <w:szCs w:val="21"/>
                <w14:textFill>
                  <w14:solidFill>
                    <w14:schemeClr w14:val="tx1"/>
                  </w14:solidFill>
                </w14:textFill>
              </w:rPr>
              <w:t>李雪芮全民健身运动中心、钢花影剧院剧场修缮利用、新建城市书房</w:t>
            </w:r>
          </w:p>
          <w:p>
            <w:pPr>
              <w:widowControl w:val="0"/>
              <w:spacing w:after="0" w:line="260" w:lineRule="exact"/>
              <w:jc w:val="both"/>
              <w:rPr>
                <w:rFonts w:ascii="Times New Roman" w:hAnsi="Times New Roman" w:cs="Times New Roman"/>
                <w:color w:val="000000" w:themeColor="text1"/>
                <w14:textFill>
                  <w14:solidFill>
                    <w14:schemeClr w14:val="tx1"/>
                  </w14:solidFill>
                </w14:textFill>
              </w:rPr>
            </w:pPr>
            <w:r>
              <w:rPr>
                <w:rFonts w:ascii="Times New Roman" w:hAnsi="Times New Roman" w:eastAsia="方正黑体_GBK" w:cs="Times New Roman"/>
                <w:bCs/>
                <w:color w:val="000000" w:themeColor="text1"/>
                <w:sz w:val="21"/>
                <w:szCs w:val="21"/>
                <w14:textFill>
                  <w14:solidFill>
                    <w14:schemeClr w14:val="tx1"/>
                  </w14:solidFill>
                </w14:textFill>
              </w:rPr>
              <w:t>医疗卫生：</w:t>
            </w:r>
            <w:r>
              <w:rPr>
                <w:rFonts w:hint="eastAsia" w:ascii="Times New Roman" w:hAnsi="Times New Roman" w:eastAsia="方正仿宋_GBK" w:cs="Times New Roman"/>
                <w:bCs/>
                <w:color w:val="000000" w:themeColor="text1"/>
                <w:sz w:val="21"/>
                <w:szCs w:val="21"/>
                <w14:textFill>
                  <w14:solidFill>
                    <w14:schemeClr w14:val="tx1"/>
                  </w14:solidFill>
                </w14:textFill>
              </w:rPr>
              <w:t>区综合医疗服务中心项目、重庆市残疾人康复中心二期工程、重钢总医院改扩建项目、重庆红楼医院升级改造项目、大渡口区公共医疗卫生体系提升建设工程、三级妇产专科医院项目</w:t>
            </w:r>
          </w:p>
          <w:p>
            <w:pPr>
              <w:widowControl w:val="0"/>
              <w:tabs>
                <w:tab w:val="left" w:pos="1534"/>
              </w:tabs>
              <w:spacing w:after="0" w:line="260" w:lineRule="exact"/>
              <w:jc w:val="both"/>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黑体_GBK" w:cs="Times New Roman"/>
                <w:bCs/>
                <w:color w:val="000000" w:themeColor="text1"/>
                <w:sz w:val="21"/>
                <w:szCs w:val="21"/>
                <w14:textFill>
                  <w14:solidFill>
                    <w14:schemeClr w14:val="tx1"/>
                  </w14:solidFill>
                </w14:textFill>
              </w:rPr>
              <w:t>保障性住房：</w:t>
            </w:r>
            <w:r>
              <w:rPr>
                <w:rFonts w:hint="eastAsia" w:ascii="Times New Roman" w:hAnsi="Times New Roman" w:eastAsia="方正仿宋_GBK" w:cs="Times New Roman"/>
                <w:bCs/>
                <w:color w:val="000000" w:themeColor="text1"/>
                <w:sz w:val="21"/>
                <w:szCs w:val="21"/>
                <w14:textFill>
                  <w14:solidFill>
                    <w14:schemeClr w14:val="tx1"/>
                  </w14:solidFill>
                </w14:textFill>
              </w:rPr>
              <w:t>半岛佳园安置房、</w:t>
            </w:r>
            <w:r>
              <w:rPr>
                <w:rFonts w:ascii="Times New Roman" w:hAnsi="Times New Roman" w:eastAsia="方正仿宋_GBK" w:cs="Times New Roman"/>
                <w:bCs/>
                <w:color w:val="000000" w:themeColor="text1"/>
                <w:sz w:val="21"/>
                <w:szCs w:val="21"/>
                <w14:textFill>
                  <w14:solidFill>
                    <w14:schemeClr w14:val="tx1"/>
                  </w14:solidFill>
                </w14:textFill>
              </w:rPr>
              <w:t>M49</w:t>
            </w:r>
            <w:r>
              <w:rPr>
                <w:rFonts w:hint="eastAsia" w:ascii="Times New Roman" w:hAnsi="Times New Roman" w:eastAsia="方正仿宋_GBK" w:cs="Times New Roman"/>
                <w:bCs/>
                <w:color w:val="000000" w:themeColor="text1"/>
                <w:sz w:val="21"/>
                <w:szCs w:val="21"/>
                <w14:textFill>
                  <w14:solidFill>
                    <w14:schemeClr w14:val="tx1"/>
                  </w14:solidFill>
                </w14:textFill>
              </w:rPr>
              <w:t>地块安置房、</w:t>
            </w:r>
            <w:r>
              <w:rPr>
                <w:rFonts w:ascii="Times New Roman" w:hAnsi="Times New Roman" w:eastAsia="方正仿宋_GBK" w:cs="Times New Roman"/>
                <w:bCs/>
                <w:color w:val="000000" w:themeColor="text1"/>
                <w:sz w:val="21"/>
                <w:szCs w:val="21"/>
                <w14:textFill>
                  <w14:solidFill>
                    <w14:schemeClr w14:val="tx1"/>
                  </w14:solidFill>
                </w14:textFill>
              </w:rPr>
              <w:t>P1</w:t>
            </w:r>
            <w:r>
              <w:rPr>
                <w:rFonts w:hint="eastAsia" w:ascii="Times New Roman"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6</w:t>
            </w:r>
            <w:r>
              <w:rPr>
                <w:rFonts w:hint="eastAsia" w:ascii="Times New Roman"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2</w:t>
            </w:r>
            <w:r>
              <w:rPr>
                <w:rFonts w:hint="eastAsia" w:ascii="Times New Roman" w:hAnsi="Times New Roman" w:eastAsia="方正仿宋_GBK" w:cs="Times New Roman"/>
                <w:bCs/>
                <w:color w:val="000000" w:themeColor="text1"/>
                <w:sz w:val="21"/>
                <w:szCs w:val="21"/>
                <w14:textFill>
                  <w14:solidFill>
                    <w14:schemeClr w14:val="tx1"/>
                  </w14:solidFill>
                </w14:textFill>
              </w:rPr>
              <w:t>地块安置房、</w:t>
            </w:r>
            <w:r>
              <w:rPr>
                <w:rFonts w:ascii="Times New Roman" w:hAnsi="Times New Roman" w:eastAsia="方正仿宋_GBK" w:cs="Times New Roman"/>
                <w:bCs/>
                <w:color w:val="000000" w:themeColor="text1"/>
                <w:sz w:val="21"/>
                <w:szCs w:val="21"/>
                <w14:textFill>
                  <w14:solidFill>
                    <w14:schemeClr w14:val="tx1"/>
                  </w14:solidFill>
                </w14:textFill>
              </w:rPr>
              <w:t>P1</w:t>
            </w:r>
            <w:r>
              <w:rPr>
                <w:rFonts w:hint="eastAsia" w:ascii="Times New Roman"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5</w:t>
            </w:r>
            <w:r>
              <w:rPr>
                <w:rFonts w:hint="eastAsia" w:ascii="Times New Roman" w:hAnsi="Times New Roman" w:eastAsia="方正仿宋_GBK" w:cs="Times New Roman"/>
                <w:bCs/>
                <w:color w:val="000000" w:themeColor="text1"/>
                <w:sz w:val="21"/>
                <w:szCs w:val="21"/>
                <w14:textFill>
                  <w14:solidFill>
                    <w14:schemeClr w14:val="tx1"/>
                  </w14:solidFill>
                </w14:textFill>
              </w:rPr>
              <w:t>-</w:t>
            </w:r>
            <w:r>
              <w:rPr>
                <w:rFonts w:ascii="Times New Roman" w:hAnsi="Times New Roman" w:eastAsia="方正仿宋_GBK" w:cs="Times New Roman"/>
                <w:bCs/>
                <w:color w:val="000000" w:themeColor="text1"/>
                <w:sz w:val="21"/>
                <w:szCs w:val="21"/>
                <w14:textFill>
                  <w14:solidFill>
                    <w14:schemeClr w14:val="tx1"/>
                  </w14:solidFill>
                </w14:textFill>
              </w:rPr>
              <w:t>1</w:t>
            </w:r>
            <w:r>
              <w:rPr>
                <w:rFonts w:hint="eastAsia" w:ascii="Times New Roman" w:hAnsi="Times New Roman" w:eastAsia="方正仿宋_GBK" w:cs="Times New Roman"/>
                <w:bCs/>
                <w:color w:val="000000" w:themeColor="text1"/>
                <w:sz w:val="21"/>
                <w:szCs w:val="21"/>
                <w14:textFill>
                  <w14:solidFill>
                    <w14:schemeClr w14:val="tx1"/>
                  </w14:solidFill>
                </w14:textFill>
              </w:rPr>
              <w:t>地块安置房、重钢大学生宿舍保障性租赁住房项目</w:t>
            </w:r>
          </w:p>
        </w:tc>
      </w:tr>
    </w:tbl>
    <w:p>
      <w:pPr>
        <w:pStyle w:val="2"/>
        <w:spacing w:line="594" w:lineRule="exact"/>
        <w:ind w:firstLine="643" w:firstLineChars="200"/>
        <w:rPr>
          <w:rFonts w:hint="eastAsia" w:eastAsia="方正仿宋_GBK"/>
          <w:color w:val="000000" w:themeColor="text1"/>
          <w:kern w:val="2"/>
          <w:szCs w:val="32"/>
          <w14:textFill>
            <w14:solidFill>
              <w14:schemeClr w14:val="tx1"/>
            </w14:solidFill>
          </w14:textFill>
        </w:rPr>
      </w:pPr>
      <w:r>
        <w:rPr>
          <w:rFonts w:eastAsia="方正仿宋_GBK"/>
          <w:b/>
          <w:bCs/>
          <w:color w:val="000000" w:themeColor="text1"/>
          <w:szCs w:val="32"/>
          <w14:textFill>
            <w14:solidFill>
              <w14:schemeClr w14:val="tx1"/>
            </w14:solidFill>
          </w14:textFill>
        </w:rPr>
        <w:t xml:space="preserve">21. </w:t>
      </w:r>
      <w:r>
        <w:rPr>
          <w:rFonts w:eastAsia="方正仿宋_GBK"/>
          <w:b/>
          <w:bCs/>
          <w:color w:val="000000" w:themeColor="text1"/>
          <w:kern w:val="2"/>
          <w:szCs w:val="32"/>
          <w14:textFill>
            <w14:solidFill>
              <w14:schemeClr w14:val="tx1"/>
            </w14:solidFill>
          </w14:textFill>
        </w:rPr>
        <w:t>深化社会精细治理。</w:t>
      </w:r>
      <w:r>
        <w:rPr>
          <w:rFonts w:eastAsia="方正仿宋_GBK"/>
          <w:color w:val="000000" w:themeColor="text1"/>
          <w:szCs w:val="32"/>
          <w14:textFill>
            <w14:solidFill>
              <w14:schemeClr w14:val="tx1"/>
            </w14:solidFill>
          </w14:textFill>
        </w:rPr>
        <w:t>深化平安大渡口建设，抓好平安建设</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八大体系</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和安全稳定风险</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七项机制</w:t>
      </w:r>
      <w:r>
        <w:rPr>
          <w:rFonts w:hint="eastAsia" w:ascii="方正仿宋_GBK" w:eastAsia="方正仿宋_GBK"/>
          <w:color w:val="000000" w:themeColor="text1"/>
          <w:szCs w:val="32"/>
          <w14:textFill>
            <w14:solidFill>
              <w14:schemeClr w14:val="tx1"/>
            </w14:solidFill>
          </w14:textFill>
        </w:rPr>
        <w:t>”</w:t>
      </w:r>
      <w:r>
        <w:rPr>
          <w:rFonts w:eastAsia="方正仿宋_GBK"/>
          <w:color w:val="000000" w:themeColor="text1"/>
          <w:szCs w:val="32"/>
          <w14:textFill>
            <w14:solidFill>
              <w14:schemeClr w14:val="tx1"/>
            </w14:solidFill>
          </w14:textFill>
        </w:rPr>
        <w:t>落地见效。</w:t>
      </w:r>
      <w:r>
        <w:rPr>
          <w:rFonts w:eastAsia="方正仿宋_GBK"/>
          <w:color w:val="000000" w:themeColor="text1"/>
          <w:kern w:val="2"/>
          <w:szCs w:val="32"/>
          <w14:textFill>
            <w14:solidFill>
              <w14:schemeClr w14:val="tx1"/>
            </w14:solidFill>
          </w14:textFill>
        </w:rPr>
        <w:t>深化新时代</w:t>
      </w:r>
      <w:r>
        <w:rPr>
          <w:rFonts w:hint="eastAsia" w:ascii="方正仿宋_GBK" w:eastAsia="方正仿宋_GBK"/>
          <w:color w:val="000000" w:themeColor="text1"/>
          <w:kern w:val="2"/>
          <w:szCs w:val="32"/>
          <w14:textFill>
            <w14:solidFill>
              <w14:schemeClr w14:val="tx1"/>
            </w14:solidFill>
          </w14:textFill>
        </w:rPr>
        <w:t>“</w:t>
      </w:r>
      <w:r>
        <w:rPr>
          <w:rFonts w:eastAsia="方正仿宋_GBK"/>
          <w:color w:val="000000" w:themeColor="text1"/>
          <w:kern w:val="2"/>
          <w:szCs w:val="32"/>
          <w14:textFill>
            <w14:solidFill>
              <w14:schemeClr w14:val="tx1"/>
            </w14:solidFill>
          </w14:textFill>
        </w:rPr>
        <w:t>枫桥经验</w:t>
      </w:r>
      <w:r>
        <w:rPr>
          <w:rFonts w:hint="eastAsia" w:ascii="方正仿宋_GBK" w:eastAsia="方正仿宋_GBK"/>
          <w:color w:val="000000" w:themeColor="text1"/>
          <w:kern w:val="2"/>
          <w:szCs w:val="32"/>
          <w14:textFill>
            <w14:solidFill>
              <w14:schemeClr w14:val="tx1"/>
            </w14:solidFill>
          </w14:textFill>
        </w:rPr>
        <w:t>”</w:t>
      </w:r>
      <w:r>
        <w:rPr>
          <w:rFonts w:eastAsia="方正仿宋_GBK"/>
          <w:color w:val="000000" w:themeColor="text1"/>
          <w:kern w:val="2"/>
          <w:szCs w:val="32"/>
          <w14:textFill>
            <w14:solidFill>
              <w14:schemeClr w14:val="tx1"/>
            </w14:solidFill>
          </w14:textFill>
        </w:rPr>
        <w:t>大渡口实践，推进信访问题源头治理三年攻坚</w:t>
      </w:r>
      <w:r>
        <w:rPr>
          <w:rFonts w:eastAsia="方正仿宋_GBK"/>
          <w:color w:val="000000" w:themeColor="text1"/>
          <w:szCs w:val="32"/>
          <w:lang w:val="zh-CN"/>
          <w14:textFill>
            <w14:solidFill>
              <w14:schemeClr w14:val="tx1"/>
            </w14:solidFill>
          </w14:textFill>
        </w:rPr>
        <w:t>。</w:t>
      </w:r>
      <w:r>
        <w:rPr>
          <w:rFonts w:eastAsia="方正仿宋_GBK"/>
          <w:color w:val="000000" w:themeColor="text1"/>
          <w:kern w:val="2"/>
          <w:szCs w:val="32"/>
          <w14:textFill>
            <w14:solidFill>
              <w14:schemeClr w14:val="tx1"/>
            </w14:solidFill>
          </w14:textFill>
        </w:rPr>
        <w:t>深化护航暖企</w:t>
      </w:r>
      <w:r>
        <w:rPr>
          <w:rFonts w:hint="eastAsia" w:ascii="方正仿宋_GBK" w:eastAsia="方正仿宋_GBK"/>
          <w:color w:val="000000" w:themeColor="text1"/>
          <w:kern w:val="2"/>
          <w:szCs w:val="32"/>
          <w14:textFill>
            <w14:solidFill>
              <w14:schemeClr w14:val="tx1"/>
            </w14:solidFill>
          </w14:textFill>
        </w:rPr>
        <w:t>“</w:t>
      </w:r>
      <w:r>
        <w:rPr>
          <w:rFonts w:eastAsia="方正仿宋_GBK"/>
          <w:color w:val="000000" w:themeColor="text1"/>
          <w:kern w:val="2"/>
          <w:szCs w:val="32"/>
          <w14:textFill>
            <w14:solidFill>
              <w14:schemeClr w14:val="tx1"/>
            </w14:solidFill>
          </w14:textFill>
        </w:rPr>
        <w:t>1+4</w:t>
      </w:r>
      <w:r>
        <w:rPr>
          <w:rFonts w:hint="eastAsia" w:ascii="方正仿宋_GBK" w:eastAsia="方正仿宋_GBK"/>
          <w:color w:val="000000" w:themeColor="text1"/>
          <w:kern w:val="2"/>
          <w:szCs w:val="32"/>
          <w14:textFill>
            <w14:solidFill>
              <w14:schemeClr w14:val="tx1"/>
            </w14:solidFill>
          </w14:textFill>
        </w:rPr>
        <w:t>”</w:t>
      </w:r>
      <w:r>
        <w:rPr>
          <w:rFonts w:eastAsia="方正仿宋_GBK"/>
          <w:color w:val="000000" w:themeColor="text1"/>
          <w:kern w:val="2"/>
          <w:szCs w:val="32"/>
          <w14:textFill>
            <w14:solidFill>
              <w14:schemeClr w14:val="tx1"/>
            </w14:solidFill>
          </w14:textFill>
        </w:rPr>
        <w:t>政策套餐，做好涉企公开承诺事项，常态化开展涉企</w:t>
      </w:r>
      <w:r>
        <w:rPr>
          <w:rFonts w:hint="eastAsia" w:ascii="方正仿宋_GBK" w:eastAsia="方正仿宋_GBK"/>
          <w:color w:val="000000" w:themeColor="text1"/>
          <w:kern w:val="2"/>
          <w:szCs w:val="32"/>
          <w14:textFill>
            <w14:solidFill>
              <w14:schemeClr w14:val="tx1"/>
            </w14:solidFill>
          </w14:textFill>
        </w:rPr>
        <w:t>“</w:t>
      </w:r>
      <w:r>
        <w:rPr>
          <w:rFonts w:eastAsia="方正仿宋_GBK"/>
          <w:color w:val="000000" w:themeColor="text1"/>
          <w:kern w:val="2"/>
          <w:szCs w:val="32"/>
          <w14:textFill>
            <w14:solidFill>
              <w14:schemeClr w14:val="tx1"/>
            </w14:solidFill>
          </w14:textFill>
        </w:rPr>
        <w:t>法治体检</w:t>
      </w:r>
      <w:r>
        <w:rPr>
          <w:rFonts w:hint="eastAsia" w:ascii="方正仿宋_GBK" w:eastAsia="方正仿宋_GBK"/>
          <w:color w:val="000000" w:themeColor="text1"/>
          <w:kern w:val="2"/>
          <w:szCs w:val="32"/>
          <w14:textFill>
            <w14:solidFill>
              <w14:schemeClr w14:val="tx1"/>
            </w14:solidFill>
          </w14:textFill>
        </w:rPr>
        <w:t>”</w:t>
      </w:r>
      <w:r>
        <w:rPr>
          <w:rFonts w:eastAsia="方正仿宋_GBK"/>
          <w:color w:val="000000" w:themeColor="text1"/>
          <w:kern w:val="2"/>
          <w:szCs w:val="32"/>
          <w14:textFill>
            <w14:solidFill>
              <w14:schemeClr w14:val="tx1"/>
            </w14:solidFill>
          </w14:textFill>
        </w:rPr>
        <w:t>。启动实施安全生产治本攻坚三年行动，加强公共安全监管，强化交通、危险化学品、特种设备、建设施工、校园、医院、高层建筑消防和旅游景区等重点领域安全管理，严防重特大事故发生。加强应急管理体系建设，提升防灾减灾抗灾能力。强化食品药品安全监管，落实粮食安全首长责任制，做好保供稳价等工作。打好重点领域风险防范化解攻坚战，有效防范化解政府债务，兜牢兜实</w:t>
      </w:r>
      <w:r>
        <w:rPr>
          <w:rFonts w:hint="eastAsia" w:ascii="方正仿宋_GBK" w:eastAsia="方正仿宋_GBK"/>
          <w:color w:val="000000" w:themeColor="text1"/>
          <w:kern w:val="2"/>
          <w:szCs w:val="32"/>
          <w14:textFill>
            <w14:solidFill>
              <w14:schemeClr w14:val="tx1"/>
            </w14:solidFill>
          </w14:textFill>
        </w:rPr>
        <w:t>“</w:t>
      </w:r>
      <w:r>
        <w:rPr>
          <w:rFonts w:eastAsia="方正仿宋_GBK"/>
          <w:color w:val="000000" w:themeColor="text1"/>
          <w:kern w:val="2"/>
          <w:szCs w:val="32"/>
          <w14:textFill>
            <w14:solidFill>
              <w14:schemeClr w14:val="tx1"/>
            </w14:solidFill>
          </w14:textFill>
        </w:rPr>
        <w:t>三保</w:t>
      </w:r>
      <w:r>
        <w:rPr>
          <w:rFonts w:hint="eastAsia" w:ascii="方正仿宋_GBK" w:eastAsia="方正仿宋_GBK"/>
          <w:color w:val="000000" w:themeColor="text1"/>
          <w:kern w:val="2"/>
          <w:szCs w:val="32"/>
          <w14:textFill>
            <w14:solidFill>
              <w14:schemeClr w14:val="tx1"/>
            </w14:solidFill>
          </w14:textFill>
        </w:rPr>
        <w:t>”</w:t>
      </w:r>
      <w:r>
        <w:rPr>
          <w:rFonts w:eastAsia="方正仿宋_GBK"/>
          <w:color w:val="000000" w:themeColor="text1"/>
          <w:kern w:val="2"/>
          <w:szCs w:val="32"/>
          <w14:textFill>
            <w14:solidFill>
              <w14:schemeClr w14:val="tx1"/>
            </w14:solidFill>
          </w14:textFill>
        </w:rPr>
        <w:t>底线</w:t>
      </w:r>
      <w:r>
        <w:rPr>
          <w:rFonts w:hint="eastAsia" w:eastAsia="方正仿宋_GBK"/>
          <w:color w:val="000000" w:themeColor="text1"/>
          <w:kern w:val="2"/>
          <w:szCs w:val="32"/>
          <w14:textFill>
            <w14:solidFill>
              <w14:schemeClr w14:val="tx1"/>
            </w14:solidFill>
          </w14:textFill>
        </w:rPr>
        <w:t>，</w:t>
      </w:r>
      <w:r>
        <w:rPr>
          <w:rFonts w:eastAsia="方正仿宋_GBK"/>
          <w:color w:val="000000" w:themeColor="text1"/>
          <w:kern w:val="2"/>
          <w:szCs w:val="32"/>
          <w14:textFill>
            <w14:solidFill>
              <w14:schemeClr w14:val="tx1"/>
            </w14:solidFill>
          </w14:textFill>
        </w:rPr>
        <w:t>依法严厉打击非法金融活动，以新安全格局保障新发展格局。</w:t>
      </w:r>
    </w:p>
    <w:sectPr>
      <w:footerReference r:id="rId3" w:type="default"/>
      <w:pgSz w:w="11906" w:h="16838"/>
      <w:pgMar w:top="1814" w:right="1446" w:bottom="1814" w:left="1446" w:header="851" w:footer="113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汉仪书宋二KW">
    <w:altName w:val="微软雅黑"/>
    <w:panose1 w:val="00000000000000000000"/>
    <w:charset w:val="86"/>
    <w:family w:val="auto"/>
    <w:pitch w:val="default"/>
    <w:sig w:usb0="00000000" w:usb1="00000000" w:usb2="00000016"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1B0CD"/>
    <w:multiLevelType w:val="singleLevel"/>
    <w:tmpl w:val="6B61B0CD"/>
    <w:lvl w:ilvl="0" w:tentative="0">
      <w:start w:val="10"/>
      <w:numFmt w:val="decimal"/>
      <w:suff w:val="space"/>
      <w:lvlText w:val="%1."/>
      <w:lvlJc w:val="left"/>
      <w:rPr>
        <w:rFonts w:hint="default" w:ascii="Times New Roman" w:hAnsi="Times New Roman"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NjA0N2MxZWVmMGZlNzY2ODNiZmRmODcyYmFkZTYifQ=="/>
  </w:docVars>
  <w:rsids>
    <w:rsidRoot w:val="00172A27"/>
    <w:rsid w:val="000106DD"/>
    <w:rsid w:val="00015888"/>
    <w:rsid w:val="00023E7C"/>
    <w:rsid w:val="00035E2D"/>
    <w:rsid w:val="0003696F"/>
    <w:rsid w:val="000579DE"/>
    <w:rsid w:val="000607A3"/>
    <w:rsid w:val="00063FF7"/>
    <w:rsid w:val="00082694"/>
    <w:rsid w:val="000A5196"/>
    <w:rsid w:val="000C2E0B"/>
    <w:rsid w:val="000D2A5F"/>
    <w:rsid w:val="000D3ABB"/>
    <w:rsid w:val="000E332E"/>
    <w:rsid w:val="000E6D73"/>
    <w:rsid w:val="0010066E"/>
    <w:rsid w:val="0011245C"/>
    <w:rsid w:val="0012774B"/>
    <w:rsid w:val="00135295"/>
    <w:rsid w:val="00135400"/>
    <w:rsid w:val="00142EC4"/>
    <w:rsid w:val="001601D9"/>
    <w:rsid w:val="001653F8"/>
    <w:rsid w:val="00170668"/>
    <w:rsid w:val="00172A27"/>
    <w:rsid w:val="001742E0"/>
    <w:rsid w:val="00182F5E"/>
    <w:rsid w:val="001A2633"/>
    <w:rsid w:val="001A5B89"/>
    <w:rsid w:val="001B404E"/>
    <w:rsid w:val="001B7231"/>
    <w:rsid w:val="001E5A05"/>
    <w:rsid w:val="001F7126"/>
    <w:rsid w:val="00200DBB"/>
    <w:rsid w:val="00217986"/>
    <w:rsid w:val="00245831"/>
    <w:rsid w:val="00246E35"/>
    <w:rsid w:val="00252133"/>
    <w:rsid w:val="00256814"/>
    <w:rsid w:val="00267E43"/>
    <w:rsid w:val="0027421F"/>
    <w:rsid w:val="00274907"/>
    <w:rsid w:val="0028334E"/>
    <w:rsid w:val="0028594E"/>
    <w:rsid w:val="00293AEA"/>
    <w:rsid w:val="0029763E"/>
    <w:rsid w:val="002C4D0D"/>
    <w:rsid w:val="002E038B"/>
    <w:rsid w:val="002E497A"/>
    <w:rsid w:val="002F60E7"/>
    <w:rsid w:val="003052EB"/>
    <w:rsid w:val="00335C63"/>
    <w:rsid w:val="003413EC"/>
    <w:rsid w:val="003573DD"/>
    <w:rsid w:val="00364070"/>
    <w:rsid w:val="00374D88"/>
    <w:rsid w:val="0037737F"/>
    <w:rsid w:val="003859E9"/>
    <w:rsid w:val="00386B80"/>
    <w:rsid w:val="00386D69"/>
    <w:rsid w:val="0039434C"/>
    <w:rsid w:val="003A22EA"/>
    <w:rsid w:val="003C0A4F"/>
    <w:rsid w:val="003C2430"/>
    <w:rsid w:val="003D3A8E"/>
    <w:rsid w:val="003F3559"/>
    <w:rsid w:val="00413C26"/>
    <w:rsid w:val="00414993"/>
    <w:rsid w:val="004310C8"/>
    <w:rsid w:val="00436AFF"/>
    <w:rsid w:val="004370B8"/>
    <w:rsid w:val="00437DA9"/>
    <w:rsid w:val="00446009"/>
    <w:rsid w:val="00457FB4"/>
    <w:rsid w:val="004854BC"/>
    <w:rsid w:val="004B7F08"/>
    <w:rsid w:val="004E7BFD"/>
    <w:rsid w:val="004F3F77"/>
    <w:rsid w:val="00510002"/>
    <w:rsid w:val="00512FA0"/>
    <w:rsid w:val="005246F4"/>
    <w:rsid w:val="00524AAF"/>
    <w:rsid w:val="00552FE5"/>
    <w:rsid w:val="00553241"/>
    <w:rsid w:val="0056210C"/>
    <w:rsid w:val="00563010"/>
    <w:rsid w:val="005647D2"/>
    <w:rsid w:val="005732E4"/>
    <w:rsid w:val="0057661E"/>
    <w:rsid w:val="005A2731"/>
    <w:rsid w:val="005C2217"/>
    <w:rsid w:val="005D74C6"/>
    <w:rsid w:val="005E3D42"/>
    <w:rsid w:val="005F2973"/>
    <w:rsid w:val="0061101A"/>
    <w:rsid w:val="00647543"/>
    <w:rsid w:val="00654594"/>
    <w:rsid w:val="006568F4"/>
    <w:rsid w:val="00680FFD"/>
    <w:rsid w:val="006A3777"/>
    <w:rsid w:val="006C3CCD"/>
    <w:rsid w:val="006D3C87"/>
    <w:rsid w:val="006F0B3A"/>
    <w:rsid w:val="006F2132"/>
    <w:rsid w:val="00701A37"/>
    <w:rsid w:val="00706DA8"/>
    <w:rsid w:val="00736BD2"/>
    <w:rsid w:val="00750709"/>
    <w:rsid w:val="00754332"/>
    <w:rsid w:val="00755411"/>
    <w:rsid w:val="00761BA2"/>
    <w:rsid w:val="00782F12"/>
    <w:rsid w:val="00790929"/>
    <w:rsid w:val="007954A7"/>
    <w:rsid w:val="007B0897"/>
    <w:rsid w:val="007B0A07"/>
    <w:rsid w:val="007B28DA"/>
    <w:rsid w:val="007C5096"/>
    <w:rsid w:val="007D2C78"/>
    <w:rsid w:val="007D3296"/>
    <w:rsid w:val="007E1286"/>
    <w:rsid w:val="007E1D0D"/>
    <w:rsid w:val="007E46BB"/>
    <w:rsid w:val="007F1D67"/>
    <w:rsid w:val="00801A5A"/>
    <w:rsid w:val="00802904"/>
    <w:rsid w:val="00807110"/>
    <w:rsid w:val="00834075"/>
    <w:rsid w:val="00857E5A"/>
    <w:rsid w:val="00862FE1"/>
    <w:rsid w:val="00866F0C"/>
    <w:rsid w:val="00887FAB"/>
    <w:rsid w:val="00892071"/>
    <w:rsid w:val="0089316E"/>
    <w:rsid w:val="008A381B"/>
    <w:rsid w:val="008B20CC"/>
    <w:rsid w:val="008B355F"/>
    <w:rsid w:val="008B5F60"/>
    <w:rsid w:val="008D444A"/>
    <w:rsid w:val="008E69E3"/>
    <w:rsid w:val="008F304C"/>
    <w:rsid w:val="008F75CF"/>
    <w:rsid w:val="00904BD8"/>
    <w:rsid w:val="00906BDE"/>
    <w:rsid w:val="00914605"/>
    <w:rsid w:val="0092148B"/>
    <w:rsid w:val="00931B4B"/>
    <w:rsid w:val="00934C41"/>
    <w:rsid w:val="00943218"/>
    <w:rsid w:val="00947612"/>
    <w:rsid w:val="00960D8E"/>
    <w:rsid w:val="00965B0A"/>
    <w:rsid w:val="0096609E"/>
    <w:rsid w:val="00985AAC"/>
    <w:rsid w:val="009A2793"/>
    <w:rsid w:val="009A30E1"/>
    <w:rsid w:val="009B30DC"/>
    <w:rsid w:val="009C4458"/>
    <w:rsid w:val="009C62C3"/>
    <w:rsid w:val="009E6A8D"/>
    <w:rsid w:val="00A21ABE"/>
    <w:rsid w:val="00A30ACA"/>
    <w:rsid w:val="00A545C7"/>
    <w:rsid w:val="00A75B9F"/>
    <w:rsid w:val="00A96F10"/>
    <w:rsid w:val="00AB702C"/>
    <w:rsid w:val="00AD1363"/>
    <w:rsid w:val="00AD28AE"/>
    <w:rsid w:val="00AD2CE0"/>
    <w:rsid w:val="00AF7CE6"/>
    <w:rsid w:val="00B26060"/>
    <w:rsid w:val="00B26248"/>
    <w:rsid w:val="00B47686"/>
    <w:rsid w:val="00B54D6B"/>
    <w:rsid w:val="00B748F4"/>
    <w:rsid w:val="00B77DAA"/>
    <w:rsid w:val="00B93162"/>
    <w:rsid w:val="00B9754D"/>
    <w:rsid w:val="00BA3E98"/>
    <w:rsid w:val="00BC25BB"/>
    <w:rsid w:val="00BC540E"/>
    <w:rsid w:val="00BD42C9"/>
    <w:rsid w:val="00BD43D7"/>
    <w:rsid w:val="00BD6089"/>
    <w:rsid w:val="00BD6D03"/>
    <w:rsid w:val="00BF38A4"/>
    <w:rsid w:val="00C00A16"/>
    <w:rsid w:val="00C0491C"/>
    <w:rsid w:val="00C13EC2"/>
    <w:rsid w:val="00C13F94"/>
    <w:rsid w:val="00C14CF5"/>
    <w:rsid w:val="00C16B13"/>
    <w:rsid w:val="00C26CD8"/>
    <w:rsid w:val="00C57631"/>
    <w:rsid w:val="00C74F89"/>
    <w:rsid w:val="00C769DF"/>
    <w:rsid w:val="00C77A01"/>
    <w:rsid w:val="00C80B19"/>
    <w:rsid w:val="00C93043"/>
    <w:rsid w:val="00CA348F"/>
    <w:rsid w:val="00CC65D0"/>
    <w:rsid w:val="00D10622"/>
    <w:rsid w:val="00D16D63"/>
    <w:rsid w:val="00D41876"/>
    <w:rsid w:val="00D539E7"/>
    <w:rsid w:val="00D5413C"/>
    <w:rsid w:val="00D81E2A"/>
    <w:rsid w:val="00D8614F"/>
    <w:rsid w:val="00DA0CB3"/>
    <w:rsid w:val="00DA59CF"/>
    <w:rsid w:val="00DB584C"/>
    <w:rsid w:val="00DC5F1D"/>
    <w:rsid w:val="00DF20DB"/>
    <w:rsid w:val="00DF720A"/>
    <w:rsid w:val="00E01A50"/>
    <w:rsid w:val="00E01AE8"/>
    <w:rsid w:val="00E05B74"/>
    <w:rsid w:val="00E23306"/>
    <w:rsid w:val="00E27F1E"/>
    <w:rsid w:val="00E32B24"/>
    <w:rsid w:val="00E32BB7"/>
    <w:rsid w:val="00E33FCA"/>
    <w:rsid w:val="00E34908"/>
    <w:rsid w:val="00E34B18"/>
    <w:rsid w:val="00E40212"/>
    <w:rsid w:val="00E5178B"/>
    <w:rsid w:val="00E52E1B"/>
    <w:rsid w:val="00E56F46"/>
    <w:rsid w:val="00E85CD1"/>
    <w:rsid w:val="00EB30B8"/>
    <w:rsid w:val="00EB3981"/>
    <w:rsid w:val="00EB4130"/>
    <w:rsid w:val="00EC1273"/>
    <w:rsid w:val="00EC1AF5"/>
    <w:rsid w:val="00EC738B"/>
    <w:rsid w:val="00EC7D3E"/>
    <w:rsid w:val="00EE05BF"/>
    <w:rsid w:val="00EE3155"/>
    <w:rsid w:val="00EE39E2"/>
    <w:rsid w:val="00EF793D"/>
    <w:rsid w:val="00F02854"/>
    <w:rsid w:val="00F146BD"/>
    <w:rsid w:val="00F152E1"/>
    <w:rsid w:val="00F23E12"/>
    <w:rsid w:val="00F32E2A"/>
    <w:rsid w:val="00F36E73"/>
    <w:rsid w:val="00F41904"/>
    <w:rsid w:val="00F4334B"/>
    <w:rsid w:val="00F63455"/>
    <w:rsid w:val="00F671C0"/>
    <w:rsid w:val="00F834A7"/>
    <w:rsid w:val="00F9103A"/>
    <w:rsid w:val="00F92FCC"/>
    <w:rsid w:val="00FF26A6"/>
    <w:rsid w:val="00FF4817"/>
    <w:rsid w:val="01166422"/>
    <w:rsid w:val="01312BB5"/>
    <w:rsid w:val="013526E0"/>
    <w:rsid w:val="01413E37"/>
    <w:rsid w:val="015C1449"/>
    <w:rsid w:val="019A423A"/>
    <w:rsid w:val="01B0284F"/>
    <w:rsid w:val="01FB34B8"/>
    <w:rsid w:val="0216579E"/>
    <w:rsid w:val="022434CA"/>
    <w:rsid w:val="023857AD"/>
    <w:rsid w:val="0253777D"/>
    <w:rsid w:val="026A1701"/>
    <w:rsid w:val="029508C4"/>
    <w:rsid w:val="02A82AD5"/>
    <w:rsid w:val="02CB23F3"/>
    <w:rsid w:val="02F21D72"/>
    <w:rsid w:val="03321C74"/>
    <w:rsid w:val="03513D72"/>
    <w:rsid w:val="037B24B7"/>
    <w:rsid w:val="038C3EBD"/>
    <w:rsid w:val="03A83B91"/>
    <w:rsid w:val="03C57D07"/>
    <w:rsid w:val="03D055ED"/>
    <w:rsid w:val="03EA50A2"/>
    <w:rsid w:val="03F73EB9"/>
    <w:rsid w:val="03FC3F77"/>
    <w:rsid w:val="04301A15"/>
    <w:rsid w:val="043E0521"/>
    <w:rsid w:val="04514EA1"/>
    <w:rsid w:val="0468535E"/>
    <w:rsid w:val="048C3CCA"/>
    <w:rsid w:val="04AA1611"/>
    <w:rsid w:val="04C27394"/>
    <w:rsid w:val="04CD7E85"/>
    <w:rsid w:val="04D40924"/>
    <w:rsid w:val="04E61B81"/>
    <w:rsid w:val="04EB75F4"/>
    <w:rsid w:val="04F42D8E"/>
    <w:rsid w:val="04FE4557"/>
    <w:rsid w:val="051436CB"/>
    <w:rsid w:val="054844AB"/>
    <w:rsid w:val="05960EED"/>
    <w:rsid w:val="05EB1B6D"/>
    <w:rsid w:val="05F529D5"/>
    <w:rsid w:val="05FB0E4A"/>
    <w:rsid w:val="064373DC"/>
    <w:rsid w:val="06557441"/>
    <w:rsid w:val="06AB195A"/>
    <w:rsid w:val="06DB6C45"/>
    <w:rsid w:val="07220C3A"/>
    <w:rsid w:val="075E4901"/>
    <w:rsid w:val="076143A4"/>
    <w:rsid w:val="07670354"/>
    <w:rsid w:val="07700882"/>
    <w:rsid w:val="078E498F"/>
    <w:rsid w:val="07960504"/>
    <w:rsid w:val="079707FE"/>
    <w:rsid w:val="07AF4D6B"/>
    <w:rsid w:val="07C96D98"/>
    <w:rsid w:val="07D54471"/>
    <w:rsid w:val="08152D94"/>
    <w:rsid w:val="08275C22"/>
    <w:rsid w:val="082805D4"/>
    <w:rsid w:val="08BF6574"/>
    <w:rsid w:val="08C42F8D"/>
    <w:rsid w:val="08ED0F98"/>
    <w:rsid w:val="093B411E"/>
    <w:rsid w:val="09433276"/>
    <w:rsid w:val="0960564F"/>
    <w:rsid w:val="096D31D3"/>
    <w:rsid w:val="09753063"/>
    <w:rsid w:val="09AF2A22"/>
    <w:rsid w:val="09C9589B"/>
    <w:rsid w:val="0A315D57"/>
    <w:rsid w:val="0A3C6D32"/>
    <w:rsid w:val="0A6869A0"/>
    <w:rsid w:val="0A8E1DC3"/>
    <w:rsid w:val="0A912208"/>
    <w:rsid w:val="0AB705CF"/>
    <w:rsid w:val="0AE4380D"/>
    <w:rsid w:val="0B311BD1"/>
    <w:rsid w:val="0B7B1281"/>
    <w:rsid w:val="0B7C55AA"/>
    <w:rsid w:val="0B8326B5"/>
    <w:rsid w:val="0B8948D3"/>
    <w:rsid w:val="0BB76480"/>
    <w:rsid w:val="0BD05A74"/>
    <w:rsid w:val="0C150DC3"/>
    <w:rsid w:val="0C1A52C3"/>
    <w:rsid w:val="0C2B5B8F"/>
    <w:rsid w:val="0C59462F"/>
    <w:rsid w:val="0CA3372C"/>
    <w:rsid w:val="0CC821E4"/>
    <w:rsid w:val="0CD27A97"/>
    <w:rsid w:val="0CF50749"/>
    <w:rsid w:val="0D176C2D"/>
    <w:rsid w:val="0D2605BD"/>
    <w:rsid w:val="0D345CDD"/>
    <w:rsid w:val="0D8E03EB"/>
    <w:rsid w:val="0D9750DF"/>
    <w:rsid w:val="0DA02C32"/>
    <w:rsid w:val="0DA110A9"/>
    <w:rsid w:val="0DE05F80"/>
    <w:rsid w:val="0DFA1815"/>
    <w:rsid w:val="0DFB4D55"/>
    <w:rsid w:val="0E0A62C6"/>
    <w:rsid w:val="0E1A57B6"/>
    <w:rsid w:val="0E703F55"/>
    <w:rsid w:val="0E9D4DF8"/>
    <w:rsid w:val="0EAB6C34"/>
    <w:rsid w:val="0EB96A4E"/>
    <w:rsid w:val="0EBE5824"/>
    <w:rsid w:val="0ED31A4E"/>
    <w:rsid w:val="0F095110"/>
    <w:rsid w:val="0F0F4BBE"/>
    <w:rsid w:val="0F18108F"/>
    <w:rsid w:val="0F2A533F"/>
    <w:rsid w:val="0F6A2E4F"/>
    <w:rsid w:val="0F783F14"/>
    <w:rsid w:val="0F8C2362"/>
    <w:rsid w:val="0F8C6950"/>
    <w:rsid w:val="0FA530EC"/>
    <w:rsid w:val="0FBB4BD9"/>
    <w:rsid w:val="0FC02BB2"/>
    <w:rsid w:val="0FCD541B"/>
    <w:rsid w:val="0FD707AD"/>
    <w:rsid w:val="0FD82ECC"/>
    <w:rsid w:val="0FE0725D"/>
    <w:rsid w:val="102C03C4"/>
    <w:rsid w:val="107204EC"/>
    <w:rsid w:val="10AA09AB"/>
    <w:rsid w:val="10E418CF"/>
    <w:rsid w:val="10FE1037"/>
    <w:rsid w:val="115C4CAE"/>
    <w:rsid w:val="1173754E"/>
    <w:rsid w:val="11A065E2"/>
    <w:rsid w:val="11A16D38"/>
    <w:rsid w:val="11A21FFB"/>
    <w:rsid w:val="11D52CB1"/>
    <w:rsid w:val="11EB0880"/>
    <w:rsid w:val="11F97E04"/>
    <w:rsid w:val="120343C6"/>
    <w:rsid w:val="122035A5"/>
    <w:rsid w:val="12343E4A"/>
    <w:rsid w:val="129E368C"/>
    <w:rsid w:val="12C5192D"/>
    <w:rsid w:val="12D644FF"/>
    <w:rsid w:val="12DC5EC8"/>
    <w:rsid w:val="12F009CF"/>
    <w:rsid w:val="12F27CF4"/>
    <w:rsid w:val="13147297"/>
    <w:rsid w:val="132139A0"/>
    <w:rsid w:val="13300E0E"/>
    <w:rsid w:val="135576BD"/>
    <w:rsid w:val="135946C7"/>
    <w:rsid w:val="1390066B"/>
    <w:rsid w:val="139D3C98"/>
    <w:rsid w:val="13A503F2"/>
    <w:rsid w:val="13A77AEC"/>
    <w:rsid w:val="13BC0F46"/>
    <w:rsid w:val="13DA162E"/>
    <w:rsid w:val="13F573CB"/>
    <w:rsid w:val="13FC080C"/>
    <w:rsid w:val="142E4A6E"/>
    <w:rsid w:val="14311FA0"/>
    <w:rsid w:val="14520F60"/>
    <w:rsid w:val="145F0115"/>
    <w:rsid w:val="14DB2D07"/>
    <w:rsid w:val="151902CB"/>
    <w:rsid w:val="15B9406B"/>
    <w:rsid w:val="15C1548F"/>
    <w:rsid w:val="16182003"/>
    <w:rsid w:val="16575546"/>
    <w:rsid w:val="16655529"/>
    <w:rsid w:val="16760D22"/>
    <w:rsid w:val="1678256D"/>
    <w:rsid w:val="16A37C69"/>
    <w:rsid w:val="16B07D74"/>
    <w:rsid w:val="16B5718A"/>
    <w:rsid w:val="16E377CC"/>
    <w:rsid w:val="16EB56DB"/>
    <w:rsid w:val="17074C23"/>
    <w:rsid w:val="17536913"/>
    <w:rsid w:val="175E7B12"/>
    <w:rsid w:val="176851C4"/>
    <w:rsid w:val="176C6DA7"/>
    <w:rsid w:val="178901D7"/>
    <w:rsid w:val="179C4DF1"/>
    <w:rsid w:val="17BC70C2"/>
    <w:rsid w:val="17BD0DA4"/>
    <w:rsid w:val="17EB0EA4"/>
    <w:rsid w:val="18063791"/>
    <w:rsid w:val="180672FF"/>
    <w:rsid w:val="18115465"/>
    <w:rsid w:val="181F1248"/>
    <w:rsid w:val="182518CF"/>
    <w:rsid w:val="184B5829"/>
    <w:rsid w:val="18795A87"/>
    <w:rsid w:val="18CD5290"/>
    <w:rsid w:val="18F26E74"/>
    <w:rsid w:val="19290BC2"/>
    <w:rsid w:val="192B5B21"/>
    <w:rsid w:val="193F7EEE"/>
    <w:rsid w:val="198024FB"/>
    <w:rsid w:val="19902C68"/>
    <w:rsid w:val="19970D4D"/>
    <w:rsid w:val="199B0643"/>
    <w:rsid w:val="19BC26E1"/>
    <w:rsid w:val="1A42731D"/>
    <w:rsid w:val="1A865EE7"/>
    <w:rsid w:val="1AC87B60"/>
    <w:rsid w:val="1AC90E41"/>
    <w:rsid w:val="1ACB01FC"/>
    <w:rsid w:val="1B341A2E"/>
    <w:rsid w:val="1B5F1192"/>
    <w:rsid w:val="1BA869D7"/>
    <w:rsid w:val="1BBA5189"/>
    <w:rsid w:val="1BBE6346"/>
    <w:rsid w:val="1BC931C9"/>
    <w:rsid w:val="1BE551A5"/>
    <w:rsid w:val="1BE80D56"/>
    <w:rsid w:val="1BF25503"/>
    <w:rsid w:val="1C174672"/>
    <w:rsid w:val="1C4E25BD"/>
    <w:rsid w:val="1C6A3AB2"/>
    <w:rsid w:val="1C7664B0"/>
    <w:rsid w:val="1C8B7230"/>
    <w:rsid w:val="1CE20EA6"/>
    <w:rsid w:val="1CFB29A9"/>
    <w:rsid w:val="1CFC20A5"/>
    <w:rsid w:val="1D246DA1"/>
    <w:rsid w:val="1D510571"/>
    <w:rsid w:val="1D815B95"/>
    <w:rsid w:val="1D903885"/>
    <w:rsid w:val="1D94527D"/>
    <w:rsid w:val="1D95453F"/>
    <w:rsid w:val="1DA3499C"/>
    <w:rsid w:val="1DA519A5"/>
    <w:rsid w:val="1DC92924"/>
    <w:rsid w:val="1E041C56"/>
    <w:rsid w:val="1E387127"/>
    <w:rsid w:val="1E505BFD"/>
    <w:rsid w:val="1E95772E"/>
    <w:rsid w:val="1E9D12DF"/>
    <w:rsid w:val="1EA6236B"/>
    <w:rsid w:val="1ED462F2"/>
    <w:rsid w:val="1EFF4720"/>
    <w:rsid w:val="1F61685F"/>
    <w:rsid w:val="1F6F00FA"/>
    <w:rsid w:val="1F730D48"/>
    <w:rsid w:val="1F9064EB"/>
    <w:rsid w:val="1F962755"/>
    <w:rsid w:val="1FA37989"/>
    <w:rsid w:val="1FAB016A"/>
    <w:rsid w:val="1FF218B4"/>
    <w:rsid w:val="20690EE8"/>
    <w:rsid w:val="20701C62"/>
    <w:rsid w:val="20777EF4"/>
    <w:rsid w:val="20974ABB"/>
    <w:rsid w:val="20D355A6"/>
    <w:rsid w:val="20DB318A"/>
    <w:rsid w:val="20F56D75"/>
    <w:rsid w:val="2118051B"/>
    <w:rsid w:val="213E40B4"/>
    <w:rsid w:val="214B46FB"/>
    <w:rsid w:val="21953B13"/>
    <w:rsid w:val="21C768B3"/>
    <w:rsid w:val="21CA06C7"/>
    <w:rsid w:val="21FD6545"/>
    <w:rsid w:val="2200080D"/>
    <w:rsid w:val="221057B7"/>
    <w:rsid w:val="223232E3"/>
    <w:rsid w:val="22405D48"/>
    <w:rsid w:val="2241234F"/>
    <w:rsid w:val="22A4157C"/>
    <w:rsid w:val="22FE1A2F"/>
    <w:rsid w:val="23010B76"/>
    <w:rsid w:val="235A7F49"/>
    <w:rsid w:val="23760F09"/>
    <w:rsid w:val="238F6E74"/>
    <w:rsid w:val="239B71E7"/>
    <w:rsid w:val="23A62D99"/>
    <w:rsid w:val="23BD2E42"/>
    <w:rsid w:val="23C55192"/>
    <w:rsid w:val="23F93B5E"/>
    <w:rsid w:val="24E5109C"/>
    <w:rsid w:val="24E64977"/>
    <w:rsid w:val="24F24F23"/>
    <w:rsid w:val="24F4341D"/>
    <w:rsid w:val="24F63004"/>
    <w:rsid w:val="250B6338"/>
    <w:rsid w:val="256011B2"/>
    <w:rsid w:val="25635E9D"/>
    <w:rsid w:val="25943129"/>
    <w:rsid w:val="25985881"/>
    <w:rsid w:val="26147EA0"/>
    <w:rsid w:val="26365122"/>
    <w:rsid w:val="26770A7E"/>
    <w:rsid w:val="268D20C9"/>
    <w:rsid w:val="26962211"/>
    <w:rsid w:val="269910C5"/>
    <w:rsid w:val="26B51390"/>
    <w:rsid w:val="26CF512B"/>
    <w:rsid w:val="26D50C1F"/>
    <w:rsid w:val="27340542"/>
    <w:rsid w:val="276579B4"/>
    <w:rsid w:val="27986E0F"/>
    <w:rsid w:val="27A625D6"/>
    <w:rsid w:val="280E150D"/>
    <w:rsid w:val="28381468"/>
    <w:rsid w:val="285448FB"/>
    <w:rsid w:val="2854703C"/>
    <w:rsid w:val="294474BD"/>
    <w:rsid w:val="295042DC"/>
    <w:rsid w:val="29705C0D"/>
    <w:rsid w:val="298866E9"/>
    <w:rsid w:val="29BE6E77"/>
    <w:rsid w:val="29CA6FE5"/>
    <w:rsid w:val="29CD206B"/>
    <w:rsid w:val="29E35797"/>
    <w:rsid w:val="2A0B5CF9"/>
    <w:rsid w:val="2A3A764C"/>
    <w:rsid w:val="2A9F3D6F"/>
    <w:rsid w:val="2AB43698"/>
    <w:rsid w:val="2AB675B6"/>
    <w:rsid w:val="2AC42D9E"/>
    <w:rsid w:val="2AE5705E"/>
    <w:rsid w:val="2B166231"/>
    <w:rsid w:val="2B1821D3"/>
    <w:rsid w:val="2B2F5C36"/>
    <w:rsid w:val="2B387D7F"/>
    <w:rsid w:val="2B4F6CCB"/>
    <w:rsid w:val="2B5F4B0A"/>
    <w:rsid w:val="2B62473D"/>
    <w:rsid w:val="2B756023"/>
    <w:rsid w:val="2BB2365A"/>
    <w:rsid w:val="2BD14F1A"/>
    <w:rsid w:val="2BFF367E"/>
    <w:rsid w:val="2C220EC1"/>
    <w:rsid w:val="2C2251BC"/>
    <w:rsid w:val="2C320BCA"/>
    <w:rsid w:val="2C3943B4"/>
    <w:rsid w:val="2C4015EC"/>
    <w:rsid w:val="2C471958"/>
    <w:rsid w:val="2C61415B"/>
    <w:rsid w:val="2C8D0CAC"/>
    <w:rsid w:val="2CD509AD"/>
    <w:rsid w:val="2CF92DA1"/>
    <w:rsid w:val="2CF96141"/>
    <w:rsid w:val="2D05161E"/>
    <w:rsid w:val="2D0C6B11"/>
    <w:rsid w:val="2D3113B9"/>
    <w:rsid w:val="2D4709AD"/>
    <w:rsid w:val="2D4C688A"/>
    <w:rsid w:val="2D6B22F0"/>
    <w:rsid w:val="2D802B4E"/>
    <w:rsid w:val="2D93492E"/>
    <w:rsid w:val="2DB91385"/>
    <w:rsid w:val="2DE87106"/>
    <w:rsid w:val="2E197588"/>
    <w:rsid w:val="2E511B38"/>
    <w:rsid w:val="2E933CC1"/>
    <w:rsid w:val="2EA370D9"/>
    <w:rsid w:val="2EA84523"/>
    <w:rsid w:val="2EB550D4"/>
    <w:rsid w:val="2ECF2A4B"/>
    <w:rsid w:val="2ED86C62"/>
    <w:rsid w:val="2EE04579"/>
    <w:rsid w:val="2F3456E4"/>
    <w:rsid w:val="2F3812F7"/>
    <w:rsid w:val="2F5540EB"/>
    <w:rsid w:val="2F610022"/>
    <w:rsid w:val="2F957175"/>
    <w:rsid w:val="2F9D5968"/>
    <w:rsid w:val="2FC606AA"/>
    <w:rsid w:val="2FEB0AD4"/>
    <w:rsid w:val="2FF53E0C"/>
    <w:rsid w:val="30073307"/>
    <w:rsid w:val="303540C4"/>
    <w:rsid w:val="303649FD"/>
    <w:rsid w:val="30542CF9"/>
    <w:rsid w:val="30AD4ACE"/>
    <w:rsid w:val="30BE7394"/>
    <w:rsid w:val="30DD1B53"/>
    <w:rsid w:val="30EA67AA"/>
    <w:rsid w:val="30F72B88"/>
    <w:rsid w:val="314560A4"/>
    <w:rsid w:val="316C4B40"/>
    <w:rsid w:val="317E49E0"/>
    <w:rsid w:val="31BA2DD3"/>
    <w:rsid w:val="31C143C1"/>
    <w:rsid w:val="31F42B10"/>
    <w:rsid w:val="32040682"/>
    <w:rsid w:val="32283F57"/>
    <w:rsid w:val="323B53F3"/>
    <w:rsid w:val="323E6737"/>
    <w:rsid w:val="328B17CD"/>
    <w:rsid w:val="32982CE5"/>
    <w:rsid w:val="32BC4067"/>
    <w:rsid w:val="32C9682B"/>
    <w:rsid w:val="330504BE"/>
    <w:rsid w:val="33061642"/>
    <w:rsid w:val="331A6705"/>
    <w:rsid w:val="33550E5A"/>
    <w:rsid w:val="33804049"/>
    <w:rsid w:val="33B72B55"/>
    <w:rsid w:val="33CB38DD"/>
    <w:rsid w:val="340D16C5"/>
    <w:rsid w:val="340F189A"/>
    <w:rsid w:val="34127CD2"/>
    <w:rsid w:val="34196A9F"/>
    <w:rsid w:val="3425790A"/>
    <w:rsid w:val="346E1797"/>
    <w:rsid w:val="347439EE"/>
    <w:rsid w:val="348B13F3"/>
    <w:rsid w:val="34C43EDF"/>
    <w:rsid w:val="34D4199A"/>
    <w:rsid w:val="34DF6BB9"/>
    <w:rsid w:val="34EF528C"/>
    <w:rsid w:val="353F6AE5"/>
    <w:rsid w:val="355A188D"/>
    <w:rsid w:val="358720BA"/>
    <w:rsid w:val="359212E9"/>
    <w:rsid w:val="35B63930"/>
    <w:rsid w:val="35D17C31"/>
    <w:rsid w:val="35D74670"/>
    <w:rsid w:val="35E368D3"/>
    <w:rsid w:val="360607F8"/>
    <w:rsid w:val="363D0B3C"/>
    <w:rsid w:val="364D5684"/>
    <w:rsid w:val="36743EB1"/>
    <w:rsid w:val="368C503D"/>
    <w:rsid w:val="36D27AD3"/>
    <w:rsid w:val="36E44680"/>
    <w:rsid w:val="36F90A8F"/>
    <w:rsid w:val="373A6987"/>
    <w:rsid w:val="374B12EF"/>
    <w:rsid w:val="374C1585"/>
    <w:rsid w:val="3755232A"/>
    <w:rsid w:val="375A6ECD"/>
    <w:rsid w:val="378321BB"/>
    <w:rsid w:val="37A06021"/>
    <w:rsid w:val="37B54288"/>
    <w:rsid w:val="382222FF"/>
    <w:rsid w:val="38374277"/>
    <w:rsid w:val="38577298"/>
    <w:rsid w:val="387A4AE4"/>
    <w:rsid w:val="38833E8C"/>
    <w:rsid w:val="38B46199"/>
    <w:rsid w:val="38BB7748"/>
    <w:rsid w:val="38D955FD"/>
    <w:rsid w:val="38EE4F4C"/>
    <w:rsid w:val="38FF1115"/>
    <w:rsid w:val="39213298"/>
    <w:rsid w:val="39292737"/>
    <w:rsid w:val="394D5BFE"/>
    <w:rsid w:val="396562DE"/>
    <w:rsid w:val="397E6E81"/>
    <w:rsid w:val="39B05F66"/>
    <w:rsid w:val="39B84362"/>
    <w:rsid w:val="39CD4352"/>
    <w:rsid w:val="3A402F76"/>
    <w:rsid w:val="3A734314"/>
    <w:rsid w:val="3A8B0BF6"/>
    <w:rsid w:val="3AA753AE"/>
    <w:rsid w:val="3AF8062A"/>
    <w:rsid w:val="3B8B7850"/>
    <w:rsid w:val="3B932411"/>
    <w:rsid w:val="3BB32750"/>
    <w:rsid w:val="3BBB7373"/>
    <w:rsid w:val="3BBE28CD"/>
    <w:rsid w:val="3BC5146C"/>
    <w:rsid w:val="3BE26A22"/>
    <w:rsid w:val="3BEE3316"/>
    <w:rsid w:val="3C1C328C"/>
    <w:rsid w:val="3C281D40"/>
    <w:rsid w:val="3C3F132C"/>
    <w:rsid w:val="3C462C94"/>
    <w:rsid w:val="3C9F1C9B"/>
    <w:rsid w:val="3CCE0E10"/>
    <w:rsid w:val="3D2A6ACF"/>
    <w:rsid w:val="3D2D197A"/>
    <w:rsid w:val="3DA2214A"/>
    <w:rsid w:val="3DB46A7A"/>
    <w:rsid w:val="3DB93CA2"/>
    <w:rsid w:val="3DD2297D"/>
    <w:rsid w:val="3DD61434"/>
    <w:rsid w:val="3DE378C1"/>
    <w:rsid w:val="3DE81560"/>
    <w:rsid w:val="3E0D62BE"/>
    <w:rsid w:val="3E1635D2"/>
    <w:rsid w:val="3E1A714B"/>
    <w:rsid w:val="3E41072E"/>
    <w:rsid w:val="3E7D46C0"/>
    <w:rsid w:val="3EAA4048"/>
    <w:rsid w:val="3ED80461"/>
    <w:rsid w:val="3EDA6359"/>
    <w:rsid w:val="3F3B1DB2"/>
    <w:rsid w:val="3F5B2B77"/>
    <w:rsid w:val="3F681F7F"/>
    <w:rsid w:val="3F751A06"/>
    <w:rsid w:val="3F961555"/>
    <w:rsid w:val="3F96638C"/>
    <w:rsid w:val="3FF460B2"/>
    <w:rsid w:val="4033137C"/>
    <w:rsid w:val="403D13FF"/>
    <w:rsid w:val="40430334"/>
    <w:rsid w:val="40497A91"/>
    <w:rsid w:val="40A70469"/>
    <w:rsid w:val="40AA11F3"/>
    <w:rsid w:val="40C27933"/>
    <w:rsid w:val="40C37AEB"/>
    <w:rsid w:val="40CE1A84"/>
    <w:rsid w:val="40DB199A"/>
    <w:rsid w:val="40FE2474"/>
    <w:rsid w:val="412A1143"/>
    <w:rsid w:val="41514FC2"/>
    <w:rsid w:val="418C438F"/>
    <w:rsid w:val="418E33E3"/>
    <w:rsid w:val="419D50FF"/>
    <w:rsid w:val="41EF6768"/>
    <w:rsid w:val="41F7438D"/>
    <w:rsid w:val="42067771"/>
    <w:rsid w:val="421D13C0"/>
    <w:rsid w:val="424A755F"/>
    <w:rsid w:val="42710B2C"/>
    <w:rsid w:val="428222BC"/>
    <w:rsid w:val="429476E1"/>
    <w:rsid w:val="42BD4986"/>
    <w:rsid w:val="42C820AC"/>
    <w:rsid w:val="42DA5E85"/>
    <w:rsid w:val="43416D2F"/>
    <w:rsid w:val="437209E9"/>
    <w:rsid w:val="43DF2734"/>
    <w:rsid w:val="43E964D5"/>
    <w:rsid w:val="445141EB"/>
    <w:rsid w:val="445C29C5"/>
    <w:rsid w:val="446071CC"/>
    <w:rsid w:val="447F0C0A"/>
    <w:rsid w:val="44CE1359"/>
    <w:rsid w:val="452B15F3"/>
    <w:rsid w:val="456F7A00"/>
    <w:rsid w:val="457D1D30"/>
    <w:rsid w:val="458F27B0"/>
    <w:rsid w:val="45A0189C"/>
    <w:rsid w:val="45E52788"/>
    <w:rsid w:val="46AA09EA"/>
    <w:rsid w:val="46BB2204"/>
    <w:rsid w:val="46D84E32"/>
    <w:rsid w:val="46DD6678"/>
    <w:rsid w:val="46F05C26"/>
    <w:rsid w:val="46F15A44"/>
    <w:rsid w:val="46FA7E00"/>
    <w:rsid w:val="470B16D4"/>
    <w:rsid w:val="47127841"/>
    <w:rsid w:val="472F375D"/>
    <w:rsid w:val="47A91D79"/>
    <w:rsid w:val="47B82E3D"/>
    <w:rsid w:val="47BE4FED"/>
    <w:rsid w:val="47D30C85"/>
    <w:rsid w:val="47EE20A1"/>
    <w:rsid w:val="48257610"/>
    <w:rsid w:val="48454B56"/>
    <w:rsid w:val="4849538C"/>
    <w:rsid w:val="48701C91"/>
    <w:rsid w:val="48A15D3A"/>
    <w:rsid w:val="48C60F4A"/>
    <w:rsid w:val="491509DB"/>
    <w:rsid w:val="49D5090A"/>
    <w:rsid w:val="4A1858DA"/>
    <w:rsid w:val="4A796E0B"/>
    <w:rsid w:val="4A8441B9"/>
    <w:rsid w:val="4AF67E51"/>
    <w:rsid w:val="4B474CB5"/>
    <w:rsid w:val="4B870F7A"/>
    <w:rsid w:val="4BA7513B"/>
    <w:rsid w:val="4BAE3083"/>
    <w:rsid w:val="4BB07F36"/>
    <w:rsid w:val="4BCE5C24"/>
    <w:rsid w:val="4BDC2BE1"/>
    <w:rsid w:val="4BFD47D5"/>
    <w:rsid w:val="4C050366"/>
    <w:rsid w:val="4C3151FF"/>
    <w:rsid w:val="4C663788"/>
    <w:rsid w:val="4C6806D8"/>
    <w:rsid w:val="4CAC3098"/>
    <w:rsid w:val="4CAC4E0B"/>
    <w:rsid w:val="4CB76794"/>
    <w:rsid w:val="4CD57998"/>
    <w:rsid w:val="4CFA0493"/>
    <w:rsid w:val="4D2659DE"/>
    <w:rsid w:val="4D2F7E66"/>
    <w:rsid w:val="4D584144"/>
    <w:rsid w:val="4D646B6D"/>
    <w:rsid w:val="4D69311A"/>
    <w:rsid w:val="4D69797E"/>
    <w:rsid w:val="4DDB54D0"/>
    <w:rsid w:val="4E1C60E1"/>
    <w:rsid w:val="4E305D4A"/>
    <w:rsid w:val="4E4933D2"/>
    <w:rsid w:val="4E504FAE"/>
    <w:rsid w:val="4EAF0042"/>
    <w:rsid w:val="4ED6622D"/>
    <w:rsid w:val="4EF75B85"/>
    <w:rsid w:val="4F13178E"/>
    <w:rsid w:val="4F244A9B"/>
    <w:rsid w:val="4F4C2E95"/>
    <w:rsid w:val="4F6E3267"/>
    <w:rsid w:val="4F6F3B70"/>
    <w:rsid w:val="4F9F7F99"/>
    <w:rsid w:val="4FAB62F7"/>
    <w:rsid w:val="4FC44655"/>
    <w:rsid w:val="50044B6D"/>
    <w:rsid w:val="5024799F"/>
    <w:rsid w:val="509C43E6"/>
    <w:rsid w:val="50A147EA"/>
    <w:rsid w:val="50DD4753"/>
    <w:rsid w:val="50DF35F8"/>
    <w:rsid w:val="50E117FD"/>
    <w:rsid w:val="50E4623E"/>
    <w:rsid w:val="511C1ABF"/>
    <w:rsid w:val="513E4962"/>
    <w:rsid w:val="514A5C1D"/>
    <w:rsid w:val="51683C50"/>
    <w:rsid w:val="51C47B22"/>
    <w:rsid w:val="51D42366"/>
    <w:rsid w:val="51F337F8"/>
    <w:rsid w:val="520E6F72"/>
    <w:rsid w:val="52120921"/>
    <w:rsid w:val="52530379"/>
    <w:rsid w:val="52762E85"/>
    <w:rsid w:val="527D1F0D"/>
    <w:rsid w:val="5285762E"/>
    <w:rsid w:val="52BB2504"/>
    <w:rsid w:val="52C24EBD"/>
    <w:rsid w:val="52D26CC9"/>
    <w:rsid w:val="52DA7C20"/>
    <w:rsid w:val="534C3D04"/>
    <w:rsid w:val="536752A6"/>
    <w:rsid w:val="53915D1B"/>
    <w:rsid w:val="53943582"/>
    <w:rsid w:val="53C22915"/>
    <w:rsid w:val="53EB31F9"/>
    <w:rsid w:val="53FC46DB"/>
    <w:rsid w:val="5446559F"/>
    <w:rsid w:val="545D724B"/>
    <w:rsid w:val="54805862"/>
    <w:rsid w:val="549A78E0"/>
    <w:rsid w:val="54A121B4"/>
    <w:rsid w:val="54BC5B1D"/>
    <w:rsid w:val="55A03B48"/>
    <w:rsid w:val="55BF7262"/>
    <w:rsid w:val="55DA77AC"/>
    <w:rsid w:val="55DD5FEF"/>
    <w:rsid w:val="55DE38CF"/>
    <w:rsid w:val="55E42668"/>
    <w:rsid w:val="56026E54"/>
    <w:rsid w:val="560715FF"/>
    <w:rsid w:val="5612044D"/>
    <w:rsid w:val="561610A4"/>
    <w:rsid w:val="563D7D18"/>
    <w:rsid w:val="56576841"/>
    <w:rsid w:val="56856564"/>
    <w:rsid w:val="56C9124E"/>
    <w:rsid w:val="56D36BF1"/>
    <w:rsid w:val="571B01E3"/>
    <w:rsid w:val="57337BD8"/>
    <w:rsid w:val="573D51B7"/>
    <w:rsid w:val="57661F2A"/>
    <w:rsid w:val="57885B09"/>
    <w:rsid w:val="57943B61"/>
    <w:rsid w:val="57C01659"/>
    <w:rsid w:val="57C07A95"/>
    <w:rsid w:val="57EF152D"/>
    <w:rsid w:val="57F431FC"/>
    <w:rsid w:val="580E2270"/>
    <w:rsid w:val="58113002"/>
    <w:rsid w:val="582432C7"/>
    <w:rsid w:val="582475B1"/>
    <w:rsid w:val="58402735"/>
    <w:rsid w:val="589769C3"/>
    <w:rsid w:val="58AF4D23"/>
    <w:rsid w:val="58D46F14"/>
    <w:rsid w:val="58DE111C"/>
    <w:rsid w:val="58ED344B"/>
    <w:rsid w:val="58F74D77"/>
    <w:rsid w:val="590C7442"/>
    <w:rsid w:val="593D1129"/>
    <w:rsid w:val="597D09BF"/>
    <w:rsid w:val="59984760"/>
    <w:rsid w:val="599A718A"/>
    <w:rsid w:val="59D71609"/>
    <w:rsid w:val="59DD7309"/>
    <w:rsid w:val="5A14520F"/>
    <w:rsid w:val="5A3E1DBC"/>
    <w:rsid w:val="5AD4186E"/>
    <w:rsid w:val="5B000664"/>
    <w:rsid w:val="5B9A29C4"/>
    <w:rsid w:val="5BE6556C"/>
    <w:rsid w:val="5C4D1A74"/>
    <w:rsid w:val="5C7F2560"/>
    <w:rsid w:val="5CC3599C"/>
    <w:rsid w:val="5CF13242"/>
    <w:rsid w:val="5D071C1B"/>
    <w:rsid w:val="5D2425A2"/>
    <w:rsid w:val="5D5664E9"/>
    <w:rsid w:val="5D602F9C"/>
    <w:rsid w:val="5D677B24"/>
    <w:rsid w:val="5D8817B2"/>
    <w:rsid w:val="5D940564"/>
    <w:rsid w:val="5D9A4FAD"/>
    <w:rsid w:val="5D9B1946"/>
    <w:rsid w:val="5DA7672E"/>
    <w:rsid w:val="5DD83D24"/>
    <w:rsid w:val="5DF3022B"/>
    <w:rsid w:val="5DF432AD"/>
    <w:rsid w:val="5E4605C6"/>
    <w:rsid w:val="5E6E287B"/>
    <w:rsid w:val="5EB076DA"/>
    <w:rsid w:val="5EC534AB"/>
    <w:rsid w:val="5ECF25F5"/>
    <w:rsid w:val="5F263435"/>
    <w:rsid w:val="5F367C54"/>
    <w:rsid w:val="5FB36AE2"/>
    <w:rsid w:val="5FC919BC"/>
    <w:rsid w:val="5FCB181F"/>
    <w:rsid w:val="60245956"/>
    <w:rsid w:val="6031765B"/>
    <w:rsid w:val="60443D48"/>
    <w:rsid w:val="604D21B4"/>
    <w:rsid w:val="6073413D"/>
    <w:rsid w:val="608E249A"/>
    <w:rsid w:val="60EB51D4"/>
    <w:rsid w:val="60F96289"/>
    <w:rsid w:val="611F431D"/>
    <w:rsid w:val="6141388B"/>
    <w:rsid w:val="61592EEE"/>
    <w:rsid w:val="615F4395"/>
    <w:rsid w:val="61641E1B"/>
    <w:rsid w:val="616444AC"/>
    <w:rsid w:val="616B17C4"/>
    <w:rsid w:val="618D16EC"/>
    <w:rsid w:val="61AF6A61"/>
    <w:rsid w:val="61BC2111"/>
    <w:rsid w:val="61DF4CC4"/>
    <w:rsid w:val="623E0C8A"/>
    <w:rsid w:val="626551FE"/>
    <w:rsid w:val="62840939"/>
    <w:rsid w:val="6285195B"/>
    <w:rsid w:val="62871089"/>
    <w:rsid w:val="62926256"/>
    <w:rsid w:val="62B235F0"/>
    <w:rsid w:val="631F0146"/>
    <w:rsid w:val="637A67A7"/>
    <w:rsid w:val="63A81688"/>
    <w:rsid w:val="63FD7D8C"/>
    <w:rsid w:val="6421135C"/>
    <w:rsid w:val="6478091D"/>
    <w:rsid w:val="64990FBF"/>
    <w:rsid w:val="64CE69E3"/>
    <w:rsid w:val="64D41CB9"/>
    <w:rsid w:val="64F87D55"/>
    <w:rsid w:val="64F96E48"/>
    <w:rsid w:val="652B06E3"/>
    <w:rsid w:val="655938D7"/>
    <w:rsid w:val="655D2F76"/>
    <w:rsid w:val="65DE5501"/>
    <w:rsid w:val="66150871"/>
    <w:rsid w:val="66275A33"/>
    <w:rsid w:val="663646DC"/>
    <w:rsid w:val="66414397"/>
    <w:rsid w:val="664F01FD"/>
    <w:rsid w:val="666B08B4"/>
    <w:rsid w:val="67185D2E"/>
    <w:rsid w:val="67223CF9"/>
    <w:rsid w:val="672A7543"/>
    <w:rsid w:val="673D23D7"/>
    <w:rsid w:val="676322C4"/>
    <w:rsid w:val="67667B28"/>
    <w:rsid w:val="676F00F5"/>
    <w:rsid w:val="67AC1D90"/>
    <w:rsid w:val="67D85C4E"/>
    <w:rsid w:val="67DE4259"/>
    <w:rsid w:val="67E678A8"/>
    <w:rsid w:val="67E876A9"/>
    <w:rsid w:val="67F17976"/>
    <w:rsid w:val="6826119A"/>
    <w:rsid w:val="683D4585"/>
    <w:rsid w:val="684063EC"/>
    <w:rsid w:val="685D25C6"/>
    <w:rsid w:val="685E79EF"/>
    <w:rsid w:val="68625EBB"/>
    <w:rsid w:val="68833034"/>
    <w:rsid w:val="68A14D7A"/>
    <w:rsid w:val="68A46BBF"/>
    <w:rsid w:val="68C53A50"/>
    <w:rsid w:val="68D4762E"/>
    <w:rsid w:val="6904663D"/>
    <w:rsid w:val="69356DAA"/>
    <w:rsid w:val="69425741"/>
    <w:rsid w:val="695607F2"/>
    <w:rsid w:val="69C84EF1"/>
    <w:rsid w:val="6A3C0828"/>
    <w:rsid w:val="6A6E151B"/>
    <w:rsid w:val="6A717EE6"/>
    <w:rsid w:val="6B06224C"/>
    <w:rsid w:val="6B3D078E"/>
    <w:rsid w:val="6B840181"/>
    <w:rsid w:val="6B887DE4"/>
    <w:rsid w:val="6C11395F"/>
    <w:rsid w:val="6C4171FB"/>
    <w:rsid w:val="6C766C97"/>
    <w:rsid w:val="6C7C47DB"/>
    <w:rsid w:val="6C8B5B92"/>
    <w:rsid w:val="6CC07193"/>
    <w:rsid w:val="6CE70534"/>
    <w:rsid w:val="6D0D6BB7"/>
    <w:rsid w:val="6D243E79"/>
    <w:rsid w:val="6D4313CB"/>
    <w:rsid w:val="6D644462"/>
    <w:rsid w:val="6D6C4617"/>
    <w:rsid w:val="6D720156"/>
    <w:rsid w:val="6D8A592C"/>
    <w:rsid w:val="6E3D07CF"/>
    <w:rsid w:val="6E824E3F"/>
    <w:rsid w:val="6E8F6669"/>
    <w:rsid w:val="6E912A54"/>
    <w:rsid w:val="6EA65D37"/>
    <w:rsid w:val="6EB2353A"/>
    <w:rsid w:val="6ED34545"/>
    <w:rsid w:val="6ED926BA"/>
    <w:rsid w:val="6F265233"/>
    <w:rsid w:val="6F5B0986"/>
    <w:rsid w:val="6F9E5D0C"/>
    <w:rsid w:val="6FA8388C"/>
    <w:rsid w:val="6FA866FC"/>
    <w:rsid w:val="6FCB7A36"/>
    <w:rsid w:val="702428E1"/>
    <w:rsid w:val="702E477C"/>
    <w:rsid w:val="70392375"/>
    <w:rsid w:val="70885F42"/>
    <w:rsid w:val="70A07B66"/>
    <w:rsid w:val="70C83F48"/>
    <w:rsid w:val="70CB62AA"/>
    <w:rsid w:val="70E02ACA"/>
    <w:rsid w:val="710D4708"/>
    <w:rsid w:val="711436BA"/>
    <w:rsid w:val="71236939"/>
    <w:rsid w:val="7131269E"/>
    <w:rsid w:val="71441C42"/>
    <w:rsid w:val="716A75ED"/>
    <w:rsid w:val="71A53037"/>
    <w:rsid w:val="71AD6D83"/>
    <w:rsid w:val="71B244AA"/>
    <w:rsid w:val="71C13079"/>
    <w:rsid w:val="71C17FF0"/>
    <w:rsid w:val="71F23CFC"/>
    <w:rsid w:val="71F25A91"/>
    <w:rsid w:val="72254C79"/>
    <w:rsid w:val="72297933"/>
    <w:rsid w:val="724E1644"/>
    <w:rsid w:val="72941E4D"/>
    <w:rsid w:val="72BA4E6F"/>
    <w:rsid w:val="72C62134"/>
    <w:rsid w:val="72E57804"/>
    <w:rsid w:val="72E637CB"/>
    <w:rsid w:val="731D01D4"/>
    <w:rsid w:val="733D54D4"/>
    <w:rsid w:val="738C646D"/>
    <w:rsid w:val="73976B25"/>
    <w:rsid w:val="74B270A4"/>
    <w:rsid w:val="74CE5F41"/>
    <w:rsid w:val="74FC6BEC"/>
    <w:rsid w:val="750C497C"/>
    <w:rsid w:val="753406F1"/>
    <w:rsid w:val="75AF445F"/>
    <w:rsid w:val="75B0087E"/>
    <w:rsid w:val="75D017E0"/>
    <w:rsid w:val="75FA0A67"/>
    <w:rsid w:val="7613677B"/>
    <w:rsid w:val="76156015"/>
    <w:rsid w:val="761A0360"/>
    <w:rsid w:val="761D50D2"/>
    <w:rsid w:val="76210130"/>
    <w:rsid w:val="762C01C8"/>
    <w:rsid w:val="764325BE"/>
    <w:rsid w:val="765C1E85"/>
    <w:rsid w:val="76637662"/>
    <w:rsid w:val="766449F2"/>
    <w:rsid w:val="767773CA"/>
    <w:rsid w:val="767E63AC"/>
    <w:rsid w:val="76961F7F"/>
    <w:rsid w:val="76B854AD"/>
    <w:rsid w:val="76CD229D"/>
    <w:rsid w:val="76F7785A"/>
    <w:rsid w:val="77310A38"/>
    <w:rsid w:val="774268FD"/>
    <w:rsid w:val="77E2527D"/>
    <w:rsid w:val="7806078E"/>
    <w:rsid w:val="78264F9F"/>
    <w:rsid w:val="78360F0E"/>
    <w:rsid w:val="78516ABE"/>
    <w:rsid w:val="7864662B"/>
    <w:rsid w:val="786A5EE3"/>
    <w:rsid w:val="78741B3B"/>
    <w:rsid w:val="78BD7E9F"/>
    <w:rsid w:val="78DF4AD4"/>
    <w:rsid w:val="78F53768"/>
    <w:rsid w:val="790217D0"/>
    <w:rsid w:val="791A04B5"/>
    <w:rsid w:val="791A5511"/>
    <w:rsid w:val="791C7F7C"/>
    <w:rsid w:val="79281B06"/>
    <w:rsid w:val="792C4591"/>
    <w:rsid w:val="793E1797"/>
    <w:rsid w:val="79470ECD"/>
    <w:rsid w:val="79620298"/>
    <w:rsid w:val="79623D29"/>
    <w:rsid w:val="796772E1"/>
    <w:rsid w:val="797B3EDB"/>
    <w:rsid w:val="79B15DAF"/>
    <w:rsid w:val="7A371153"/>
    <w:rsid w:val="7A587BA8"/>
    <w:rsid w:val="7A5E25DD"/>
    <w:rsid w:val="7A631CCD"/>
    <w:rsid w:val="7A6F2377"/>
    <w:rsid w:val="7AA4772B"/>
    <w:rsid w:val="7ABB7371"/>
    <w:rsid w:val="7AD851F3"/>
    <w:rsid w:val="7AE17D49"/>
    <w:rsid w:val="7B40575C"/>
    <w:rsid w:val="7B536F75"/>
    <w:rsid w:val="7B557B99"/>
    <w:rsid w:val="7B6E65A4"/>
    <w:rsid w:val="7B7449F2"/>
    <w:rsid w:val="7B892580"/>
    <w:rsid w:val="7B973CCB"/>
    <w:rsid w:val="7BB428CE"/>
    <w:rsid w:val="7BC46BD7"/>
    <w:rsid w:val="7BCB1888"/>
    <w:rsid w:val="7BDB64E4"/>
    <w:rsid w:val="7BE94817"/>
    <w:rsid w:val="7BEB4985"/>
    <w:rsid w:val="7C3D3757"/>
    <w:rsid w:val="7C5210C0"/>
    <w:rsid w:val="7C872807"/>
    <w:rsid w:val="7C932639"/>
    <w:rsid w:val="7C9C54AD"/>
    <w:rsid w:val="7CA046EF"/>
    <w:rsid w:val="7CA43DBE"/>
    <w:rsid w:val="7CA93CA3"/>
    <w:rsid w:val="7CF32B9E"/>
    <w:rsid w:val="7D206335"/>
    <w:rsid w:val="7D2558A5"/>
    <w:rsid w:val="7D5E505D"/>
    <w:rsid w:val="7D97445F"/>
    <w:rsid w:val="7D9966CE"/>
    <w:rsid w:val="7DB6499C"/>
    <w:rsid w:val="7DCD22D3"/>
    <w:rsid w:val="7DCF4336"/>
    <w:rsid w:val="7DD31C4A"/>
    <w:rsid w:val="7DE535F8"/>
    <w:rsid w:val="7E0A67A1"/>
    <w:rsid w:val="7E0B3630"/>
    <w:rsid w:val="7E2A617D"/>
    <w:rsid w:val="7E5970FC"/>
    <w:rsid w:val="7EAA2906"/>
    <w:rsid w:val="7EC26574"/>
    <w:rsid w:val="7EDD5372"/>
    <w:rsid w:val="7EF70C73"/>
    <w:rsid w:val="7F1E3F1F"/>
    <w:rsid w:val="7F34581A"/>
    <w:rsid w:val="7F352C08"/>
    <w:rsid w:val="7F3840B3"/>
    <w:rsid w:val="7F565C4D"/>
    <w:rsid w:val="7F5B4E6A"/>
    <w:rsid w:val="7F686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
    <w:qFormat/>
    <w:uiPriority w:val="0"/>
    <w:pPr>
      <w:widowControl w:val="0"/>
      <w:spacing w:after="0" w:line="240" w:lineRule="auto"/>
      <w:jc w:val="both"/>
    </w:pPr>
    <w:rPr>
      <w:rFonts w:ascii="Times New Roman" w:hAnsi="Times New Roman" w:eastAsia="仿宋_GB2312" w:cs="Times New Roman"/>
      <w:sz w:val="32"/>
      <w:szCs w:val="20"/>
    </w:rPr>
  </w:style>
  <w:style w:type="paragraph" w:styleId="3">
    <w:name w:val="toc 5"/>
    <w:basedOn w:val="1"/>
    <w:next w:val="1"/>
    <w:unhideWhenUsed/>
    <w:qFormat/>
    <w:uiPriority w:val="39"/>
    <w:pPr>
      <w:ind w:left="1280"/>
    </w:pPr>
    <w:rPr>
      <w:rFonts w:cs="Calibri"/>
      <w:sz w:val="20"/>
    </w:rPr>
  </w:style>
  <w:style w:type="paragraph" w:styleId="4">
    <w:name w:val="table of authorities"/>
    <w:basedOn w:val="1"/>
    <w:next w:val="1"/>
    <w:qFormat/>
    <w:uiPriority w:val="0"/>
    <w:pPr>
      <w:ind w:left="420" w:leftChars="200"/>
    </w:pPr>
  </w:style>
  <w:style w:type="paragraph" w:styleId="5">
    <w:name w:val="Normal Indent"/>
    <w:basedOn w:val="1"/>
    <w:next w:val="1"/>
    <w:qFormat/>
    <w:uiPriority w:val="99"/>
  </w:style>
  <w:style w:type="paragraph" w:styleId="6">
    <w:name w:val="Balloon Text"/>
    <w:basedOn w:val="1"/>
    <w:link w:val="28"/>
    <w:semiHidden/>
    <w:unhideWhenUsed/>
    <w:qFormat/>
    <w:uiPriority w:val="99"/>
    <w:pPr>
      <w:spacing w:after="0" w:line="240" w:lineRule="auto"/>
    </w:pPr>
    <w:rPr>
      <w:rFonts w:ascii="宋体" w:eastAsia="宋体"/>
      <w:sz w:val="18"/>
      <w:szCs w:val="18"/>
    </w:rPr>
  </w:style>
  <w:style w:type="paragraph" w:styleId="7">
    <w:name w:val="footer"/>
    <w:basedOn w:val="1"/>
    <w:next w:val="8"/>
    <w:link w:val="23"/>
    <w:unhideWhenUsed/>
    <w:qFormat/>
    <w:uiPriority w:val="99"/>
    <w:pPr>
      <w:tabs>
        <w:tab w:val="center" w:pos="4320"/>
        <w:tab w:val="right" w:pos="8640"/>
      </w:tabs>
      <w:spacing w:after="0" w:line="240" w:lineRule="auto"/>
    </w:pPr>
  </w:style>
  <w:style w:type="paragraph" w:customStyle="1" w:styleId="8">
    <w:name w:val="索引 51"/>
    <w:basedOn w:val="1"/>
    <w:next w:val="1"/>
    <w:qFormat/>
    <w:uiPriority w:val="0"/>
    <w:pPr>
      <w:ind w:left="1680"/>
    </w:pPr>
  </w:style>
  <w:style w:type="paragraph" w:styleId="9">
    <w:name w:val="header"/>
    <w:basedOn w:val="1"/>
    <w:link w:val="22"/>
    <w:unhideWhenUsed/>
    <w:qFormat/>
    <w:uiPriority w:val="99"/>
    <w:pPr>
      <w:tabs>
        <w:tab w:val="center" w:pos="4320"/>
        <w:tab w:val="right" w:pos="8640"/>
      </w:tabs>
      <w:spacing w:after="0" w:line="240" w:lineRule="auto"/>
    </w:pPr>
  </w:style>
  <w:style w:type="paragraph" w:styleId="10">
    <w:name w:val="index 7"/>
    <w:basedOn w:val="1"/>
    <w:next w:val="1"/>
    <w:semiHidden/>
    <w:unhideWhenUsed/>
    <w:qFormat/>
    <w:uiPriority w:val="99"/>
    <w:pPr>
      <w:spacing w:after="0" w:line="240" w:lineRule="auto"/>
      <w:ind w:left="1540" w:hanging="220"/>
    </w:pPr>
  </w:style>
  <w:style w:type="paragraph" w:styleId="11">
    <w:name w:val="Message Header"/>
    <w:basedOn w:val="1"/>
    <w:next w:val="1"/>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rPr>
  </w:style>
  <w:style w:type="paragraph" w:styleId="12">
    <w:name w:val="Body Text First Indent"/>
    <w:basedOn w:val="2"/>
    <w:unhideWhenUsed/>
    <w:qFormat/>
    <w:uiPriority w:val="99"/>
    <w:pPr>
      <w:spacing w:after="120"/>
      <w:ind w:firstLine="420" w:firstLineChars="100"/>
    </w:pPr>
    <w:rPr>
      <w:szCs w:val="21"/>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semiHidden/>
    <w:unhideWhenUsed/>
    <w:qFormat/>
    <w:uiPriority w:val="99"/>
    <w:rPr>
      <w:color w:val="800080"/>
      <w:u w:val="single"/>
    </w:rPr>
  </w:style>
  <w:style w:type="character" w:styleId="17">
    <w:name w:val="Emphasis"/>
    <w:basedOn w:val="15"/>
    <w:qFormat/>
    <w:uiPriority w:val="20"/>
    <w:rPr>
      <w:i/>
      <w:iCs/>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paragraph" w:customStyle="1" w:styleId="19">
    <w:name w:val="Default"/>
    <w:qFormat/>
    <w:uiPriority w:val="0"/>
    <w:pPr>
      <w:widowControl w:val="0"/>
      <w:autoSpaceDE w:val="0"/>
      <w:autoSpaceDN w:val="0"/>
      <w:adjustRightInd w:val="0"/>
      <w:spacing w:after="200" w:line="276" w:lineRule="auto"/>
    </w:pPr>
    <w:rPr>
      <w:rFonts w:ascii="仿宋_GB2312" w:hAnsi="Calibri" w:eastAsia="仿宋_GB2312" w:cs="仿宋_GB2312"/>
      <w:color w:val="000000"/>
      <w:sz w:val="24"/>
      <w:szCs w:val="24"/>
      <w:lang w:val="en-US" w:eastAsia="zh-CN" w:bidi="ar-SA"/>
    </w:rPr>
  </w:style>
  <w:style w:type="paragraph" w:customStyle="1" w:styleId="20">
    <w:name w:val="默认"/>
    <w:qFormat/>
    <w:uiPriority w:val="0"/>
    <w:pPr>
      <w:spacing w:after="200" w:line="276" w:lineRule="auto"/>
    </w:pPr>
    <w:rPr>
      <w:rFonts w:ascii="Helvetica" w:hAnsi="Helvetica" w:eastAsia="Helvetica" w:cs="Helvetica"/>
      <w:color w:val="000000"/>
      <w:sz w:val="22"/>
      <w:szCs w:val="22"/>
      <w:lang w:val="en-US" w:eastAsia="zh-CN" w:bidi="ar-SA"/>
    </w:rPr>
  </w:style>
  <w:style w:type="paragraph" w:customStyle="1" w:styleId="21">
    <w:name w:val="UserStyle_6"/>
    <w:basedOn w:val="1"/>
    <w:next w:val="1"/>
    <w:qFormat/>
    <w:uiPriority w:val="0"/>
    <w:pPr>
      <w:ind w:left="1680"/>
    </w:pPr>
  </w:style>
  <w:style w:type="character" w:customStyle="1" w:styleId="22">
    <w:name w:val="页眉 Char"/>
    <w:basedOn w:val="15"/>
    <w:link w:val="9"/>
    <w:qFormat/>
    <w:uiPriority w:val="99"/>
    <w:rPr>
      <w:sz w:val="22"/>
      <w:szCs w:val="22"/>
    </w:rPr>
  </w:style>
  <w:style w:type="character" w:customStyle="1" w:styleId="23">
    <w:name w:val="页脚 Char"/>
    <w:basedOn w:val="15"/>
    <w:link w:val="7"/>
    <w:qFormat/>
    <w:uiPriority w:val="99"/>
    <w:rPr>
      <w:sz w:val="22"/>
      <w:szCs w:val="22"/>
    </w:rPr>
  </w:style>
  <w:style w:type="paragraph" w:styleId="24">
    <w:name w:val="List Paragraph"/>
    <w:basedOn w:val="1"/>
    <w:unhideWhenUsed/>
    <w:qFormat/>
    <w:uiPriority w:val="99"/>
    <w:pPr>
      <w:ind w:left="720"/>
      <w:contextualSpacing/>
    </w:pPr>
  </w:style>
  <w:style w:type="character" w:customStyle="1" w:styleId="25">
    <w:name w:val="正文文本 Char"/>
    <w:basedOn w:val="15"/>
    <w:link w:val="2"/>
    <w:qFormat/>
    <w:uiPriority w:val="0"/>
    <w:rPr>
      <w:rFonts w:ascii="Times New Roman" w:hAnsi="Times New Roman" w:eastAsia="仿宋_GB2312" w:cs="Times New Roman"/>
      <w:sz w:val="32"/>
    </w:rPr>
  </w:style>
  <w:style w:type="character" w:customStyle="1" w:styleId="26">
    <w:name w:val="NormalCharacter"/>
    <w:qFormat/>
    <w:uiPriority w:val="0"/>
    <w:rPr>
      <w:rFonts w:ascii="Times New Roman" w:hAnsi="Times New Roman" w:eastAsia="宋体" w:cs="Times New Roman"/>
      <w:kern w:val="2"/>
      <w:sz w:val="21"/>
      <w:szCs w:val="22"/>
      <w:lang w:val="en-US" w:eastAsia="zh-CN" w:bidi="ar-SA"/>
    </w:rPr>
  </w:style>
  <w:style w:type="paragraph" w:customStyle="1" w:styleId="27">
    <w:name w:val="NormalIndent"/>
    <w:basedOn w:val="1"/>
    <w:next w:val="1"/>
    <w:qFormat/>
    <w:uiPriority w:val="0"/>
    <w:pPr>
      <w:widowControl w:val="0"/>
      <w:ind w:firstLine="420" w:firstLineChars="200"/>
      <w:jc w:val="both"/>
      <w:textAlignment w:val="baseline"/>
    </w:pPr>
    <w:rPr>
      <w:rFonts w:ascii="Calibri" w:hAnsi="Calibri" w:eastAsia="方正仿宋_GBK" w:cs="Times New Roman"/>
      <w:kern w:val="2"/>
      <w:sz w:val="32"/>
      <w:szCs w:val="20"/>
    </w:rPr>
  </w:style>
  <w:style w:type="character" w:customStyle="1" w:styleId="28">
    <w:name w:val="批注框文本 Char"/>
    <w:basedOn w:val="15"/>
    <w:link w:val="6"/>
    <w:semiHidden/>
    <w:qFormat/>
    <w:uiPriority w:val="99"/>
    <w:rPr>
      <w:rFonts w:ascii="宋体" w:eastAsia="宋体"/>
      <w:sz w:val="18"/>
      <w:szCs w:val="18"/>
    </w:rPr>
  </w:style>
  <w:style w:type="character" w:customStyle="1" w:styleId="29">
    <w:name w:val="font131"/>
    <w:basedOn w:val="15"/>
    <w:qFormat/>
    <w:uiPriority w:val="0"/>
    <w:rPr>
      <w:rFonts w:hint="eastAsia" w:ascii="宋体" w:hAnsi="宋体" w:eastAsia="宋体" w:cs="宋体"/>
      <w:color w:val="000000"/>
      <w:sz w:val="24"/>
      <w:szCs w:val="24"/>
      <w:u w:val="none"/>
    </w:rPr>
  </w:style>
  <w:style w:type="character" w:customStyle="1" w:styleId="30">
    <w:name w:val="font141"/>
    <w:basedOn w:val="15"/>
    <w:qFormat/>
    <w:uiPriority w:val="0"/>
    <w:rPr>
      <w:rFonts w:hint="default" w:ascii="Times New Roman" w:hAnsi="Times New Roman" w:cs="Times New Roman"/>
      <w:color w:val="000000"/>
      <w:sz w:val="24"/>
      <w:szCs w:val="24"/>
      <w:u w:val="none"/>
    </w:rPr>
  </w:style>
  <w:style w:type="character" w:customStyle="1" w:styleId="31">
    <w:name w:val="font351"/>
    <w:basedOn w:val="15"/>
    <w:qFormat/>
    <w:uiPriority w:val="0"/>
    <w:rPr>
      <w:rFonts w:hint="default" w:ascii="Times New Roman" w:hAnsi="Times New Roman" w:cs="Times New Roman"/>
      <w:color w:val="000000"/>
      <w:sz w:val="40"/>
      <w:szCs w:val="40"/>
      <w:u w:val="none"/>
    </w:rPr>
  </w:style>
  <w:style w:type="character" w:customStyle="1" w:styleId="32">
    <w:name w:val="font201"/>
    <w:basedOn w:val="15"/>
    <w:qFormat/>
    <w:uiPriority w:val="0"/>
    <w:rPr>
      <w:rFonts w:hint="eastAsia" w:ascii="宋体" w:hAnsi="宋体" w:eastAsia="宋体" w:cs="宋体"/>
      <w:color w:val="000000"/>
      <w:sz w:val="40"/>
      <w:szCs w:val="40"/>
      <w:u w:val="none"/>
    </w:rPr>
  </w:style>
  <w:style w:type="character" w:customStyle="1" w:styleId="33">
    <w:name w:val="font312"/>
    <w:basedOn w:val="15"/>
    <w:qFormat/>
    <w:uiPriority w:val="0"/>
    <w:rPr>
      <w:rFonts w:ascii="方正黑体_GBK" w:hAnsi="方正黑体_GBK" w:eastAsia="方正黑体_GBK" w:cs="方正黑体_GBK"/>
      <w:color w:val="000000"/>
      <w:sz w:val="24"/>
      <w:szCs w:val="24"/>
      <w:u w:val="none"/>
    </w:rPr>
  </w:style>
  <w:style w:type="character" w:customStyle="1" w:styleId="34">
    <w:name w:val="font91"/>
    <w:basedOn w:val="15"/>
    <w:qFormat/>
    <w:uiPriority w:val="0"/>
    <w:rPr>
      <w:rFonts w:hint="eastAsia" w:ascii="宋体" w:hAnsi="宋体" w:eastAsia="宋体" w:cs="宋体"/>
      <w:b/>
      <w:color w:val="000000"/>
      <w:sz w:val="24"/>
      <w:szCs w:val="24"/>
      <w:u w:val="none"/>
    </w:rPr>
  </w:style>
  <w:style w:type="character" w:customStyle="1" w:styleId="35">
    <w:name w:val="font331"/>
    <w:basedOn w:val="15"/>
    <w:qFormat/>
    <w:uiPriority w:val="0"/>
    <w:rPr>
      <w:rFonts w:hint="default" w:ascii="Times New Roman" w:hAnsi="Times New Roman" w:cs="Times New Roman"/>
      <w:b/>
      <w:color w:val="000000"/>
      <w:sz w:val="24"/>
      <w:szCs w:val="24"/>
      <w:u w:val="none"/>
    </w:rPr>
  </w:style>
  <w:style w:type="character" w:customStyle="1" w:styleId="36">
    <w:name w:val="font301"/>
    <w:basedOn w:val="15"/>
    <w:qFormat/>
    <w:uiPriority w:val="0"/>
    <w:rPr>
      <w:rFonts w:hint="eastAsia" w:ascii="宋体" w:hAnsi="宋体" w:eastAsia="宋体" w:cs="宋体"/>
      <w:color w:val="000000"/>
      <w:sz w:val="24"/>
      <w:szCs w:val="24"/>
      <w:u w:val="none"/>
    </w:rPr>
  </w:style>
  <w:style w:type="character" w:customStyle="1" w:styleId="37">
    <w:name w:val="font22"/>
    <w:basedOn w:val="15"/>
    <w:qFormat/>
    <w:uiPriority w:val="0"/>
    <w:rPr>
      <w:rFonts w:ascii="方正书宋_GBK" w:hAnsi="方正书宋_GBK" w:eastAsia="方正书宋_GBK" w:cs="方正书宋_GBK"/>
      <w:color w:val="000000"/>
      <w:sz w:val="24"/>
      <w:szCs w:val="24"/>
      <w:u w:val="none"/>
    </w:rPr>
  </w:style>
  <w:style w:type="character" w:customStyle="1" w:styleId="38">
    <w:name w:val="font341"/>
    <w:basedOn w:val="15"/>
    <w:qFormat/>
    <w:uiPriority w:val="0"/>
    <w:rPr>
      <w:rFonts w:hint="default" w:ascii="Times New Roman" w:hAnsi="Times New Roman" w:cs="Times New Roman"/>
      <w:color w:val="000000"/>
      <w:sz w:val="24"/>
      <w:szCs w:val="24"/>
      <w:u w:val="none"/>
    </w:rPr>
  </w:style>
  <w:style w:type="character" w:customStyle="1" w:styleId="39">
    <w:name w:val="font61"/>
    <w:basedOn w:val="15"/>
    <w:qFormat/>
    <w:uiPriority w:val="0"/>
    <w:rPr>
      <w:rFonts w:hint="eastAsia" w:ascii="宋体" w:hAnsi="宋体" w:eastAsia="宋体" w:cs="宋体"/>
      <w:color w:val="000000"/>
      <w:sz w:val="22"/>
      <w:szCs w:val="22"/>
      <w:u w:val="none"/>
    </w:rPr>
  </w:style>
  <w:style w:type="character" w:customStyle="1" w:styleId="40">
    <w:name w:val="font321"/>
    <w:basedOn w:val="15"/>
    <w:qFormat/>
    <w:uiPriority w:val="0"/>
    <w:rPr>
      <w:rFonts w:hint="default" w:ascii="Times New Roman" w:hAnsi="Times New Roman" w:cs="Times New Roman"/>
      <w:color w:val="000000"/>
      <w:sz w:val="22"/>
      <w:szCs w:val="22"/>
      <w:u w:val="none"/>
    </w:rPr>
  </w:style>
  <w:style w:type="character" w:customStyle="1" w:styleId="41">
    <w:name w:val="font191"/>
    <w:basedOn w:val="15"/>
    <w:qFormat/>
    <w:uiPriority w:val="0"/>
    <w:rPr>
      <w:rFonts w:hint="eastAsia" w:ascii="宋体" w:hAnsi="宋体" w:eastAsia="宋体" w:cs="宋体"/>
      <w:color w:val="000000"/>
      <w:sz w:val="24"/>
      <w:szCs w:val="24"/>
      <w:u w:val="none"/>
    </w:rPr>
  </w:style>
  <w:style w:type="character" w:customStyle="1" w:styleId="42">
    <w:name w:val="font81"/>
    <w:basedOn w:val="15"/>
    <w:qFormat/>
    <w:uiPriority w:val="0"/>
    <w:rPr>
      <w:rFonts w:hint="default" w:ascii="Times New Roman" w:hAnsi="Times New Roman" w:cs="Times New Roman"/>
      <w:color w:val="000000"/>
      <w:sz w:val="24"/>
      <w:szCs w:val="24"/>
      <w:u w:val="none"/>
    </w:rPr>
  </w:style>
  <w:style w:type="character" w:customStyle="1" w:styleId="43">
    <w:name w:val="font12"/>
    <w:basedOn w:val="15"/>
    <w:qFormat/>
    <w:uiPriority w:val="0"/>
    <w:rPr>
      <w:rFonts w:hint="eastAsia" w:ascii="宋体" w:hAnsi="宋体" w:eastAsia="宋体" w:cs="宋体"/>
      <w:color w:val="000000"/>
      <w:sz w:val="24"/>
      <w:szCs w:val="24"/>
      <w:u w:val="none"/>
    </w:rPr>
  </w:style>
  <w:style w:type="character" w:customStyle="1" w:styleId="44">
    <w:name w:val="font231"/>
    <w:basedOn w:val="15"/>
    <w:qFormat/>
    <w:uiPriority w:val="0"/>
    <w:rPr>
      <w:rFonts w:hint="default" w:ascii="Times New Roman" w:hAnsi="Times New Roman" w:cs="Times New Roman"/>
      <w:b/>
      <w:color w:val="000000"/>
      <w:sz w:val="22"/>
      <w:szCs w:val="22"/>
      <w:u w:val="none"/>
    </w:rPr>
  </w:style>
  <w:style w:type="character" w:customStyle="1" w:styleId="45">
    <w:name w:val="font181"/>
    <w:basedOn w:val="15"/>
    <w:qFormat/>
    <w:uiPriority w:val="0"/>
    <w:rPr>
      <w:rFonts w:hint="eastAsia" w:ascii="宋体" w:hAnsi="宋体" w:eastAsia="宋体" w:cs="宋体"/>
      <w:b/>
      <w:color w:val="000000"/>
      <w:sz w:val="22"/>
      <w:szCs w:val="22"/>
      <w:u w:val="none"/>
    </w:rPr>
  </w:style>
  <w:style w:type="character" w:customStyle="1" w:styleId="46">
    <w:name w:val="font222"/>
    <w:basedOn w:val="15"/>
    <w:qFormat/>
    <w:uiPriority w:val="0"/>
    <w:rPr>
      <w:rFonts w:hint="eastAsia" w:ascii="宋体" w:hAnsi="宋体" w:eastAsia="宋体" w:cs="宋体"/>
      <w:color w:val="000000"/>
      <w:sz w:val="28"/>
      <w:szCs w:val="28"/>
      <w:u w:val="none"/>
    </w:rPr>
  </w:style>
  <w:style w:type="character" w:customStyle="1" w:styleId="47">
    <w:name w:val="font51"/>
    <w:basedOn w:val="15"/>
    <w:qFormat/>
    <w:uiPriority w:val="0"/>
    <w:rPr>
      <w:rFonts w:hint="default" w:ascii="Times New Roman" w:hAnsi="Times New Roman" w:cs="Times New Roman"/>
      <w:color w:val="000000"/>
      <w:sz w:val="28"/>
      <w:szCs w:val="28"/>
      <w:u w:val="none"/>
    </w:rPr>
  </w:style>
  <w:style w:type="character" w:customStyle="1" w:styleId="48">
    <w:name w:val="font41"/>
    <w:basedOn w:val="15"/>
    <w:qFormat/>
    <w:uiPriority w:val="0"/>
    <w:rPr>
      <w:rFonts w:hint="eastAsia" w:ascii="宋体" w:hAnsi="宋体" w:eastAsia="宋体" w:cs="宋体"/>
      <w:color w:val="000000"/>
      <w:sz w:val="24"/>
      <w:szCs w:val="24"/>
      <w:u w:val="none"/>
    </w:rPr>
  </w:style>
  <w:style w:type="character" w:customStyle="1" w:styleId="49">
    <w:name w:val="font31"/>
    <w:basedOn w:val="15"/>
    <w:qFormat/>
    <w:uiPriority w:val="0"/>
    <w:rPr>
      <w:rFonts w:hint="default" w:ascii="Times New Roman" w:hAnsi="Times New Roman" w:cs="Times New Roman"/>
      <w:color w:val="000000"/>
      <w:sz w:val="24"/>
      <w:szCs w:val="24"/>
      <w:u w:val="none"/>
    </w:rPr>
  </w:style>
  <w:style w:type="character" w:customStyle="1" w:styleId="50">
    <w:name w:val="font101"/>
    <w:basedOn w:val="15"/>
    <w:qFormat/>
    <w:uiPriority w:val="0"/>
    <w:rPr>
      <w:rFonts w:hint="eastAsia" w:ascii="宋体" w:hAnsi="宋体" w:eastAsia="宋体" w:cs="宋体"/>
      <w:color w:val="000000"/>
      <w:sz w:val="24"/>
      <w:szCs w:val="24"/>
      <w:u w:val="none"/>
    </w:rPr>
  </w:style>
  <w:style w:type="character" w:customStyle="1" w:styleId="51">
    <w:name w:val="font151"/>
    <w:basedOn w:val="15"/>
    <w:qFormat/>
    <w:uiPriority w:val="0"/>
    <w:rPr>
      <w:rFonts w:hint="default" w:ascii="Times New Roman" w:hAnsi="Times New Roman" w:cs="Times New Roman"/>
      <w:color w:val="000000"/>
      <w:sz w:val="24"/>
      <w:szCs w:val="24"/>
      <w:u w:val="none"/>
    </w:rPr>
  </w:style>
  <w:style w:type="paragraph" w:customStyle="1" w:styleId="52">
    <w:name w:val="UserStyle_0"/>
    <w:qFormat/>
    <w:uiPriority w:val="0"/>
    <w:pPr>
      <w:spacing w:after="200" w:line="540" w:lineRule="exact"/>
    </w:pPr>
    <w:rPr>
      <w:rFonts w:asciiTheme="minorHAnsi" w:hAnsiTheme="minorHAnsi" w:eastAsiaTheme="minorEastAsia" w:cstheme="minorBidi"/>
      <w:color w:val="000000"/>
      <w:kern w:val="2"/>
      <w:sz w:val="21"/>
      <w:szCs w:val="24"/>
      <w:lang w:val="en-US" w:eastAsia="zh-CN" w:bidi="ar-SA"/>
    </w:rPr>
  </w:style>
  <w:style w:type="character" w:customStyle="1" w:styleId="53">
    <w:name w:val="font121"/>
    <w:basedOn w:val="15"/>
    <w:qFormat/>
    <w:uiPriority w:val="0"/>
    <w:rPr>
      <w:rFonts w:ascii="方正黑体_GBK" w:hAnsi="方正黑体_GBK" w:eastAsia="方正黑体_GBK" w:cs="方正黑体_GBK"/>
      <w:b/>
      <w:color w:val="000000"/>
      <w:sz w:val="24"/>
      <w:szCs w:val="24"/>
      <w:u w:val="none"/>
    </w:rPr>
  </w:style>
  <w:style w:type="character" w:customStyle="1" w:styleId="54">
    <w:name w:val="font311"/>
    <w:basedOn w:val="15"/>
    <w:qFormat/>
    <w:uiPriority w:val="0"/>
    <w:rPr>
      <w:rFonts w:hint="eastAsia" w:ascii="宋体" w:hAnsi="宋体" w:eastAsia="宋体" w:cs="宋体"/>
      <w:color w:val="000000"/>
      <w:sz w:val="24"/>
      <w:szCs w:val="24"/>
      <w:u w:val="none"/>
    </w:rPr>
  </w:style>
  <w:style w:type="character" w:customStyle="1" w:styleId="55">
    <w:name w:val="font112"/>
    <w:basedOn w:val="15"/>
    <w:qFormat/>
    <w:uiPriority w:val="0"/>
    <w:rPr>
      <w:rFonts w:ascii="方正书宋_GBK" w:hAnsi="方正书宋_GBK" w:eastAsia="方正书宋_GBK" w:cs="方正书宋_GBK"/>
      <w:color w:val="000000"/>
      <w:sz w:val="24"/>
      <w:szCs w:val="24"/>
      <w:u w:val="none"/>
    </w:rPr>
  </w:style>
  <w:style w:type="character" w:customStyle="1" w:styleId="56">
    <w:name w:val="font32"/>
    <w:basedOn w:val="15"/>
    <w:qFormat/>
    <w:uiPriority w:val="0"/>
    <w:rPr>
      <w:rFonts w:hint="default" w:ascii="Times New Roman" w:hAnsi="Times New Roman" w:cs="Times New Roman"/>
      <w:color w:val="000000"/>
      <w:sz w:val="24"/>
      <w:szCs w:val="24"/>
      <w:u w:val="none"/>
    </w:rPr>
  </w:style>
  <w:style w:type="character" w:customStyle="1" w:styleId="57">
    <w:name w:val="font241"/>
    <w:basedOn w:val="15"/>
    <w:qFormat/>
    <w:uiPriority w:val="0"/>
    <w:rPr>
      <w:rFonts w:hint="eastAsia" w:ascii="宋体" w:hAnsi="宋体" w:eastAsia="宋体" w:cs="宋体"/>
      <w:color w:val="000000"/>
      <w:sz w:val="22"/>
      <w:szCs w:val="22"/>
      <w:u w:val="none"/>
    </w:rPr>
  </w:style>
  <w:style w:type="character" w:customStyle="1" w:styleId="58">
    <w:name w:val="font11"/>
    <w:basedOn w:val="15"/>
    <w:qFormat/>
    <w:uiPriority w:val="0"/>
    <w:rPr>
      <w:rFonts w:hint="default" w:ascii="Times New Roman" w:hAnsi="Times New Roman" w:cs="Times New Roman"/>
      <w:color w:val="000000"/>
      <w:sz w:val="22"/>
      <w:szCs w:val="22"/>
      <w:u w:val="none"/>
    </w:rPr>
  </w:style>
  <w:style w:type="character" w:customStyle="1" w:styleId="59">
    <w:name w:val="font281"/>
    <w:basedOn w:val="15"/>
    <w:qFormat/>
    <w:uiPriority w:val="0"/>
    <w:rPr>
      <w:rFonts w:hint="eastAsia" w:ascii="宋体" w:hAnsi="宋体" w:eastAsia="宋体" w:cs="宋体"/>
      <w:color w:val="000000"/>
      <w:sz w:val="24"/>
      <w:szCs w:val="24"/>
      <w:u w:val="none"/>
    </w:rPr>
  </w:style>
  <w:style w:type="character" w:customStyle="1" w:styleId="60">
    <w:name w:val="font161"/>
    <w:basedOn w:val="15"/>
    <w:qFormat/>
    <w:uiPriority w:val="0"/>
    <w:rPr>
      <w:rFonts w:hint="default" w:ascii="Times New Roman" w:hAnsi="Times New Roman" w:cs="Times New Roman"/>
      <w:color w:val="000000"/>
      <w:sz w:val="24"/>
      <w:szCs w:val="24"/>
      <w:u w:val="none"/>
    </w:rPr>
  </w:style>
  <w:style w:type="character" w:customStyle="1" w:styleId="61">
    <w:name w:val="font271"/>
    <w:basedOn w:val="15"/>
    <w:qFormat/>
    <w:uiPriority w:val="0"/>
    <w:rPr>
      <w:rFonts w:hint="eastAsia" w:ascii="宋体" w:hAnsi="宋体" w:eastAsia="宋体" w:cs="宋体"/>
      <w:color w:val="171A1D"/>
      <w:sz w:val="21"/>
      <w:szCs w:val="21"/>
      <w:u w:val="none"/>
    </w:rPr>
  </w:style>
  <w:style w:type="character" w:customStyle="1" w:styleId="62">
    <w:name w:val="font171"/>
    <w:basedOn w:val="15"/>
    <w:qFormat/>
    <w:uiPriority w:val="0"/>
    <w:rPr>
      <w:rFonts w:hint="default" w:ascii="Times New Roman" w:hAnsi="Times New Roman" w:cs="Times New Roman"/>
      <w:b/>
      <w:color w:val="000000"/>
      <w:sz w:val="22"/>
      <w:szCs w:val="22"/>
      <w:u w:val="none"/>
    </w:rPr>
  </w:style>
  <w:style w:type="character" w:customStyle="1" w:styleId="63">
    <w:name w:val="font211"/>
    <w:basedOn w:val="15"/>
    <w:qFormat/>
    <w:uiPriority w:val="0"/>
    <w:rPr>
      <w:rFonts w:hint="eastAsia" w:ascii="宋体" w:hAnsi="宋体" w:eastAsia="宋体" w:cs="宋体"/>
      <w:color w:val="000000"/>
      <w:sz w:val="28"/>
      <w:szCs w:val="28"/>
      <w:u w:val="none"/>
    </w:rPr>
  </w:style>
  <w:style w:type="character" w:customStyle="1" w:styleId="64">
    <w:name w:val="font71"/>
    <w:basedOn w:val="15"/>
    <w:qFormat/>
    <w:uiPriority w:val="0"/>
    <w:rPr>
      <w:rFonts w:hint="default" w:ascii="Times New Roman" w:hAnsi="Times New Roman" w:cs="Times New Roman"/>
      <w:b/>
      <w:color w:val="000000"/>
      <w:sz w:val="24"/>
      <w:szCs w:val="24"/>
      <w:u w:val="none"/>
    </w:rPr>
  </w:style>
  <w:style w:type="character" w:customStyle="1" w:styleId="65">
    <w:name w:val="font21"/>
    <w:basedOn w:val="15"/>
    <w:qFormat/>
    <w:uiPriority w:val="0"/>
    <w:rPr>
      <w:rFonts w:hint="default" w:ascii="Times New Roman" w:hAnsi="Times New Roman" w:cs="Times New Roman"/>
      <w:color w:val="000000"/>
      <w:sz w:val="24"/>
      <w:szCs w:val="24"/>
      <w:u w:val="none"/>
    </w:rPr>
  </w:style>
  <w:style w:type="paragraph" w:customStyle="1" w:styleId="66">
    <w:name w:val="msonormal"/>
    <w:basedOn w:val="1"/>
    <w:qFormat/>
    <w:uiPriority w:val="0"/>
    <w:pPr>
      <w:spacing w:before="100" w:beforeAutospacing="1" w:after="100" w:afterAutospacing="1" w:line="240" w:lineRule="auto"/>
    </w:pPr>
    <w:rPr>
      <w:rFonts w:ascii="宋体" w:hAnsi="宋体" w:eastAsia="宋体" w:cs="宋体"/>
      <w:sz w:val="24"/>
      <w:szCs w:val="24"/>
    </w:rPr>
  </w:style>
  <w:style w:type="paragraph" w:customStyle="1" w:styleId="67">
    <w:name w:val="font5"/>
    <w:basedOn w:val="1"/>
    <w:qFormat/>
    <w:uiPriority w:val="0"/>
    <w:pPr>
      <w:spacing w:before="100" w:beforeAutospacing="1" w:after="100" w:afterAutospacing="1" w:line="240" w:lineRule="auto"/>
    </w:pPr>
    <w:rPr>
      <w:rFonts w:ascii="Times New Roman" w:hAnsi="Times New Roman" w:eastAsia="宋体" w:cs="Times New Roman"/>
      <w:color w:val="000000"/>
      <w:sz w:val="24"/>
      <w:szCs w:val="24"/>
    </w:rPr>
  </w:style>
  <w:style w:type="paragraph" w:customStyle="1" w:styleId="68">
    <w:name w:val="font6"/>
    <w:basedOn w:val="1"/>
    <w:qFormat/>
    <w:uiPriority w:val="0"/>
    <w:pPr>
      <w:spacing w:before="100" w:beforeAutospacing="1" w:after="100" w:afterAutospacing="1" w:line="240" w:lineRule="auto"/>
    </w:pPr>
    <w:rPr>
      <w:rFonts w:ascii="Times New Roman" w:hAnsi="Times New Roman" w:eastAsia="宋体" w:cs="Times New Roman"/>
      <w:b/>
      <w:bCs/>
      <w:color w:val="000000"/>
      <w:sz w:val="24"/>
      <w:szCs w:val="24"/>
    </w:rPr>
  </w:style>
  <w:style w:type="paragraph" w:customStyle="1" w:styleId="69">
    <w:name w:val="font7"/>
    <w:basedOn w:val="1"/>
    <w:qFormat/>
    <w:uiPriority w:val="0"/>
    <w:pPr>
      <w:spacing w:before="100" w:beforeAutospacing="1" w:after="100" w:afterAutospacing="1" w:line="240" w:lineRule="auto"/>
    </w:pPr>
    <w:rPr>
      <w:rFonts w:ascii="宋体" w:hAnsi="宋体" w:eastAsia="宋体" w:cs="宋体"/>
      <w:color w:val="000000"/>
      <w:sz w:val="24"/>
      <w:szCs w:val="24"/>
    </w:rPr>
  </w:style>
  <w:style w:type="paragraph" w:customStyle="1" w:styleId="70">
    <w:name w:val="font8"/>
    <w:basedOn w:val="1"/>
    <w:qFormat/>
    <w:uiPriority w:val="0"/>
    <w:pPr>
      <w:spacing w:before="100" w:beforeAutospacing="1" w:after="100" w:afterAutospacing="1" w:line="240" w:lineRule="auto"/>
    </w:pPr>
    <w:rPr>
      <w:rFonts w:ascii="宋体" w:hAnsi="宋体" w:eastAsia="宋体" w:cs="宋体"/>
      <w:b/>
      <w:bCs/>
      <w:color w:val="000000"/>
      <w:sz w:val="24"/>
      <w:szCs w:val="24"/>
    </w:rPr>
  </w:style>
  <w:style w:type="paragraph" w:customStyle="1" w:styleId="71">
    <w:name w:val="font9"/>
    <w:basedOn w:val="1"/>
    <w:qFormat/>
    <w:uiPriority w:val="0"/>
    <w:pPr>
      <w:spacing w:before="100" w:beforeAutospacing="1" w:after="100" w:afterAutospacing="1" w:line="240" w:lineRule="auto"/>
    </w:pPr>
    <w:rPr>
      <w:rFonts w:ascii="方正黑体_GBK" w:hAnsi="宋体" w:eastAsia="方正黑体_GBK" w:cs="宋体"/>
      <w:b/>
      <w:bCs/>
      <w:color w:val="000000"/>
      <w:sz w:val="24"/>
      <w:szCs w:val="24"/>
    </w:rPr>
  </w:style>
  <w:style w:type="paragraph" w:customStyle="1" w:styleId="72">
    <w:name w:val="font10"/>
    <w:basedOn w:val="1"/>
    <w:qFormat/>
    <w:uiPriority w:val="0"/>
    <w:pPr>
      <w:spacing w:before="100" w:beforeAutospacing="1" w:after="100" w:afterAutospacing="1" w:line="240" w:lineRule="auto"/>
    </w:pPr>
    <w:rPr>
      <w:rFonts w:ascii="汉仪书宋二KW" w:hAnsi="宋体" w:eastAsia="汉仪书宋二KW" w:cs="宋体"/>
      <w:color w:val="000000"/>
      <w:sz w:val="24"/>
      <w:szCs w:val="24"/>
    </w:rPr>
  </w:style>
  <w:style w:type="paragraph" w:customStyle="1" w:styleId="73">
    <w:name w:val="xl67"/>
    <w:basedOn w:val="1"/>
    <w:qFormat/>
    <w:uiPriority w:val="0"/>
    <w:pPr>
      <w:spacing w:before="100" w:beforeAutospacing="1" w:after="100" w:afterAutospacing="1" w:line="240" w:lineRule="auto"/>
    </w:pPr>
    <w:rPr>
      <w:rFonts w:ascii="Times New Roman" w:hAnsi="Times New Roman" w:eastAsia="宋体" w:cs="Times New Roman"/>
      <w:sz w:val="24"/>
      <w:szCs w:val="24"/>
    </w:rPr>
  </w:style>
  <w:style w:type="paragraph" w:customStyle="1" w:styleId="74">
    <w:name w:val="xl68"/>
    <w:basedOn w:val="1"/>
    <w:qFormat/>
    <w:uiPriority w:val="0"/>
    <w:pPr>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75">
    <w:name w:val="xl69"/>
    <w:basedOn w:val="1"/>
    <w:qFormat/>
    <w:uiPriority w:val="0"/>
    <w:pPr>
      <w:spacing w:before="100" w:beforeAutospacing="1" w:after="100" w:afterAutospacing="1" w:line="240" w:lineRule="auto"/>
    </w:pPr>
    <w:rPr>
      <w:rFonts w:ascii="Times New Roman" w:hAnsi="Times New Roman" w:eastAsia="宋体" w:cs="Times New Roman"/>
      <w:sz w:val="24"/>
      <w:szCs w:val="24"/>
    </w:rPr>
  </w:style>
  <w:style w:type="paragraph" w:customStyle="1" w:styleId="76">
    <w:name w:val="xl70"/>
    <w:basedOn w:val="1"/>
    <w:qFormat/>
    <w:uiPriority w:val="0"/>
    <w:pPr>
      <w:spacing w:before="100" w:beforeAutospacing="1" w:after="100" w:afterAutospacing="1" w:line="240" w:lineRule="auto"/>
    </w:pPr>
    <w:rPr>
      <w:rFonts w:ascii="Times New Roman" w:hAnsi="Times New Roman" w:eastAsia="宋体" w:cs="Times New Roman"/>
      <w:b/>
      <w:bCs/>
      <w:sz w:val="24"/>
      <w:szCs w:val="24"/>
    </w:rPr>
  </w:style>
  <w:style w:type="paragraph" w:customStyle="1" w:styleId="77">
    <w:name w:val="xl71"/>
    <w:basedOn w:val="1"/>
    <w:qFormat/>
    <w:uiPriority w:val="0"/>
    <w:pPr>
      <w:shd w:val="clear" w:color="000000" w:fill="00B0F0"/>
      <w:spacing w:before="100" w:beforeAutospacing="1" w:after="100" w:afterAutospacing="1" w:line="240" w:lineRule="auto"/>
    </w:pPr>
    <w:rPr>
      <w:rFonts w:ascii="Times New Roman" w:hAnsi="Times New Roman" w:eastAsia="宋体" w:cs="Times New Roman"/>
      <w:sz w:val="24"/>
      <w:szCs w:val="24"/>
    </w:rPr>
  </w:style>
  <w:style w:type="paragraph" w:customStyle="1" w:styleId="78">
    <w:name w:val="xl72"/>
    <w:basedOn w:val="1"/>
    <w:qFormat/>
    <w:uiPriority w:val="0"/>
    <w:pPr>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79">
    <w:name w:val="xl73"/>
    <w:basedOn w:val="1"/>
    <w:qFormat/>
    <w:uiPriority w:val="0"/>
    <w:pPr>
      <w:spacing w:before="100" w:beforeAutospacing="1" w:after="100" w:afterAutospacing="1" w:line="240" w:lineRule="auto"/>
    </w:pPr>
    <w:rPr>
      <w:rFonts w:ascii="Times New Roman" w:hAnsi="Times New Roman" w:eastAsia="宋体" w:cs="Times New Roman"/>
      <w:sz w:val="24"/>
      <w:szCs w:val="24"/>
    </w:rPr>
  </w:style>
  <w:style w:type="paragraph" w:customStyle="1" w:styleId="80">
    <w:name w:val="xl74"/>
    <w:basedOn w:val="1"/>
    <w:qFormat/>
    <w:uiPriority w:val="0"/>
    <w:pPr>
      <w:spacing w:before="100" w:beforeAutospacing="1" w:after="100" w:afterAutospacing="1" w:line="240" w:lineRule="auto"/>
      <w:jc w:val="both"/>
    </w:pPr>
    <w:rPr>
      <w:rFonts w:ascii="Times New Roman" w:hAnsi="Times New Roman" w:eastAsia="宋体" w:cs="Times New Roman"/>
      <w:sz w:val="24"/>
      <w:szCs w:val="24"/>
    </w:rPr>
  </w:style>
  <w:style w:type="paragraph" w:customStyle="1" w:styleId="81">
    <w:name w:val="xl75"/>
    <w:basedOn w:val="1"/>
    <w:qFormat/>
    <w:uiPriority w:val="0"/>
    <w:pPr>
      <w:shd w:val="clear" w:color="000000" w:fill="FFFFFF"/>
      <w:spacing w:before="100" w:beforeAutospacing="1" w:after="100" w:afterAutospacing="1" w:line="240" w:lineRule="auto"/>
    </w:pPr>
    <w:rPr>
      <w:rFonts w:ascii="Times New Roman" w:hAnsi="Times New Roman" w:eastAsia="宋体" w:cs="Times New Roman"/>
      <w:sz w:val="24"/>
      <w:szCs w:val="24"/>
    </w:rPr>
  </w:style>
  <w:style w:type="paragraph" w:customStyle="1" w:styleId="82">
    <w:name w:val="xl76"/>
    <w:basedOn w:val="1"/>
    <w:qFormat/>
    <w:uiPriority w:val="0"/>
    <w:pPr>
      <w:shd w:val="clear" w:color="000000" w:fill="FFFFFF"/>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83">
    <w:name w:val="xl77"/>
    <w:basedOn w:val="1"/>
    <w:qFormat/>
    <w:uiPriority w:val="0"/>
    <w:pPr>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84">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宋体" w:cs="Times New Roman"/>
      <w:b/>
      <w:bCs/>
      <w:sz w:val="24"/>
      <w:szCs w:val="24"/>
    </w:rPr>
  </w:style>
  <w:style w:type="paragraph" w:customStyle="1" w:styleId="85">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pPr>
    <w:rPr>
      <w:rFonts w:ascii="Times New Roman" w:hAnsi="Times New Roman" w:eastAsia="宋体" w:cs="Times New Roman"/>
      <w:sz w:val="24"/>
      <w:szCs w:val="24"/>
    </w:rPr>
  </w:style>
  <w:style w:type="paragraph" w:customStyle="1" w:styleId="86">
    <w:name w:val="xl80"/>
    <w:basedOn w:val="1"/>
    <w:qFormat/>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Times New Roman" w:hAnsi="Times New Roman" w:eastAsia="宋体" w:cs="Times New Roman"/>
      <w:b/>
      <w:bCs/>
      <w:sz w:val="24"/>
      <w:szCs w:val="24"/>
    </w:rPr>
  </w:style>
  <w:style w:type="paragraph" w:customStyle="1" w:styleId="87">
    <w:name w:val="xl81"/>
    <w:basedOn w:val="1"/>
    <w:qFormat/>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both"/>
    </w:pPr>
    <w:rPr>
      <w:rFonts w:ascii="Times New Roman" w:hAnsi="Times New Roman" w:eastAsia="宋体" w:cs="Times New Roman"/>
      <w:b/>
      <w:bCs/>
      <w:sz w:val="24"/>
      <w:szCs w:val="24"/>
    </w:rPr>
  </w:style>
  <w:style w:type="paragraph" w:customStyle="1" w:styleId="88">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89">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sz w:val="24"/>
      <w:szCs w:val="24"/>
    </w:rPr>
  </w:style>
  <w:style w:type="paragraph" w:customStyle="1" w:styleId="9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rPr>
  </w:style>
  <w:style w:type="paragraph" w:customStyle="1" w:styleId="91">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pPr>
    <w:rPr>
      <w:rFonts w:ascii="宋体" w:hAnsi="宋体" w:eastAsia="宋体" w:cs="宋体"/>
      <w:sz w:val="24"/>
      <w:szCs w:val="24"/>
    </w:rPr>
  </w:style>
  <w:style w:type="paragraph" w:customStyle="1" w:styleId="9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宋体" w:cs="Times New Roman"/>
      <w:sz w:val="24"/>
      <w:szCs w:val="24"/>
    </w:rPr>
  </w:style>
  <w:style w:type="paragraph" w:customStyle="1" w:styleId="93">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sz w:val="24"/>
      <w:szCs w:val="24"/>
    </w:rPr>
  </w:style>
  <w:style w:type="paragraph" w:customStyle="1" w:styleId="94">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rPr>
  </w:style>
  <w:style w:type="paragraph" w:customStyle="1" w:styleId="9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sz w:val="24"/>
      <w:szCs w:val="24"/>
    </w:rPr>
  </w:style>
  <w:style w:type="paragraph" w:customStyle="1" w:styleId="96">
    <w:name w:val="xl9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宋体" w:hAnsi="宋体" w:eastAsia="宋体" w:cs="宋体"/>
      <w:sz w:val="24"/>
      <w:szCs w:val="24"/>
    </w:rPr>
  </w:style>
  <w:style w:type="paragraph" w:customStyle="1" w:styleId="97">
    <w:name w:val="xl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sz w:val="24"/>
      <w:szCs w:val="24"/>
    </w:rPr>
  </w:style>
  <w:style w:type="paragraph" w:customStyle="1" w:styleId="98">
    <w:name w:val="xl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pPr>
    <w:rPr>
      <w:rFonts w:ascii="宋体" w:hAnsi="宋体" w:eastAsia="宋体" w:cs="宋体"/>
      <w:sz w:val="24"/>
      <w:szCs w:val="24"/>
    </w:rPr>
  </w:style>
  <w:style w:type="paragraph" w:customStyle="1" w:styleId="99">
    <w:name w:val="xl93"/>
    <w:basedOn w:val="1"/>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00">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方正书宋_GBK" w:hAnsi="方正书宋_GBK" w:eastAsia="宋体" w:cs="宋体"/>
      <w:sz w:val="24"/>
      <w:szCs w:val="24"/>
    </w:rPr>
  </w:style>
  <w:style w:type="paragraph" w:customStyle="1" w:styleId="101">
    <w:name w:val="xl95"/>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both"/>
    </w:pPr>
    <w:rPr>
      <w:rFonts w:ascii="宋体" w:hAnsi="宋体" w:eastAsia="宋体" w:cs="宋体"/>
      <w:sz w:val="24"/>
      <w:szCs w:val="24"/>
    </w:rPr>
  </w:style>
  <w:style w:type="paragraph" w:customStyle="1" w:styleId="10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宋体" w:cs="Times New Roman"/>
      <w:sz w:val="24"/>
      <w:szCs w:val="24"/>
    </w:rPr>
  </w:style>
  <w:style w:type="paragraph" w:customStyle="1" w:styleId="103">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rPr>
  </w:style>
  <w:style w:type="paragraph" w:customStyle="1" w:styleId="104">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pPr>
    <w:rPr>
      <w:rFonts w:ascii="宋体" w:hAnsi="宋体" w:eastAsia="宋体" w:cs="宋体"/>
      <w:sz w:val="24"/>
      <w:szCs w:val="24"/>
    </w:rPr>
  </w:style>
  <w:style w:type="paragraph" w:customStyle="1" w:styleId="105">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eastAsia="宋体" w:cs="Times New Roman"/>
      <w:b/>
      <w:bCs/>
      <w:sz w:val="24"/>
      <w:szCs w:val="24"/>
    </w:rPr>
  </w:style>
  <w:style w:type="paragraph" w:customStyle="1" w:styleId="106">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eastAsia="宋体" w:cs="Times New Roman"/>
      <w:b/>
      <w:bCs/>
      <w:sz w:val="24"/>
      <w:szCs w:val="24"/>
    </w:rPr>
  </w:style>
  <w:style w:type="paragraph" w:customStyle="1" w:styleId="107">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sz w:val="24"/>
      <w:szCs w:val="24"/>
    </w:rPr>
  </w:style>
  <w:style w:type="paragraph" w:customStyle="1" w:styleId="108">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09">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10">
    <w:name w:val="xl1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1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12">
    <w:name w:val="xl1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13">
    <w:name w:val="xl10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14">
    <w:name w:val="xl10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eastAsia="宋体" w:cs="Times New Roman"/>
      <w:sz w:val="24"/>
      <w:szCs w:val="24"/>
    </w:rPr>
  </w:style>
  <w:style w:type="paragraph" w:customStyle="1" w:styleId="115">
    <w:name w:val="xl109"/>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宋体" w:hAnsi="宋体" w:eastAsia="宋体" w:cs="宋体"/>
      <w:sz w:val="24"/>
      <w:szCs w:val="24"/>
    </w:rPr>
  </w:style>
  <w:style w:type="paragraph" w:customStyle="1" w:styleId="116">
    <w:name w:val="xl110"/>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17">
    <w:name w:val="xl11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18">
    <w:name w:val="xl112"/>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宋体" w:hAnsi="宋体" w:eastAsia="宋体" w:cs="宋体"/>
      <w:sz w:val="24"/>
      <w:szCs w:val="24"/>
    </w:rPr>
  </w:style>
  <w:style w:type="paragraph" w:customStyle="1" w:styleId="119">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宋体" w:cs="Times New Roman"/>
      <w:sz w:val="24"/>
      <w:szCs w:val="24"/>
    </w:rPr>
  </w:style>
  <w:style w:type="paragraph" w:customStyle="1" w:styleId="120">
    <w:name w:val="xl114"/>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2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宋体" w:cs="Times New Roman"/>
      <w:sz w:val="24"/>
      <w:szCs w:val="24"/>
    </w:rPr>
  </w:style>
  <w:style w:type="paragraph" w:customStyle="1" w:styleId="122">
    <w:name w:val="xl11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pPr>
    <w:rPr>
      <w:rFonts w:ascii="宋体" w:hAnsi="宋体" w:eastAsia="宋体" w:cs="宋体"/>
      <w:sz w:val="24"/>
      <w:szCs w:val="24"/>
    </w:rPr>
  </w:style>
  <w:style w:type="paragraph" w:customStyle="1" w:styleId="123">
    <w:name w:val="xl11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宋体" w:hAnsi="宋体" w:eastAsia="宋体" w:cs="宋体"/>
      <w:sz w:val="24"/>
      <w:szCs w:val="24"/>
    </w:rPr>
  </w:style>
  <w:style w:type="paragraph" w:customStyle="1" w:styleId="124">
    <w:name w:val="xl11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both"/>
    </w:pPr>
    <w:rPr>
      <w:rFonts w:ascii="宋体" w:hAnsi="宋体" w:eastAsia="宋体" w:cs="宋体"/>
      <w:sz w:val="24"/>
      <w:szCs w:val="24"/>
    </w:rPr>
  </w:style>
  <w:style w:type="paragraph" w:customStyle="1" w:styleId="125">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汉仪书宋二KW" w:hAnsi="宋体" w:eastAsia="汉仪书宋二KW" w:cs="宋体"/>
      <w:sz w:val="24"/>
      <w:szCs w:val="24"/>
    </w:rPr>
  </w:style>
  <w:style w:type="paragraph" w:customStyle="1" w:styleId="126">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pPr>
    <w:rPr>
      <w:rFonts w:ascii="汉仪书宋二KW" w:hAnsi="宋体" w:eastAsia="汉仪书宋二KW" w:cs="宋体"/>
      <w:sz w:val="24"/>
      <w:szCs w:val="24"/>
    </w:rPr>
  </w:style>
  <w:style w:type="paragraph" w:customStyle="1" w:styleId="127">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汉仪书宋二KW" w:hAnsi="宋体" w:eastAsia="汉仪书宋二KW" w:cs="宋体"/>
      <w:sz w:val="24"/>
      <w:szCs w:val="24"/>
    </w:rPr>
  </w:style>
  <w:style w:type="paragraph" w:customStyle="1" w:styleId="128">
    <w:name w:val="xl122"/>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line="240" w:lineRule="auto"/>
      <w:jc w:val="both"/>
    </w:pPr>
    <w:rPr>
      <w:rFonts w:ascii="宋体" w:hAnsi="宋体" w:eastAsia="宋体" w:cs="宋体"/>
      <w:sz w:val="24"/>
      <w:szCs w:val="24"/>
    </w:rPr>
  </w:style>
  <w:style w:type="paragraph" w:customStyle="1" w:styleId="129">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sz w:val="24"/>
      <w:szCs w:val="24"/>
    </w:rPr>
  </w:style>
  <w:style w:type="paragraph" w:customStyle="1" w:styleId="130">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pPr>
    <w:rPr>
      <w:rFonts w:ascii="宋体" w:hAnsi="宋体" w:eastAsia="宋体" w:cs="宋体"/>
      <w:sz w:val="24"/>
      <w:szCs w:val="24"/>
    </w:rPr>
  </w:style>
  <w:style w:type="paragraph" w:customStyle="1" w:styleId="131">
    <w:name w:val="xl1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sz w:val="24"/>
      <w:szCs w:val="24"/>
    </w:rPr>
  </w:style>
  <w:style w:type="paragraph" w:customStyle="1" w:styleId="132">
    <w:name w:val="xl1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33">
    <w:name w:val="xl1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34">
    <w:name w:val="xl12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35">
    <w:name w:val="xl12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36">
    <w:name w:val="xl130"/>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37">
    <w:name w:val="xl131"/>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38">
    <w:name w:val="xl132"/>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rPr>
  </w:style>
  <w:style w:type="paragraph" w:customStyle="1" w:styleId="139">
    <w:name w:val="xl133"/>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both"/>
    </w:pPr>
    <w:rPr>
      <w:rFonts w:ascii="宋体" w:hAnsi="宋体" w:eastAsia="宋体" w:cs="宋体"/>
      <w:sz w:val="24"/>
      <w:szCs w:val="24"/>
    </w:rPr>
  </w:style>
  <w:style w:type="paragraph" w:customStyle="1" w:styleId="140">
    <w:name w:val="xl134"/>
    <w:basedOn w:val="1"/>
    <w:qFormat/>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41">
    <w:name w:val="xl135"/>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sz w:val="24"/>
      <w:szCs w:val="24"/>
    </w:rPr>
  </w:style>
  <w:style w:type="paragraph" w:customStyle="1" w:styleId="142">
    <w:name w:val="xl136"/>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43">
    <w:name w:val="xl137"/>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eastAsia="宋体" w:cs="Times New Roman"/>
      <w:sz w:val="24"/>
      <w:szCs w:val="24"/>
    </w:rPr>
  </w:style>
  <w:style w:type="paragraph" w:customStyle="1" w:styleId="144">
    <w:name w:val="xl1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sz w:val="24"/>
      <w:szCs w:val="24"/>
    </w:rPr>
  </w:style>
  <w:style w:type="paragraph" w:customStyle="1" w:styleId="145">
    <w:name w:val="xl1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宋体" w:cs="Times New Roman"/>
      <w:b/>
      <w:bCs/>
      <w:sz w:val="24"/>
      <w:szCs w:val="24"/>
    </w:rPr>
  </w:style>
  <w:style w:type="paragraph" w:customStyle="1" w:styleId="146">
    <w:name w:val="xl140"/>
    <w:basedOn w:val="1"/>
    <w:qFormat/>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宋体" w:hAnsi="宋体" w:eastAsia="宋体" w:cs="宋体"/>
      <w:b/>
      <w:bCs/>
      <w:sz w:val="24"/>
      <w:szCs w:val="24"/>
    </w:rPr>
  </w:style>
  <w:style w:type="paragraph" w:customStyle="1" w:styleId="147">
    <w:name w:val="xl141"/>
    <w:basedOn w:val="1"/>
    <w:qFormat/>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pPr>
    <w:rPr>
      <w:rFonts w:ascii="Times New Roman" w:hAnsi="Times New Roman" w:eastAsia="宋体" w:cs="Times New Roman"/>
      <w:b/>
      <w:bCs/>
      <w:sz w:val="24"/>
      <w:szCs w:val="24"/>
    </w:rPr>
  </w:style>
  <w:style w:type="paragraph" w:customStyle="1" w:styleId="148">
    <w:name w:val="xl14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宋体" w:cs="Times New Roman"/>
      <w:sz w:val="24"/>
      <w:szCs w:val="24"/>
    </w:rPr>
  </w:style>
  <w:style w:type="paragraph" w:customStyle="1" w:styleId="149">
    <w:name w:val="xl143"/>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eastAsia="宋体" w:cs="Times New Roman"/>
      <w:sz w:val="24"/>
      <w:szCs w:val="24"/>
    </w:rPr>
  </w:style>
  <w:style w:type="paragraph" w:customStyle="1" w:styleId="150">
    <w:name w:val="xl144"/>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eastAsia="宋体" w:cs="Times New Roman"/>
      <w:b/>
      <w:bCs/>
      <w:sz w:val="24"/>
      <w:szCs w:val="24"/>
    </w:rPr>
  </w:style>
  <w:style w:type="paragraph" w:customStyle="1" w:styleId="151">
    <w:name w:val="xl1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宋体" w:cs="Times New Roman"/>
      <w:b/>
      <w:bCs/>
      <w:sz w:val="24"/>
      <w:szCs w:val="24"/>
    </w:rPr>
  </w:style>
  <w:style w:type="paragraph" w:customStyle="1" w:styleId="152">
    <w:name w:val="xl146"/>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eastAsia="宋体" w:cs="Times New Roman"/>
      <w:b/>
      <w:bCs/>
      <w:sz w:val="24"/>
      <w:szCs w:val="24"/>
    </w:rPr>
  </w:style>
  <w:style w:type="paragraph" w:customStyle="1" w:styleId="153">
    <w:name w:val="xl147"/>
    <w:basedOn w:val="1"/>
    <w:qFormat/>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eastAsia="宋体" w:cs="Times New Roman"/>
      <w:b/>
      <w:bCs/>
      <w:sz w:val="24"/>
      <w:szCs w:val="24"/>
    </w:rPr>
  </w:style>
  <w:style w:type="paragraph" w:customStyle="1" w:styleId="154">
    <w:name w:val="xl148"/>
    <w:basedOn w:val="1"/>
    <w:qFormat/>
    <w:uiPriority w:val="0"/>
    <w:pPr>
      <w:pBdr>
        <w:left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eastAsia="宋体" w:cs="Times New Roman"/>
      <w:b/>
      <w:bCs/>
      <w:sz w:val="24"/>
      <w:szCs w:val="24"/>
    </w:rPr>
  </w:style>
  <w:style w:type="paragraph" w:customStyle="1" w:styleId="155">
    <w:name w:val="xl14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宋体" w:cs="Times New Roman"/>
      <w:b/>
      <w:bCs/>
      <w:sz w:val="24"/>
      <w:szCs w:val="24"/>
    </w:rPr>
  </w:style>
  <w:style w:type="paragraph" w:customStyle="1" w:styleId="156">
    <w:name w:val="font13"/>
    <w:basedOn w:val="1"/>
    <w:qFormat/>
    <w:uiPriority w:val="0"/>
    <w:pPr>
      <w:spacing w:before="100" w:beforeAutospacing="1" w:after="100" w:afterAutospacing="1" w:line="240" w:lineRule="auto"/>
    </w:pPr>
    <w:rPr>
      <w:rFonts w:ascii="Times New Roman" w:hAnsi="Times New Roman" w:eastAsia="宋体" w:cs="Times New Roman"/>
      <w:color w:val="000000"/>
      <w:sz w:val="21"/>
      <w:szCs w:val="21"/>
    </w:rPr>
  </w:style>
  <w:style w:type="paragraph" w:customStyle="1" w:styleId="157">
    <w:name w:val="font14"/>
    <w:basedOn w:val="1"/>
    <w:qFormat/>
    <w:uiPriority w:val="0"/>
    <w:pPr>
      <w:spacing w:before="100" w:beforeAutospacing="1" w:after="100" w:afterAutospacing="1" w:line="240" w:lineRule="auto"/>
    </w:pPr>
    <w:rPr>
      <w:rFonts w:ascii="方正仿宋_GBK" w:hAnsi="宋体" w:eastAsia="方正仿宋_GBK" w:cs="宋体"/>
      <w:color w:val="000000"/>
      <w:sz w:val="24"/>
      <w:szCs w:val="24"/>
    </w:rPr>
  </w:style>
  <w:style w:type="paragraph" w:customStyle="1" w:styleId="158">
    <w:name w:val="font15"/>
    <w:basedOn w:val="1"/>
    <w:qFormat/>
    <w:uiPriority w:val="0"/>
    <w:pPr>
      <w:spacing w:before="100" w:beforeAutospacing="1" w:after="100" w:afterAutospacing="1" w:line="240" w:lineRule="auto"/>
    </w:pPr>
    <w:rPr>
      <w:rFonts w:ascii="方正仿宋_GBK" w:hAnsi="宋体" w:eastAsia="方正仿宋_GBK" w:cs="宋体"/>
      <w:b/>
      <w:bCs/>
      <w:color w:val="000000"/>
      <w:sz w:val="24"/>
      <w:szCs w:val="24"/>
    </w:rPr>
  </w:style>
  <w:style w:type="paragraph" w:customStyle="1" w:styleId="159">
    <w:name w:val="font16"/>
    <w:basedOn w:val="1"/>
    <w:qFormat/>
    <w:uiPriority w:val="0"/>
    <w:pPr>
      <w:spacing w:before="100" w:beforeAutospacing="1" w:after="100" w:afterAutospacing="1" w:line="240" w:lineRule="auto"/>
    </w:pPr>
    <w:rPr>
      <w:rFonts w:ascii="方正仿宋_GBK" w:hAnsi="宋体" w:eastAsia="方正仿宋_GBK" w:cs="宋体"/>
      <w:color w:val="000000"/>
      <w:sz w:val="21"/>
      <w:szCs w:val="21"/>
    </w:rPr>
  </w:style>
  <w:style w:type="paragraph" w:customStyle="1" w:styleId="160">
    <w:name w:val="font17"/>
    <w:basedOn w:val="1"/>
    <w:qFormat/>
    <w:uiPriority w:val="0"/>
    <w:pPr>
      <w:spacing w:before="100" w:beforeAutospacing="1" w:after="100" w:afterAutospacing="1" w:line="240" w:lineRule="auto"/>
    </w:pPr>
    <w:rPr>
      <w:rFonts w:ascii="方正仿宋_GBK" w:hAnsi="宋体" w:eastAsia="方正仿宋_GBK" w:cs="宋体"/>
      <w:b/>
      <w:bCs/>
      <w:color w:val="000000"/>
    </w:rPr>
  </w:style>
  <w:style w:type="paragraph" w:customStyle="1" w:styleId="161">
    <w:name w:val="font18"/>
    <w:basedOn w:val="1"/>
    <w:qFormat/>
    <w:uiPriority w:val="0"/>
    <w:pPr>
      <w:spacing w:before="100" w:beforeAutospacing="1" w:after="100" w:afterAutospacing="1" w:line="240" w:lineRule="auto"/>
    </w:pPr>
    <w:rPr>
      <w:rFonts w:ascii="方正仿宋_GBK" w:hAnsi="宋体" w:eastAsia="方正仿宋_GBK" w:cs="宋体"/>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EBAFAB-9DBF-4A15-B922-171E5CB38E34}">
  <ds:schemaRefs/>
</ds:datastoreItem>
</file>

<file path=docProps/app.xml><?xml version="1.0" encoding="utf-8"?>
<Properties xmlns="http://schemas.openxmlformats.org/officeDocument/2006/extended-properties" xmlns:vt="http://schemas.openxmlformats.org/officeDocument/2006/docPropsVTypes">
  <Template>Normal.dotm</Template>
  <Company>重庆三峰卡万塔环境产业有限公司</Company>
  <Pages>92</Pages>
  <Words>69281</Words>
  <Characters>77064</Characters>
  <Lines>580</Lines>
  <Paragraphs>163</Paragraphs>
  <TotalTime>320</TotalTime>
  <ScaleCrop>false</ScaleCrop>
  <LinksUpToDate>false</LinksUpToDate>
  <CharactersWithSpaces>77278</CharactersWithSpaces>
  <Application>WPS Office_11.8.2.9022_F1E327BC-269C-435d-A152-05C5408002CA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2023-12-23T11:25:00Z</dcterms:created>
  <dc:creator>Administrator</dc:creator>
  <cp:lastModifiedBy>NTKO</cp:lastModifiedBy>
  <cp:lastPrinted>2024-06-12T00:47:00Z</cp:lastPrinted>
  <dcterms:modified xsi:type="dcterms:W3CDTF">2025-03-14T01:30:26Z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4B2370997AAE4960A7670C280F7DF7FD_13</vt:lpwstr>
  </property>
</Properties>
</file>