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hAnsi="宋体" w:eastAsia="方正小标宋_GBK" w:cs="宋体"/>
          <w:kern w:val="0"/>
          <w:sz w:val="44"/>
          <w:szCs w:val="44"/>
          <w:lang w:val="en-US" w:eastAsia="zh-CN"/>
        </w:rPr>
      </w:pPr>
      <w:r>
        <w:rPr>
          <w:rFonts w:hint="eastAsia" w:hAnsi="宋体" w:eastAsia="方正小标宋_GBK" w:cs="宋体"/>
          <w:kern w:val="0"/>
          <w:sz w:val="44"/>
          <w:szCs w:val="44"/>
          <w:lang w:val="en-US" w:eastAsia="zh-CN"/>
        </w:rPr>
        <w:t>困难残疾人生活补贴申请指南</w:t>
      </w:r>
    </w:p>
    <w:p>
      <w:pPr>
        <w:spacing w:line="600" w:lineRule="exact"/>
        <w:jc w:val="both"/>
        <w:rPr>
          <w:rFonts w:hint="default" w:hAnsi="宋体" w:eastAsia="方正小标宋_GBK" w:cs="宋体"/>
          <w:kern w:val="0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ind w:firstLine="640" w:firstLineChars="200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发放对象</w:t>
      </w:r>
    </w:p>
    <w:p>
      <w:pPr>
        <w:snapToGrid w:val="0"/>
        <w:spacing w:line="579" w:lineRule="exact"/>
        <w:ind w:firstLine="640" w:firstLineChars="200"/>
        <w:rPr>
          <w:rFonts w:hint="eastAsia" w:ascii="方正仿宋_GBK" w:eastAsia="方正仿宋_GBK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仿宋_GB2312"/>
          <w:color w:val="000000"/>
          <w:sz w:val="32"/>
          <w:szCs w:val="32"/>
          <w:lang w:val="en-US" w:eastAsia="zh-CN"/>
        </w:rPr>
        <w:t>困难残疾人生活</w:t>
      </w:r>
      <w:r>
        <w:rPr>
          <w:rFonts w:hint="eastAsia" w:ascii="方正仿宋_GBK" w:eastAsia="方正仿宋_GBK" w:cs="仿宋_GB2312"/>
          <w:color w:val="000000"/>
          <w:sz w:val="32"/>
          <w:szCs w:val="32"/>
          <w:lang w:eastAsia="zh-CN"/>
        </w:rPr>
        <w:t>补贴对象为</w:t>
      </w:r>
      <w:r>
        <w:rPr>
          <w:rFonts w:hint="eastAsia" w:ascii="方正仿宋_GBK" w:eastAsia="方正仿宋_GBK" w:cs="仿宋_GB2312"/>
          <w:color w:val="000000"/>
          <w:sz w:val="32"/>
          <w:szCs w:val="32"/>
          <w:lang w:val="en-US" w:eastAsia="zh-CN"/>
        </w:rPr>
        <w:t>具有大渡口区户籍的城乡低保对象中持有《中华人民共和国残疾人证》（第二代）的残疾人。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 w:ascii="方正仿宋_GBK" w:eastAsia="方正仿宋_GBK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color w:val="000000"/>
          <w:sz w:val="32"/>
          <w:szCs w:val="32"/>
          <w:lang w:eastAsia="zh-CN"/>
        </w:rPr>
        <w:t>二、发放</w:t>
      </w:r>
      <w:r>
        <w:rPr>
          <w:rFonts w:hint="eastAsia" w:ascii="方正黑体_GBK" w:eastAsia="方正黑体_GBK"/>
          <w:color w:val="000000"/>
          <w:sz w:val="32"/>
          <w:szCs w:val="32"/>
        </w:rPr>
        <w:t>标准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困难</w:t>
      </w:r>
      <w:r>
        <w:rPr>
          <w:rFonts w:ascii="Times New Roman" w:hAnsi="Times New Roman" w:eastAsia="方正仿宋_GBK" w:cs="Times New Roman"/>
          <w:sz w:val="32"/>
          <w:szCs w:val="32"/>
        </w:rPr>
        <w:t>残疾人生活补贴标准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ascii="Times New Roman" w:hAnsi="Times New Roman" w:eastAsia="方正仿宋_GBK" w:cs="Times New Roman"/>
          <w:sz w:val="32"/>
          <w:szCs w:val="32"/>
        </w:rPr>
        <w:t>每人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元。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三、审请材料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困难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残疾人生活补贴申请人（委托代理人）应当提供的申请材料包括：</w:t>
      </w:r>
    </w:p>
    <w:p>
      <w:pPr>
        <w:overflowPunct w:val="0"/>
        <w:adjustRightInd w:val="0"/>
        <w:snapToGrid w:val="0"/>
        <w:spacing w:line="550" w:lineRule="exact"/>
        <w:ind w:left="638" w:leftChars="304" w:firstLine="0" w:firstLineChars="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）申请人的居民户口簿、居民身份证原件及复印件；（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）申请人的残疾人证原件及复印件；</w:t>
      </w:r>
    </w:p>
    <w:p>
      <w:pPr>
        <w:overflowPunct w:val="0"/>
        <w:adjustRightInd w:val="0"/>
        <w:snapToGrid w:val="0"/>
        <w:spacing w:line="550" w:lineRule="exact"/>
        <w:ind w:left="638" w:leftChars="304" w:firstLine="0" w:firstLineChars="0"/>
        <w:jc w:val="both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）申请人的低保证原件及复印件；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overflowPunct w:val="0"/>
        <w:adjustRightInd w:val="0"/>
        <w:snapToGrid w:val="0"/>
        <w:spacing w:line="550" w:lineRule="exact"/>
        <w:ind w:left="638" w:leftChars="304" w:firstLine="0" w:firstLineChars="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委托代理人申请的，还需提供委托书和代理人的居民户口簿、居民身份证原件及复印件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overflowPunct w:val="0"/>
        <w:adjustRightInd w:val="0"/>
        <w:snapToGrid w:val="0"/>
        <w:spacing w:line="550" w:lineRule="exact"/>
        <w:ind w:left="638" w:leftChars="304" w:firstLine="0" w:firstLineChars="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）其他相关有效证明材料。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color w:val="000000"/>
          <w:sz w:val="32"/>
          <w:szCs w:val="32"/>
          <w:lang w:val="en-US" w:eastAsia="zh-CN"/>
        </w:rPr>
        <w:t>四、审批流程</w:t>
      </w:r>
      <w:bookmarkStart w:id="0" w:name="_GoBack"/>
      <w:bookmarkEnd w:id="0"/>
    </w:p>
    <w:p>
      <w:pPr>
        <w:numPr>
          <w:ilvl w:val="0"/>
          <w:numId w:val="2"/>
        </w:numPr>
        <w:overflowPunct w:val="0"/>
        <w:adjustRightInd w:val="0"/>
        <w:snapToGrid w:val="0"/>
        <w:spacing w:line="550" w:lineRule="exact"/>
        <w:ind w:left="630" w:leftChars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区残联推送信息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numPr>
          <w:ilvl w:val="0"/>
          <w:numId w:val="2"/>
        </w:numPr>
        <w:overflowPunct w:val="0"/>
        <w:adjustRightInd w:val="0"/>
        <w:snapToGrid w:val="0"/>
        <w:spacing w:line="550" w:lineRule="exact"/>
        <w:ind w:left="630" w:leftChars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乡镇（街道）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初审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numPr>
          <w:ilvl w:val="0"/>
          <w:numId w:val="2"/>
        </w:numPr>
        <w:overflowPunct w:val="0"/>
        <w:adjustRightInd w:val="0"/>
        <w:snapToGrid w:val="0"/>
        <w:spacing w:line="550" w:lineRule="exact"/>
        <w:ind w:left="630" w:leftChars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区残联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复审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numPr>
          <w:ilvl w:val="0"/>
          <w:numId w:val="2"/>
        </w:numPr>
        <w:overflowPunct w:val="0"/>
        <w:adjustRightInd w:val="0"/>
        <w:snapToGrid w:val="0"/>
        <w:spacing w:line="550" w:lineRule="exact"/>
        <w:ind w:left="630" w:leftChars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区民政局审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批；</w:t>
      </w:r>
    </w:p>
    <w:p>
      <w:pPr>
        <w:numPr>
          <w:ilvl w:val="0"/>
          <w:numId w:val="2"/>
        </w:numPr>
        <w:overflowPunct w:val="0"/>
        <w:adjustRightInd w:val="0"/>
        <w:snapToGrid w:val="0"/>
        <w:spacing w:line="550" w:lineRule="exact"/>
        <w:ind w:left="630" w:leftChars="0" w:firstLine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补贴发放。</w:t>
      </w:r>
    </w:p>
    <w:p>
      <w:pPr>
        <w:numPr>
          <w:ilvl w:val="0"/>
          <w:numId w:val="0"/>
        </w:numPr>
        <w:overflowPunct w:val="0"/>
        <w:adjustRightInd w:val="0"/>
        <w:snapToGrid w:val="0"/>
        <w:spacing w:line="550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0E3A"/>
    <w:multiLevelType w:val="singleLevel"/>
    <w:tmpl w:val="50AD0E3A"/>
    <w:lvl w:ilvl="0" w:tentative="0">
      <w:start w:val="1"/>
      <w:numFmt w:val="decimal"/>
      <w:suff w:val="nothing"/>
      <w:lvlText w:val="（%1）"/>
      <w:lvlJc w:val="left"/>
      <w:pPr>
        <w:ind w:left="630"/>
      </w:pPr>
    </w:lvl>
  </w:abstractNum>
  <w:abstractNum w:abstractNumId="1">
    <w:nsid w:val="5C90B452"/>
    <w:multiLevelType w:val="singleLevel"/>
    <w:tmpl w:val="5C90B45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mM5ZDJjYjQ3ZDc4MmI5ZTE0ODQ0M2EzNTZmMTQifQ=="/>
  </w:docVars>
  <w:rsids>
    <w:rsidRoot w:val="6C74598F"/>
    <w:rsid w:val="30C27E30"/>
    <w:rsid w:val="37BA0AB5"/>
    <w:rsid w:val="69D42C80"/>
    <w:rsid w:val="6C74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2024-07-17T08:35:00Z</dcterms:created>
  <dc:creator>郭琳</dc:creator>
  <cp:lastModifiedBy>Administrator</cp:lastModifiedBy>
  <dcterms:modified xsi:type="dcterms:W3CDTF">2024-10-29T07:34:16Z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839D0274DD1448EA8EF02F41E94B3428_11</vt:lpwstr>
  </property>
</Properties>
</file>