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B8" w:rsidRDefault="006D1FB8">
      <w:pPr>
        <w:jc w:val="right"/>
        <w:rPr>
          <w:rStyle w:val="font11"/>
          <w:rFonts w:ascii="Times New Roman" w:hint="default"/>
        </w:rPr>
      </w:pPr>
    </w:p>
    <w:tbl>
      <w:tblPr>
        <w:tblW w:w="0" w:type="auto"/>
        <w:tblInd w:w="5508" w:type="dxa"/>
        <w:tblLook w:val="04A0"/>
      </w:tblPr>
      <w:tblGrid>
        <w:gridCol w:w="937"/>
        <w:gridCol w:w="2950"/>
        <w:gridCol w:w="459"/>
      </w:tblGrid>
      <w:tr w:rsidR="006D1FB8">
        <w:tc>
          <w:tcPr>
            <w:tcW w:w="1260" w:type="dxa"/>
            <w:hideMark/>
          </w:tcPr>
          <w:p w:rsidR="006D1FB8" w:rsidRDefault="006D1FB8">
            <w:pPr>
              <w:widowControl/>
              <w:jc w:val="left"/>
              <w:rPr>
                <w:kern w:val="0"/>
                <w:sz w:val="20"/>
                <w:szCs w:val="20"/>
              </w:rPr>
            </w:pPr>
          </w:p>
        </w:tc>
        <w:tc>
          <w:tcPr>
            <w:tcW w:w="2920" w:type="dxa"/>
            <w:hideMark/>
          </w:tcPr>
          <w:p w:rsidR="006D1FB8" w:rsidRDefault="003204B8">
            <w:pPr>
              <w:jc w:val="center"/>
            </w:pPr>
            <w:r>
              <w:rPr>
                <w:rStyle w:val="font21"/>
                <w:rFonts w:hint="eastAsia"/>
                <w:b/>
                <w:bCs/>
              </w:rPr>
              <w:t>统一社会信用代码</w:t>
            </w:r>
          </w:p>
        </w:tc>
        <w:tc>
          <w:tcPr>
            <w:tcW w:w="566" w:type="dxa"/>
            <w:hideMark/>
          </w:tcPr>
          <w:p w:rsidR="006D1FB8" w:rsidRDefault="006D1FB8">
            <w:pPr>
              <w:widowControl/>
              <w:jc w:val="left"/>
              <w:rPr>
                <w:kern w:val="0"/>
                <w:sz w:val="20"/>
                <w:szCs w:val="20"/>
              </w:rPr>
            </w:pPr>
          </w:p>
        </w:tc>
      </w:tr>
      <w:tr w:rsidR="006D1FB8">
        <w:tc>
          <w:tcPr>
            <w:tcW w:w="1260" w:type="dxa"/>
            <w:hideMark/>
          </w:tcPr>
          <w:p w:rsidR="006D1FB8" w:rsidRDefault="006D1FB8">
            <w:pPr>
              <w:widowControl/>
              <w:jc w:val="left"/>
              <w:rPr>
                <w:kern w:val="0"/>
                <w:sz w:val="20"/>
                <w:szCs w:val="20"/>
              </w:rPr>
            </w:pPr>
          </w:p>
        </w:tc>
        <w:tc>
          <w:tcPr>
            <w:tcW w:w="2520" w:type="dxa"/>
            <w:hideMark/>
          </w:tcPr>
          <w:p w:rsidR="006D1FB8" w:rsidRDefault="003204B8">
            <w:pPr>
              <w:jc w:val="center"/>
            </w:pPr>
            <w:r>
              <w:rPr>
                <w:rStyle w:val="font21"/>
                <w:b/>
                <w:bCs/>
              </w:rPr>
              <w:t>12500104358697711T</w:t>
            </w:r>
          </w:p>
        </w:tc>
        <w:tc>
          <w:tcPr>
            <w:tcW w:w="566" w:type="dxa"/>
            <w:hideMark/>
          </w:tcPr>
          <w:p w:rsidR="006D1FB8" w:rsidRDefault="006D1FB8">
            <w:pPr>
              <w:widowControl/>
              <w:jc w:val="left"/>
              <w:rPr>
                <w:kern w:val="0"/>
                <w:sz w:val="20"/>
                <w:szCs w:val="20"/>
              </w:rPr>
            </w:pPr>
          </w:p>
        </w:tc>
      </w:tr>
    </w:tbl>
    <w:p w:rsidR="006D1FB8" w:rsidRDefault="006D1FB8">
      <w:pPr>
        <w:jc w:val="right"/>
      </w:pPr>
    </w:p>
    <w:p w:rsidR="006D1FB8" w:rsidRDefault="006D1FB8">
      <w:pPr>
        <w:jc w:val="right"/>
      </w:pPr>
    </w:p>
    <w:p w:rsidR="006D1FB8" w:rsidRDefault="006D1FB8">
      <w:pPr>
        <w:jc w:val="right"/>
      </w:pPr>
    </w:p>
    <w:p w:rsidR="006D1FB8" w:rsidRDefault="006D1FB8">
      <w:pPr>
        <w:jc w:val="right"/>
      </w:pPr>
    </w:p>
    <w:p w:rsidR="006D1FB8" w:rsidRDefault="003204B8">
      <w:pPr>
        <w:jc w:val="center"/>
      </w:pPr>
      <w:r>
        <w:rPr>
          <w:rStyle w:val="font31"/>
          <w:rFonts w:hint="eastAsia"/>
          <w:b/>
          <w:bCs/>
        </w:rPr>
        <w:t>事业单位法人年度报告书</w:t>
      </w:r>
    </w:p>
    <w:p w:rsidR="006D1FB8" w:rsidRDefault="006D1FB8">
      <w:pPr>
        <w:jc w:val="center"/>
        <w:rPr>
          <w:rFonts w:eastAsia="黑体"/>
          <w:b/>
          <w:bCs/>
          <w:spacing w:val="30"/>
        </w:rPr>
      </w:pPr>
    </w:p>
    <w:tbl>
      <w:tblPr>
        <w:tblW w:w="0" w:type="auto"/>
        <w:jc w:val="center"/>
        <w:tblInd w:w="5508" w:type="dxa"/>
        <w:tblLook w:val="04A0"/>
      </w:tblPr>
      <w:tblGrid>
        <w:gridCol w:w="2322"/>
        <w:gridCol w:w="1035"/>
        <w:gridCol w:w="989"/>
      </w:tblGrid>
      <w:tr w:rsidR="006D1FB8">
        <w:trPr>
          <w:jc w:val="center"/>
        </w:trPr>
        <w:tc>
          <w:tcPr>
            <w:tcW w:w="594" w:type="dxa"/>
            <w:hideMark/>
          </w:tcPr>
          <w:p w:rsidR="006D1FB8" w:rsidRDefault="003204B8">
            <w:pPr>
              <w:jc w:val="center"/>
            </w:pPr>
            <w:r>
              <w:rPr>
                <w:rStyle w:val="font21"/>
                <w:rFonts w:hint="eastAsia"/>
                <w:b/>
                <w:bCs/>
              </w:rPr>
              <w:t>（</w:t>
            </w:r>
            <w:r>
              <w:rPr>
                <w:rStyle w:val="font21"/>
                <w:b/>
                <w:bCs/>
              </w:rPr>
              <w:t xml:space="preserve">        2022</w:t>
            </w:r>
          </w:p>
        </w:tc>
        <w:tc>
          <w:tcPr>
            <w:tcW w:w="1814" w:type="dxa"/>
            <w:hideMark/>
          </w:tcPr>
          <w:p w:rsidR="006D1FB8" w:rsidRDefault="006D1FB8">
            <w:pPr>
              <w:widowControl/>
              <w:jc w:val="left"/>
              <w:rPr>
                <w:kern w:val="0"/>
                <w:sz w:val="20"/>
                <w:szCs w:val="20"/>
              </w:rPr>
            </w:pPr>
          </w:p>
        </w:tc>
        <w:tc>
          <w:tcPr>
            <w:tcW w:w="1440" w:type="dxa"/>
            <w:hideMark/>
          </w:tcPr>
          <w:p w:rsidR="006D1FB8" w:rsidRDefault="003204B8">
            <w:r>
              <w:rPr>
                <w:rStyle w:val="font21"/>
                <w:rFonts w:hint="eastAsia"/>
                <w:b/>
                <w:bCs/>
              </w:rPr>
              <w:t>）年度</w:t>
            </w:r>
          </w:p>
        </w:tc>
      </w:tr>
    </w:tbl>
    <w:p w:rsidR="006D1FB8" w:rsidRDefault="006D1FB8">
      <w:pPr>
        <w:jc w:val="center"/>
        <w:rPr>
          <w:rStyle w:val="font41"/>
          <w:rFonts w:ascii="Times New Roman" w:hint="default"/>
          <w:b/>
          <w:bCs/>
        </w:rPr>
      </w:pPr>
    </w:p>
    <w:p w:rsidR="006D1FB8" w:rsidRDefault="006D1FB8">
      <w:pPr>
        <w:jc w:val="center"/>
        <w:rPr>
          <w:rStyle w:val="font41"/>
          <w:rFonts w:ascii="Times New Roman" w:hint="default"/>
        </w:rPr>
      </w:pPr>
    </w:p>
    <w:p w:rsidR="006D1FB8" w:rsidRDefault="006D1FB8">
      <w:pPr>
        <w:jc w:val="center"/>
        <w:rPr>
          <w:rStyle w:val="font41"/>
          <w:rFonts w:ascii="Times New Roman" w:hint="default"/>
        </w:rPr>
      </w:pPr>
    </w:p>
    <w:p w:rsidR="006D1FB8" w:rsidRDefault="006D1FB8">
      <w:pPr>
        <w:jc w:val="center"/>
        <w:rPr>
          <w:rStyle w:val="font41"/>
          <w:rFonts w:ascii="Times New Roman" w:hint="default"/>
        </w:rPr>
      </w:pPr>
    </w:p>
    <w:p w:rsidR="006D1FB8" w:rsidRDefault="006D1FB8">
      <w:pPr>
        <w:jc w:val="center"/>
        <w:rPr>
          <w:rStyle w:val="font41"/>
          <w:rFonts w:ascii="Times New Roman" w:hint="default"/>
        </w:rPr>
      </w:pPr>
    </w:p>
    <w:tbl>
      <w:tblPr>
        <w:tblW w:w="0" w:type="auto"/>
        <w:jc w:val="center"/>
        <w:tblInd w:w="-139" w:type="dxa"/>
        <w:tblLook w:val="04A0"/>
      </w:tblPr>
      <w:tblGrid>
        <w:gridCol w:w="2405"/>
        <w:gridCol w:w="5294"/>
      </w:tblGrid>
      <w:tr w:rsidR="006D1FB8">
        <w:trPr>
          <w:trHeight w:val="615"/>
          <w:jc w:val="center"/>
        </w:trPr>
        <w:tc>
          <w:tcPr>
            <w:tcW w:w="2405" w:type="dxa"/>
            <w:vAlign w:val="bottom"/>
            <w:hideMark/>
          </w:tcPr>
          <w:p w:rsidR="006D1FB8" w:rsidRDefault="003204B8">
            <w:pPr>
              <w:jc w:val="distribute"/>
            </w:pPr>
            <w:r>
              <w:rPr>
                <w:rStyle w:val="font51"/>
                <w:rFonts w:hint="default"/>
                <w:b/>
                <w:bCs/>
              </w:rPr>
              <w:t>单位名称</w:t>
            </w:r>
          </w:p>
        </w:tc>
        <w:tc>
          <w:tcPr>
            <w:tcW w:w="5294" w:type="dxa"/>
            <w:tcBorders>
              <w:top w:val="nil"/>
              <w:left w:val="nil"/>
              <w:bottom w:val="single" w:sz="12" w:space="0" w:color="auto"/>
              <w:right w:val="nil"/>
            </w:tcBorders>
            <w:vAlign w:val="bottom"/>
            <w:hideMark/>
          </w:tcPr>
          <w:p w:rsidR="006D1FB8" w:rsidRDefault="003204B8">
            <w:pPr>
              <w:jc w:val="center"/>
            </w:pPr>
            <w:r>
              <w:rPr>
                <w:rStyle w:val="font61"/>
                <w:rFonts w:hint="eastAsia"/>
              </w:rPr>
              <w:t>重庆市大渡口区污染物减排中心</w:t>
            </w:r>
          </w:p>
        </w:tc>
      </w:tr>
    </w:tbl>
    <w:p w:rsidR="006D1FB8" w:rsidRDefault="006D1FB8">
      <w:pPr>
        <w:rPr>
          <w:rFonts w:ascii="黑体" w:eastAsia="黑体" w:hAnsi="黑体"/>
          <w:b/>
          <w:bCs/>
          <w:sz w:val="24"/>
          <w:u w:val="single"/>
        </w:rPr>
      </w:pPr>
    </w:p>
    <w:tbl>
      <w:tblPr>
        <w:tblW w:w="0" w:type="auto"/>
        <w:jc w:val="center"/>
        <w:tblInd w:w="-59" w:type="dxa"/>
        <w:tblLook w:val="04A0"/>
      </w:tblPr>
      <w:tblGrid>
        <w:gridCol w:w="2365"/>
        <w:gridCol w:w="5254"/>
      </w:tblGrid>
      <w:tr w:rsidR="006D1FB8">
        <w:trPr>
          <w:trHeight w:val="615"/>
          <w:jc w:val="center"/>
        </w:trPr>
        <w:tc>
          <w:tcPr>
            <w:tcW w:w="2365" w:type="dxa"/>
            <w:vAlign w:val="bottom"/>
            <w:hideMark/>
          </w:tcPr>
          <w:p w:rsidR="006D1FB8" w:rsidRDefault="003204B8">
            <w:pPr>
              <w:jc w:val="distribute"/>
            </w:pPr>
            <w:r>
              <w:rPr>
                <w:rStyle w:val="font51"/>
                <w:rFonts w:hint="default"/>
                <w:b/>
                <w:bCs/>
              </w:rPr>
              <w:t>法</w:t>
            </w:r>
            <w:r>
              <w:rPr>
                <w:rStyle w:val="font51"/>
                <w:rFonts w:hint="default"/>
                <w:b/>
                <w:bCs/>
                <w:spacing w:val="30"/>
              </w:rPr>
              <w:t>定代表</w:t>
            </w:r>
            <w:r>
              <w:rPr>
                <w:rStyle w:val="font51"/>
                <w:rFonts w:hint="default"/>
                <w:b/>
                <w:bCs/>
              </w:rPr>
              <w:t>人</w:t>
            </w:r>
          </w:p>
        </w:tc>
        <w:tc>
          <w:tcPr>
            <w:tcW w:w="5254" w:type="dxa"/>
            <w:tcBorders>
              <w:top w:val="nil"/>
              <w:left w:val="nil"/>
              <w:bottom w:val="single" w:sz="12" w:space="0" w:color="auto"/>
              <w:right w:val="nil"/>
            </w:tcBorders>
            <w:vAlign w:val="bottom"/>
            <w:hideMark/>
          </w:tcPr>
          <w:p w:rsidR="006D1FB8" w:rsidRDefault="006D1FB8">
            <w:pPr>
              <w:widowControl/>
              <w:jc w:val="left"/>
              <w:rPr>
                <w:kern w:val="0"/>
                <w:sz w:val="20"/>
                <w:szCs w:val="20"/>
              </w:rPr>
            </w:pPr>
          </w:p>
        </w:tc>
      </w:tr>
    </w:tbl>
    <w:p w:rsidR="006D1FB8" w:rsidRDefault="006D1FB8">
      <w:pPr>
        <w:ind w:firstLineChars="300" w:firstLine="723"/>
        <w:rPr>
          <w:rFonts w:ascii="黑体" w:eastAsia="黑体" w:hAnsi="黑体"/>
          <w:b/>
          <w:bCs/>
          <w:sz w:val="24"/>
          <w:u w:val="single"/>
        </w:rPr>
      </w:pPr>
    </w:p>
    <w:tbl>
      <w:tblPr>
        <w:tblW w:w="0" w:type="auto"/>
        <w:jc w:val="center"/>
        <w:tblInd w:w="-139" w:type="dxa"/>
        <w:tblLook w:val="04A0"/>
      </w:tblPr>
      <w:tblGrid>
        <w:gridCol w:w="2405"/>
        <w:gridCol w:w="5294"/>
      </w:tblGrid>
      <w:tr w:rsidR="006D1FB8">
        <w:trPr>
          <w:trHeight w:val="615"/>
          <w:jc w:val="center"/>
        </w:trPr>
        <w:tc>
          <w:tcPr>
            <w:tcW w:w="2405" w:type="dxa"/>
            <w:vAlign w:val="bottom"/>
            <w:hideMark/>
          </w:tcPr>
          <w:p w:rsidR="006D1FB8" w:rsidRDefault="006D1FB8">
            <w:pPr>
              <w:widowControl/>
              <w:jc w:val="left"/>
              <w:rPr>
                <w:kern w:val="0"/>
                <w:sz w:val="20"/>
                <w:szCs w:val="20"/>
              </w:rPr>
            </w:pPr>
          </w:p>
        </w:tc>
        <w:tc>
          <w:tcPr>
            <w:tcW w:w="5294" w:type="dxa"/>
            <w:vAlign w:val="bottom"/>
            <w:hideMark/>
          </w:tcPr>
          <w:p w:rsidR="006D1FB8" w:rsidRDefault="006D1FB8">
            <w:pPr>
              <w:jc w:val="center"/>
              <w:rPr>
                <w:b/>
                <w:bCs/>
              </w:rPr>
            </w:pPr>
          </w:p>
        </w:tc>
      </w:tr>
    </w:tbl>
    <w:p w:rsidR="006D1FB8" w:rsidRDefault="006D1FB8">
      <w:pPr>
        <w:jc w:val="center"/>
        <w:rPr>
          <w:rFonts w:ascii="黑体" w:eastAsia="黑体" w:hAnsi="黑体"/>
          <w:b/>
          <w:bCs/>
          <w:sz w:val="30"/>
          <w:u w:val="single"/>
        </w:rPr>
      </w:pPr>
    </w:p>
    <w:p w:rsidR="006D1FB8" w:rsidRDefault="006D1FB8">
      <w:pPr>
        <w:jc w:val="center"/>
        <w:rPr>
          <w:u w:val="single"/>
        </w:rPr>
      </w:pPr>
    </w:p>
    <w:p w:rsidR="006D1FB8" w:rsidRDefault="006D1FB8">
      <w:pPr>
        <w:jc w:val="center"/>
        <w:rPr>
          <w:u w:val="single"/>
        </w:rPr>
      </w:pPr>
    </w:p>
    <w:p w:rsidR="006D1FB8" w:rsidRDefault="006D1FB8">
      <w:pPr>
        <w:jc w:val="center"/>
        <w:rPr>
          <w:u w:val="single"/>
        </w:rPr>
      </w:pPr>
    </w:p>
    <w:p w:rsidR="006D1FB8" w:rsidRDefault="006D1FB8">
      <w:pPr>
        <w:jc w:val="center"/>
        <w:rPr>
          <w:u w:val="single"/>
        </w:rPr>
      </w:pPr>
    </w:p>
    <w:p w:rsidR="006D1FB8" w:rsidRDefault="006D1FB8">
      <w:pPr>
        <w:jc w:val="center"/>
        <w:rPr>
          <w:u w:val="single"/>
        </w:rPr>
      </w:pPr>
    </w:p>
    <w:p w:rsidR="006D1FB8" w:rsidRDefault="003204B8">
      <w:pPr>
        <w:jc w:val="center"/>
      </w:pPr>
      <w:r>
        <w:rPr>
          <w:rStyle w:val="font61"/>
          <w:rFonts w:hint="eastAsia"/>
          <w:b/>
          <w:bCs/>
        </w:rPr>
        <w:t>国家事业单位登记管理局制</w:t>
      </w:r>
    </w:p>
    <w:p w:rsidR="006D1FB8" w:rsidRDefault="006D1FB8">
      <w:pPr>
        <w:rPr>
          <w:u w:val="single"/>
        </w:rPr>
      </w:pPr>
    </w:p>
    <w:tbl>
      <w:tblPr>
        <w:tblW w:w="10047" w:type="dxa"/>
        <w:jc w:val="center"/>
        <w:tblInd w:w="-50" w:type="dxa"/>
        <w:tblBorders>
          <w:top w:val="single" w:sz="12" w:space="0" w:color="auto"/>
          <w:left w:val="single" w:sz="12" w:space="0" w:color="auto"/>
          <w:bottom w:val="single" w:sz="12" w:space="0" w:color="auto"/>
          <w:right w:val="single" w:sz="12" w:space="0" w:color="auto"/>
        </w:tblBorders>
        <w:tblLook w:val="04A0"/>
      </w:tblPr>
      <w:tblGrid>
        <w:gridCol w:w="2243"/>
        <w:gridCol w:w="2256"/>
        <w:gridCol w:w="2613"/>
        <w:gridCol w:w="999"/>
        <w:gridCol w:w="1936"/>
      </w:tblGrid>
      <w:tr w:rsidR="006D1FB8">
        <w:trPr>
          <w:trHeight w:val="538"/>
          <w:jc w:val="center"/>
        </w:trPr>
        <w:tc>
          <w:tcPr>
            <w:tcW w:w="2243" w:type="dxa"/>
            <w:vMerge w:val="restart"/>
            <w:tcBorders>
              <w:top w:val="single" w:sz="12" w:space="0" w:color="auto"/>
              <w:left w:val="single" w:sz="12" w:space="0" w:color="auto"/>
              <w:bottom w:val="single" w:sz="4" w:space="0" w:color="auto"/>
              <w:right w:val="single" w:sz="4" w:space="0" w:color="auto"/>
            </w:tcBorders>
            <w:tcMar>
              <w:top w:w="0" w:type="dxa"/>
              <w:left w:w="0" w:type="dxa"/>
              <w:bottom w:w="0" w:type="dxa"/>
              <w:right w:w="108" w:type="dxa"/>
            </w:tcMar>
            <w:vAlign w:val="center"/>
            <w:hideMark/>
          </w:tcPr>
          <w:p w:rsidR="006D1FB8" w:rsidRDefault="003204B8">
            <w:pPr>
              <w:jc w:val="center"/>
            </w:pPr>
            <w:r>
              <w:rPr>
                <w:rStyle w:val="font61"/>
                <w:rFonts w:hint="eastAsia"/>
                <w:b/>
                <w:bCs/>
              </w:rPr>
              <w:lastRenderedPageBreak/>
              <w:t>《事业</w:t>
            </w:r>
          </w:p>
          <w:p w:rsidR="006D1FB8" w:rsidRDefault="003204B8">
            <w:pPr>
              <w:jc w:val="center"/>
            </w:pPr>
            <w:r>
              <w:rPr>
                <w:rStyle w:val="font61"/>
                <w:rFonts w:hint="eastAsia"/>
                <w:b/>
                <w:bCs/>
              </w:rPr>
              <w:t>单位</w:t>
            </w:r>
          </w:p>
          <w:p w:rsidR="006D1FB8" w:rsidRDefault="003204B8">
            <w:pPr>
              <w:jc w:val="center"/>
            </w:pPr>
            <w:r>
              <w:rPr>
                <w:rStyle w:val="font61"/>
                <w:rFonts w:hint="eastAsia"/>
                <w:b/>
                <w:bCs/>
              </w:rPr>
              <w:t>法人</w:t>
            </w:r>
          </w:p>
          <w:p w:rsidR="006D1FB8" w:rsidRDefault="003204B8">
            <w:pPr>
              <w:jc w:val="center"/>
            </w:pPr>
            <w:r>
              <w:rPr>
                <w:rStyle w:val="font61"/>
                <w:rFonts w:hint="eastAsia"/>
                <w:b/>
                <w:bCs/>
              </w:rPr>
              <w:t>证书》</w:t>
            </w:r>
          </w:p>
          <w:p w:rsidR="006D1FB8" w:rsidRDefault="003204B8">
            <w:pPr>
              <w:jc w:val="center"/>
            </w:pPr>
            <w:r>
              <w:rPr>
                <w:rStyle w:val="font61"/>
                <w:rFonts w:hint="eastAsia"/>
                <w:b/>
                <w:bCs/>
              </w:rPr>
              <w:t>登载</w:t>
            </w:r>
          </w:p>
          <w:p w:rsidR="006D1FB8" w:rsidRDefault="003204B8">
            <w:pPr>
              <w:jc w:val="center"/>
            </w:pPr>
            <w:r>
              <w:rPr>
                <w:rStyle w:val="font61"/>
                <w:rFonts w:hint="eastAsia"/>
                <w:b/>
                <w:bCs/>
              </w:rPr>
              <w:t>事项</w:t>
            </w:r>
          </w:p>
        </w:tc>
        <w:tc>
          <w:tcPr>
            <w:tcW w:w="2256" w:type="dxa"/>
            <w:tcBorders>
              <w:top w:val="single" w:sz="12"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单位名称</w:t>
            </w:r>
          </w:p>
        </w:tc>
        <w:tc>
          <w:tcPr>
            <w:tcW w:w="5548" w:type="dxa"/>
            <w:gridSpan w:val="3"/>
            <w:tcBorders>
              <w:top w:val="single" w:sz="12"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重庆市大渡口区污染物减排中心</w:t>
            </w:r>
          </w:p>
        </w:tc>
      </w:tr>
      <w:tr w:rsidR="006D1FB8">
        <w:trPr>
          <w:trHeight w:val="1156"/>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宗旨和</w:t>
            </w:r>
          </w:p>
          <w:p w:rsidR="006D1FB8" w:rsidRDefault="003204B8">
            <w:pPr>
              <w:jc w:val="center"/>
            </w:pPr>
            <w:r>
              <w:rPr>
                <w:rStyle w:val="font61"/>
                <w:rFonts w:hint="eastAsia"/>
                <w:b/>
                <w:bCs/>
              </w:rPr>
              <w:t>业务范围</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开展污染物减排，环境统计与技术服务，为环境质量改善提供保障。</w:t>
            </w:r>
          </w:p>
        </w:tc>
      </w:tr>
      <w:tr w:rsidR="006D1FB8">
        <w:trPr>
          <w:trHeight w:val="1017"/>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住所</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重庆市大渡口区春晖街道春晖南路</w:t>
            </w:r>
            <w:r>
              <w:rPr>
                <w:rStyle w:val="17"/>
              </w:rPr>
              <w:t>10</w:t>
            </w:r>
            <w:r>
              <w:rPr>
                <w:rStyle w:val="17"/>
                <w:rFonts w:cs="楷体_GB2312" w:hint="eastAsia"/>
              </w:rPr>
              <w:t>号春晖大楼</w:t>
            </w:r>
            <w:r>
              <w:rPr>
                <w:rStyle w:val="17"/>
              </w:rPr>
              <w:t>309</w:t>
            </w:r>
            <w:r>
              <w:rPr>
                <w:rStyle w:val="17"/>
                <w:rFonts w:cs="楷体_GB2312" w:hint="eastAsia"/>
              </w:rPr>
              <w:t>室</w:t>
            </w:r>
          </w:p>
        </w:tc>
      </w:tr>
      <w:tr w:rsidR="006D1FB8">
        <w:trPr>
          <w:trHeight w:val="299"/>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法定代表人</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李佳蔚</w:t>
            </w:r>
          </w:p>
        </w:tc>
      </w:tr>
      <w:tr w:rsidR="006D1FB8">
        <w:trPr>
          <w:trHeight w:val="493"/>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开办资金</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Pr>
              <w:t>66</w:t>
            </w:r>
            <w:r>
              <w:rPr>
                <w:rStyle w:val="17"/>
                <w:rFonts w:cs="楷体_GB2312" w:hint="eastAsia"/>
              </w:rPr>
              <w:t>万元</w:t>
            </w:r>
          </w:p>
        </w:tc>
      </w:tr>
      <w:tr w:rsidR="006D1FB8">
        <w:trPr>
          <w:trHeight w:val="27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经费来源</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财政补助</w:t>
            </w:r>
          </w:p>
        </w:tc>
      </w:tr>
      <w:tr w:rsidR="006D1FB8">
        <w:trPr>
          <w:trHeight w:val="327"/>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2256"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举办单位</w:t>
            </w:r>
          </w:p>
        </w:tc>
        <w:tc>
          <w:tcPr>
            <w:tcW w:w="5548" w:type="dxa"/>
            <w:gridSpan w:val="3"/>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sz w:val="32"/>
                <w:szCs w:val="32"/>
              </w:rPr>
            </w:pPr>
            <w:r>
              <w:rPr>
                <w:rStyle w:val="17"/>
                <w:rFonts w:cs="楷体_GB2312" w:hint="eastAsia"/>
              </w:rPr>
              <w:t>重庆市大渡口区生态环境局</w:t>
            </w:r>
          </w:p>
        </w:tc>
      </w:tr>
      <w:tr w:rsidR="006D1FB8">
        <w:trPr>
          <w:trHeight w:val="412"/>
          <w:jc w:val="center"/>
        </w:trPr>
        <w:tc>
          <w:tcPr>
            <w:tcW w:w="2243" w:type="dxa"/>
            <w:vMerge w:val="restart"/>
            <w:tcBorders>
              <w:top w:val="single" w:sz="4" w:space="0" w:color="auto"/>
              <w:left w:val="single" w:sz="12"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资产</w:t>
            </w:r>
          </w:p>
          <w:p w:rsidR="006D1FB8" w:rsidRDefault="003204B8">
            <w:pPr>
              <w:jc w:val="center"/>
            </w:pPr>
            <w:r>
              <w:rPr>
                <w:rStyle w:val="font61"/>
                <w:rFonts w:hint="eastAsia"/>
                <w:b/>
                <w:bCs/>
              </w:rPr>
              <w:t>损益</w:t>
            </w:r>
          </w:p>
          <w:p w:rsidR="006D1FB8" w:rsidRDefault="003204B8">
            <w:pPr>
              <w:jc w:val="center"/>
            </w:pPr>
            <w:r>
              <w:rPr>
                <w:rStyle w:val="font61"/>
                <w:rFonts w:hint="eastAsia"/>
                <w:b/>
                <w:bCs/>
              </w:rPr>
              <w:t>情况</w:t>
            </w:r>
          </w:p>
        </w:tc>
        <w:tc>
          <w:tcPr>
            <w:tcW w:w="7804" w:type="dxa"/>
            <w:gridSpan w:val="4"/>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pPr>
            <w:r>
              <w:rPr>
                <w:rStyle w:val="font61"/>
                <w:rFonts w:hint="eastAsia"/>
                <w:b/>
                <w:bCs/>
              </w:rPr>
              <w:t>净资产合计（所有者权益合计）</w:t>
            </w:r>
          </w:p>
        </w:tc>
      </w:tr>
      <w:tr w:rsidR="006D1FB8">
        <w:trPr>
          <w:trHeight w:val="4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4869" w:type="dxa"/>
            <w:gridSpan w:val="2"/>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年初数（万元）</w:t>
            </w:r>
          </w:p>
        </w:tc>
        <w:tc>
          <w:tcPr>
            <w:tcW w:w="2935" w:type="dxa"/>
            <w:gridSpan w:val="2"/>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pPr>
            <w:r>
              <w:rPr>
                <w:rStyle w:val="font61"/>
                <w:rFonts w:hint="eastAsia"/>
                <w:b/>
                <w:bCs/>
              </w:rPr>
              <w:t>年末数（万元）</w:t>
            </w:r>
          </w:p>
        </w:tc>
      </w:tr>
      <w:tr w:rsidR="006D1FB8">
        <w:trPr>
          <w:trHeight w:val="260"/>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D1FB8" w:rsidRDefault="006D1FB8">
            <w:pPr>
              <w:widowControl/>
              <w:jc w:val="left"/>
            </w:pPr>
          </w:p>
        </w:tc>
        <w:tc>
          <w:tcPr>
            <w:tcW w:w="4869" w:type="dxa"/>
            <w:gridSpan w:val="2"/>
            <w:tcBorders>
              <w:top w:val="single" w:sz="4" w:space="0" w:color="auto"/>
              <w:left w:val="single" w:sz="4" w:space="0" w:color="auto"/>
              <w:bottom w:val="single" w:sz="4" w:space="0" w:color="auto"/>
              <w:right w:val="single" w:sz="4" w:space="0" w:color="auto"/>
            </w:tcBorders>
            <w:vAlign w:val="center"/>
            <w:hideMark/>
          </w:tcPr>
          <w:p w:rsidR="006D1FB8" w:rsidRDefault="003204B8">
            <w:pPr>
              <w:widowControl/>
              <w:jc w:val="center"/>
              <w:rPr>
                <w:rStyle w:val="17"/>
              </w:rPr>
            </w:pPr>
            <w:r>
              <w:rPr>
                <w:rStyle w:val="17"/>
              </w:rPr>
              <w:t>47.818512</w:t>
            </w:r>
          </w:p>
        </w:tc>
        <w:tc>
          <w:tcPr>
            <w:tcW w:w="2935" w:type="dxa"/>
            <w:gridSpan w:val="2"/>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rStyle w:val="17"/>
              </w:rPr>
            </w:pPr>
            <w:r>
              <w:rPr>
                <w:rStyle w:val="17"/>
              </w:rPr>
              <w:t>43.55</w:t>
            </w:r>
          </w:p>
        </w:tc>
      </w:tr>
      <w:tr w:rsidR="006D1FB8">
        <w:trPr>
          <w:trHeight w:val="781"/>
          <w:jc w:val="center"/>
        </w:trPr>
        <w:tc>
          <w:tcPr>
            <w:tcW w:w="2243" w:type="dxa"/>
            <w:tcBorders>
              <w:top w:val="single" w:sz="4" w:space="0" w:color="auto"/>
              <w:left w:val="single" w:sz="12"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网上名称</w:t>
            </w:r>
          </w:p>
        </w:tc>
        <w:tc>
          <w:tcPr>
            <w:tcW w:w="4869" w:type="dxa"/>
            <w:gridSpan w:val="2"/>
            <w:tcBorders>
              <w:top w:val="single" w:sz="4" w:space="0" w:color="auto"/>
              <w:left w:val="single" w:sz="4" w:space="0" w:color="auto"/>
              <w:bottom w:val="single" w:sz="4" w:space="0" w:color="auto"/>
              <w:right w:val="single" w:sz="4" w:space="0" w:color="auto"/>
            </w:tcBorders>
            <w:vAlign w:val="center"/>
            <w:hideMark/>
          </w:tcPr>
          <w:p w:rsidR="006D1FB8" w:rsidRDefault="003204B8">
            <w:pPr>
              <w:rPr>
                <w:rFonts w:eastAsia="楷体_GB2312" w:cs="楷体_GB2312"/>
                <w:sz w:val="32"/>
                <w:szCs w:val="32"/>
              </w:rPr>
            </w:pPr>
            <w:r>
              <w:rPr>
                <w:rStyle w:val="17"/>
                <w:rFonts w:cs="楷体_GB2312" w:hint="eastAsia"/>
              </w:rPr>
              <w:t>重庆市大渡口区污染物减排中心</w:t>
            </w:r>
          </w:p>
        </w:tc>
        <w:tc>
          <w:tcPr>
            <w:tcW w:w="999" w:type="dxa"/>
            <w:tcBorders>
              <w:top w:val="single" w:sz="4" w:space="0" w:color="auto"/>
              <w:left w:val="single" w:sz="4" w:space="0" w:color="auto"/>
              <w:bottom w:val="single" w:sz="4" w:space="0" w:color="auto"/>
              <w:right w:val="single" w:sz="4" w:space="0" w:color="auto"/>
            </w:tcBorders>
            <w:vAlign w:val="center"/>
            <w:hideMark/>
          </w:tcPr>
          <w:p w:rsidR="006D1FB8" w:rsidRDefault="003204B8">
            <w:pPr>
              <w:jc w:val="center"/>
              <w:rPr>
                <w:szCs w:val="21"/>
              </w:rPr>
            </w:pPr>
            <w:r>
              <w:rPr>
                <w:rStyle w:val="17"/>
                <w:rFonts w:cs="楷体_GB2312" w:hint="eastAsia"/>
                <w:b/>
                <w:bCs/>
              </w:rPr>
              <w:t>从业人数</w:t>
            </w:r>
          </w:p>
        </w:tc>
        <w:tc>
          <w:tcPr>
            <w:tcW w:w="1936" w:type="dxa"/>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rFonts w:ascii="宋体" w:hAnsi="宋体"/>
                <w:kern w:val="0"/>
                <w:sz w:val="24"/>
              </w:rPr>
            </w:pPr>
            <w:r>
              <w:rPr>
                <w:rStyle w:val="17"/>
              </w:rPr>
              <w:t>4</w:t>
            </w:r>
          </w:p>
        </w:tc>
      </w:tr>
      <w:tr w:rsidR="006D1FB8">
        <w:trPr>
          <w:trHeight w:val="3505"/>
          <w:jc w:val="center"/>
        </w:trPr>
        <w:tc>
          <w:tcPr>
            <w:tcW w:w="2243" w:type="dxa"/>
            <w:tcBorders>
              <w:top w:val="single" w:sz="4" w:space="0" w:color="auto"/>
              <w:left w:val="single" w:sz="12" w:space="0" w:color="auto"/>
              <w:bottom w:val="single" w:sz="12" w:space="0" w:color="auto"/>
              <w:right w:val="single" w:sz="4" w:space="0" w:color="auto"/>
            </w:tcBorders>
            <w:vAlign w:val="center"/>
            <w:hideMark/>
          </w:tcPr>
          <w:p w:rsidR="006D1FB8" w:rsidRDefault="003204B8">
            <w:pPr>
              <w:jc w:val="center"/>
            </w:pPr>
            <w:r>
              <w:rPr>
                <w:rStyle w:val="font61"/>
                <w:rFonts w:hint="eastAsia"/>
                <w:b/>
                <w:bCs/>
              </w:rPr>
              <w:t>对《条例》和</w:t>
            </w:r>
          </w:p>
          <w:p w:rsidR="006D1FB8" w:rsidRDefault="003204B8">
            <w:pPr>
              <w:jc w:val="center"/>
            </w:pPr>
            <w:r>
              <w:rPr>
                <w:rStyle w:val="font61"/>
                <w:rFonts w:hint="eastAsia"/>
                <w:b/>
                <w:bCs/>
              </w:rPr>
              <w:t>实施细则有关</w:t>
            </w:r>
          </w:p>
          <w:p w:rsidR="006D1FB8" w:rsidRDefault="003204B8">
            <w:pPr>
              <w:jc w:val="center"/>
            </w:pPr>
            <w:r>
              <w:rPr>
                <w:rStyle w:val="font61"/>
                <w:rFonts w:hint="eastAsia"/>
                <w:b/>
                <w:bCs/>
              </w:rPr>
              <w:t>变更登记规定</w:t>
            </w:r>
          </w:p>
          <w:p w:rsidR="006D1FB8" w:rsidRDefault="003204B8">
            <w:pPr>
              <w:jc w:val="center"/>
            </w:pPr>
            <w:r>
              <w:rPr>
                <w:rStyle w:val="font61"/>
                <w:rFonts w:hint="eastAsia"/>
                <w:b/>
                <w:bCs/>
              </w:rPr>
              <w:t>的执行情况</w:t>
            </w:r>
          </w:p>
        </w:tc>
        <w:tc>
          <w:tcPr>
            <w:tcW w:w="7804" w:type="dxa"/>
            <w:gridSpan w:val="4"/>
            <w:tcBorders>
              <w:top w:val="single" w:sz="4" w:space="0" w:color="auto"/>
              <w:left w:val="single" w:sz="4" w:space="0" w:color="auto"/>
              <w:bottom w:val="single" w:sz="12" w:space="0" w:color="auto"/>
              <w:right w:val="single" w:sz="12" w:space="0" w:color="auto"/>
            </w:tcBorders>
            <w:hideMark/>
          </w:tcPr>
          <w:p w:rsidR="006D1FB8" w:rsidRDefault="003204B8">
            <w:pPr>
              <w:ind w:firstLineChars="200" w:firstLine="640"/>
              <w:rPr>
                <w:rFonts w:ascii="宋体" w:hAnsi="宋体" w:cs="宋体"/>
                <w:kern w:val="0"/>
                <w:sz w:val="24"/>
              </w:rPr>
            </w:pPr>
            <w:r>
              <w:rPr>
                <w:rStyle w:val="17"/>
                <w:rFonts w:cs="楷体_GB2312"/>
              </w:rPr>
              <w:t>2022</w:t>
            </w:r>
            <w:r>
              <w:rPr>
                <w:rStyle w:val="17"/>
                <w:rFonts w:ascii="楷体_GB2312" w:hint="eastAsia"/>
              </w:rPr>
              <w:t>年，我单位严格遵守国家有关法律法规和《事业单位登记管理暂行条例》及其实施细则的规定，按照宗旨和业务范围开展相关活动，没有涉及变更登记的事项，没有违法违规等情况。</w:t>
            </w:r>
          </w:p>
        </w:tc>
      </w:tr>
      <w:tr w:rsidR="006D1FB8">
        <w:trPr>
          <w:trHeight w:val="13900"/>
          <w:jc w:val="center"/>
        </w:trPr>
        <w:tc>
          <w:tcPr>
            <w:tcW w:w="2243" w:type="dxa"/>
            <w:tcBorders>
              <w:top w:val="single" w:sz="12" w:space="0" w:color="auto"/>
              <w:left w:val="single" w:sz="12" w:space="0" w:color="auto"/>
              <w:bottom w:val="single" w:sz="12" w:space="0" w:color="auto"/>
              <w:right w:val="single" w:sz="4" w:space="0" w:color="auto"/>
            </w:tcBorders>
            <w:vAlign w:val="center"/>
            <w:hideMark/>
          </w:tcPr>
          <w:p w:rsidR="006D1FB8" w:rsidRDefault="003204B8">
            <w:pPr>
              <w:jc w:val="center"/>
            </w:pPr>
            <w:r>
              <w:rPr>
                <w:rStyle w:val="font61"/>
                <w:rFonts w:hint="eastAsia"/>
                <w:b/>
                <w:bCs/>
              </w:rPr>
              <w:lastRenderedPageBreak/>
              <w:t>开</w:t>
            </w:r>
          </w:p>
          <w:p w:rsidR="006D1FB8" w:rsidRDefault="003204B8">
            <w:pPr>
              <w:jc w:val="center"/>
            </w:pPr>
            <w:r>
              <w:rPr>
                <w:rStyle w:val="font61"/>
                <w:rFonts w:hint="eastAsia"/>
                <w:b/>
                <w:bCs/>
              </w:rPr>
              <w:t>展</w:t>
            </w:r>
          </w:p>
          <w:p w:rsidR="006D1FB8" w:rsidRDefault="003204B8">
            <w:pPr>
              <w:jc w:val="center"/>
            </w:pPr>
            <w:r>
              <w:rPr>
                <w:rStyle w:val="font61"/>
                <w:rFonts w:hint="eastAsia"/>
                <w:b/>
                <w:bCs/>
              </w:rPr>
              <w:t>业</w:t>
            </w:r>
          </w:p>
          <w:p w:rsidR="006D1FB8" w:rsidRDefault="003204B8">
            <w:pPr>
              <w:jc w:val="center"/>
            </w:pPr>
            <w:r>
              <w:rPr>
                <w:rStyle w:val="font61"/>
                <w:rFonts w:hint="eastAsia"/>
                <w:b/>
                <w:bCs/>
              </w:rPr>
              <w:t>务</w:t>
            </w:r>
          </w:p>
          <w:p w:rsidR="006D1FB8" w:rsidRDefault="003204B8">
            <w:pPr>
              <w:jc w:val="center"/>
            </w:pPr>
            <w:r>
              <w:rPr>
                <w:rStyle w:val="font61"/>
                <w:rFonts w:hint="eastAsia"/>
                <w:b/>
                <w:bCs/>
              </w:rPr>
              <w:t>活</w:t>
            </w:r>
          </w:p>
          <w:p w:rsidR="006D1FB8" w:rsidRDefault="003204B8">
            <w:pPr>
              <w:jc w:val="center"/>
            </w:pPr>
            <w:r>
              <w:rPr>
                <w:rStyle w:val="font61"/>
                <w:rFonts w:hint="eastAsia"/>
                <w:b/>
                <w:bCs/>
              </w:rPr>
              <w:t>动</w:t>
            </w:r>
          </w:p>
          <w:p w:rsidR="006D1FB8" w:rsidRDefault="003204B8">
            <w:pPr>
              <w:jc w:val="center"/>
            </w:pPr>
            <w:r>
              <w:rPr>
                <w:rStyle w:val="font61"/>
                <w:rFonts w:hint="eastAsia"/>
                <w:b/>
                <w:bCs/>
              </w:rPr>
              <w:t>情</w:t>
            </w:r>
          </w:p>
          <w:p w:rsidR="006D1FB8" w:rsidRDefault="003204B8">
            <w:pPr>
              <w:jc w:val="center"/>
            </w:pPr>
            <w:r>
              <w:rPr>
                <w:rStyle w:val="font61"/>
                <w:rFonts w:hint="eastAsia"/>
                <w:b/>
                <w:bCs/>
              </w:rPr>
              <w:t>况</w:t>
            </w:r>
          </w:p>
        </w:tc>
        <w:tc>
          <w:tcPr>
            <w:tcW w:w="7804" w:type="dxa"/>
            <w:gridSpan w:val="4"/>
            <w:tcBorders>
              <w:top w:val="single" w:sz="12" w:space="0" w:color="auto"/>
              <w:left w:val="single" w:sz="4" w:space="0" w:color="auto"/>
              <w:bottom w:val="single" w:sz="12" w:space="0" w:color="auto"/>
              <w:right w:val="single" w:sz="12" w:space="0" w:color="auto"/>
            </w:tcBorders>
          </w:tcPr>
          <w:p w:rsidR="006D1FB8" w:rsidRDefault="003204B8">
            <w:pPr>
              <w:spacing w:line="540" w:lineRule="exact"/>
              <w:ind w:firstLineChars="200" w:firstLine="640"/>
              <w:rPr>
                <w:rStyle w:val="17"/>
                <w:rFonts w:ascii="楷体_GB2312"/>
              </w:rPr>
            </w:pPr>
            <w:r>
              <w:rPr>
                <w:rStyle w:val="17"/>
                <w:rFonts w:ascii="楷体_GB2312" w:hint="eastAsia"/>
              </w:rPr>
              <w:t>环境统计工作，开展全区环统企业环境统计业务培训，完成24家环统企业2021年的环境统计，完成重庆高新技术产业开发区大渡口拓展园2021年度火炬统计调查工作数据填报，完成2021年部门综合统计数据及行政记录报送。完成了7家企业季度环境统计和8个部门镇街季度环境保护投入统计。对企业统计人员现场开展一对一帮扶指导，累计帮扶企业15家。</w:t>
            </w:r>
          </w:p>
          <w:p w:rsidR="006D1FB8" w:rsidRDefault="003204B8">
            <w:pPr>
              <w:spacing w:line="600" w:lineRule="exact"/>
              <w:ind w:firstLineChars="200" w:firstLine="640"/>
              <w:rPr>
                <w:rStyle w:val="17"/>
                <w:rFonts w:ascii="楷体_GB2312"/>
              </w:rPr>
            </w:pPr>
            <w:r>
              <w:rPr>
                <w:rStyle w:val="17"/>
                <w:rFonts w:ascii="楷体_GB2312" w:hint="eastAsia"/>
              </w:rPr>
              <w:t>园区信息化管理工作。整合园区各环境要素管理数据资源，切实掌握园区基础信息，完成建桥工业园区环境信息动态更新审核。</w:t>
            </w:r>
          </w:p>
          <w:p w:rsidR="006D1FB8" w:rsidRDefault="003204B8">
            <w:pPr>
              <w:spacing w:line="600" w:lineRule="exact"/>
              <w:ind w:firstLineChars="200" w:firstLine="640"/>
              <w:rPr>
                <w:rStyle w:val="17"/>
                <w:rFonts w:ascii="楷体_GB2312"/>
              </w:rPr>
            </w:pPr>
            <w:r>
              <w:rPr>
                <w:rStyle w:val="17"/>
                <w:rFonts w:ascii="楷体_GB2312" w:hint="eastAsia"/>
              </w:rPr>
              <w:t>总量减排工作，收集13家加油站、2家储油库、1家工业企业、1家污水处理设施的污染物生产减排数据，完成了2021年氮氧化物、挥发性有机物、化学需氧量、氨氮总量减排核算工作。2022年总量减排工程项目的资料已完成收集和汇总。</w:t>
            </w:r>
          </w:p>
          <w:p w:rsidR="006D1FB8" w:rsidRDefault="003204B8">
            <w:pPr>
              <w:spacing w:line="600" w:lineRule="exact"/>
              <w:ind w:firstLineChars="200" w:firstLine="640"/>
              <w:rPr>
                <w:rStyle w:val="17"/>
                <w:rFonts w:ascii="楷体_GB2312"/>
              </w:rPr>
            </w:pPr>
            <w:r>
              <w:rPr>
                <w:rStyle w:val="17"/>
                <w:rFonts w:ascii="楷体_GB2312" w:hint="eastAsia"/>
              </w:rPr>
              <w:t>应对气候变化工作。做好碳排放权交易，指导督促辖区内国际复合、长征重工、小南海水泥厂等5家控排企业完成核查、报告、履约等工作。完成了2021年大渡口区温室气体排放清单编制和碳排放强度测算工作，有利于摸清全区温室气体排放基数，支撑碳达峰工作。</w:t>
            </w:r>
          </w:p>
          <w:p w:rsidR="006D1FB8" w:rsidRDefault="003204B8">
            <w:pPr>
              <w:spacing w:line="600" w:lineRule="exact"/>
              <w:ind w:firstLineChars="200" w:firstLine="640"/>
              <w:rPr>
                <w:rStyle w:val="17"/>
                <w:rFonts w:ascii="楷体_GB2312"/>
              </w:rPr>
            </w:pPr>
            <w:r>
              <w:rPr>
                <w:rStyle w:val="17"/>
                <w:rFonts w:ascii="楷体_GB2312" w:hint="eastAsia"/>
              </w:rPr>
              <w:t>核与辐射管理工作。拟定了年度大渡口区辐射安全与防护</w:t>
            </w:r>
            <w:r w:rsidR="00B70152">
              <w:rPr>
                <w:rStyle w:val="17"/>
                <w:rFonts w:ascii="楷体_GB2312" w:hint="eastAsia"/>
              </w:rPr>
              <w:t>“双随机、一公开”</w:t>
            </w:r>
            <w:r>
              <w:rPr>
                <w:rStyle w:val="17"/>
                <w:rFonts w:ascii="楷体_GB2312" w:hint="eastAsia"/>
              </w:rPr>
              <w:t>监督检查计划，完成核与辐射利用单位“双随机</w:t>
            </w:r>
            <w:r w:rsidR="00B70152">
              <w:rPr>
                <w:rStyle w:val="17"/>
                <w:rFonts w:ascii="楷体_GB2312" w:hint="eastAsia"/>
              </w:rPr>
              <w:t>、</w:t>
            </w:r>
            <w:r>
              <w:rPr>
                <w:rStyle w:val="17"/>
                <w:rFonts w:ascii="楷体_GB2312" w:hint="eastAsia"/>
              </w:rPr>
              <w:t>一公开”监督检查和公开，现场</w:t>
            </w:r>
            <w:r>
              <w:rPr>
                <w:rStyle w:val="17"/>
                <w:rFonts w:ascii="楷体_GB2312" w:hint="eastAsia"/>
              </w:rPr>
              <w:lastRenderedPageBreak/>
              <w:t>监督检查6家单位，督促企业及时查找安全隐患并整改，夯实涉源单位主体责任。市生态环境局核发重钢总医院的核辐射排污许可证，检查十方医院重点放射源。督促核辐射利用单位完成年度报告填报，确保全区上报率100%。完成了全区辐射安全应急预案的编制工作。督促辖区核与辐射利用单位完成国家系统数据质量核查问题整改工作，整改各种问题70余个，问题整改全部到位。</w:t>
            </w:r>
          </w:p>
          <w:p w:rsidR="006D1FB8" w:rsidRDefault="003204B8">
            <w:pPr>
              <w:spacing w:line="600" w:lineRule="exact"/>
              <w:ind w:firstLineChars="200" w:firstLine="640"/>
              <w:rPr>
                <w:rStyle w:val="17"/>
                <w:rFonts w:ascii="楷体_GB2312"/>
              </w:rPr>
            </w:pPr>
            <w:r>
              <w:rPr>
                <w:rStyle w:val="17"/>
                <w:rFonts w:ascii="楷体_GB2312" w:hint="eastAsia"/>
              </w:rPr>
              <w:t>固定污染源排污许可证执行报告审核工作。确定典型行业排污许可证执行报告内容规范性审核清单；督促排污许可发证企业提交2021年度排污许可证执行报告48份，提交率100%；开展执行报告内容规范性审核，完成审核48家，审核完成率100%。指导督促企业完成执行报告的修改，修改完成率100%。</w:t>
            </w:r>
          </w:p>
          <w:p w:rsidR="006D1FB8" w:rsidRDefault="006D1FB8">
            <w:pPr>
              <w:rPr>
                <w:rFonts w:ascii="Calibri" w:eastAsia="微软雅黑"/>
                <w:szCs w:val="21"/>
              </w:rPr>
            </w:pPr>
          </w:p>
        </w:tc>
      </w:tr>
      <w:tr w:rsidR="006D1FB8" w:rsidTr="00241857">
        <w:trPr>
          <w:trHeight w:val="4648"/>
          <w:jc w:val="center"/>
        </w:trPr>
        <w:tc>
          <w:tcPr>
            <w:tcW w:w="2243" w:type="dxa"/>
            <w:tcBorders>
              <w:top w:val="single" w:sz="4" w:space="0" w:color="auto"/>
              <w:left w:val="single" w:sz="12" w:space="0" w:color="auto"/>
              <w:bottom w:val="single" w:sz="4" w:space="0" w:color="auto"/>
              <w:right w:val="single" w:sz="4" w:space="0" w:color="auto"/>
            </w:tcBorders>
            <w:vAlign w:val="center"/>
            <w:hideMark/>
          </w:tcPr>
          <w:p w:rsidR="006D1FB8" w:rsidRDefault="003204B8">
            <w:pPr>
              <w:jc w:val="center"/>
            </w:pPr>
            <w:r>
              <w:rPr>
                <w:rStyle w:val="font61"/>
                <w:rFonts w:hint="eastAsia"/>
                <w:b/>
                <w:bCs/>
              </w:rPr>
              <w:lastRenderedPageBreak/>
              <w:t>相关资质</w:t>
            </w:r>
          </w:p>
          <w:p w:rsidR="006D1FB8" w:rsidRDefault="003204B8">
            <w:pPr>
              <w:jc w:val="center"/>
            </w:pPr>
            <w:r>
              <w:rPr>
                <w:rStyle w:val="font61"/>
                <w:rFonts w:hint="eastAsia"/>
                <w:b/>
                <w:bCs/>
              </w:rPr>
              <w:t>认可或执</w:t>
            </w:r>
          </w:p>
          <w:p w:rsidR="006D1FB8" w:rsidRDefault="003204B8">
            <w:pPr>
              <w:jc w:val="center"/>
            </w:pPr>
            <w:r>
              <w:rPr>
                <w:rStyle w:val="font61"/>
                <w:rFonts w:hint="eastAsia"/>
                <w:b/>
                <w:bCs/>
              </w:rPr>
              <w:t>业许可证</w:t>
            </w:r>
          </w:p>
          <w:p w:rsidR="006D1FB8" w:rsidRDefault="003204B8">
            <w:pPr>
              <w:jc w:val="center"/>
            </w:pPr>
            <w:r>
              <w:rPr>
                <w:rStyle w:val="font61"/>
                <w:rFonts w:hint="eastAsia"/>
                <w:b/>
                <w:bCs/>
              </w:rPr>
              <w:t>明文件及</w:t>
            </w:r>
          </w:p>
          <w:p w:rsidR="006D1FB8" w:rsidRDefault="003204B8">
            <w:pPr>
              <w:jc w:val="center"/>
            </w:pPr>
            <w:r>
              <w:rPr>
                <w:rStyle w:val="font61"/>
                <w:rFonts w:hint="eastAsia"/>
                <w:b/>
                <w:bCs/>
              </w:rPr>
              <w:t>有效期</w:t>
            </w:r>
          </w:p>
        </w:tc>
        <w:tc>
          <w:tcPr>
            <w:tcW w:w="7804" w:type="dxa"/>
            <w:gridSpan w:val="4"/>
            <w:tcBorders>
              <w:top w:val="single" w:sz="4" w:space="0" w:color="auto"/>
              <w:left w:val="single" w:sz="4" w:space="0" w:color="auto"/>
              <w:bottom w:val="single" w:sz="4" w:space="0" w:color="auto"/>
              <w:right w:val="single" w:sz="12" w:space="0" w:color="auto"/>
            </w:tcBorders>
            <w:vAlign w:val="center"/>
            <w:hideMark/>
          </w:tcPr>
          <w:p w:rsidR="006D1FB8" w:rsidRDefault="003204B8">
            <w:pPr>
              <w:ind w:firstLineChars="200" w:firstLine="640"/>
              <w:rPr>
                <w:rFonts w:ascii="宋体" w:hAnsi="宋体" w:cs="宋体"/>
                <w:kern w:val="0"/>
                <w:sz w:val="24"/>
              </w:rPr>
            </w:pPr>
            <w:r>
              <w:rPr>
                <w:rStyle w:val="17"/>
                <w:rFonts w:cs="楷体_GB2312" w:hint="eastAsia"/>
              </w:rPr>
              <w:t>重庆市大渡口区污染物减排中心法人证书有效期自</w:t>
            </w:r>
            <w:r>
              <w:rPr>
                <w:rStyle w:val="17"/>
              </w:rPr>
              <w:t>2018</w:t>
            </w:r>
            <w:r>
              <w:rPr>
                <w:rStyle w:val="17"/>
                <w:rFonts w:cs="楷体_GB2312" w:hint="eastAsia"/>
              </w:rPr>
              <w:t>年</w:t>
            </w:r>
            <w:r>
              <w:rPr>
                <w:rStyle w:val="17"/>
              </w:rPr>
              <w:t>11</w:t>
            </w:r>
            <w:r>
              <w:rPr>
                <w:rStyle w:val="17"/>
                <w:rFonts w:cs="楷体_GB2312" w:hint="eastAsia"/>
              </w:rPr>
              <w:t>月</w:t>
            </w:r>
            <w:r>
              <w:rPr>
                <w:rStyle w:val="17"/>
              </w:rPr>
              <w:t>28</w:t>
            </w:r>
            <w:r>
              <w:rPr>
                <w:rStyle w:val="17"/>
                <w:rFonts w:cs="楷体_GB2312" w:hint="eastAsia"/>
              </w:rPr>
              <w:t>日至</w:t>
            </w:r>
            <w:r>
              <w:rPr>
                <w:rStyle w:val="17"/>
              </w:rPr>
              <w:t>2023</w:t>
            </w:r>
            <w:r>
              <w:rPr>
                <w:rStyle w:val="17"/>
                <w:rFonts w:cs="楷体_GB2312" w:hint="eastAsia"/>
              </w:rPr>
              <w:t>年</w:t>
            </w:r>
            <w:r>
              <w:rPr>
                <w:rStyle w:val="17"/>
              </w:rPr>
              <w:t>11</w:t>
            </w:r>
            <w:r>
              <w:rPr>
                <w:rStyle w:val="17"/>
                <w:rFonts w:cs="楷体_GB2312" w:hint="eastAsia"/>
              </w:rPr>
              <w:t>月</w:t>
            </w:r>
            <w:r>
              <w:rPr>
                <w:rStyle w:val="17"/>
              </w:rPr>
              <w:t>28</w:t>
            </w:r>
            <w:r>
              <w:rPr>
                <w:rStyle w:val="17"/>
                <w:rFonts w:cs="楷体_GB2312" w:hint="eastAsia"/>
              </w:rPr>
              <w:t>日。</w:t>
            </w:r>
          </w:p>
        </w:tc>
      </w:tr>
      <w:tr w:rsidR="006D1FB8" w:rsidTr="00241857">
        <w:trPr>
          <w:trHeight w:val="4393"/>
          <w:jc w:val="center"/>
        </w:trPr>
        <w:tc>
          <w:tcPr>
            <w:tcW w:w="2243" w:type="dxa"/>
            <w:tcBorders>
              <w:top w:val="single" w:sz="4" w:space="0" w:color="auto"/>
              <w:left w:val="single" w:sz="12"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绩效和受奖惩及诉讼投诉</w:t>
            </w:r>
          </w:p>
          <w:p w:rsidR="006D1FB8" w:rsidRDefault="003204B8">
            <w:pPr>
              <w:jc w:val="center"/>
            </w:pPr>
            <w:r>
              <w:rPr>
                <w:rStyle w:val="font61"/>
                <w:rFonts w:hint="eastAsia"/>
                <w:b/>
                <w:bCs/>
              </w:rPr>
              <w:t>情况</w:t>
            </w:r>
          </w:p>
        </w:tc>
        <w:tc>
          <w:tcPr>
            <w:tcW w:w="7804" w:type="dxa"/>
            <w:gridSpan w:val="4"/>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rStyle w:val="17"/>
                <w:rFonts w:cs="楷体_GB2312"/>
              </w:rPr>
            </w:pPr>
            <w:r>
              <w:rPr>
                <w:rStyle w:val="17"/>
                <w:rFonts w:cs="楷体_GB2312" w:hint="eastAsia"/>
              </w:rPr>
              <w:t>无</w:t>
            </w:r>
            <w:bookmarkStart w:id="0" w:name="_GoBack"/>
            <w:bookmarkEnd w:id="0"/>
          </w:p>
        </w:tc>
      </w:tr>
      <w:tr w:rsidR="006D1FB8" w:rsidTr="00241857">
        <w:trPr>
          <w:trHeight w:val="4529"/>
          <w:jc w:val="center"/>
        </w:trPr>
        <w:tc>
          <w:tcPr>
            <w:tcW w:w="2243" w:type="dxa"/>
            <w:tcBorders>
              <w:top w:val="single" w:sz="4" w:space="0" w:color="auto"/>
              <w:left w:val="single" w:sz="12" w:space="0" w:color="auto"/>
              <w:bottom w:val="single" w:sz="4" w:space="0" w:color="auto"/>
              <w:right w:val="single" w:sz="4" w:space="0" w:color="auto"/>
            </w:tcBorders>
            <w:vAlign w:val="center"/>
            <w:hideMark/>
          </w:tcPr>
          <w:p w:rsidR="006D1FB8" w:rsidRDefault="003204B8">
            <w:pPr>
              <w:jc w:val="center"/>
            </w:pPr>
            <w:r>
              <w:rPr>
                <w:rStyle w:val="font61"/>
                <w:rFonts w:hint="eastAsia"/>
                <w:b/>
                <w:bCs/>
              </w:rPr>
              <w:t>接受捐赠</w:t>
            </w:r>
          </w:p>
          <w:p w:rsidR="006D1FB8" w:rsidRDefault="003204B8">
            <w:pPr>
              <w:jc w:val="center"/>
            </w:pPr>
            <w:r>
              <w:rPr>
                <w:rStyle w:val="font61"/>
                <w:rFonts w:hint="eastAsia"/>
                <w:b/>
                <w:bCs/>
              </w:rPr>
              <w:t>资助及其</w:t>
            </w:r>
          </w:p>
          <w:p w:rsidR="006D1FB8" w:rsidRDefault="003204B8">
            <w:pPr>
              <w:jc w:val="center"/>
            </w:pPr>
            <w:r>
              <w:rPr>
                <w:rStyle w:val="font61"/>
                <w:rFonts w:hint="eastAsia"/>
                <w:b/>
                <w:bCs/>
              </w:rPr>
              <w:t>使用情况</w:t>
            </w:r>
          </w:p>
        </w:tc>
        <w:tc>
          <w:tcPr>
            <w:tcW w:w="7804" w:type="dxa"/>
            <w:gridSpan w:val="4"/>
            <w:tcBorders>
              <w:top w:val="single" w:sz="4" w:space="0" w:color="auto"/>
              <w:left w:val="single" w:sz="4" w:space="0" w:color="auto"/>
              <w:bottom w:val="single" w:sz="4" w:space="0" w:color="auto"/>
              <w:right w:val="single" w:sz="12" w:space="0" w:color="auto"/>
            </w:tcBorders>
            <w:vAlign w:val="center"/>
            <w:hideMark/>
          </w:tcPr>
          <w:p w:rsidR="006D1FB8" w:rsidRDefault="003204B8">
            <w:pPr>
              <w:jc w:val="center"/>
              <w:rPr>
                <w:rStyle w:val="17"/>
                <w:rFonts w:cs="楷体_GB2312"/>
              </w:rPr>
            </w:pPr>
            <w:r>
              <w:rPr>
                <w:rStyle w:val="17"/>
                <w:rFonts w:cs="楷体_GB2312" w:hint="eastAsia"/>
              </w:rPr>
              <w:t>无</w:t>
            </w:r>
          </w:p>
        </w:tc>
      </w:tr>
    </w:tbl>
    <w:p w:rsidR="003204B8" w:rsidRDefault="003204B8">
      <w:pPr>
        <w:jc w:val="left"/>
        <w:rPr>
          <w:rFonts w:ascii="楷体_GB2312" w:eastAsia="楷体_GB2312"/>
          <w:b/>
          <w:bCs/>
          <w:sz w:val="18"/>
        </w:rPr>
      </w:pPr>
    </w:p>
    <w:sectPr w:rsidR="003204B8" w:rsidSect="006D1FB8">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44" w:rsidRDefault="00036844" w:rsidP="00B70152">
      <w:r>
        <w:separator/>
      </w:r>
    </w:p>
  </w:endnote>
  <w:endnote w:type="continuationSeparator" w:id="1">
    <w:p w:rsidR="00036844" w:rsidRDefault="00036844" w:rsidP="00B7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44" w:rsidRDefault="00036844" w:rsidP="00B70152">
      <w:r>
        <w:separator/>
      </w:r>
    </w:p>
  </w:footnote>
  <w:footnote w:type="continuationSeparator" w:id="1">
    <w:p w:rsidR="00036844" w:rsidRDefault="00036844" w:rsidP="00B70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SnapToGridInCell/>
    <w:doNotWrapTextWithPunct/>
    <w:doNotUseEastAsianBreakRules/>
    <w:growAutofit/>
    <w:useFELayout/>
  </w:compat>
  <w:rsids>
    <w:rsidRoot w:val="00241857"/>
    <w:rsid w:val="00036844"/>
    <w:rsid w:val="00241857"/>
    <w:rsid w:val="003204B8"/>
    <w:rsid w:val="004418D1"/>
    <w:rsid w:val="006D1FB8"/>
    <w:rsid w:val="00B70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B8"/>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D1FB8"/>
    <w:rPr>
      <w:rFonts w:ascii="宋体" w:eastAsia="宋体" w:hAnsi="宋体" w:hint="eastAsia"/>
      <w:kern w:val="2"/>
      <w:sz w:val="18"/>
      <w:szCs w:val="18"/>
    </w:rPr>
  </w:style>
  <w:style w:type="paragraph" w:styleId="a4">
    <w:name w:val="footer"/>
    <w:basedOn w:val="a"/>
    <w:link w:val="Char0"/>
    <w:uiPriority w:val="99"/>
    <w:semiHidden/>
    <w:unhideWhenUsed/>
    <w:rsid w:val="006D1FB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D1FB8"/>
    <w:rPr>
      <w:rFonts w:ascii="宋体" w:eastAsia="宋体" w:hAnsi="宋体" w:hint="eastAsia"/>
      <w:kern w:val="2"/>
      <w:sz w:val="18"/>
      <w:szCs w:val="18"/>
    </w:rPr>
  </w:style>
  <w:style w:type="paragraph" w:styleId="a5">
    <w:name w:val="Balloon Text"/>
    <w:basedOn w:val="a"/>
    <w:link w:val="Char1"/>
    <w:uiPriority w:val="99"/>
    <w:semiHidden/>
    <w:unhideWhenUsed/>
    <w:rsid w:val="006D1FB8"/>
    <w:rPr>
      <w:sz w:val="18"/>
      <w:szCs w:val="18"/>
    </w:rPr>
  </w:style>
  <w:style w:type="character" w:customStyle="1" w:styleId="Char1">
    <w:name w:val="批注框文本 Char"/>
    <w:basedOn w:val="a0"/>
    <w:link w:val="a5"/>
    <w:uiPriority w:val="99"/>
    <w:semiHidden/>
    <w:locked/>
    <w:rsid w:val="006D1FB8"/>
    <w:rPr>
      <w:rFonts w:ascii="宋体" w:eastAsia="宋体" w:hAnsi="宋体" w:hint="eastAsia"/>
      <w:kern w:val="2"/>
      <w:sz w:val="18"/>
      <w:szCs w:val="18"/>
    </w:rPr>
  </w:style>
  <w:style w:type="paragraph" w:customStyle="1" w:styleId="font1">
    <w:name w:val="font1"/>
    <w:basedOn w:val="a"/>
    <w:rsid w:val="006D1FB8"/>
    <w:pPr>
      <w:widowControl/>
      <w:spacing w:before="100" w:beforeAutospacing="1" w:after="100" w:afterAutospacing="1"/>
      <w:jc w:val="left"/>
    </w:pPr>
    <w:rPr>
      <w:rFonts w:ascii="宋体" w:eastAsia="仿宋_GB2312" w:hAnsi="宋体" w:cs="宋体"/>
      <w:kern w:val="0"/>
      <w:sz w:val="30"/>
    </w:rPr>
  </w:style>
  <w:style w:type="paragraph" w:customStyle="1" w:styleId="font2">
    <w:name w:val="font2"/>
    <w:basedOn w:val="a"/>
    <w:rsid w:val="006D1FB8"/>
    <w:pPr>
      <w:widowControl/>
      <w:spacing w:before="100" w:beforeAutospacing="1" w:after="100" w:afterAutospacing="1"/>
      <w:jc w:val="left"/>
    </w:pPr>
    <w:rPr>
      <w:rFonts w:eastAsia="楷体_GB2312" w:hAnsi="宋体" w:cs="宋体"/>
      <w:kern w:val="0"/>
      <w:sz w:val="30"/>
    </w:rPr>
  </w:style>
  <w:style w:type="paragraph" w:customStyle="1" w:styleId="font3">
    <w:name w:val="font3"/>
    <w:basedOn w:val="a"/>
    <w:rsid w:val="006D1FB8"/>
    <w:pPr>
      <w:widowControl/>
      <w:spacing w:before="100" w:beforeAutospacing="1" w:after="100" w:afterAutospacing="1"/>
      <w:jc w:val="left"/>
    </w:pPr>
    <w:rPr>
      <w:rFonts w:eastAsia="黑体" w:hAnsi="黑体" w:cs="宋体"/>
      <w:spacing w:val="40"/>
      <w:kern w:val="0"/>
      <w:sz w:val="52"/>
    </w:rPr>
  </w:style>
  <w:style w:type="paragraph" w:customStyle="1" w:styleId="font4">
    <w:name w:val="font4"/>
    <w:basedOn w:val="a"/>
    <w:rsid w:val="006D1FB8"/>
    <w:pPr>
      <w:widowControl/>
      <w:spacing w:before="100" w:beforeAutospacing="1" w:after="100" w:afterAutospacing="1"/>
      <w:jc w:val="left"/>
    </w:pPr>
    <w:rPr>
      <w:rFonts w:ascii="宋体" w:eastAsia="楷体_GB2312" w:hAnsi="宋体" w:cs="宋体"/>
      <w:spacing w:val="30"/>
      <w:kern w:val="0"/>
      <w:sz w:val="36"/>
    </w:rPr>
  </w:style>
  <w:style w:type="paragraph" w:customStyle="1" w:styleId="font5">
    <w:name w:val="font5"/>
    <w:basedOn w:val="a"/>
    <w:rsid w:val="006D1FB8"/>
    <w:pPr>
      <w:widowControl/>
      <w:spacing w:before="100" w:beforeAutospacing="1" w:after="100" w:afterAutospacing="1"/>
      <w:jc w:val="left"/>
    </w:pPr>
    <w:rPr>
      <w:rFonts w:ascii="黑体" w:eastAsia="黑体" w:hAnsi="黑体" w:cs="宋体"/>
      <w:kern w:val="0"/>
      <w:sz w:val="36"/>
    </w:rPr>
  </w:style>
  <w:style w:type="paragraph" w:customStyle="1" w:styleId="font6">
    <w:name w:val="font6"/>
    <w:basedOn w:val="a"/>
    <w:rsid w:val="006D1FB8"/>
    <w:pPr>
      <w:widowControl/>
      <w:spacing w:before="100" w:beforeAutospacing="1" w:after="100" w:afterAutospacing="1"/>
      <w:jc w:val="left"/>
    </w:pPr>
    <w:rPr>
      <w:rFonts w:eastAsia="楷体_GB2312" w:hAnsi="宋体" w:cs="宋体"/>
      <w:kern w:val="0"/>
      <w:sz w:val="32"/>
    </w:rPr>
  </w:style>
  <w:style w:type="paragraph" w:customStyle="1" w:styleId="font7">
    <w:name w:val="font7"/>
    <w:basedOn w:val="a"/>
    <w:rsid w:val="006D1FB8"/>
    <w:pPr>
      <w:widowControl/>
      <w:spacing w:before="100" w:beforeAutospacing="1" w:after="100" w:afterAutospacing="1"/>
      <w:jc w:val="left"/>
    </w:pPr>
    <w:rPr>
      <w:rFonts w:eastAsia="楷体_GB2312" w:hAnsi="宋体" w:cs="宋体"/>
      <w:kern w:val="0"/>
      <w:sz w:val="28"/>
    </w:rPr>
  </w:style>
  <w:style w:type="paragraph" w:customStyle="1" w:styleId="font8">
    <w:name w:val="font8"/>
    <w:basedOn w:val="a"/>
    <w:rsid w:val="006D1FB8"/>
    <w:pPr>
      <w:widowControl/>
      <w:spacing w:before="100" w:beforeAutospacing="1" w:after="100" w:afterAutospacing="1"/>
      <w:jc w:val="left"/>
    </w:pPr>
    <w:rPr>
      <w:rFonts w:eastAsia="楷体_GB2312" w:hAnsi="宋体" w:cs="宋体"/>
      <w:kern w:val="0"/>
      <w:sz w:val="24"/>
    </w:rPr>
  </w:style>
  <w:style w:type="character" w:customStyle="1" w:styleId="font11">
    <w:name w:val="font11"/>
    <w:basedOn w:val="a0"/>
    <w:rsid w:val="006D1FB8"/>
    <w:rPr>
      <w:rFonts w:ascii="仿宋_GB2312" w:eastAsia="仿宋_GB2312" w:hint="eastAsia"/>
      <w:sz w:val="30"/>
      <w:szCs w:val="24"/>
    </w:rPr>
  </w:style>
  <w:style w:type="character" w:customStyle="1" w:styleId="font21">
    <w:name w:val="font21"/>
    <w:basedOn w:val="a0"/>
    <w:rsid w:val="006D1FB8"/>
    <w:rPr>
      <w:rFonts w:ascii="Times New Roman" w:eastAsia="楷体_GB2312" w:hAnsi="Times New Roman" w:cs="Times New Roman" w:hint="default"/>
      <w:sz w:val="30"/>
      <w:szCs w:val="24"/>
    </w:rPr>
  </w:style>
  <w:style w:type="character" w:customStyle="1" w:styleId="font31">
    <w:name w:val="font31"/>
    <w:basedOn w:val="a0"/>
    <w:rsid w:val="006D1FB8"/>
    <w:rPr>
      <w:rFonts w:ascii="Times New Roman" w:eastAsia="黑体" w:hAnsi="黑体" w:cs="Times New Roman" w:hint="default"/>
      <w:spacing w:val="40"/>
      <w:sz w:val="52"/>
      <w:szCs w:val="24"/>
    </w:rPr>
  </w:style>
  <w:style w:type="character" w:customStyle="1" w:styleId="font41">
    <w:name w:val="font41"/>
    <w:basedOn w:val="a0"/>
    <w:rsid w:val="006D1FB8"/>
    <w:rPr>
      <w:rFonts w:ascii="楷体_GB2312" w:eastAsia="楷体_GB2312" w:hint="eastAsia"/>
      <w:spacing w:val="30"/>
      <w:sz w:val="36"/>
      <w:szCs w:val="24"/>
    </w:rPr>
  </w:style>
  <w:style w:type="character" w:customStyle="1" w:styleId="font51">
    <w:name w:val="font51"/>
    <w:basedOn w:val="a0"/>
    <w:rsid w:val="006D1FB8"/>
    <w:rPr>
      <w:rFonts w:ascii="黑体" w:eastAsia="黑体" w:hAnsi="黑体" w:hint="eastAsia"/>
      <w:sz w:val="36"/>
      <w:szCs w:val="24"/>
    </w:rPr>
  </w:style>
  <w:style w:type="character" w:customStyle="1" w:styleId="font61">
    <w:name w:val="font61"/>
    <w:basedOn w:val="a0"/>
    <w:rsid w:val="006D1FB8"/>
    <w:rPr>
      <w:rFonts w:ascii="Times New Roman" w:eastAsia="楷体_GB2312" w:hAnsi="Times New Roman" w:cs="Times New Roman" w:hint="default"/>
      <w:sz w:val="32"/>
      <w:szCs w:val="24"/>
    </w:rPr>
  </w:style>
  <w:style w:type="character" w:customStyle="1" w:styleId="font71">
    <w:name w:val="font71"/>
    <w:basedOn w:val="a0"/>
    <w:rsid w:val="006D1FB8"/>
    <w:rPr>
      <w:rFonts w:ascii="Times New Roman" w:eastAsia="楷体_GB2312" w:hAnsi="Times New Roman" w:cs="Times New Roman" w:hint="default"/>
      <w:sz w:val="28"/>
      <w:szCs w:val="24"/>
    </w:rPr>
  </w:style>
  <w:style w:type="character" w:customStyle="1" w:styleId="17">
    <w:name w:val="17"/>
    <w:basedOn w:val="a0"/>
    <w:rsid w:val="006D1FB8"/>
    <w:rPr>
      <w:rFonts w:ascii="Times New Roman" w:eastAsia="楷体_GB2312" w:hAnsi="Times New Roman" w:cs="Times New Roman"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rFonts w:ascii="宋体" w:eastAsia="宋体" w:hAnsi="宋体" w:hint="eastAsia"/>
      <w:kern w:val="2"/>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ascii="宋体" w:eastAsia="宋体" w:hAnsi="宋体" w:hint="eastAsia"/>
      <w:kern w:val="2"/>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rFonts w:ascii="宋体" w:eastAsia="宋体" w:hAnsi="宋体" w:hint="eastAsia"/>
      <w:kern w:val="2"/>
      <w:sz w:val="18"/>
      <w:szCs w:val="18"/>
    </w:rPr>
  </w:style>
  <w:style w:type="paragraph" w:customStyle="1" w:styleId="font1">
    <w:name w:val="font1"/>
    <w:basedOn w:val="a"/>
    <w:pPr>
      <w:widowControl/>
      <w:spacing w:before="100" w:beforeAutospacing="1" w:after="100" w:afterAutospacing="1"/>
      <w:jc w:val="left"/>
    </w:pPr>
    <w:rPr>
      <w:rFonts w:ascii="宋体" w:eastAsia="仿宋_GB2312" w:hAnsi="宋体" w:cs="宋体"/>
      <w:kern w:val="0"/>
      <w:sz w:val="30"/>
    </w:rPr>
  </w:style>
  <w:style w:type="paragraph" w:customStyle="1" w:styleId="font2">
    <w:name w:val="font2"/>
    <w:basedOn w:val="a"/>
    <w:pPr>
      <w:widowControl/>
      <w:spacing w:before="100" w:beforeAutospacing="1" w:after="100" w:afterAutospacing="1"/>
      <w:jc w:val="left"/>
    </w:pPr>
    <w:rPr>
      <w:rFonts w:eastAsia="楷体_GB2312" w:hAnsi="宋体" w:cs="宋体"/>
      <w:kern w:val="0"/>
      <w:sz w:val="30"/>
    </w:rPr>
  </w:style>
  <w:style w:type="paragraph" w:customStyle="1" w:styleId="font3">
    <w:name w:val="font3"/>
    <w:basedOn w:val="a"/>
    <w:pPr>
      <w:widowControl/>
      <w:spacing w:before="100" w:beforeAutospacing="1" w:after="100" w:afterAutospacing="1"/>
      <w:jc w:val="left"/>
    </w:pPr>
    <w:rPr>
      <w:rFonts w:eastAsia="黑体" w:hAnsi="黑体" w:cs="宋体"/>
      <w:spacing w:val="40"/>
      <w:kern w:val="0"/>
      <w:sz w:val="52"/>
    </w:rPr>
  </w:style>
  <w:style w:type="paragraph" w:customStyle="1" w:styleId="font4">
    <w:name w:val="font4"/>
    <w:basedOn w:val="a"/>
    <w:pPr>
      <w:widowControl/>
      <w:spacing w:before="100" w:beforeAutospacing="1" w:after="100" w:afterAutospacing="1"/>
      <w:jc w:val="left"/>
    </w:pPr>
    <w:rPr>
      <w:rFonts w:ascii="宋体" w:eastAsia="楷体_GB2312" w:hAnsi="宋体" w:cs="宋体"/>
      <w:spacing w:val="30"/>
      <w:kern w:val="0"/>
      <w:sz w:val="36"/>
    </w:rPr>
  </w:style>
  <w:style w:type="paragraph" w:customStyle="1" w:styleId="font5">
    <w:name w:val="font5"/>
    <w:basedOn w:val="a"/>
    <w:pPr>
      <w:widowControl/>
      <w:spacing w:before="100" w:beforeAutospacing="1" w:after="100" w:afterAutospacing="1"/>
      <w:jc w:val="left"/>
    </w:pPr>
    <w:rPr>
      <w:rFonts w:ascii="黑体" w:eastAsia="黑体" w:hAnsi="黑体" w:cs="宋体"/>
      <w:kern w:val="0"/>
      <w:sz w:val="36"/>
    </w:rPr>
  </w:style>
  <w:style w:type="paragraph" w:customStyle="1" w:styleId="font6">
    <w:name w:val="font6"/>
    <w:basedOn w:val="a"/>
    <w:pPr>
      <w:widowControl/>
      <w:spacing w:before="100" w:beforeAutospacing="1" w:after="100" w:afterAutospacing="1"/>
      <w:jc w:val="left"/>
    </w:pPr>
    <w:rPr>
      <w:rFonts w:eastAsia="楷体_GB2312" w:hAnsi="宋体" w:cs="宋体"/>
      <w:kern w:val="0"/>
      <w:sz w:val="32"/>
    </w:rPr>
  </w:style>
  <w:style w:type="paragraph" w:customStyle="1" w:styleId="font7">
    <w:name w:val="font7"/>
    <w:basedOn w:val="a"/>
    <w:pPr>
      <w:widowControl/>
      <w:spacing w:before="100" w:beforeAutospacing="1" w:after="100" w:afterAutospacing="1"/>
      <w:jc w:val="left"/>
    </w:pPr>
    <w:rPr>
      <w:rFonts w:eastAsia="楷体_GB2312" w:hAnsi="宋体" w:cs="宋体"/>
      <w:kern w:val="0"/>
      <w:sz w:val="28"/>
    </w:rPr>
  </w:style>
  <w:style w:type="paragraph" w:customStyle="1" w:styleId="font8">
    <w:name w:val="font8"/>
    <w:basedOn w:val="a"/>
    <w:pPr>
      <w:widowControl/>
      <w:spacing w:before="100" w:beforeAutospacing="1" w:after="100" w:afterAutospacing="1"/>
      <w:jc w:val="left"/>
    </w:pPr>
    <w:rPr>
      <w:rFonts w:eastAsia="楷体_GB2312" w:hAnsi="宋体" w:cs="宋体"/>
      <w:kern w:val="0"/>
      <w:sz w:val="24"/>
    </w:rPr>
  </w:style>
  <w:style w:type="character" w:customStyle="1" w:styleId="font11">
    <w:name w:val="font11"/>
    <w:basedOn w:val="a0"/>
    <w:rPr>
      <w:rFonts w:ascii="仿宋_GB2312" w:eastAsia="仿宋_GB2312" w:hint="eastAsia"/>
      <w:sz w:val="30"/>
      <w:szCs w:val="24"/>
    </w:rPr>
  </w:style>
  <w:style w:type="character" w:customStyle="1" w:styleId="font21">
    <w:name w:val="font21"/>
    <w:basedOn w:val="a0"/>
    <w:rPr>
      <w:rFonts w:ascii="Times New Roman" w:eastAsia="楷体_GB2312" w:hAnsi="Times New Roman" w:cs="Times New Roman" w:hint="default"/>
      <w:sz w:val="30"/>
      <w:szCs w:val="24"/>
    </w:rPr>
  </w:style>
  <w:style w:type="character" w:customStyle="1" w:styleId="font31">
    <w:name w:val="font31"/>
    <w:basedOn w:val="a0"/>
    <w:rPr>
      <w:rFonts w:ascii="Times New Roman" w:eastAsia="黑体" w:hAnsi="黑体" w:cs="Times New Roman" w:hint="default"/>
      <w:spacing w:val="40"/>
      <w:sz w:val="52"/>
      <w:szCs w:val="24"/>
    </w:rPr>
  </w:style>
  <w:style w:type="character" w:customStyle="1" w:styleId="font41">
    <w:name w:val="font41"/>
    <w:basedOn w:val="a0"/>
    <w:rPr>
      <w:rFonts w:ascii="楷体_GB2312" w:eastAsia="楷体_GB2312" w:hint="eastAsia"/>
      <w:spacing w:val="30"/>
      <w:sz w:val="36"/>
      <w:szCs w:val="24"/>
    </w:rPr>
  </w:style>
  <w:style w:type="character" w:customStyle="1" w:styleId="font51">
    <w:name w:val="font51"/>
    <w:basedOn w:val="a0"/>
    <w:rPr>
      <w:rFonts w:ascii="黑体" w:eastAsia="黑体" w:hAnsi="黑体" w:hint="eastAsia"/>
      <w:sz w:val="36"/>
      <w:szCs w:val="24"/>
    </w:rPr>
  </w:style>
  <w:style w:type="character" w:customStyle="1" w:styleId="font61">
    <w:name w:val="font61"/>
    <w:basedOn w:val="a0"/>
    <w:rPr>
      <w:rFonts w:ascii="Times New Roman" w:eastAsia="楷体_GB2312" w:hAnsi="Times New Roman" w:cs="Times New Roman" w:hint="default"/>
      <w:sz w:val="32"/>
      <w:szCs w:val="24"/>
    </w:rPr>
  </w:style>
  <w:style w:type="character" w:customStyle="1" w:styleId="font71">
    <w:name w:val="font71"/>
    <w:basedOn w:val="a0"/>
    <w:rPr>
      <w:rFonts w:ascii="Times New Roman" w:eastAsia="楷体_GB2312" w:hAnsi="Times New Roman" w:cs="Times New Roman" w:hint="default"/>
      <w:sz w:val="28"/>
      <w:szCs w:val="24"/>
    </w:rPr>
  </w:style>
  <w:style w:type="character" w:customStyle="1" w:styleId="17">
    <w:name w:val="17"/>
    <w:basedOn w:val="a0"/>
    <w:rPr>
      <w:rFonts w:ascii="Times New Roman" w:eastAsia="楷体_GB2312"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NTKO</cp:lastModifiedBy>
  <cp:revision>4</cp:revision>
  <dcterms:created xsi:type="dcterms:W3CDTF">2023-07-20T07:56:00Z</dcterms:created>
  <dcterms:modified xsi:type="dcterms:W3CDTF">2023-07-20T07:58:00Z</dcterms:modified>
</cp:coreProperties>
</file>