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right"/>
        <w:rPr>
          <w:lang w:eastAsia="zh-CN"/>
        </w:rPr>
      </w:pPr>
    </w:p>
    <w:tbl>
      <w:tblPr>
        <w:tblW w:w="0" w:type="auto"/>
        <w:tblInd w:w="55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919"/>
        <w:gridCol w:w="4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shd w:val="clear"/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20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统一社会信用代码</w:t>
            </w:r>
          </w:p>
        </w:tc>
        <w:tc>
          <w:tcPr>
            <w:tcW w:w="566" w:type="dxa"/>
            <w:shd w:val="clear"/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shd w:val="clear"/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520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125001044504275033</w:t>
            </w:r>
          </w:p>
        </w:tc>
        <w:tc>
          <w:tcPr>
            <w:tcW w:w="566" w:type="dxa"/>
            <w:shd w:val="clear"/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jc w:val="right"/>
        <w:rPr>
          <w:lang w:eastAsia="zh-CN"/>
        </w:rPr>
      </w:pPr>
    </w:p>
    <w:p>
      <w:pPr>
        <w:jc w:val="right"/>
        <w:rPr>
          <w:lang w:eastAsia="zh-CN"/>
        </w:rPr>
      </w:pPr>
    </w:p>
    <w:p>
      <w:pPr>
        <w:jc w:val="right"/>
        <w:rPr>
          <w:lang w:eastAsia="zh-CN"/>
        </w:rPr>
      </w:pPr>
    </w:p>
    <w:p>
      <w:pPr>
        <w:jc w:val="right"/>
        <w:rPr>
          <w:lang w:eastAsia="zh-CN"/>
        </w:rPr>
      </w:pPr>
    </w:p>
    <w:p>
      <w:pPr>
        <w:jc w:val="center"/>
      </w:pPr>
      <w:r>
        <w:rPr>
          <w:rStyle w:val="22"/>
          <w:b/>
          <w:bCs/>
          <w:lang w:eastAsia="zh-CN"/>
        </w:rPr>
        <w:t>事业单位法人年度报告书</w:t>
      </w:r>
    </w:p>
    <w:p>
      <w:pPr>
        <w:jc w:val="center"/>
        <w:rPr>
          <w:rFonts w:eastAsia="黑体"/>
          <w:b/>
          <w:bCs/>
          <w:spacing w:val="30"/>
          <w:lang w:eastAsia="zh-CN"/>
        </w:rPr>
      </w:pP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814"/>
        <w:gridCol w:w="1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（</w:t>
            </w:r>
          </w:p>
        </w:tc>
        <w:tc>
          <w:tcPr>
            <w:tcW w:w="1814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2023</w:t>
            </w:r>
          </w:p>
        </w:tc>
        <w:tc>
          <w:tcPr>
            <w:tcW w:w="1440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）年度</w:t>
            </w:r>
          </w:p>
        </w:tc>
      </w:tr>
    </w:tbl>
    <w:p>
      <w:pPr>
        <w:jc w:val="center"/>
        <w:rPr>
          <w:b/>
          <w:bCs/>
          <w:lang w:eastAsia="zh-CN"/>
        </w:rPr>
      </w:pP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405" w:type="dxa"/>
            <w:shd w:val="clear"/>
            <w:vAlign w:val="bottom"/>
          </w:tcPr>
          <w:p>
            <w:pPr>
              <w:jc w:val="distribute"/>
            </w:pPr>
            <w:r>
              <w:rPr>
                <w:rStyle w:val="24"/>
                <w:b/>
                <w:bCs/>
                <w:bdr w:val="none" w:color="auto" w:sz="0" w:space="0"/>
              </w:rPr>
              <w:t>单 位 名 称</w:t>
            </w:r>
          </w:p>
        </w:tc>
        <w:tc>
          <w:tcPr>
            <w:tcW w:w="529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vAlign w:val="bottom"/>
          </w:tcPr>
          <w:p>
            <w:pPr>
              <w:jc w:val="center"/>
            </w:pPr>
            <w:r>
              <w:rPr>
                <w:rStyle w:val="25"/>
                <w:bdr w:val="none" w:color="auto" w:sz="0" w:space="0"/>
              </w:rPr>
              <w:t>重庆市大渡口区百花小学</w:t>
            </w:r>
          </w:p>
        </w:tc>
      </w:tr>
    </w:tbl>
    <w:p>
      <w:pPr>
        <w:rPr>
          <w:rFonts w:hint="eastAsia" w:ascii="黑体" w:hAnsi="宋体" w:eastAsia="黑体" w:cs="黑体"/>
          <w:b/>
          <w:bCs/>
          <w:sz w:val="24"/>
          <w:szCs w:val="24"/>
          <w:u w:val="single"/>
          <w:lang w:eastAsia="zh-CN"/>
        </w:rPr>
      </w:pP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5"/>
        <w:gridCol w:w="52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365" w:type="dxa"/>
            <w:shd w:val="clear"/>
            <w:vAlign w:val="bottom"/>
          </w:tcPr>
          <w:p>
            <w:pPr>
              <w:jc w:val="distribute"/>
            </w:pPr>
            <w:r>
              <w:rPr>
                <w:rStyle w:val="24"/>
                <w:b/>
                <w:bCs/>
                <w:bdr w:val="none" w:color="auto" w:sz="0" w:space="0"/>
              </w:rPr>
              <w:t>法</w:t>
            </w:r>
            <w:r>
              <w:rPr>
                <w:rStyle w:val="24"/>
                <w:b/>
                <w:bCs/>
                <w:spacing w:val="30"/>
                <w:bdr w:val="none" w:color="auto" w:sz="0" w:space="0"/>
              </w:rPr>
              <w:t>定代表</w:t>
            </w:r>
            <w:r>
              <w:rPr>
                <w:rStyle w:val="24"/>
                <w:b/>
                <w:bCs/>
                <w:bdr w:val="none" w:color="auto" w:sz="0" w:space="0"/>
              </w:rPr>
              <w:t>人</w:t>
            </w:r>
          </w:p>
        </w:tc>
        <w:tc>
          <w:tcPr>
            <w:tcW w:w="525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vAlign w:val="bottom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ind w:left="0" w:firstLine="723" w:firstLineChars="300"/>
        <w:rPr>
          <w:rFonts w:hint="eastAsia" w:ascii="黑体" w:hAnsi="宋体" w:eastAsia="黑体" w:cs="黑体"/>
          <w:b/>
          <w:bCs/>
          <w:sz w:val="24"/>
          <w:szCs w:val="24"/>
          <w:u w:val="single"/>
          <w:lang w:eastAsia="zh-CN"/>
        </w:rPr>
      </w:pP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405" w:type="dxa"/>
            <w:shd w:val="clear"/>
            <w:vAlign w:val="bottom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 xml:space="preserve"> </w:t>
            </w:r>
          </w:p>
        </w:tc>
      </w:tr>
    </w:tbl>
    <w:p>
      <w:pPr>
        <w:jc w:val="center"/>
        <w:rPr>
          <w:rFonts w:hint="eastAsia" w:ascii="黑体" w:hAnsi="宋体" w:eastAsia="黑体" w:cs="黑体"/>
          <w:b/>
          <w:bCs/>
          <w:sz w:val="30"/>
          <w:szCs w:val="24"/>
          <w:u w:val="single"/>
          <w:lang w:val="en-US"/>
        </w:rPr>
      </w:pPr>
      <w:r>
        <w:rPr>
          <w:rFonts w:hint="eastAsia" w:ascii="黑体" w:hAnsi="宋体" w:eastAsia="黑体" w:cs="黑体"/>
          <w:b/>
          <w:bCs/>
          <w:sz w:val="30"/>
          <w:szCs w:val="24"/>
          <w:u w:val="single"/>
          <w:lang w:val="en-US"/>
        </w:rPr>
        <w:t> </w:t>
      </w:r>
    </w:p>
    <w:p>
      <w:pPr>
        <w:jc w:val="center"/>
        <w:rPr>
          <w:u w:val="single"/>
          <w:lang w:eastAsia="zh-CN"/>
        </w:rPr>
      </w:pPr>
      <w:r>
        <w:rPr>
          <w:u w:val="single"/>
          <w:lang w:eastAsia="zh-CN"/>
        </w:rPr>
        <w:t> </w:t>
      </w:r>
    </w:p>
    <w:p>
      <w:pPr>
        <w:jc w:val="center"/>
      </w:pPr>
      <w:r>
        <w:rPr>
          <w:rStyle w:val="25"/>
          <w:b/>
          <w:bCs/>
          <w:lang w:eastAsia="zh-CN"/>
        </w:rPr>
        <w:t>国家事业单位登记管理局制</w:t>
      </w:r>
    </w:p>
    <w:p>
      <w:pPr>
        <w:rPr>
          <w:u w:val="single"/>
          <w:lang w:eastAsia="zh-CN"/>
        </w:rPr>
      </w:pPr>
      <w:r>
        <w:rPr>
          <w:u w:val="single"/>
          <w:lang w:eastAsia="zh-CN"/>
        </w:rPr>
        <w:t> </w:t>
      </w:r>
    </w:p>
    <w:tbl>
      <w:tblPr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1"/>
        <w:gridCol w:w="2287"/>
        <w:gridCol w:w="1480"/>
        <w:gridCol w:w="1930"/>
        <w:gridCol w:w="195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211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《事业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单位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法人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证书》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登载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事项</w:t>
            </w:r>
          </w:p>
        </w:tc>
        <w:tc>
          <w:tcPr>
            <w:tcW w:w="228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单位名称</w:t>
            </w:r>
          </w:p>
        </w:tc>
        <w:tc>
          <w:tcPr>
            <w:tcW w:w="5361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重庆市大渡口区百花小学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2111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宗 旨 和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业务范围</w:t>
            </w:r>
          </w:p>
        </w:tc>
        <w:tc>
          <w:tcPr>
            <w:tcW w:w="5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贯彻党的教育方针。 小学义务教育 学前班幼儿教学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1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住    所</w:t>
            </w:r>
          </w:p>
        </w:tc>
        <w:tc>
          <w:tcPr>
            <w:tcW w:w="5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重庆市大渡口区钢花路1143号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1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法定代表人</w:t>
            </w:r>
          </w:p>
        </w:tc>
        <w:tc>
          <w:tcPr>
            <w:tcW w:w="5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王江城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1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开办资金</w:t>
            </w:r>
          </w:p>
        </w:tc>
        <w:tc>
          <w:tcPr>
            <w:tcW w:w="5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left"/>
            </w:pPr>
            <w:r>
              <w:rPr>
                <w:rStyle w:val="25"/>
                <w:bdr w:val="none" w:color="auto" w:sz="0" w:space="0"/>
              </w:rPr>
              <w:t>311万元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1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经费来源</w:t>
            </w:r>
          </w:p>
        </w:tc>
        <w:tc>
          <w:tcPr>
            <w:tcW w:w="5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 xml:space="preserve">财政补助 （全额拨款）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1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举办单位</w:t>
            </w:r>
          </w:p>
        </w:tc>
        <w:tc>
          <w:tcPr>
            <w:tcW w:w="5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重庆市大渡口区教育委员会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1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资产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损益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情况</w:t>
            </w:r>
          </w:p>
        </w:tc>
        <w:tc>
          <w:tcPr>
            <w:tcW w:w="76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净资产合计（所有者权益合计）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1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年初数（万元）</w:t>
            </w:r>
          </w:p>
        </w:tc>
        <w:tc>
          <w:tcPr>
            <w:tcW w:w="3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年末数（万元）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1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dr w:val="none" w:color="auto" w:sz="0" w:space="0"/>
              </w:rPr>
              <w:t>800.8</w:t>
            </w:r>
          </w:p>
        </w:tc>
        <w:tc>
          <w:tcPr>
            <w:tcW w:w="3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dr w:val="none" w:color="auto" w:sz="0" w:space="0"/>
              </w:rPr>
              <w:t>774.79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1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网上名称</w:t>
            </w:r>
          </w:p>
        </w:tc>
        <w:tc>
          <w:tcPr>
            <w:tcW w:w="3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r>
              <w:rPr>
                <w:rStyle w:val="25"/>
                <w:bdr w:val="none" w:color="auto" w:sz="0" w:space="0"/>
              </w:rPr>
              <w:t>无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从业人数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dr w:val="none" w:color="auto" w:sz="0" w:space="0"/>
              </w:rPr>
              <w:t>58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5" w:hRule="atLeast"/>
          <w:jc w:val="center"/>
        </w:trPr>
        <w:tc>
          <w:tcPr>
            <w:tcW w:w="211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对《条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例》和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实施细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则有关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变更登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记规定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的执行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情 况</w:t>
            </w:r>
          </w:p>
        </w:tc>
        <w:tc>
          <w:tcPr>
            <w:tcW w:w="76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6"/>
                <w:bdr w:val="none" w:color="auto" w:sz="0" w:space="0"/>
              </w:rPr>
              <w:t>我单位今年以来登记事项未发生变化。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0" w:hRule="atLeast"/>
          <w:jc w:val="center"/>
        </w:trPr>
        <w:tc>
          <w:tcPr>
            <w:tcW w:w="211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开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展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业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务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活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动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情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况</w:t>
            </w:r>
          </w:p>
        </w:tc>
        <w:tc>
          <w:tcPr>
            <w:tcW w:w="7648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5"/>
                <w:bdr w:val="none" w:color="auto" w:sz="0" w:space="0"/>
              </w:rPr>
              <w:t>本学年我校以习近平新时代中国特色社会主义思想为指导，在 “多维一体，教育大渡”的大渡教育理念统领下，坚持立德树人、以人为本，大力实施教师队伍建设、德育工作创新、教学质量提升、精细管理深化、特色品牌打造五大工程，解放思想，抢抓机遇，不断谱写学校全面、协调、可持续发展新篇章。现将学校各项工作总结如下： 一、开展的主要工作 （一）党建工作。党员及骨干教师每天坚持完成《学习强国》，本学期党员干部教师谈心谈话125人次，党群关系、干群关系融洽。在岗教师全部参加了民生大走访，其中党员到社区报道宣传教育岗，为群众办实事好事。 （二）教学工作。学校努力构建“德智体美劳”全面发展的人才培养体系，以全学科阅读推进阅读活动的纵深发展，促使我校中小学生课外阅读课程化、系统化、全科化。通过亲子阅读、师生共读、生生换读、听写比赛、背诵比赛等方式，充分展现出了百花师生的阅读风采。组织骨干教师献课13节，搭建了很好的教学研究平台。 （三）教研工作。一是骨干教师献课。二是新教师展示课。三是青年教师基本功大赛。组织了35岁以下青年教师课堂教学设计及课件制作比赛。 （四）开展学生德育活动。采取多重有效途径加强对学生爱祖国、爱家乡、爱生活、爱劳动。扎实推进学生体育健康管理。开展学生关爱工作。 （五）工会后勤服务活动。学校工会除了从教学和生活上给予教职工更多支持和帮助外，从下学年开始，工会将有计划地开展促进教职工身心健康知识的宣传活动，多关心职工身体健康，组织好健康知识答卷和健康讲座等活动，使教职工的身心能够得到调整，促进教职工更好地工作、生活。 二、取得的主要效益。近两年，我校上下一心，团结一致，直面学校的困难和处境，不气馁不自卑，以从头再来的勇气和豪气，优化制度，埋头苦干，取得了一些成绩，学校面貌及内涵都有所改变，得到了家长、社会的一致好评。 三、下一步打算。 加强基础设施建设，进一步改善办学条件，优化学校制度建设，不断提高管理水平，以更好的教育教学工作成绩回馈社会与家长。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3" w:hRule="atLeast"/>
          <w:jc w:val="center"/>
        </w:trPr>
        <w:tc>
          <w:tcPr>
            <w:tcW w:w="211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相关资质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认可或执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业许可证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明文件及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有效期</w:t>
            </w:r>
          </w:p>
        </w:tc>
        <w:tc>
          <w:tcPr>
            <w:tcW w:w="76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6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  <w:jc w:val="center"/>
        </w:trPr>
        <w:tc>
          <w:tcPr>
            <w:tcW w:w="211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绩 效 和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受奖惩及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诉讼投诉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情 况</w:t>
            </w:r>
          </w:p>
        </w:tc>
        <w:tc>
          <w:tcPr>
            <w:tcW w:w="76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6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3" w:hRule="atLeast"/>
          <w:jc w:val="center"/>
        </w:trPr>
        <w:tc>
          <w:tcPr>
            <w:tcW w:w="211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接受捐赠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资助及其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使用情况</w:t>
            </w:r>
          </w:p>
        </w:tc>
        <w:tc>
          <w:tcPr>
            <w:tcW w:w="76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6"/>
                <w:bdr w:val="none" w:color="auto" w:sz="0" w:space="0"/>
              </w:rPr>
              <w:t>无</w:t>
            </w:r>
          </w:p>
        </w:tc>
      </w:tr>
    </w:tbl>
    <w:p>
      <w:pPr>
        <w:jc w:val="left"/>
        <w:rPr>
          <w:rFonts w:hint="eastAsia" w:ascii="楷体_GB2312" w:eastAsia="楷体_GB2312" w:cs="楷体_GB2312"/>
          <w:b/>
          <w:bCs/>
          <w:sz w:val="18"/>
          <w:szCs w:val="24"/>
          <w:lang w:eastAsia="zh-CN"/>
        </w:rPr>
      </w:pPr>
      <w:r>
        <w:rPr>
          <w:rFonts w:hint="eastAsia" w:ascii="楷体_GB2312" w:eastAsia="楷体_GB2312" w:cs="楷体_GB2312"/>
          <w:b/>
          <w:bCs/>
          <w:sz w:val="18"/>
          <w:szCs w:val="24"/>
          <w:lang w:eastAsia="zh-CN"/>
        </w:rPr>
        <w:t> </w:t>
      </w:r>
    </w:p>
    <w:sectPr>
      <w:pgSz w:w="11906" w:h="16838"/>
      <w:pgMar w:top="1440" w:right="1135" w:bottom="1440" w:left="1135" w:header="851" w:footer="992" w:gutter="0"/>
      <w:paperSrc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@仿宋_GB2312">
    <w:altName w:val="仿宋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@楷体_GB2312">
    <w:altName w:val="宋体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footnotePr>
    <w:footnote w:id="0"/>
    <w:footnote w:id="1"/>
  </w:foot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jYjEyNWFhNjRkZTAwMDEzMDE1YzZkN2QzMmUxMzMifQ=="/>
  </w:docVars>
  <w:rsids>
    <w:rsidRoot w:val="00000000"/>
    <w:rsid w:val="50C05A8B"/>
    <w:rsid w:val="557A1F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iPriority w:val="0"/>
    <w:pPr>
      <w:widowControl/>
      <w:spacing w:before="0" w:beforeAutospacing="1" w:after="0" w:afterAutospacing="1"/>
      <w:ind w:left="0" w:right="0"/>
      <w:jc w:val="left"/>
    </w:pPr>
    <w:rPr>
      <w:rFonts w:ascii="宋体" w:hAnsi="宋体" w:eastAsia="宋体" w:cs="宋体"/>
      <w:kern w:val="0"/>
      <w:sz w:val="24"/>
      <w:lang w:val="en-US" w:eastAsia="zh-CN" w:bidi="ar"/>
    </w:rPr>
  </w:style>
  <w:style w:type="paragraph" w:customStyle="1" w:styleId="12">
    <w:name w:val="font6"/>
    <w:basedOn w:val="1"/>
    <w:uiPriority w:val="0"/>
    <w:pPr>
      <w:widowControl/>
      <w:jc w:val="left"/>
    </w:pPr>
    <w:rPr>
      <w:rFonts w:hint="eastAsia" w:ascii="Times New Roman" w:hAnsi="宋体" w:eastAsia="楷体_GB2312" w:cs="楷体_GB2312"/>
      <w:kern w:val="0"/>
      <w:sz w:val="32"/>
      <w:szCs w:val="24"/>
      <w:lang w:val="en-US" w:eastAsia="zh-CN" w:bidi="ar"/>
    </w:rPr>
  </w:style>
  <w:style w:type="paragraph" w:customStyle="1" w:styleId="13">
    <w:name w:val="font8"/>
    <w:basedOn w:val="1"/>
    <w:uiPriority w:val="0"/>
    <w:pPr>
      <w:widowControl/>
      <w:jc w:val="left"/>
    </w:pPr>
    <w:rPr>
      <w:rFonts w:hint="eastAsia" w:ascii="Times New Roman" w:hAnsi="宋体" w:eastAsia="楷体_GB2312" w:cs="楷体_GB2312"/>
      <w:kern w:val="0"/>
      <w:sz w:val="24"/>
      <w:szCs w:val="24"/>
      <w:lang w:val="en-US" w:eastAsia="zh-CN" w:bidi="ar"/>
    </w:rPr>
  </w:style>
  <w:style w:type="paragraph" w:customStyle="1" w:styleId="14">
    <w:name w:val="font4"/>
    <w:basedOn w:val="1"/>
    <w:uiPriority w:val="0"/>
    <w:pPr>
      <w:widowControl/>
      <w:jc w:val="left"/>
    </w:pPr>
    <w:rPr>
      <w:rFonts w:ascii="宋体" w:hAnsi="宋体" w:eastAsia="楷体_GB2312" w:cs="宋体"/>
      <w:spacing w:val="30"/>
      <w:kern w:val="0"/>
      <w:sz w:val="36"/>
      <w:szCs w:val="24"/>
      <w:lang w:val="en-US" w:eastAsia="zh-CN" w:bidi="ar"/>
    </w:rPr>
  </w:style>
  <w:style w:type="paragraph" w:customStyle="1" w:styleId="15">
    <w:name w:val="font2"/>
    <w:basedOn w:val="1"/>
    <w:uiPriority w:val="0"/>
    <w:pPr>
      <w:widowControl/>
      <w:jc w:val="left"/>
    </w:pPr>
    <w:rPr>
      <w:rFonts w:hint="eastAsia" w:ascii="Times New Roman" w:hAnsi="宋体" w:eastAsia="楷体_GB2312" w:cs="楷体_GB2312"/>
      <w:kern w:val="0"/>
      <w:sz w:val="30"/>
      <w:szCs w:val="24"/>
      <w:lang w:val="en-US" w:eastAsia="zh-CN" w:bidi="ar"/>
    </w:rPr>
  </w:style>
  <w:style w:type="paragraph" w:customStyle="1" w:styleId="16">
    <w:name w:val="font1"/>
    <w:basedOn w:val="1"/>
    <w:uiPriority w:val="0"/>
    <w:pPr>
      <w:widowControl/>
      <w:jc w:val="left"/>
    </w:pPr>
    <w:rPr>
      <w:rFonts w:ascii="宋体" w:hAnsi="宋体" w:eastAsia="仿宋_GB2312" w:cs="宋体"/>
      <w:kern w:val="0"/>
      <w:sz w:val="30"/>
      <w:szCs w:val="24"/>
      <w:lang w:val="en-US" w:eastAsia="zh-CN" w:bidi="ar"/>
    </w:rPr>
  </w:style>
  <w:style w:type="paragraph" w:customStyle="1" w:styleId="17">
    <w:name w:val="font3"/>
    <w:basedOn w:val="1"/>
    <w:uiPriority w:val="0"/>
    <w:pPr>
      <w:widowControl/>
      <w:jc w:val="left"/>
    </w:pPr>
    <w:rPr>
      <w:rFonts w:hint="eastAsia" w:ascii="Times New Roman" w:hAnsi="宋体" w:eastAsia="黑体" w:cs="黑体"/>
      <w:spacing w:val="40"/>
      <w:kern w:val="0"/>
      <w:sz w:val="52"/>
      <w:szCs w:val="24"/>
      <w:lang w:val="en-US" w:eastAsia="zh-CN" w:bidi="ar"/>
    </w:rPr>
  </w:style>
  <w:style w:type="paragraph" w:customStyle="1" w:styleId="18">
    <w:name w:val="font5"/>
    <w:basedOn w:val="1"/>
    <w:uiPriority w:val="0"/>
    <w:pPr>
      <w:widowControl/>
      <w:jc w:val="left"/>
    </w:pPr>
    <w:rPr>
      <w:rFonts w:hint="eastAsia" w:ascii="黑体" w:hAnsi="宋体" w:eastAsia="黑体" w:cs="黑体"/>
      <w:kern w:val="0"/>
      <w:sz w:val="36"/>
      <w:szCs w:val="24"/>
      <w:lang w:val="en-US" w:eastAsia="zh-CN" w:bidi="ar"/>
    </w:rPr>
  </w:style>
  <w:style w:type="paragraph" w:customStyle="1" w:styleId="19">
    <w:name w:val="font7"/>
    <w:basedOn w:val="1"/>
    <w:uiPriority w:val="0"/>
    <w:pPr>
      <w:widowControl/>
      <w:jc w:val="left"/>
    </w:pPr>
    <w:rPr>
      <w:rFonts w:hint="eastAsia" w:ascii="Times New Roman" w:hAnsi="宋体" w:eastAsia="楷体_GB2312" w:cs="楷体_GB2312"/>
      <w:kern w:val="0"/>
      <w:sz w:val="28"/>
      <w:szCs w:val="24"/>
      <w:lang w:val="en-US" w:eastAsia="zh-CN" w:bidi="ar"/>
    </w:rPr>
  </w:style>
  <w:style w:type="character" w:customStyle="1" w:styleId="20">
    <w:name w:val="font11"/>
    <w:basedOn w:val="11"/>
    <w:uiPriority w:val="0"/>
    <w:rPr>
      <w:rFonts w:eastAsia="仿宋_GB2312"/>
      <w:sz w:val="30"/>
      <w:szCs w:val="24"/>
    </w:rPr>
  </w:style>
  <w:style w:type="character" w:customStyle="1" w:styleId="21">
    <w:name w:val="font21"/>
    <w:basedOn w:val="11"/>
    <w:uiPriority w:val="0"/>
    <w:rPr>
      <w:rFonts w:hint="eastAsia" w:ascii="Times New Roman" w:eastAsia="楷体_GB2312" w:cs="楷体_GB2312"/>
      <w:sz w:val="30"/>
      <w:szCs w:val="24"/>
    </w:rPr>
  </w:style>
  <w:style w:type="character" w:customStyle="1" w:styleId="22">
    <w:name w:val="font31"/>
    <w:basedOn w:val="11"/>
    <w:uiPriority w:val="0"/>
    <w:rPr>
      <w:rFonts w:hint="eastAsia" w:ascii="Times New Roman" w:hAnsi="宋体" w:eastAsia="黑体" w:cs="黑体"/>
      <w:spacing w:val="40"/>
      <w:sz w:val="52"/>
      <w:szCs w:val="24"/>
    </w:rPr>
  </w:style>
  <w:style w:type="character" w:customStyle="1" w:styleId="23">
    <w:name w:val="font41"/>
    <w:basedOn w:val="11"/>
    <w:uiPriority w:val="0"/>
    <w:rPr>
      <w:rFonts w:eastAsia="楷体_GB2312"/>
      <w:spacing w:val="30"/>
      <w:sz w:val="36"/>
      <w:szCs w:val="24"/>
    </w:rPr>
  </w:style>
  <w:style w:type="character" w:customStyle="1" w:styleId="24">
    <w:name w:val="font51"/>
    <w:basedOn w:val="11"/>
    <w:uiPriority w:val="0"/>
    <w:rPr>
      <w:rFonts w:hint="eastAsia" w:ascii="黑体" w:hAnsi="宋体" w:eastAsia="黑体" w:cs="黑体"/>
      <w:sz w:val="36"/>
      <w:szCs w:val="24"/>
    </w:rPr>
  </w:style>
  <w:style w:type="character" w:customStyle="1" w:styleId="25">
    <w:name w:val="font61"/>
    <w:basedOn w:val="11"/>
    <w:uiPriority w:val="0"/>
    <w:rPr>
      <w:rFonts w:hint="eastAsia" w:ascii="Times New Roman" w:eastAsia="楷体_GB2312" w:cs="楷体_GB2312"/>
      <w:sz w:val="32"/>
      <w:szCs w:val="24"/>
    </w:rPr>
  </w:style>
  <w:style w:type="character" w:customStyle="1" w:styleId="26">
    <w:name w:val="font71"/>
    <w:basedOn w:val="11"/>
    <w:uiPriority w:val="0"/>
    <w:rPr>
      <w:rFonts w:hint="eastAsia" w:ascii="Times New Roman" w:eastAsia="楷体_GB2312" w:cs="楷体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2024-03-06T06:58:47Z</dcterms:created>
  <dc:creator>Administrator</dc:creator>
  <cp:lastModifiedBy>简单</cp:lastModifiedBy>
  <dcterms:modified xsi:type="dcterms:W3CDTF">2024-03-06T06:59:15Z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F3625C73877B49799E8FE4A150E825AE_13</vt:lpwstr>
  </property>
</Properties>
</file>