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</w:p>
    <w:tbl>
      <w:tblPr>
        <w:tblStyle w:val="12"/>
        <w:tblW w:w="0" w:type="auto"/>
        <w:tblInd w:w="55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3100"/>
        <w:gridCol w:w="4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0"/>
                <w:szCs w:val="30"/>
                <w:bdr w:val="none" w:color="auto" w:sz="0" w:space="0"/>
              </w:rPr>
              <w:t>统一社会信用代码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19"/>
                <w:rFonts w:hint="default" w:ascii="Times New Roman" w:hAnsi="Times New Roman" w:eastAsia="楷体_GB2312" w:cs="Times New Roman"/>
                <w:b/>
                <w:bCs/>
                <w:sz w:val="30"/>
                <w:szCs w:val="30"/>
                <w:bdr w:val="none" w:color="auto" w:sz="0" w:space="0"/>
              </w:rPr>
              <w:t>12500104MB17689002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</w:tbl>
    <w:p>
      <w:pPr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Style w:val="18"/>
          <w:rFonts w:hint="eastAsia" w:ascii="黑体" w:hAnsi="宋体" w:eastAsia="黑体" w:cs="黑体"/>
          <w:b/>
          <w:bCs/>
          <w:spacing w:val="40"/>
          <w:sz w:val="52"/>
          <w:szCs w:val="52"/>
        </w:rPr>
        <w:t>事业单位法人年度报告书</w:t>
      </w:r>
    </w:p>
    <w:p>
      <w:pPr>
        <w:jc w:val="center"/>
        <w:rPr>
          <w:rFonts w:hint="default" w:ascii="Times New Roman" w:hAnsi="Times New Roman" w:eastAsia="黑体" w:cs="Times New Roman"/>
          <w:b/>
          <w:bCs/>
          <w:spacing w:val="30"/>
          <w:kern w:val="2"/>
          <w:sz w:val="21"/>
          <w:szCs w:val="21"/>
        </w:rPr>
      </w:pPr>
      <w:r>
        <w:rPr>
          <w:rFonts w:hint="default" w:ascii="Times New Roman" w:hAnsi="Times New Roman" w:eastAsia="黑体" w:cs="Times New Roman"/>
          <w:b/>
          <w:bCs/>
          <w:spacing w:val="30"/>
          <w:kern w:val="2"/>
          <w:sz w:val="21"/>
          <w:szCs w:val="21"/>
        </w:rPr>
        <w:t xml:space="preserve"> </w:t>
      </w:r>
    </w:p>
    <w:tbl>
      <w:tblPr>
        <w:tblStyle w:val="1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814"/>
        <w:gridCol w:w="1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0"/>
                <w:szCs w:val="30"/>
                <w:bdr w:val="none" w:color="auto" w:sz="0" w:space="0"/>
              </w:rPr>
              <w:t>（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sz w:val="32"/>
                <w:szCs w:val="32"/>
                <w:bdr w:val="none" w:color="auto" w:sz="0" w:space="0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19"/>
                <w:rFonts w:hint="default" w:ascii="楷体_GB2312" w:hAnsi="Times New Roman" w:eastAsia="楷体_GB2312" w:cs="楷体_GB2312"/>
                <w:b/>
                <w:bCs/>
                <w:sz w:val="30"/>
                <w:szCs w:val="30"/>
                <w:bdr w:val="none" w:color="auto" w:sz="0" w:space="0"/>
              </w:rPr>
              <w:t>）年度</w:t>
            </w: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1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tbl>
      <w:tblPr>
        <w:tblStyle w:val="1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2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jc w:val="distribute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2"/>
                <w:rFonts w:hint="eastAsia" w:ascii="黑体" w:hAnsi="宋体" w:eastAsia="黑体" w:cs="黑体"/>
                <w:b/>
                <w:bCs/>
                <w:sz w:val="36"/>
                <w:szCs w:val="36"/>
                <w:bdr w:val="none" w:color="auto" w:sz="0" w:space="0"/>
              </w:rPr>
              <w:t>单 位 名 称</w:t>
            </w:r>
          </w:p>
        </w:tc>
        <w:tc>
          <w:tcPr>
            <w:tcW w:w="529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sz w:val="32"/>
                <w:szCs w:val="32"/>
                <w:bdr w:val="none" w:color="auto" w:sz="0" w:space="0"/>
              </w:rPr>
              <w:t>重庆市大渡口区钢城实验幼儿园</w:t>
            </w:r>
          </w:p>
        </w:tc>
      </w:tr>
    </w:tbl>
    <w:p>
      <w:pPr>
        <w:rPr>
          <w:rFonts w:hint="eastAsia" w:ascii="黑体" w:hAnsi="宋体" w:eastAsia="黑体" w:cs="黑体"/>
          <w:b/>
          <w:bCs/>
          <w:kern w:val="2"/>
          <w:sz w:val="24"/>
          <w:szCs w:val="24"/>
          <w:u w:val="single"/>
        </w:rPr>
      </w:pPr>
      <w:r>
        <w:rPr>
          <w:rFonts w:hint="eastAsia" w:ascii="黑体" w:hAnsi="宋体" w:eastAsia="黑体" w:cs="黑体"/>
          <w:b/>
          <w:bCs/>
          <w:kern w:val="2"/>
          <w:sz w:val="24"/>
          <w:szCs w:val="24"/>
          <w:u w:val="single"/>
        </w:rPr>
        <w:t xml:space="preserve"> </w:t>
      </w:r>
    </w:p>
    <w:tbl>
      <w:tblPr>
        <w:tblStyle w:val="1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5"/>
        <w:gridCol w:w="52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jc w:val="distribute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2"/>
                <w:rFonts w:hint="eastAsia" w:ascii="黑体" w:hAnsi="宋体" w:eastAsia="黑体" w:cs="黑体"/>
                <w:b/>
                <w:bCs/>
                <w:sz w:val="36"/>
                <w:szCs w:val="36"/>
                <w:bdr w:val="none" w:color="auto" w:sz="0" w:space="0"/>
              </w:rPr>
              <w:t>法</w:t>
            </w:r>
            <w:r>
              <w:rPr>
                <w:rStyle w:val="22"/>
                <w:rFonts w:hint="eastAsia" w:ascii="黑体" w:hAnsi="宋体" w:eastAsia="黑体" w:cs="黑体"/>
                <w:b/>
                <w:bCs/>
                <w:spacing w:val="30"/>
                <w:sz w:val="36"/>
                <w:szCs w:val="36"/>
                <w:bdr w:val="none" w:color="auto" w:sz="0" w:space="0"/>
              </w:rPr>
              <w:t>定代表</w:t>
            </w:r>
            <w:r>
              <w:rPr>
                <w:rStyle w:val="22"/>
                <w:rFonts w:hint="eastAsia" w:ascii="黑体" w:hAnsi="宋体" w:eastAsia="黑体" w:cs="黑体"/>
                <w:b/>
                <w:bCs/>
                <w:sz w:val="36"/>
                <w:szCs w:val="36"/>
                <w:bdr w:val="none" w:color="auto" w:sz="0" w:space="0"/>
              </w:rPr>
              <w:t>人</w:t>
            </w:r>
          </w:p>
        </w:tc>
        <w:tc>
          <w:tcPr>
            <w:tcW w:w="525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sz w:val="32"/>
                <w:szCs w:val="32"/>
                <w:bdr w:val="none" w:color="auto" w:sz="0" w:space="0"/>
              </w:rPr>
              <w:t>李欣珈</w:t>
            </w:r>
          </w:p>
        </w:tc>
      </w:tr>
    </w:tbl>
    <w:p>
      <w:pPr>
        <w:ind w:left="0" w:firstLine="723" w:firstLineChars="300"/>
        <w:rPr>
          <w:rFonts w:hint="eastAsia" w:ascii="黑体" w:hAnsi="宋体" w:eastAsia="黑体" w:cs="黑体"/>
          <w:b/>
          <w:bCs/>
          <w:kern w:val="2"/>
          <w:sz w:val="24"/>
          <w:szCs w:val="24"/>
          <w:u w:val="single"/>
        </w:rPr>
      </w:pPr>
      <w:r>
        <w:rPr>
          <w:rFonts w:hint="eastAsia" w:ascii="黑体" w:hAnsi="宋体" w:eastAsia="黑体" w:cs="黑体"/>
          <w:b/>
          <w:bCs/>
          <w:kern w:val="2"/>
          <w:sz w:val="24"/>
          <w:szCs w:val="24"/>
          <w:u w:val="single"/>
        </w:rPr>
        <w:t xml:space="preserve"> </w:t>
      </w:r>
    </w:p>
    <w:tbl>
      <w:tblPr>
        <w:tblStyle w:val="1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2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529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  <w:bdr w:val="none" w:color="auto" w:sz="0" w:space="0"/>
              </w:rPr>
              <w:t xml:space="preserve"> </w:t>
            </w:r>
          </w:p>
        </w:tc>
      </w:tr>
    </w:tbl>
    <w:p>
      <w:pPr>
        <w:jc w:val="center"/>
        <w:rPr>
          <w:rFonts w:hint="eastAsia" w:ascii="黑体" w:hAnsi="宋体" w:eastAsia="黑体" w:cs="黑体"/>
          <w:b/>
          <w:bCs/>
          <w:kern w:val="2"/>
          <w:sz w:val="30"/>
          <w:szCs w:val="30"/>
          <w:u w:val="single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u w:val="single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Style w:val="23"/>
          <w:rFonts w:hint="default" w:ascii="楷体_GB2312" w:hAnsi="Times New Roman" w:eastAsia="楷体_GB2312" w:cs="楷体_GB2312"/>
          <w:b/>
          <w:bCs/>
          <w:sz w:val="32"/>
          <w:szCs w:val="32"/>
        </w:rPr>
        <w:t>国家事业单位登记管理局制</w:t>
      </w:r>
    </w:p>
    <w:p>
      <w:pP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tbl>
      <w:tblPr>
        <w:tblStyle w:val="12"/>
        <w:tblW w:w="1074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2515"/>
        <w:gridCol w:w="1670"/>
        <w:gridCol w:w="2140"/>
        <w:gridCol w:w="211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230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《事业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单位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法人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证书》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登载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事项</w:t>
            </w:r>
          </w:p>
        </w:tc>
        <w:tc>
          <w:tcPr>
            <w:tcW w:w="251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单位名称</w:t>
            </w:r>
          </w:p>
        </w:tc>
        <w:tc>
          <w:tcPr>
            <w:tcW w:w="5925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ind w:left="0" w:leftChars="0" w:right="0" w:rightChars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重庆市大渡口区钢城实验幼儿园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宗</w:t>
            </w:r>
            <w:r>
              <w:rPr>
                <w:rStyle w:val="23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 xml:space="preserve"> </w:t>
            </w: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旨</w:t>
            </w:r>
            <w:r>
              <w:rPr>
                <w:rStyle w:val="23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 xml:space="preserve"> </w:t>
            </w: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和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业务范围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ind w:left="0" w:leftChars="0" w:right="0" w:rightChars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为学龄前儿童提供保育和教育服务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住</w:t>
            </w:r>
            <w:r>
              <w:rPr>
                <w:rStyle w:val="23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 xml:space="preserve"> </w:t>
            </w:r>
            <w:r>
              <w:rPr>
                <w:rStyle w:val="23"/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  <w:bdr w:val="none" w:color="auto" w:sz="0" w:space="0"/>
              </w:rPr>
              <w:t xml:space="preserve">   </w:t>
            </w: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所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ind w:left="0" w:leftChars="0" w:right="0" w:rightChars="0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重庆市大渡口区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bdr w:val="none" w:color="auto" w:sz="0" w:space="0"/>
                <w:lang w:val="en-US" w:eastAsia="zh-CN"/>
              </w:rPr>
              <w:t>跳磴镇湾塘村景鹏路1号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法定代表人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李欣珈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开办资金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Times New Roman" w:hAnsi="Times New Roman" w:eastAsia="楷体_GB2312" w:cs="Times New Roman"/>
                <w:sz w:val="32"/>
                <w:szCs w:val="32"/>
                <w:bdr w:val="none" w:color="auto" w:sz="0" w:space="0"/>
              </w:rPr>
              <w:t>         90       </w:t>
            </w:r>
            <w:r>
              <w:rPr>
                <w:rStyle w:val="23"/>
                <w:rFonts w:hint="default" w:ascii="楷体_GB2312" w:hAnsi="Times New Roman" w:eastAsia="楷体_GB2312" w:cs="楷体_GB2312"/>
                <w:sz w:val="32"/>
                <w:szCs w:val="32"/>
                <w:bdr w:val="none" w:color="auto" w:sz="0" w:space="0"/>
              </w:rPr>
              <w:t>万元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经费来源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ind w:left="0" w:leftChars="0" w:right="0" w:rightChars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财政补助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举办单位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ind w:left="0" w:leftChars="0" w:right="0" w:rightChars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重庆市大渡口区教育委员会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300" w:type="dxa"/>
            <w:vMerge w:val="restart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资产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损益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情况</w:t>
            </w:r>
          </w:p>
        </w:tc>
        <w:tc>
          <w:tcPr>
            <w:tcW w:w="84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净资产合计（所有者权益合计）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300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年初数（万元）</w:t>
            </w:r>
          </w:p>
        </w:tc>
        <w:tc>
          <w:tcPr>
            <w:tcW w:w="4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年末数（万元）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300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502.34</w:t>
            </w:r>
          </w:p>
        </w:tc>
        <w:tc>
          <w:tcPr>
            <w:tcW w:w="4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506.47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网上名称</w:t>
            </w:r>
          </w:p>
        </w:tc>
        <w:tc>
          <w:tcPr>
            <w:tcW w:w="4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无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从业人数</w:t>
            </w:r>
          </w:p>
        </w:tc>
        <w:tc>
          <w:tcPr>
            <w:tcW w:w="2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29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5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对《条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例》和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实施细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则有关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变更登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记规定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的执行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情</w:t>
            </w:r>
            <w:r>
              <w:rPr>
                <w:rStyle w:val="23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 xml:space="preserve"> </w:t>
            </w: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况</w:t>
            </w:r>
          </w:p>
        </w:tc>
        <w:tc>
          <w:tcPr>
            <w:tcW w:w="8440" w:type="dxa"/>
            <w:gridSpan w:val="4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  <w:shd w:val="clear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我单位于7月20日任免了单位行政负责人，按《细则》规定于8月22日申请办理了变更法定代表人登记。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0" w:hRule="atLeast"/>
          <w:jc w:val="center"/>
        </w:trPr>
        <w:tc>
          <w:tcPr>
            <w:tcW w:w="230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开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展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业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务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活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动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情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况</w:t>
            </w:r>
          </w:p>
        </w:tc>
        <w:tc>
          <w:tcPr>
            <w:tcW w:w="8440" w:type="dxa"/>
            <w:gridSpan w:val="4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一、“青春聚力”，党建引领。</w:t>
            </w:r>
          </w:p>
          <w:p>
            <w:pPr>
              <w:ind w:left="0"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2023年，我们夯实思想根基，激发党员学习热情，在学习强国学员月度当日活跃率多次位居前列，多篇推文被“学习强国”采纳；我们聚焦人才培养，优化党员队伍结构，共发展2名党员，选拔入党积极分子3名；我们实施了由书记领头的“五项引领，双师带徒”党建项目，汇聚了8名党员和21名青年教师，通过结对的形式，带动团队政治悟和专业技能整体提升。我指导的1名党员教师在微党课宣讲比赛中荣获二等奖；我们的团队有2人荣获大渡口区优秀班主任宣传人选，1人荣获“渝”见义渡好老师称号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二、夯实基础，精研保教。</w:t>
            </w:r>
          </w:p>
          <w:p>
            <w:pPr>
              <w:ind w:left="0"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今年我们在教育质量、课程管理、教育科研和教师成长等方面取得了显著成果。本年各分园根据园本特色课程，共开展小课题研究10个。教师成长方面，开展多元培训活动，搭建成长平台。包括新教师培训、展示与竞赛、艺术工作坊等，提高教师专业素养。通过参与式融合培训、课例式教研督导和联动式教研活动，全面提升教师专业素养和教学质量。获得多项市区级奖项，集团荣获2023年重庆市基础教育校本教研示范校，在2023年区幼小衔接优秀案例荣获一等奖5个，二等奖6个，三等奖7个；在第一届“好班主任”杯教育故事演讲交流活动中荣获市级二等奖1个，三等奖5个。集团在研市级课题1个，区级课题2个，校级小课题10个，完成区级课题结题工作。本年度集团新增区级骨干教师2名，园级骨干16名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三、强化管理，保障安全</w:t>
            </w:r>
          </w:p>
          <w:p>
            <w:pPr>
              <w:ind w:left="0"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本年度，集团要求各分园认真学习各类安全相关文件，提高教师的安全意识，并组织全体教职工进行安全教育培训。此外，还组织了防震、防踩踏、反恐防暴、防溺水、防灾、消防安全及食堂及食品安全的宣传教育和演练，确保师生安全。此外，今年集团接受了各类督导、检查、升级、年检，均合格通过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四、德育为先，家园同行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 xml:space="preserve">   注重劳动教育，将劳动纳入教学计划，培养幼儿的劳动习惯。同时，建立心理健康辅导站，开展心理健康访谈，关注教师和幼儿的心理健康，我们在各分园建立了“心声区角”，缓解儿童分离焦虑，营造温馨的情感交流氛围。与社区紧密合作，推进“136家园社共育”创新体系的创建。今年家长学校发布教育类公众号推文约20篇，对家长进行线上培训约20次，线下培训1次；开展亲子共读76次，家长进课堂25次，亲子活动39次，召开家委会10次，家长会16次。通过这些工作，我们努力为幼儿营造一个和谐、健康、积极的教育环境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五、对外交流，成渝共建</w:t>
            </w:r>
          </w:p>
          <w:p>
            <w:pPr>
              <w:ind w:left="0"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今年四月根据重庆市教委对成渝双城经济发展中“教育、科技、人才”三位一体融合发展的要求，我们紧跟双城经济建设步伐，打破地域限制，与成都第十九幼儿园建立合作共建。双方开展联席会议及分享活动7次，初步建立双城教育联动模式，两个园所经验的交流、思维的碰撞，术与道，擦出了绚烂的火花。</w:t>
            </w:r>
          </w:p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3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相关资质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认可或执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业许可证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明文件及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有效期</w:t>
            </w:r>
          </w:p>
        </w:tc>
        <w:tc>
          <w:tcPr>
            <w:tcW w:w="84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绩</w:t>
            </w:r>
            <w:r>
              <w:rPr>
                <w:rStyle w:val="23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 xml:space="preserve"> </w:t>
            </w: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效</w:t>
            </w:r>
            <w:r>
              <w:rPr>
                <w:rStyle w:val="23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 xml:space="preserve"> </w:t>
            </w: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和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受奖惩及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诉讼投诉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情</w:t>
            </w:r>
            <w:r>
              <w:rPr>
                <w:rStyle w:val="23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 xml:space="preserve"> </w:t>
            </w: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况</w:t>
            </w:r>
          </w:p>
        </w:tc>
        <w:tc>
          <w:tcPr>
            <w:tcW w:w="84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1.受奖情况：（1）2023年5月，大渡口区“智慧教育大比武”三等奖；（2）重庆市教育评估院颁发重庆市首批保教质量保障体系研究试点园；（3）重庆市第二届职工文艺展演赛（电视舞蹈大赛）暨成渝地区双城经济圈职工舞蹈邀请赛最佳创作奖；（4）中央广播电视台体育青少节目中心七巧板栏目组2023年中国“最美故事绘”活动优秀作品奖；（5）重庆市最美幼儿园；2.有关评估情况：无；3.涉及诉讼情况：无；4.社会投诉情况：今年我单位未接到社会投诉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3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接受捐赠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资助及其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  <w:bdr w:val="none" w:color="auto" w:sz="0" w:space="0"/>
              </w:rPr>
              <w:t>使用情况</w:t>
            </w:r>
          </w:p>
        </w:tc>
        <w:tc>
          <w:tcPr>
            <w:tcW w:w="84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</w:rPr>
              <w:t>无</w:t>
            </w:r>
          </w:p>
        </w:tc>
      </w:tr>
    </w:tbl>
    <w:p>
      <w:pPr>
        <w:jc w:val="left"/>
        <w:rPr>
          <w:rFonts w:hint="default" w:ascii="楷体_GB2312" w:hAnsi="Times New Roman" w:eastAsia="楷体_GB2312" w:cs="楷体_GB2312"/>
          <w:b/>
          <w:bCs/>
          <w:kern w:val="2"/>
          <w:sz w:val="18"/>
          <w:szCs w:val="18"/>
        </w:rPr>
      </w:pPr>
      <w:r>
        <w:rPr>
          <w:rFonts w:hint="default" w:ascii="Times New Roman" w:hAnsi="Times New Roman" w:eastAsia="楷体_GB2312" w:cs="Times New Roman"/>
          <w:b/>
          <w:bCs/>
          <w:kern w:val="2"/>
          <w:sz w:val="18"/>
          <w:szCs w:val="18"/>
        </w:rPr>
        <w:t xml:space="preserve"> </w:t>
      </w:r>
    </w:p>
    <w:sectPr>
      <w:pgSz w:w="11906" w:h="16838"/>
      <w:pgMar w:top="1440" w:right="1135" w:bottom="1440" w:left="1135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noPunctuationKerning w:val="1"/>
  <w:characterSpacingControl w:val="compressPunctuation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0MzI1ZTM1ODA4ZDc2MGM5ZDE1NWQyZjIwNzNhNjEifQ=="/>
  </w:docVars>
  <w:rsids>
    <w:rsidRoot w:val="00000000"/>
    <w:rsid w:val="32A432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iPriority="99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99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iPriority="99" w:name="Light Shading"/>
    <w:lsdException w:uiPriority="99" w:name="Light List"/>
    <w:lsdException w:uiPriority="99" w:name="Light Grid"/>
    <w:lsdException w:uiPriority="99" w:name="Medium Shading 1"/>
    <w:lsdException w:uiPriority="99" w:name="Medium Shading 2"/>
    <w:lsdException w:uiPriority="99" w:name="Medium List 1"/>
    <w:lsdException w:uiPriority="99" w:name="Medium List 2"/>
    <w:lsdException w:uiPriority="99" w:name="Medium Grid 1"/>
    <w:lsdException w:uiPriority="99" w:name="Medium Grid 2"/>
    <w:lsdException w:uiPriority="99" w:name="Medium Grid 3"/>
    <w:lsdException w:uiPriority="99" w:name="Dark List"/>
    <w:lsdException w:uiPriority="99" w:name="Colorful Shading"/>
    <w:lsdException w:uiPriority="99" w:name="Colorful List"/>
    <w:lsdException w:uiPriority="99" w:name="Colorful Grid"/>
    <w:lsdException w:uiPriority="99" w:name="Light Shading Accent 1"/>
    <w:lsdException w:uiPriority="99" w:name="Light List Accent 1"/>
    <w:lsdException w:uiPriority="99" w:name="Light Grid Accent 1"/>
    <w:lsdException w:uiPriority="99" w:name="Medium Shading 1 Accent 1"/>
    <w:lsdException w:uiPriority="99" w:name="Medium Shading 2 Accent 1"/>
    <w:lsdException w:uiPriority="99" w:name="Medium List 1 Accent 1"/>
    <w:lsdException w:uiPriority="99" w:name="Medium List 2 Accent 1"/>
    <w:lsdException w:uiPriority="99" w:name="Medium Grid 1 Accent 1"/>
    <w:lsdException w:uiPriority="99" w:name="Medium Grid 2 Accent 1"/>
    <w:lsdException w:uiPriority="99" w:name="Medium Grid 3 Accent 1"/>
    <w:lsdException w:uiPriority="99" w:name="Dark List Accent 1"/>
    <w:lsdException w:uiPriority="99" w:name="Colorful Shading Accent 1"/>
    <w:lsdException w:uiPriority="99" w:name="Colorful List Accent 1"/>
    <w:lsdException w:uiPriority="99" w:name="Colorful Grid Accent 1"/>
    <w:lsdException w:uiPriority="99" w:name="Light Shading Accent 2"/>
    <w:lsdException w:uiPriority="99" w:name="Light List Accent 2"/>
    <w:lsdException w:uiPriority="99" w:name="Light Grid Accent 2"/>
    <w:lsdException w:uiPriority="99" w:name="Medium Shading 1 Accent 2"/>
    <w:lsdException w:uiPriority="99" w:name="Medium Shading 2 Accent 2"/>
    <w:lsdException w:uiPriority="99" w:name="Medium List 1 Accent 2"/>
    <w:lsdException w:uiPriority="99" w:name="Medium List 2 Accent 2"/>
    <w:lsdException w:uiPriority="99" w:name="Medium Grid 1 Accent 2"/>
    <w:lsdException w:uiPriority="99" w:name="Medium Grid 2 Accent 2"/>
    <w:lsdException w:uiPriority="99" w:name="Medium Grid 3 Accent 2"/>
    <w:lsdException w:uiPriority="99" w:name="Dark List Accent 2"/>
    <w:lsdException w:uiPriority="99" w:name="Colorful Shading Accent 2"/>
    <w:lsdException w:uiPriority="99" w:name="Colorful List Accent 2"/>
    <w:lsdException w:uiPriority="99" w:name="Colorful Grid Accent 2"/>
    <w:lsdException w:uiPriority="99" w:name="Light Shading Accent 3"/>
    <w:lsdException w:uiPriority="99" w:name="Light List Accent 3"/>
    <w:lsdException w:uiPriority="99" w:name="Light Grid Accent 3"/>
    <w:lsdException w:uiPriority="99" w:name="Medium Shading 1 Accent 3"/>
    <w:lsdException w:uiPriority="99" w:name="Medium Shading 2 Accent 3"/>
    <w:lsdException w:uiPriority="99" w:name="Medium List 1 Accent 3"/>
    <w:lsdException w:uiPriority="99" w:name="Medium List 2 Accent 3"/>
    <w:lsdException w:uiPriority="99" w:name="Medium Grid 1 Accent 3"/>
    <w:lsdException w:uiPriority="99" w:name="Medium Grid 2 Accent 3"/>
    <w:lsdException w:uiPriority="99" w:name="Medium Grid 3 Accent 3"/>
    <w:lsdException w:uiPriority="99" w:name="Dark List Accent 3"/>
    <w:lsdException w:uiPriority="99" w:name="Colorful Shading Accent 3"/>
    <w:lsdException w:uiPriority="99" w:name="Colorful List Accent 3"/>
    <w:lsdException w:uiPriority="99" w:name="Colorful Grid Accent 3"/>
    <w:lsdException w:uiPriority="99" w:name="Light Shading Accent 4"/>
    <w:lsdException w:uiPriority="99" w:name="Light List Accent 4"/>
    <w:lsdException w:uiPriority="99" w:name="Light Grid Accent 4"/>
    <w:lsdException w:uiPriority="99" w:name="Medium Shading 1 Accent 4"/>
    <w:lsdException w:uiPriority="99" w:name="Medium Shading 2 Accent 4"/>
    <w:lsdException w:uiPriority="99" w:name="Medium List 1 Accent 4"/>
    <w:lsdException w:uiPriority="99" w:name="Medium List 2 Accent 4"/>
    <w:lsdException w:uiPriority="99" w:name="Medium Grid 1 Accent 4"/>
    <w:lsdException w:uiPriority="99" w:name="Medium Grid 2 Accent 4"/>
    <w:lsdException w:uiPriority="99" w:name="Medium Grid 3 Accent 4"/>
    <w:lsdException w:uiPriority="99" w:name="Dark List Accent 4"/>
    <w:lsdException w:uiPriority="99" w:name="Colorful Shading Accent 4"/>
    <w:lsdException w:uiPriority="99" w:name="Colorful List Accent 4"/>
    <w:lsdException w:uiPriority="99" w:name="Colorful Grid Accent 4"/>
    <w:lsdException w:uiPriority="99" w:name="Light Shading Accent 5"/>
    <w:lsdException w:uiPriority="99" w:name="Light List Accent 5"/>
    <w:lsdException w:uiPriority="99" w:name="Light Grid Accent 5"/>
    <w:lsdException w:uiPriority="99" w:name="Medium Shading 1 Accent 5"/>
    <w:lsdException w:uiPriority="99" w:name="Medium Shading 2 Accent 5"/>
    <w:lsdException w:uiPriority="99" w:name="Medium List 1 Accent 5"/>
    <w:lsdException w:uiPriority="99" w:name="Medium List 2 Accent 5"/>
    <w:lsdException w:uiPriority="99" w:name="Medium Grid 1 Accent 5"/>
    <w:lsdException w:uiPriority="99" w:name="Medium Grid 2 Accent 5"/>
    <w:lsdException w:uiPriority="99" w:name="Medium Grid 3 Accent 5"/>
    <w:lsdException w:uiPriority="99" w:name="Dark List Accent 5"/>
    <w:lsdException w:uiPriority="99" w:name="Colorful Shading Accent 5"/>
    <w:lsdException w:uiPriority="99" w:name="Colorful List Accent 5"/>
    <w:lsdException w:uiPriority="99" w:name="Colorful Grid Accent 5"/>
    <w:lsdException w:uiPriority="99" w:name="Light Shading Accent 6"/>
    <w:lsdException w:uiPriority="99" w:name="Light List Accent 6"/>
    <w:lsdException w:uiPriority="99" w:name="Light Grid Accent 6"/>
    <w:lsdException w:uiPriority="99" w:name="Medium Shading 1 Accent 6"/>
    <w:lsdException w:uiPriority="99" w:name="Medium Shading 2 Accent 6"/>
    <w:lsdException w:uiPriority="99" w:name="Medium List 1 Accent 6"/>
    <w:lsdException w:uiPriority="99" w:name="Medium List 2 Accent 6"/>
    <w:lsdException w:uiPriority="99" w:name="Medium Grid 1 Accent 6"/>
    <w:lsdException w:uiPriority="99" w:name="Medium Grid 2 Accent 6"/>
    <w:lsdException w:uiPriority="99" w:name="Medium Grid 3 Accent 6"/>
    <w:lsdException w:uiPriority="99" w:name="Dark List Accent 6"/>
    <w:lsdException w:uiPriority="99" w:name="Colorful Shading Accent 6"/>
    <w:lsdException w:uiPriority="99" w:name="Colorful List Accent 6"/>
    <w:lsdException w:uiPriority="99" w:name="Colorful Grid Accent 6"/>
  </w:latentStyles>
  <w:style w:type="paragraph" w:default="1" w:styleId="1">
    <w:name w:val="Normal"/>
    <w:semiHidden/>
    <w:unhideWhenUsed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1"/>
      <w:szCs w:val="21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3">
    <w:name w:val="Default Paragraph Font"/>
    <w:semiHidden/>
    <w:unhideWhenUsed/>
    <w:uiPriority w:val="99"/>
  </w:style>
  <w:style w:type="table" w:default="1" w:styleId="12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next w:val="9"/>
    <w:qFormat/>
    <w:uiPriority w:val="99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1"/>
      <w:szCs w:val="21"/>
      <w:lang w:val="en-US" w:eastAsia="zh-CN" w:bidi="ar"/>
    </w:rPr>
  </w:style>
  <w:style w:type="paragraph" w:styleId="9">
    <w:name w:val="index 7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2520" w:right="0"/>
      <w:jc w:val="both"/>
    </w:pPr>
    <w:rPr>
      <w:rFonts w:hint="default" w:ascii="Times New Roman" w:hAnsi="Times New Roman" w:eastAsia="宋体" w:cs="Times New Roman"/>
      <w:kern w:val="2"/>
      <w:sz w:val="21"/>
      <w:szCs w:val="21"/>
      <w:lang w:val="en-US" w:eastAsia="zh-CN" w:bidi="ar"/>
    </w:rPr>
  </w:style>
  <w:style w:type="paragraph" w:styleId="10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1">
    <w:name w:val="Normal (Web)"/>
    <w:basedOn w:val="1"/>
    <w:uiPriority w:val="0"/>
    <w:pPr>
      <w:widowControl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4">
    <w:name w:val="10"/>
    <w:basedOn w:val="13"/>
    <w:uiPriority w:val="0"/>
    <w:rPr>
      <w:rFonts w:hint="default" w:ascii="Times New Roman" w:hAnsi="Times New Roman" w:cs="Times New Roman"/>
    </w:rPr>
  </w:style>
  <w:style w:type="character" w:customStyle="1" w:styleId="15">
    <w:name w:val="21"/>
    <w:basedOn w:val="13"/>
    <w:uiPriority w:val="0"/>
    <w:rPr>
      <w:rFonts w:hint="default" w:ascii="Times New Roman" w:hAnsi="Times New Roman" w:eastAsia="楷体_GB2312" w:cs="楷体_GB2312"/>
      <w:sz w:val="32"/>
      <w:szCs w:val="32"/>
    </w:rPr>
  </w:style>
  <w:style w:type="paragraph" w:customStyle="1" w:styleId="16">
    <w:name w:val="font1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宋体" w:hAnsi="宋体" w:eastAsia="仿宋_GB2312" w:cs="宋体"/>
      <w:kern w:val="0"/>
      <w:sz w:val="30"/>
      <w:szCs w:val="30"/>
      <w:lang w:val="en-US" w:eastAsia="zh-CN" w:bidi="ar"/>
    </w:rPr>
  </w:style>
  <w:style w:type="character" w:customStyle="1" w:styleId="17">
    <w:name w:val="15"/>
    <w:basedOn w:val="13"/>
    <w:uiPriority w:val="0"/>
    <w:rPr>
      <w:rFonts w:hint="default" w:ascii="Times New Roman" w:hAnsi="Times New Roman" w:eastAsia="楷体_GB2312" w:cs="楷体_GB2312"/>
      <w:sz w:val="28"/>
      <w:szCs w:val="28"/>
    </w:rPr>
  </w:style>
  <w:style w:type="character" w:customStyle="1" w:styleId="18">
    <w:name w:val="16"/>
    <w:basedOn w:val="13"/>
    <w:uiPriority w:val="0"/>
    <w:rPr>
      <w:rFonts w:hint="eastAsia" w:ascii="Times New Roman" w:hAnsi="宋体" w:eastAsia="黑体" w:cs="黑体"/>
      <w:spacing w:val="40"/>
      <w:sz w:val="52"/>
      <w:szCs w:val="52"/>
    </w:rPr>
  </w:style>
  <w:style w:type="character" w:customStyle="1" w:styleId="19">
    <w:name w:val="17"/>
    <w:basedOn w:val="13"/>
    <w:uiPriority w:val="0"/>
    <w:rPr>
      <w:rFonts w:hint="default" w:ascii="Times New Roman" w:hAnsi="Times New Roman" w:eastAsia="楷体_GB2312" w:cs="楷体_GB2312"/>
      <w:sz w:val="30"/>
      <w:szCs w:val="30"/>
    </w:rPr>
  </w:style>
  <w:style w:type="paragraph" w:customStyle="1" w:styleId="20">
    <w:name w:val="font6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Times New Roman" w:hAnsi="宋体" w:eastAsia="楷体_GB2312" w:cs="楷体_GB2312"/>
      <w:kern w:val="0"/>
      <w:sz w:val="32"/>
      <w:szCs w:val="32"/>
      <w:lang w:val="en-US" w:eastAsia="zh-CN" w:bidi="ar"/>
    </w:rPr>
  </w:style>
  <w:style w:type="character" w:customStyle="1" w:styleId="21">
    <w:name w:val="19"/>
    <w:basedOn w:val="13"/>
    <w:uiPriority w:val="0"/>
    <w:rPr>
      <w:rFonts w:hint="default" w:ascii="Times New Roman" w:hAnsi="Times New Roman" w:cs="Times New Roman"/>
    </w:rPr>
  </w:style>
  <w:style w:type="character" w:customStyle="1" w:styleId="22">
    <w:name w:val="18"/>
    <w:basedOn w:val="13"/>
    <w:uiPriority w:val="0"/>
    <w:rPr>
      <w:rFonts w:hint="eastAsia" w:ascii="黑体" w:hAnsi="宋体" w:eastAsia="黑体" w:cs="黑体"/>
      <w:sz w:val="36"/>
      <w:szCs w:val="36"/>
    </w:rPr>
  </w:style>
  <w:style w:type="character" w:customStyle="1" w:styleId="23">
    <w:name w:val="20"/>
    <w:basedOn w:val="13"/>
    <w:uiPriority w:val="0"/>
    <w:rPr>
      <w:rFonts w:hint="default" w:ascii="Times New Roman" w:hAnsi="Times New Roman" w:eastAsia="楷体_GB2312" w:cs="楷体_GB2312"/>
      <w:sz w:val="32"/>
      <w:szCs w:val="32"/>
    </w:rPr>
  </w:style>
  <w:style w:type="character" w:customStyle="1" w:styleId="24">
    <w:name w:val="22"/>
    <w:basedOn w:val="13"/>
    <w:uiPriority w:val="0"/>
    <w:rPr>
      <w:rFonts w:hint="default" w:ascii="Times New Roman" w:hAnsi="Times New Roman" w:eastAsia="仿宋_GB2312" w:cs="Times New Roman"/>
      <w:sz w:val="30"/>
      <w:szCs w:val="30"/>
    </w:rPr>
  </w:style>
  <w:style w:type="character" w:customStyle="1" w:styleId="25">
    <w:name w:val="23"/>
    <w:basedOn w:val="13"/>
    <w:uiPriority w:val="0"/>
    <w:rPr>
      <w:rFonts w:hint="default" w:ascii="Times New Roman" w:hAnsi="Times New Roman" w:eastAsia="楷体_GB2312" w:cs="Times New Roman"/>
      <w:spacing w:val="30"/>
      <w:sz w:val="36"/>
      <w:szCs w:val="36"/>
    </w:rPr>
  </w:style>
  <w:style w:type="paragraph" w:customStyle="1" w:styleId="26">
    <w:name w:val="普通(网站) Char"/>
    <w:basedOn w:val="1"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27">
    <w:name w:val="HTML 预设格式 Char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28">
    <w:name w:val="HTML 预设格式 Char Char"/>
    <w:basedOn w:val="1"/>
    <w:uiPriority w:val="0"/>
    <w:pPr>
      <w:keepNext w:val="0"/>
      <w:keepLines w:val="0"/>
      <w:widowControl/>
      <w:suppressLineNumbers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29">
    <w:name w:val="font4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宋体" w:hAnsi="宋体" w:eastAsia="楷体_GB2312" w:cs="宋体"/>
      <w:spacing w:val="30"/>
      <w:kern w:val="0"/>
      <w:sz w:val="36"/>
      <w:szCs w:val="36"/>
      <w:lang w:val="en-US" w:eastAsia="zh-CN" w:bidi="ar"/>
    </w:rPr>
  </w:style>
  <w:style w:type="paragraph" w:customStyle="1" w:styleId="30">
    <w:name w:val="font2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Times New Roman" w:hAnsi="宋体" w:eastAsia="楷体_GB2312" w:cs="楷体_GB2312"/>
      <w:kern w:val="0"/>
      <w:sz w:val="30"/>
      <w:szCs w:val="30"/>
      <w:lang w:val="en-US" w:eastAsia="zh-CN" w:bidi="ar"/>
    </w:rPr>
  </w:style>
  <w:style w:type="paragraph" w:customStyle="1" w:styleId="31">
    <w:name w:val="font3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Times New Roman" w:hAnsi="宋体" w:eastAsia="黑体" w:cs="黑体"/>
      <w:spacing w:val="40"/>
      <w:kern w:val="0"/>
      <w:sz w:val="52"/>
      <w:szCs w:val="52"/>
      <w:lang w:val="en-US" w:eastAsia="zh-CN" w:bidi="ar"/>
    </w:rPr>
  </w:style>
  <w:style w:type="paragraph" w:customStyle="1" w:styleId="32">
    <w:name w:val="font8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Times New Roman" w:hAnsi="宋体" w:eastAsia="楷体_GB2312" w:cs="楷体_GB2312"/>
      <w:kern w:val="0"/>
      <w:sz w:val="24"/>
      <w:szCs w:val="24"/>
      <w:lang w:val="en-US" w:eastAsia="zh-CN" w:bidi="ar"/>
    </w:rPr>
  </w:style>
  <w:style w:type="paragraph" w:customStyle="1" w:styleId="33">
    <w:name w:val="font7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Times New Roman" w:hAnsi="宋体" w:eastAsia="楷体_GB2312" w:cs="楷体_GB2312"/>
      <w:kern w:val="0"/>
      <w:sz w:val="28"/>
      <w:szCs w:val="28"/>
      <w:lang w:val="en-US" w:eastAsia="zh-CN" w:bidi="ar"/>
    </w:rPr>
  </w:style>
  <w:style w:type="paragraph" w:customStyle="1" w:styleId="34">
    <w:name w:val="font5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黑体" w:hAnsi="宋体" w:eastAsia="黑体" w:cs="黑体"/>
      <w:kern w:val="0"/>
      <w:sz w:val="36"/>
      <w:szCs w:val="36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Lines>1</Lines>
  <Paragraphs>1</Paragraphs>
  <TotalTime>1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2024-03-01T05:33:49Z</dcterms:created>
  <dc:creator>Administrator</dc:creator>
  <cp:lastModifiedBy>等风人</cp:lastModifiedBy>
  <dcterms:modified xsi:type="dcterms:W3CDTF">2024-03-01T05:35:28Z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6276E3DDA17F44DE8CF46A0518D46EED_13</vt:lpwstr>
  </property>
</Properties>
</file>