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2EC2D">
      <w:pPr>
        <w:rPr>
          <w:rFonts w:eastAsiaTheme="minorEastAsia"/>
          <w:color w:val="auto"/>
          <w:highlight w:val="none"/>
        </w:rPr>
      </w:pPr>
    </w:p>
    <w:p w14:paraId="70FD7C4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color w:val="auto"/>
          <w:sz w:val="44"/>
          <w:szCs w:val="44"/>
          <w:highlight w:val="none"/>
          <w:u w:val="single"/>
          <w:lang w:val="en-US" w:eastAsia="zh-CN"/>
        </w:rPr>
      </w:pPr>
      <w:r>
        <w:rPr>
          <w:rFonts w:hint="eastAsia"/>
          <w:color w:val="auto"/>
          <w:sz w:val="44"/>
          <w:szCs w:val="44"/>
          <w:highlight w:val="none"/>
          <w:u w:val="single"/>
          <w:lang w:val="en-US" w:eastAsia="zh-CN"/>
        </w:rPr>
        <w:t>2026大渡口半程马拉松</w:t>
      </w:r>
    </w:p>
    <w:p w14:paraId="65265705">
      <w:pPr>
        <w:adjustRightInd/>
        <w:snapToGrid/>
        <w:spacing w:after="312" w:afterLines="100"/>
        <w:ind w:firstLine="2161" w:firstLineChars="600"/>
        <w:jc w:val="left"/>
        <w:rPr>
          <w:rFonts w:hint="default" w:ascii="Times" w:hAnsi="Times" w:eastAsia="宋体"/>
          <w:b/>
          <w:color w:val="auto"/>
          <w:spacing w:val="20"/>
          <w:sz w:val="44"/>
          <w:szCs w:val="44"/>
          <w:highlight w:val="none"/>
          <w:lang w:val="en-US" w:eastAsia="zh-CN"/>
        </w:rPr>
      </w:pPr>
      <w:r>
        <w:rPr>
          <w:rFonts w:hint="eastAsia" w:ascii="Times" w:hAnsi="Times"/>
          <w:b/>
          <w:color w:val="auto"/>
          <w:spacing w:val="20"/>
          <w:sz w:val="32"/>
          <w:szCs w:val="32"/>
          <w:highlight w:val="none"/>
          <w:lang w:eastAsia="zh-CN"/>
        </w:rPr>
        <w:t>项目编号：CQYD-ZB-26006</w:t>
      </w:r>
    </w:p>
    <w:p w14:paraId="71E3B317">
      <w:pPr>
        <w:spacing w:line="360" w:lineRule="auto"/>
        <w:jc w:val="center"/>
        <w:rPr>
          <w:color w:val="auto"/>
          <w:sz w:val="30"/>
          <w:szCs w:val="30"/>
          <w:highlight w:val="none"/>
        </w:rPr>
      </w:pPr>
    </w:p>
    <w:p w14:paraId="2B5EB222">
      <w:pPr>
        <w:pStyle w:val="19"/>
        <w:rPr>
          <w:color w:val="auto"/>
          <w:sz w:val="30"/>
          <w:szCs w:val="30"/>
          <w:highlight w:val="none"/>
        </w:rPr>
      </w:pPr>
    </w:p>
    <w:p w14:paraId="7A45D589">
      <w:pPr>
        <w:rPr>
          <w:color w:val="auto"/>
          <w:sz w:val="30"/>
          <w:szCs w:val="30"/>
          <w:highlight w:val="none"/>
        </w:rPr>
      </w:pPr>
    </w:p>
    <w:p w14:paraId="59A218F2">
      <w:pPr>
        <w:pStyle w:val="19"/>
        <w:rPr>
          <w:color w:val="auto"/>
          <w:sz w:val="30"/>
          <w:szCs w:val="30"/>
          <w:highlight w:val="none"/>
        </w:rPr>
      </w:pPr>
    </w:p>
    <w:p w14:paraId="2A81D21C">
      <w:pPr>
        <w:rPr>
          <w:color w:val="auto"/>
          <w:highlight w:val="none"/>
        </w:rPr>
      </w:pPr>
    </w:p>
    <w:p w14:paraId="7644CE51">
      <w:pPr>
        <w:spacing w:line="360" w:lineRule="auto"/>
        <w:jc w:val="center"/>
        <w:rPr>
          <w:color w:val="auto"/>
          <w:sz w:val="30"/>
          <w:szCs w:val="30"/>
          <w:highlight w:val="none"/>
        </w:rPr>
      </w:pPr>
    </w:p>
    <w:p w14:paraId="01321E35">
      <w:pPr>
        <w:spacing w:line="360" w:lineRule="auto"/>
        <w:jc w:val="center"/>
        <w:rPr>
          <w:color w:val="auto"/>
          <w:sz w:val="30"/>
          <w:szCs w:val="30"/>
          <w:highlight w:val="none"/>
        </w:rPr>
      </w:pPr>
    </w:p>
    <w:p w14:paraId="5AF2FB28">
      <w:pPr>
        <w:spacing w:line="360" w:lineRule="auto"/>
        <w:jc w:val="center"/>
        <w:rPr>
          <w:color w:val="auto"/>
          <w:sz w:val="30"/>
          <w:szCs w:val="30"/>
          <w:highlight w:val="none"/>
        </w:rPr>
      </w:pPr>
    </w:p>
    <w:p w14:paraId="17E29C4E">
      <w:pPr>
        <w:spacing w:line="360" w:lineRule="auto"/>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 xml:space="preserve">     招 标 文 件</w:t>
      </w:r>
    </w:p>
    <w:p w14:paraId="2B4121B1">
      <w:pPr>
        <w:pStyle w:val="19"/>
        <w:rPr>
          <w:rFonts w:hint="eastAsia" w:ascii="宋体" w:hAnsi="宋体" w:eastAsia="宋体" w:cs="宋体"/>
          <w:b/>
          <w:bCs/>
          <w:color w:val="auto"/>
          <w:sz w:val="84"/>
          <w:szCs w:val="84"/>
          <w:highlight w:val="none"/>
        </w:rPr>
      </w:pPr>
    </w:p>
    <w:p w14:paraId="05FB9930">
      <w:pPr>
        <w:rPr>
          <w:rFonts w:hint="eastAsia" w:ascii="宋体" w:hAnsi="宋体" w:eastAsia="宋体" w:cs="宋体"/>
          <w:b/>
          <w:bCs/>
          <w:color w:val="auto"/>
          <w:sz w:val="84"/>
          <w:szCs w:val="84"/>
          <w:highlight w:val="none"/>
        </w:rPr>
      </w:pPr>
    </w:p>
    <w:p w14:paraId="40164235">
      <w:pPr>
        <w:pStyle w:val="19"/>
        <w:rPr>
          <w:rFonts w:hint="eastAsia" w:ascii="宋体" w:hAnsi="宋体" w:eastAsia="宋体" w:cs="宋体"/>
          <w:b/>
          <w:bCs/>
          <w:color w:val="auto"/>
          <w:sz w:val="84"/>
          <w:szCs w:val="84"/>
          <w:highlight w:val="none"/>
        </w:rPr>
      </w:pPr>
    </w:p>
    <w:p w14:paraId="13BC905C">
      <w:pPr>
        <w:pStyle w:val="19"/>
        <w:rPr>
          <w:color w:val="auto"/>
          <w:highlight w:val="none"/>
        </w:rPr>
      </w:pPr>
    </w:p>
    <w:p w14:paraId="51A86D39">
      <w:pPr>
        <w:tabs>
          <w:tab w:val="left" w:pos="6219"/>
        </w:tabs>
        <w:autoSpaceDE w:val="0"/>
        <w:autoSpaceDN w:val="0"/>
        <w:adjustRightInd w:val="0"/>
        <w:snapToGrid w:val="0"/>
        <w:spacing w:line="360" w:lineRule="auto"/>
        <w:jc w:val="center"/>
        <w:rPr>
          <w:rFonts w:hint="eastAsia" w:ascii="宋体" w:hAnsi="宋体" w:eastAsia="宋体" w:cs="宋体"/>
          <w:bCs/>
          <w:color w:val="auto"/>
          <w:w w:val="99"/>
          <w:kern w:val="0"/>
          <w:sz w:val="28"/>
          <w:szCs w:val="28"/>
          <w:highlight w:val="none"/>
        </w:rPr>
      </w:pPr>
      <w:r>
        <w:rPr>
          <w:rFonts w:hint="eastAsia" w:ascii="宋体" w:hAnsi="宋体" w:eastAsia="宋体" w:cs="宋体"/>
          <w:bCs/>
          <w:color w:val="auto"/>
          <w:w w:val="99"/>
          <w:kern w:val="0"/>
          <w:sz w:val="28"/>
          <w:szCs w:val="28"/>
          <w:highlight w:val="none"/>
          <w:lang w:eastAsia="zh-CN"/>
        </w:rPr>
        <w:t>招标</w:t>
      </w:r>
      <w:r>
        <w:rPr>
          <w:rFonts w:hint="eastAsia" w:ascii="宋体" w:hAnsi="宋体" w:eastAsia="宋体" w:cs="宋体"/>
          <w:bCs/>
          <w:color w:val="auto"/>
          <w:w w:val="99"/>
          <w:kern w:val="0"/>
          <w:sz w:val="28"/>
          <w:szCs w:val="28"/>
          <w:highlight w:val="none"/>
        </w:rPr>
        <w:t>人：</w:t>
      </w:r>
      <w:r>
        <w:rPr>
          <w:rFonts w:hint="eastAsia" w:ascii="宋体" w:hAnsi="宋体" w:eastAsia="宋体" w:cs="宋体"/>
          <w:bCs/>
          <w:color w:val="auto"/>
          <w:w w:val="99"/>
          <w:kern w:val="0"/>
          <w:sz w:val="28"/>
          <w:szCs w:val="28"/>
          <w:highlight w:val="none"/>
          <w:u w:val="single"/>
        </w:rPr>
        <w:t>重庆市大渡口区新晟发建设有限公司</w:t>
      </w:r>
      <w:r>
        <w:rPr>
          <w:rFonts w:hint="eastAsia" w:ascii="宋体" w:hAnsi="宋体" w:eastAsia="宋体" w:cs="宋体"/>
          <w:bCs/>
          <w:color w:val="auto"/>
          <w:w w:val="99"/>
          <w:kern w:val="0"/>
          <w:sz w:val="28"/>
          <w:szCs w:val="28"/>
          <w:highlight w:val="none"/>
        </w:rPr>
        <w:t>（盖单位法人章）</w:t>
      </w:r>
    </w:p>
    <w:p w14:paraId="0BED27CB">
      <w:pPr>
        <w:tabs>
          <w:tab w:val="left" w:pos="6252"/>
        </w:tabs>
        <w:autoSpaceDE w:val="0"/>
        <w:autoSpaceDN w:val="0"/>
        <w:adjustRightInd w:val="0"/>
        <w:snapToGrid w:val="0"/>
        <w:spacing w:line="360" w:lineRule="auto"/>
        <w:jc w:val="center"/>
        <w:rPr>
          <w:rFonts w:hint="eastAsia" w:ascii="宋体" w:hAnsi="宋体" w:eastAsia="宋体" w:cs="宋体"/>
          <w:bCs/>
          <w:color w:val="auto"/>
          <w:w w:val="99"/>
          <w:kern w:val="0"/>
          <w:sz w:val="28"/>
          <w:szCs w:val="28"/>
          <w:highlight w:val="none"/>
        </w:rPr>
      </w:pPr>
      <w:r>
        <w:rPr>
          <w:rFonts w:hint="eastAsia" w:ascii="宋体" w:hAnsi="宋体" w:eastAsia="宋体" w:cs="宋体"/>
          <w:bCs/>
          <w:color w:val="auto"/>
          <w:spacing w:val="8"/>
          <w:kern w:val="0"/>
          <w:sz w:val="28"/>
          <w:szCs w:val="28"/>
          <w:highlight w:val="none"/>
        </w:rPr>
        <w:t>招标代理机构：</w:t>
      </w:r>
      <w:r>
        <w:rPr>
          <w:rFonts w:hint="eastAsia" w:ascii="宋体" w:hAnsi="宋体" w:eastAsia="宋体" w:cs="宋体"/>
          <w:bCs/>
          <w:color w:val="auto"/>
          <w:spacing w:val="8"/>
          <w:kern w:val="0"/>
          <w:sz w:val="28"/>
          <w:szCs w:val="28"/>
          <w:highlight w:val="none"/>
          <w:u w:val="single"/>
        </w:rPr>
        <w:t>重庆市义渡工程管理有限公司</w:t>
      </w:r>
      <w:r>
        <w:rPr>
          <w:rFonts w:hint="eastAsia" w:ascii="宋体" w:hAnsi="宋体" w:eastAsia="宋体" w:cs="宋体"/>
          <w:bCs/>
          <w:color w:val="auto"/>
          <w:w w:val="99"/>
          <w:kern w:val="0"/>
          <w:sz w:val="28"/>
          <w:szCs w:val="28"/>
          <w:highlight w:val="none"/>
        </w:rPr>
        <w:t>（盖单位法人章）</w:t>
      </w:r>
    </w:p>
    <w:p w14:paraId="1F5E041F">
      <w:pPr>
        <w:spacing w:line="360" w:lineRule="auto"/>
        <w:jc w:val="center"/>
        <w:rPr>
          <w:color w:val="auto"/>
          <w:sz w:val="30"/>
          <w:szCs w:val="30"/>
          <w:highlight w:val="none"/>
        </w:rPr>
      </w:pPr>
    </w:p>
    <w:p w14:paraId="354C6254">
      <w:pPr>
        <w:spacing w:line="360" w:lineRule="auto"/>
        <w:jc w:val="center"/>
        <w:rPr>
          <w:color w:val="auto"/>
          <w:sz w:val="30"/>
          <w:szCs w:val="30"/>
          <w:highlight w:val="none"/>
        </w:rPr>
      </w:pPr>
    </w:p>
    <w:p w14:paraId="74FF20F0">
      <w:pPr>
        <w:pStyle w:val="19"/>
        <w:rPr>
          <w:color w:val="auto"/>
          <w:highlight w:val="none"/>
        </w:rPr>
      </w:pPr>
    </w:p>
    <w:p w14:paraId="10249E7C">
      <w:pPr>
        <w:spacing w:line="360" w:lineRule="auto"/>
        <w:jc w:val="center"/>
        <w:rPr>
          <w:rFonts w:hint="eastAsia" w:eastAsia="宋体"/>
          <w:color w:val="auto"/>
          <w:sz w:val="30"/>
          <w:szCs w:val="30"/>
          <w:highlight w:val="none"/>
          <w:lang w:val="en-US" w:eastAsia="zh-CN"/>
        </w:rPr>
      </w:pPr>
      <w:bookmarkStart w:id="0" w:name="_Toc536796736"/>
      <w:bookmarkStart w:id="1" w:name="_Toc536797277"/>
      <w:bookmarkStart w:id="2" w:name="_Toc509218549"/>
      <w:bookmarkStart w:id="3" w:name="_Toc536621766"/>
      <w:bookmarkStart w:id="4" w:name="_Toc13210649"/>
      <w:r>
        <w:rPr>
          <w:rFonts w:hint="eastAsia" w:eastAsia="宋体"/>
          <w:color w:val="auto"/>
          <w:sz w:val="30"/>
          <w:szCs w:val="30"/>
          <w:highlight w:val="none"/>
          <w:lang w:val="en-US" w:eastAsia="zh-CN"/>
        </w:rPr>
        <w:t>2026</w:t>
      </w:r>
      <w:r>
        <w:rPr>
          <w:rFonts w:hint="eastAsia"/>
          <w:color w:val="auto"/>
          <w:sz w:val="30"/>
          <w:szCs w:val="30"/>
          <w:highlight w:val="none"/>
        </w:rPr>
        <w:t>年</w:t>
      </w:r>
      <w:r>
        <w:rPr>
          <w:rFonts w:hint="eastAsia" w:eastAsia="宋体"/>
          <w:color w:val="auto"/>
          <w:sz w:val="30"/>
          <w:szCs w:val="30"/>
          <w:highlight w:val="none"/>
          <w:lang w:val="en-US" w:eastAsia="zh-CN"/>
        </w:rPr>
        <w:t>2</w:t>
      </w:r>
      <w:r>
        <w:rPr>
          <w:rFonts w:hint="eastAsia"/>
          <w:color w:val="auto"/>
          <w:sz w:val="30"/>
          <w:szCs w:val="30"/>
          <w:highlight w:val="none"/>
        </w:rPr>
        <w:t>月</w:t>
      </w:r>
      <w:bookmarkEnd w:id="0"/>
      <w:bookmarkEnd w:id="1"/>
      <w:bookmarkEnd w:id="2"/>
      <w:bookmarkEnd w:id="3"/>
      <w:bookmarkEnd w:id="4"/>
    </w:p>
    <w:p w14:paraId="5B470810">
      <w:pP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br w:type="page"/>
      </w:r>
    </w:p>
    <w:p w14:paraId="6AE08BF4">
      <w:pPr>
        <w:pStyle w:val="19"/>
        <w:tabs>
          <w:tab w:val="right" w:leader="dot" w:pos="8307"/>
        </w:tabs>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w:t>
      </w:r>
      <w:r>
        <w:rPr>
          <w:rFonts w:hint="eastAsia" w:ascii="宋体" w:hAnsi="宋体" w:eastAsia="宋体" w:cs="宋体"/>
          <w:b/>
          <w:bCs/>
          <w:color w:val="auto"/>
          <w:sz w:val="48"/>
          <w:szCs w:val="48"/>
          <w:highlight w:val="none"/>
          <w:lang w:val="en-US" w:eastAsia="zh-CN"/>
        </w:rPr>
        <w:t xml:space="preserve"> </w:t>
      </w:r>
      <w:r>
        <w:rPr>
          <w:rFonts w:hint="eastAsia" w:ascii="宋体" w:hAnsi="宋体" w:eastAsia="宋体" w:cs="宋体"/>
          <w:b/>
          <w:bCs/>
          <w:color w:val="auto"/>
          <w:sz w:val="48"/>
          <w:szCs w:val="48"/>
          <w:highlight w:val="none"/>
        </w:rPr>
        <w:t>录</w:t>
      </w:r>
    </w:p>
    <w:p w14:paraId="64649DA6">
      <w:pPr>
        <w:pStyle w:val="19"/>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"1-2"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_Toc17581 </w:instrText>
      </w:r>
      <w:r>
        <w:rPr>
          <w:rFonts w:hint="eastAsia" w:ascii="宋体" w:hAnsi="宋体" w:eastAsia="宋体" w:cs="宋体"/>
          <w:szCs w:val="21"/>
          <w:highlight w:val="none"/>
        </w:rPr>
        <w:fldChar w:fldCharType="separate"/>
      </w:r>
      <w:r>
        <w:rPr>
          <w:rFonts w:hint="eastAsia"/>
          <w:highlight w:val="none"/>
        </w:rPr>
        <w:t>第一章 招标公告</w:t>
      </w:r>
      <w:r>
        <w:tab/>
      </w:r>
      <w:r>
        <w:fldChar w:fldCharType="begin"/>
      </w:r>
      <w:r>
        <w:instrText xml:space="preserve"> PAGEREF _Toc17581 \h </w:instrText>
      </w:r>
      <w:r>
        <w:fldChar w:fldCharType="separate"/>
      </w:r>
      <w:r>
        <w:t>2</w:t>
      </w:r>
      <w:r>
        <w:fldChar w:fldCharType="end"/>
      </w:r>
      <w:r>
        <w:rPr>
          <w:rFonts w:hint="eastAsia" w:ascii="宋体" w:hAnsi="宋体" w:eastAsia="宋体" w:cs="宋体"/>
          <w:color w:val="auto"/>
          <w:szCs w:val="21"/>
          <w:highlight w:val="none"/>
        </w:rPr>
        <w:fldChar w:fldCharType="end"/>
      </w:r>
    </w:p>
    <w:p w14:paraId="09F9A858">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_Toc20103 </w:instrText>
      </w:r>
      <w:r>
        <w:rPr>
          <w:rFonts w:hint="eastAsia" w:ascii="宋体" w:hAnsi="宋体" w:eastAsia="宋体" w:cs="宋体"/>
          <w:szCs w:val="21"/>
          <w:highlight w:val="none"/>
        </w:rPr>
        <w:fldChar w:fldCharType="separate"/>
      </w:r>
      <w:r>
        <w:rPr>
          <w:rFonts w:hint="eastAsia"/>
          <w:highlight w:val="none"/>
        </w:rPr>
        <w:t>1. 招标条件</w:t>
      </w:r>
      <w:r>
        <w:tab/>
      </w:r>
      <w:r>
        <w:fldChar w:fldCharType="begin"/>
      </w:r>
      <w:r>
        <w:instrText xml:space="preserve"> PAGEREF _Toc20103 \h </w:instrText>
      </w:r>
      <w:r>
        <w:fldChar w:fldCharType="separate"/>
      </w:r>
      <w:r>
        <w:t>2</w:t>
      </w:r>
      <w:r>
        <w:fldChar w:fldCharType="end"/>
      </w:r>
      <w:r>
        <w:rPr>
          <w:rFonts w:hint="eastAsia" w:ascii="宋体" w:hAnsi="宋体" w:eastAsia="宋体" w:cs="宋体"/>
          <w:color w:val="auto"/>
          <w:szCs w:val="21"/>
          <w:highlight w:val="none"/>
        </w:rPr>
        <w:fldChar w:fldCharType="end"/>
      </w:r>
    </w:p>
    <w:p w14:paraId="0C4536D8">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_Toc10839 </w:instrText>
      </w:r>
      <w:r>
        <w:rPr>
          <w:rFonts w:hint="eastAsia" w:ascii="宋体" w:hAnsi="宋体" w:eastAsia="宋体" w:cs="宋体"/>
          <w:szCs w:val="21"/>
          <w:highlight w:val="none"/>
        </w:rPr>
        <w:fldChar w:fldCharType="separate"/>
      </w:r>
      <w:r>
        <w:rPr>
          <w:rFonts w:hint="eastAsia"/>
          <w:highlight w:val="none"/>
        </w:rPr>
        <w:t>2. 项目概况与招标范围</w:t>
      </w:r>
      <w:r>
        <w:tab/>
      </w:r>
      <w:r>
        <w:fldChar w:fldCharType="begin"/>
      </w:r>
      <w:r>
        <w:instrText xml:space="preserve"> PAGEREF _Toc10839 \h </w:instrText>
      </w:r>
      <w:r>
        <w:fldChar w:fldCharType="separate"/>
      </w:r>
      <w:r>
        <w:t>2</w:t>
      </w:r>
      <w:r>
        <w:fldChar w:fldCharType="end"/>
      </w:r>
      <w:r>
        <w:rPr>
          <w:rFonts w:hint="eastAsia" w:ascii="宋体" w:hAnsi="宋体" w:eastAsia="宋体" w:cs="宋体"/>
          <w:color w:val="auto"/>
          <w:szCs w:val="21"/>
          <w:highlight w:val="none"/>
        </w:rPr>
        <w:fldChar w:fldCharType="end"/>
      </w:r>
    </w:p>
    <w:p w14:paraId="6B9695B9">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_Toc8896 </w:instrText>
      </w:r>
      <w:r>
        <w:rPr>
          <w:rFonts w:hint="eastAsia" w:ascii="宋体" w:hAnsi="宋体" w:eastAsia="宋体" w:cs="宋体"/>
          <w:szCs w:val="21"/>
          <w:highlight w:val="none"/>
        </w:rPr>
        <w:fldChar w:fldCharType="separate"/>
      </w:r>
      <w:r>
        <w:rPr>
          <w:rFonts w:hint="eastAsia"/>
          <w:highlight w:val="none"/>
        </w:rPr>
        <w:t>3. 投标人资格要求</w:t>
      </w:r>
      <w:r>
        <w:tab/>
      </w:r>
      <w:r>
        <w:fldChar w:fldCharType="begin"/>
      </w:r>
      <w:r>
        <w:instrText xml:space="preserve"> PAGEREF _Toc8896 \h </w:instrText>
      </w:r>
      <w:r>
        <w:fldChar w:fldCharType="separate"/>
      </w:r>
      <w:r>
        <w:t>2</w:t>
      </w:r>
      <w:r>
        <w:fldChar w:fldCharType="end"/>
      </w:r>
      <w:r>
        <w:rPr>
          <w:rFonts w:hint="eastAsia" w:ascii="宋体" w:hAnsi="宋体" w:eastAsia="宋体" w:cs="宋体"/>
          <w:color w:val="auto"/>
          <w:szCs w:val="21"/>
          <w:highlight w:val="none"/>
        </w:rPr>
        <w:fldChar w:fldCharType="end"/>
      </w:r>
    </w:p>
    <w:p w14:paraId="417C76CC">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_Toc28203 </w:instrText>
      </w:r>
      <w:r>
        <w:rPr>
          <w:rFonts w:hint="eastAsia" w:ascii="宋体" w:hAnsi="宋体" w:eastAsia="宋体" w:cs="宋体"/>
          <w:szCs w:val="21"/>
          <w:highlight w:val="none"/>
        </w:rPr>
        <w:fldChar w:fldCharType="separate"/>
      </w:r>
      <w:r>
        <w:rPr>
          <w:rFonts w:hint="eastAsia" w:ascii="宋体" w:hAnsi="宋体"/>
          <w:szCs w:val="28"/>
          <w:highlight w:val="none"/>
        </w:rPr>
        <w:t>4</w:t>
      </w:r>
      <w:r>
        <w:rPr>
          <w:rFonts w:ascii="宋体" w:hAnsi="宋体"/>
          <w:szCs w:val="28"/>
          <w:highlight w:val="none"/>
        </w:rPr>
        <w:t>. 招标文件的获取</w:t>
      </w:r>
      <w:r>
        <w:tab/>
      </w:r>
      <w:r>
        <w:fldChar w:fldCharType="begin"/>
      </w:r>
      <w:r>
        <w:instrText xml:space="preserve"> PAGEREF _Toc28203 \h </w:instrText>
      </w:r>
      <w:r>
        <w:fldChar w:fldCharType="separate"/>
      </w:r>
      <w:r>
        <w:t>2</w:t>
      </w:r>
      <w:r>
        <w:fldChar w:fldCharType="end"/>
      </w:r>
      <w:r>
        <w:rPr>
          <w:rFonts w:hint="eastAsia" w:ascii="宋体" w:hAnsi="宋体" w:eastAsia="宋体" w:cs="宋体"/>
          <w:color w:val="auto"/>
          <w:szCs w:val="21"/>
          <w:highlight w:val="none"/>
        </w:rPr>
        <w:fldChar w:fldCharType="end"/>
      </w:r>
    </w:p>
    <w:p w14:paraId="0428744F">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_Toc9573 </w:instrText>
      </w:r>
      <w:r>
        <w:rPr>
          <w:rFonts w:hint="eastAsia" w:ascii="宋体" w:hAnsi="宋体" w:eastAsia="宋体" w:cs="宋体"/>
          <w:szCs w:val="21"/>
          <w:highlight w:val="none"/>
        </w:rPr>
        <w:fldChar w:fldCharType="separate"/>
      </w:r>
      <w:r>
        <w:rPr>
          <w:rFonts w:hint="eastAsia" w:ascii="宋体" w:hAnsi="宋体"/>
          <w:szCs w:val="28"/>
          <w:highlight w:val="none"/>
        </w:rPr>
        <w:t>5</w:t>
      </w:r>
      <w:r>
        <w:rPr>
          <w:rFonts w:ascii="宋体" w:hAnsi="宋体"/>
          <w:szCs w:val="28"/>
          <w:highlight w:val="none"/>
        </w:rPr>
        <w:t>. 投标文件的递交</w:t>
      </w:r>
      <w:r>
        <w:tab/>
      </w:r>
      <w:r>
        <w:fldChar w:fldCharType="begin"/>
      </w:r>
      <w:r>
        <w:instrText xml:space="preserve"> PAGEREF _Toc9573 \h </w:instrText>
      </w:r>
      <w:r>
        <w:fldChar w:fldCharType="separate"/>
      </w:r>
      <w:r>
        <w:t>3</w:t>
      </w:r>
      <w:r>
        <w:fldChar w:fldCharType="end"/>
      </w:r>
      <w:r>
        <w:rPr>
          <w:rFonts w:hint="eastAsia" w:ascii="宋体" w:hAnsi="宋体" w:eastAsia="宋体" w:cs="宋体"/>
          <w:color w:val="auto"/>
          <w:szCs w:val="21"/>
          <w:highlight w:val="none"/>
        </w:rPr>
        <w:fldChar w:fldCharType="end"/>
      </w:r>
    </w:p>
    <w:p w14:paraId="2F560A1C">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_Toc19703 </w:instrText>
      </w:r>
      <w:r>
        <w:rPr>
          <w:rFonts w:hint="eastAsia" w:ascii="宋体" w:hAnsi="宋体" w:eastAsia="宋体" w:cs="宋体"/>
          <w:szCs w:val="21"/>
          <w:highlight w:val="none"/>
        </w:rPr>
        <w:fldChar w:fldCharType="separate"/>
      </w:r>
      <w:r>
        <w:rPr>
          <w:rFonts w:hint="eastAsia"/>
          <w:highlight w:val="none"/>
        </w:rPr>
        <w:t>6. 发布公告的媒介</w:t>
      </w:r>
      <w:r>
        <w:tab/>
      </w:r>
      <w:r>
        <w:fldChar w:fldCharType="begin"/>
      </w:r>
      <w:r>
        <w:instrText xml:space="preserve"> PAGEREF _Toc19703 \h </w:instrText>
      </w:r>
      <w:r>
        <w:fldChar w:fldCharType="separate"/>
      </w:r>
      <w:r>
        <w:t>3</w:t>
      </w:r>
      <w:r>
        <w:fldChar w:fldCharType="end"/>
      </w:r>
      <w:r>
        <w:rPr>
          <w:rFonts w:hint="eastAsia" w:ascii="宋体" w:hAnsi="宋体" w:eastAsia="宋体" w:cs="宋体"/>
          <w:color w:val="auto"/>
          <w:szCs w:val="21"/>
          <w:highlight w:val="none"/>
        </w:rPr>
        <w:fldChar w:fldCharType="end"/>
      </w:r>
    </w:p>
    <w:p w14:paraId="1022DDED">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_Toc24945 </w:instrText>
      </w:r>
      <w:r>
        <w:rPr>
          <w:rFonts w:hint="eastAsia" w:ascii="宋体" w:hAnsi="宋体" w:eastAsia="宋体" w:cs="宋体"/>
          <w:szCs w:val="21"/>
          <w:highlight w:val="none"/>
        </w:rPr>
        <w:fldChar w:fldCharType="separate"/>
      </w:r>
      <w:r>
        <w:rPr>
          <w:rFonts w:hint="eastAsia"/>
          <w:highlight w:val="none"/>
        </w:rPr>
        <w:t>7. 联系方式</w:t>
      </w:r>
      <w:r>
        <w:tab/>
      </w:r>
      <w:r>
        <w:fldChar w:fldCharType="begin"/>
      </w:r>
      <w:r>
        <w:instrText xml:space="preserve"> PAGEREF _Toc24945 \h </w:instrText>
      </w:r>
      <w:r>
        <w:fldChar w:fldCharType="separate"/>
      </w:r>
      <w:r>
        <w:t>3</w:t>
      </w:r>
      <w:r>
        <w:fldChar w:fldCharType="end"/>
      </w:r>
      <w:r>
        <w:rPr>
          <w:rFonts w:hint="eastAsia" w:ascii="宋体" w:hAnsi="宋体" w:eastAsia="宋体" w:cs="宋体"/>
          <w:color w:val="auto"/>
          <w:szCs w:val="21"/>
          <w:highlight w:val="none"/>
        </w:rPr>
        <w:fldChar w:fldCharType="end"/>
      </w:r>
    </w:p>
    <w:p w14:paraId="3BEA6052">
      <w:pPr>
        <w:pStyle w:val="19"/>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_Toc27043 </w:instrText>
      </w:r>
      <w:r>
        <w:rPr>
          <w:rFonts w:hint="eastAsia" w:ascii="宋体" w:hAnsi="宋体" w:eastAsia="宋体" w:cs="宋体"/>
          <w:szCs w:val="21"/>
          <w:highlight w:val="none"/>
        </w:rPr>
        <w:fldChar w:fldCharType="separate"/>
      </w:r>
      <w:r>
        <w:rPr>
          <w:highlight w:val="none"/>
        </w:rPr>
        <w:t>第二章 投标人须知</w:t>
      </w:r>
      <w:r>
        <w:tab/>
      </w:r>
      <w:r>
        <w:fldChar w:fldCharType="begin"/>
      </w:r>
      <w:r>
        <w:instrText xml:space="preserve"> PAGEREF _Toc27043 \h </w:instrText>
      </w:r>
      <w:r>
        <w:fldChar w:fldCharType="separate"/>
      </w:r>
      <w:r>
        <w:t>4</w:t>
      </w:r>
      <w:r>
        <w:fldChar w:fldCharType="end"/>
      </w:r>
      <w:r>
        <w:rPr>
          <w:rFonts w:hint="eastAsia" w:ascii="宋体" w:hAnsi="宋体" w:eastAsia="宋体" w:cs="宋体"/>
          <w:color w:val="auto"/>
          <w:szCs w:val="21"/>
          <w:highlight w:val="none"/>
        </w:rPr>
        <w:fldChar w:fldCharType="end"/>
      </w:r>
    </w:p>
    <w:p w14:paraId="2D96D890">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_Toc2716 </w:instrText>
      </w:r>
      <w:r>
        <w:rPr>
          <w:rFonts w:hint="eastAsia" w:ascii="宋体" w:hAnsi="宋体" w:eastAsia="宋体" w:cs="宋体"/>
          <w:szCs w:val="21"/>
          <w:highlight w:val="none"/>
        </w:rPr>
        <w:fldChar w:fldCharType="separate"/>
      </w:r>
      <w:r>
        <w:rPr>
          <w:rFonts w:hint="eastAsia"/>
          <w:highlight w:val="none"/>
        </w:rPr>
        <w:t>投标人须知前附表</w:t>
      </w:r>
      <w:r>
        <w:tab/>
      </w:r>
      <w:r>
        <w:fldChar w:fldCharType="begin"/>
      </w:r>
      <w:r>
        <w:instrText xml:space="preserve"> PAGEREF _Toc2716 \h </w:instrText>
      </w:r>
      <w:r>
        <w:fldChar w:fldCharType="separate"/>
      </w:r>
      <w:r>
        <w:t>4</w:t>
      </w:r>
      <w:r>
        <w:fldChar w:fldCharType="end"/>
      </w:r>
      <w:r>
        <w:rPr>
          <w:rFonts w:hint="eastAsia" w:ascii="宋体" w:hAnsi="宋体" w:eastAsia="宋体" w:cs="宋体"/>
          <w:color w:val="auto"/>
          <w:szCs w:val="21"/>
          <w:highlight w:val="none"/>
        </w:rPr>
        <w:fldChar w:fldCharType="end"/>
      </w:r>
    </w:p>
    <w:p w14:paraId="7AF2F28B">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_Toc27241 </w:instrText>
      </w:r>
      <w:r>
        <w:rPr>
          <w:rFonts w:hint="eastAsia" w:ascii="宋体" w:hAnsi="宋体" w:eastAsia="宋体" w:cs="宋体"/>
          <w:szCs w:val="21"/>
          <w:highlight w:val="none"/>
        </w:rPr>
        <w:fldChar w:fldCharType="separate"/>
      </w:r>
      <w:r>
        <w:t xml:space="preserve">1. </w:t>
      </w:r>
      <w:r>
        <w:rPr>
          <w:rFonts w:hint="eastAsia"/>
          <w:highlight w:val="none"/>
        </w:rPr>
        <w:t>总则</w:t>
      </w:r>
      <w:r>
        <w:tab/>
      </w:r>
      <w:r>
        <w:fldChar w:fldCharType="begin"/>
      </w:r>
      <w:r>
        <w:instrText xml:space="preserve"> PAGEREF _Toc27241 \h </w:instrText>
      </w:r>
      <w:r>
        <w:fldChar w:fldCharType="separate"/>
      </w:r>
      <w:r>
        <w:t>12</w:t>
      </w:r>
      <w:r>
        <w:fldChar w:fldCharType="end"/>
      </w:r>
      <w:r>
        <w:rPr>
          <w:rFonts w:hint="eastAsia" w:ascii="宋体" w:hAnsi="宋体" w:eastAsia="宋体" w:cs="宋体"/>
          <w:color w:val="auto"/>
          <w:szCs w:val="21"/>
          <w:highlight w:val="none"/>
        </w:rPr>
        <w:fldChar w:fldCharType="end"/>
      </w:r>
    </w:p>
    <w:p w14:paraId="4D7A02C2">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_Toc7826 </w:instrText>
      </w:r>
      <w:r>
        <w:rPr>
          <w:rFonts w:hint="eastAsia" w:ascii="宋体" w:hAnsi="宋体" w:eastAsia="宋体" w:cs="宋体"/>
          <w:szCs w:val="21"/>
          <w:highlight w:val="none"/>
        </w:rPr>
        <w:fldChar w:fldCharType="separate"/>
      </w:r>
      <w:r>
        <w:t xml:space="preserve">2. </w:t>
      </w:r>
      <w:r>
        <w:rPr>
          <w:rFonts w:hint="eastAsia"/>
          <w:highlight w:val="none"/>
        </w:rPr>
        <w:t>招标文件</w:t>
      </w:r>
      <w:r>
        <w:tab/>
      </w:r>
      <w:r>
        <w:fldChar w:fldCharType="begin"/>
      </w:r>
      <w:r>
        <w:instrText xml:space="preserve"> PAGEREF _Toc7826 \h </w:instrText>
      </w:r>
      <w:r>
        <w:fldChar w:fldCharType="separate"/>
      </w:r>
      <w:r>
        <w:t>14</w:t>
      </w:r>
      <w:r>
        <w:fldChar w:fldCharType="end"/>
      </w:r>
      <w:r>
        <w:rPr>
          <w:rFonts w:hint="eastAsia" w:ascii="宋体" w:hAnsi="宋体" w:eastAsia="宋体" w:cs="宋体"/>
          <w:color w:val="auto"/>
          <w:szCs w:val="21"/>
          <w:highlight w:val="none"/>
        </w:rPr>
        <w:fldChar w:fldCharType="end"/>
      </w:r>
    </w:p>
    <w:p w14:paraId="05967AC6">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_Toc28299 </w:instrText>
      </w:r>
      <w:r>
        <w:rPr>
          <w:rFonts w:hint="eastAsia" w:ascii="宋体" w:hAnsi="宋体" w:eastAsia="宋体" w:cs="宋体"/>
          <w:szCs w:val="21"/>
          <w:highlight w:val="none"/>
        </w:rPr>
        <w:fldChar w:fldCharType="separate"/>
      </w:r>
      <w:r>
        <w:t xml:space="preserve">3. </w:t>
      </w:r>
      <w:r>
        <w:rPr>
          <w:rFonts w:hint="eastAsia"/>
          <w:highlight w:val="none"/>
        </w:rPr>
        <w:t>投标文件</w:t>
      </w:r>
      <w:r>
        <w:tab/>
      </w:r>
      <w:r>
        <w:fldChar w:fldCharType="begin"/>
      </w:r>
      <w:r>
        <w:instrText xml:space="preserve"> PAGEREF _Toc28299 \h </w:instrText>
      </w:r>
      <w:r>
        <w:fldChar w:fldCharType="separate"/>
      </w:r>
      <w:r>
        <w:t>15</w:t>
      </w:r>
      <w:r>
        <w:fldChar w:fldCharType="end"/>
      </w:r>
      <w:r>
        <w:rPr>
          <w:rFonts w:hint="eastAsia" w:ascii="宋体" w:hAnsi="宋体" w:eastAsia="宋体" w:cs="宋体"/>
          <w:color w:val="auto"/>
          <w:szCs w:val="21"/>
          <w:highlight w:val="none"/>
        </w:rPr>
        <w:fldChar w:fldCharType="end"/>
      </w:r>
    </w:p>
    <w:p w14:paraId="31D74FEA">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_Toc4344 </w:instrText>
      </w:r>
      <w:r>
        <w:rPr>
          <w:rFonts w:hint="eastAsia" w:ascii="宋体" w:hAnsi="宋体" w:eastAsia="宋体" w:cs="宋体"/>
          <w:szCs w:val="21"/>
          <w:highlight w:val="none"/>
        </w:rPr>
        <w:fldChar w:fldCharType="separate"/>
      </w:r>
      <w:r>
        <w:t xml:space="preserve">4. </w:t>
      </w:r>
      <w:r>
        <w:rPr>
          <w:rFonts w:hint="eastAsia"/>
          <w:highlight w:val="none"/>
        </w:rPr>
        <w:t>投标</w:t>
      </w:r>
      <w:r>
        <w:tab/>
      </w:r>
      <w:r>
        <w:fldChar w:fldCharType="begin"/>
      </w:r>
      <w:r>
        <w:instrText xml:space="preserve"> PAGEREF _Toc4344 \h </w:instrText>
      </w:r>
      <w:r>
        <w:fldChar w:fldCharType="separate"/>
      </w:r>
      <w:r>
        <w:t>17</w:t>
      </w:r>
      <w:r>
        <w:fldChar w:fldCharType="end"/>
      </w:r>
      <w:r>
        <w:rPr>
          <w:rFonts w:hint="eastAsia" w:ascii="宋体" w:hAnsi="宋体" w:eastAsia="宋体" w:cs="宋体"/>
          <w:color w:val="auto"/>
          <w:szCs w:val="21"/>
          <w:highlight w:val="none"/>
        </w:rPr>
        <w:fldChar w:fldCharType="end"/>
      </w:r>
    </w:p>
    <w:p w14:paraId="5BAD5E39">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_Toc11156 </w:instrText>
      </w:r>
      <w:r>
        <w:rPr>
          <w:rFonts w:hint="eastAsia" w:ascii="宋体" w:hAnsi="宋体" w:eastAsia="宋体" w:cs="宋体"/>
          <w:szCs w:val="21"/>
          <w:highlight w:val="none"/>
        </w:rPr>
        <w:fldChar w:fldCharType="separate"/>
      </w:r>
      <w:r>
        <w:t xml:space="preserve">5. </w:t>
      </w:r>
      <w:r>
        <w:rPr>
          <w:rFonts w:hint="eastAsia"/>
          <w:highlight w:val="none"/>
        </w:rPr>
        <w:t>开标</w:t>
      </w:r>
      <w:r>
        <w:tab/>
      </w:r>
      <w:r>
        <w:fldChar w:fldCharType="begin"/>
      </w:r>
      <w:r>
        <w:instrText xml:space="preserve"> PAGEREF _Toc11156 \h </w:instrText>
      </w:r>
      <w:r>
        <w:fldChar w:fldCharType="separate"/>
      </w:r>
      <w:r>
        <w:t>18</w:t>
      </w:r>
      <w:r>
        <w:fldChar w:fldCharType="end"/>
      </w:r>
      <w:r>
        <w:rPr>
          <w:rFonts w:hint="eastAsia" w:ascii="宋体" w:hAnsi="宋体" w:eastAsia="宋体" w:cs="宋体"/>
          <w:color w:val="auto"/>
          <w:szCs w:val="21"/>
          <w:highlight w:val="none"/>
        </w:rPr>
        <w:fldChar w:fldCharType="end"/>
      </w:r>
    </w:p>
    <w:p w14:paraId="60446FB7">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_Toc27461 </w:instrText>
      </w:r>
      <w:r>
        <w:rPr>
          <w:rFonts w:hint="eastAsia" w:ascii="宋体" w:hAnsi="宋体" w:eastAsia="宋体" w:cs="宋体"/>
          <w:szCs w:val="21"/>
          <w:highlight w:val="none"/>
        </w:rPr>
        <w:fldChar w:fldCharType="separate"/>
      </w:r>
      <w:r>
        <w:t xml:space="preserve">6. </w:t>
      </w:r>
      <w:r>
        <w:rPr>
          <w:rFonts w:hint="eastAsia"/>
          <w:highlight w:val="none"/>
        </w:rPr>
        <w:t>评标</w:t>
      </w:r>
      <w:r>
        <w:tab/>
      </w:r>
      <w:r>
        <w:fldChar w:fldCharType="begin"/>
      </w:r>
      <w:r>
        <w:instrText xml:space="preserve"> PAGEREF _Toc27461 \h </w:instrText>
      </w:r>
      <w:r>
        <w:fldChar w:fldCharType="separate"/>
      </w:r>
      <w:r>
        <w:t>18</w:t>
      </w:r>
      <w:r>
        <w:fldChar w:fldCharType="end"/>
      </w:r>
      <w:r>
        <w:rPr>
          <w:rFonts w:hint="eastAsia" w:ascii="宋体" w:hAnsi="宋体" w:eastAsia="宋体" w:cs="宋体"/>
          <w:color w:val="auto"/>
          <w:szCs w:val="21"/>
          <w:highlight w:val="none"/>
        </w:rPr>
        <w:fldChar w:fldCharType="end"/>
      </w:r>
    </w:p>
    <w:p w14:paraId="2BAF36E1">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_Toc32274 </w:instrText>
      </w:r>
      <w:r>
        <w:rPr>
          <w:rFonts w:hint="eastAsia" w:ascii="宋体" w:hAnsi="宋体" w:eastAsia="宋体" w:cs="宋体"/>
          <w:szCs w:val="21"/>
          <w:highlight w:val="none"/>
        </w:rPr>
        <w:fldChar w:fldCharType="separate"/>
      </w:r>
      <w:r>
        <w:t xml:space="preserve">7. </w:t>
      </w:r>
      <w:r>
        <w:rPr>
          <w:rFonts w:hint="eastAsia"/>
          <w:highlight w:val="none"/>
        </w:rPr>
        <w:t>合同授予</w:t>
      </w:r>
      <w:r>
        <w:tab/>
      </w:r>
      <w:r>
        <w:fldChar w:fldCharType="begin"/>
      </w:r>
      <w:r>
        <w:instrText xml:space="preserve"> PAGEREF _Toc32274 \h </w:instrText>
      </w:r>
      <w:r>
        <w:fldChar w:fldCharType="separate"/>
      </w:r>
      <w:r>
        <w:t>19</w:t>
      </w:r>
      <w:r>
        <w:fldChar w:fldCharType="end"/>
      </w:r>
      <w:r>
        <w:rPr>
          <w:rFonts w:hint="eastAsia" w:ascii="宋体" w:hAnsi="宋体" w:eastAsia="宋体" w:cs="宋体"/>
          <w:color w:val="auto"/>
          <w:szCs w:val="21"/>
          <w:highlight w:val="none"/>
        </w:rPr>
        <w:fldChar w:fldCharType="end"/>
      </w:r>
    </w:p>
    <w:p w14:paraId="63B32F5A">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_Toc3773 </w:instrText>
      </w:r>
      <w:r>
        <w:rPr>
          <w:rFonts w:hint="eastAsia" w:ascii="宋体" w:hAnsi="宋体" w:eastAsia="宋体" w:cs="宋体"/>
          <w:szCs w:val="21"/>
          <w:highlight w:val="none"/>
        </w:rPr>
        <w:fldChar w:fldCharType="separate"/>
      </w:r>
      <w:r>
        <w:t xml:space="preserve">8. </w:t>
      </w:r>
      <w:r>
        <w:rPr>
          <w:rFonts w:hint="eastAsia"/>
          <w:highlight w:val="none"/>
        </w:rPr>
        <w:t>重新招标和不再招标</w:t>
      </w:r>
      <w:r>
        <w:tab/>
      </w:r>
      <w:r>
        <w:fldChar w:fldCharType="begin"/>
      </w:r>
      <w:r>
        <w:instrText xml:space="preserve"> PAGEREF _Toc3773 \h </w:instrText>
      </w:r>
      <w:r>
        <w:fldChar w:fldCharType="separate"/>
      </w:r>
      <w:r>
        <w:t>20</w:t>
      </w:r>
      <w:r>
        <w:fldChar w:fldCharType="end"/>
      </w:r>
      <w:r>
        <w:rPr>
          <w:rFonts w:hint="eastAsia" w:ascii="宋体" w:hAnsi="宋体" w:eastAsia="宋体" w:cs="宋体"/>
          <w:color w:val="auto"/>
          <w:szCs w:val="21"/>
          <w:highlight w:val="none"/>
        </w:rPr>
        <w:fldChar w:fldCharType="end"/>
      </w:r>
    </w:p>
    <w:p w14:paraId="3DC48409">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_Toc1402 </w:instrText>
      </w:r>
      <w:r>
        <w:rPr>
          <w:rFonts w:hint="eastAsia" w:ascii="宋体" w:hAnsi="宋体" w:eastAsia="宋体" w:cs="宋体"/>
          <w:szCs w:val="21"/>
          <w:highlight w:val="none"/>
        </w:rPr>
        <w:fldChar w:fldCharType="separate"/>
      </w:r>
      <w:r>
        <w:t xml:space="preserve">9. </w:t>
      </w:r>
      <w:r>
        <w:rPr>
          <w:rFonts w:hint="eastAsia"/>
          <w:highlight w:val="none"/>
        </w:rPr>
        <w:t>纪律和监督</w:t>
      </w:r>
      <w:r>
        <w:tab/>
      </w:r>
      <w:r>
        <w:fldChar w:fldCharType="begin"/>
      </w:r>
      <w:r>
        <w:instrText xml:space="preserve"> PAGEREF _Toc1402 \h </w:instrText>
      </w:r>
      <w:r>
        <w:fldChar w:fldCharType="separate"/>
      </w:r>
      <w:r>
        <w:t>20</w:t>
      </w:r>
      <w:r>
        <w:fldChar w:fldCharType="end"/>
      </w:r>
      <w:r>
        <w:rPr>
          <w:rFonts w:hint="eastAsia" w:ascii="宋体" w:hAnsi="宋体" w:eastAsia="宋体" w:cs="宋体"/>
          <w:color w:val="auto"/>
          <w:szCs w:val="21"/>
          <w:highlight w:val="none"/>
        </w:rPr>
        <w:fldChar w:fldCharType="end"/>
      </w:r>
    </w:p>
    <w:p w14:paraId="50EDEF72">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_Toc23351 </w:instrText>
      </w:r>
      <w:r>
        <w:rPr>
          <w:rFonts w:hint="eastAsia" w:ascii="宋体" w:hAnsi="宋体" w:eastAsia="宋体" w:cs="宋体"/>
          <w:szCs w:val="21"/>
          <w:highlight w:val="none"/>
        </w:rPr>
        <w:fldChar w:fldCharType="separate"/>
      </w:r>
      <w:r>
        <w:rPr>
          <w:rFonts w:hint="eastAsia"/>
          <w:highlight w:val="none"/>
        </w:rPr>
        <w:t>10.相关费用</w:t>
      </w:r>
      <w:r>
        <w:tab/>
      </w:r>
      <w:r>
        <w:fldChar w:fldCharType="begin"/>
      </w:r>
      <w:r>
        <w:instrText xml:space="preserve"> PAGEREF _Toc23351 \h </w:instrText>
      </w:r>
      <w:r>
        <w:fldChar w:fldCharType="separate"/>
      </w:r>
      <w:r>
        <w:t>21</w:t>
      </w:r>
      <w:r>
        <w:fldChar w:fldCharType="end"/>
      </w:r>
      <w:r>
        <w:rPr>
          <w:rFonts w:hint="eastAsia" w:ascii="宋体" w:hAnsi="宋体" w:eastAsia="宋体" w:cs="宋体"/>
          <w:color w:val="auto"/>
          <w:szCs w:val="21"/>
          <w:highlight w:val="none"/>
        </w:rPr>
        <w:fldChar w:fldCharType="end"/>
      </w:r>
    </w:p>
    <w:p w14:paraId="1B9F4F32">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_Toc20376 </w:instrText>
      </w:r>
      <w:r>
        <w:rPr>
          <w:rFonts w:hint="eastAsia" w:ascii="宋体" w:hAnsi="宋体" w:eastAsia="宋体" w:cs="宋体"/>
          <w:szCs w:val="21"/>
          <w:highlight w:val="none"/>
        </w:rPr>
        <w:fldChar w:fldCharType="separate"/>
      </w:r>
      <w:r>
        <w:rPr>
          <w:rFonts w:hint="eastAsia"/>
          <w:highlight w:val="none"/>
        </w:rPr>
        <w:t>11.需要补充的其他内容</w:t>
      </w:r>
      <w:r>
        <w:tab/>
      </w:r>
      <w:r>
        <w:fldChar w:fldCharType="begin"/>
      </w:r>
      <w:r>
        <w:instrText xml:space="preserve"> PAGEREF _Toc20376 \h </w:instrText>
      </w:r>
      <w:r>
        <w:fldChar w:fldCharType="separate"/>
      </w:r>
      <w:r>
        <w:t>21</w:t>
      </w:r>
      <w:r>
        <w:fldChar w:fldCharType="end"/>
      </w:r>
      <w:r>
        <w:rPr>
          <w:rFonts w:hint="eastAsia" w:ascii="宋体" w:hAnsi="宋体" w:eastAsia="宋体" w:cs="宋体"/>
          <w:color w:val="auto"/>
          <w:szCs w:val="21"/>
          <w:highlight w:val="none"/>
        </w:rPr>
        <w:fldChar w:fldCharType="end"/>
      </w:r>
    </w:p>
    <w:p w14:paraId="5EBFE8C9">
      <w:pPr>
        <w:pStyle w:val="19"/>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_Toc26455 </w:instrText>
      </w:r>
      <w:r>
        <w:rPr>
          <w:rFonts w:hint="eastAsia" w:ascii="宋体" w:hAnsi="宋体" w:eastAsia="宋体" w:cs="宋体"/>
          <w:szCs w:val="21"/>
          <w:highlight w:val="none"/>
        </w:rPr>
        <w:fldChar w:fldCharType="separate"/>
      </w:r>
      <w:r>
        <w:rPr>
          <w:rFonts w:hint="eastAsia"/>
          <w:highlight w:val="none"/>
        </w:rPr>
        <w:t>第三章评标办法（综合评估法）</w:t>
      </w:r>
      <w:r>
        <w:tab/>
      </w:r>
      <w:r>
        <w:fldChar w:fldCharType="begin"/>
      </w:r>
      <w:r>
        <w:instrText xml:space="preserve"> PAGEREF _Toc26455 \h </w:instrText>
      </w:r>
      <w:r>
        <w:fldChar w:fldCharType="separate"/>
      </w:r>
      <w:r>
        <w:t>26</w:t>
      </w:r>
      <w:r>
        <w:fldChar w:fldCharType="end"/>
      </w:r>
      <w:r>
        <w:rPr>
          <w:rFonts w:hint="eastAsia" w:ascii="宋体" w:hAnsi="宋体" w:eastAsia="宋体" w:cs="宋体"/>
          <w:color w:val="auto"/>
          <w:szCs w:val="21"/>
          <w:highlight w:val="none"/>
        </w:rPr>
        <w:fldChar w:fldCharType="end"/>
      </w:r>
    </w:p>
    <w:p w14:paraId="3B972E96">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_Toc99 </w:instrText>
      </w:r>
      <w:r>
        <w:rPr>
          <w:rFonts w:hint="eastAsia" w:ascii="宋体" w:hAnsi="宋体" w:eastAsia="宋体" w:cs="宋体"/>
          <w:szCs w:val="21"/>
          <w:highlight w:val="none"/>
        </w:rPr>
        <w:fldChar w:fldCharType="separate"/>
      </w:r>
      <w:r>
        <w:rPr>
          <w:rFonts w:hint="eastAsia"/>
          <w:highlight w:val="none"/>
        </w:rPr>
        <w:t>评标办法前附表</w:t>
      </w:r>
      <w:r>
        <w:tab/>
      </w:r>
      <w:r>
        <w:fldChar w:fldCharType="begin"/>
      </w:r>
      <w:r>
        <w:instrText xml:space="preserve"> PAGEREF _Toc99 \h </w:instrText>
      </w:r>
      <w:r>
        <w:fldChar w:fldCharType="separate"/>
      </w:r>
      <w:r>
        <w:t>26</w:t>
      </w:r>
      <w:r>
        <w:fldChar w:fldCharType="end"/>
      </w:r>
      <w:r>
        <w:rPr>
          <w:rFonts w:hint="eastAsia" w:ascii="宋体" w:hAnsi="宋体" w:eastAsia="宋体" w:cs="宋体"/>
          <w:color w:val="auto"/>
          <w:szCs w:val="21"/>
          <w:highlight w:val="none"/>
        </w:rPr>
        <w:fldChar w:fldCharType="end"/>
      </w:r>
    </w:p>
    <w:p w14:paraId="0E6A73E2">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_Toc6042 </w:instrText>
      </w:r>
      <w:r>
        <w:rPr>
          <w:rFonts w:hint="eastAsia" w:ascii="宋体" w:hAnsi="宋体" w:eastAsia="宋体" w:cs="宋体"/>
          <w:szCs w:val="21"/>
          <w:highlight w:val="none"/>
        </w:rPr>
        <w:fldChar w:fldCharType="separate"/>
      </w:r>
      <w:r>
        <w:rPr>
          <w:rFonts w:hint="eastAsia"/>
          <w:highlight w:val="none"/>
        </w:rPr>
        <w:t>1. 评标方法</w:t>
      </w:r>
      <w:r>
        <w:tab/>
      </w:r>
      <w:r>
        <w:fldChar w:fldCharType="begin"/>
      </w:r>
      <w:r>
        <w:instrText xml:space="preserve"> PAGEREF _Toc6042 \h </w:instrText>
      </w:r>
      <w:r>
        <w:fldChar w:fldCharType="separate"/>
      </w:r>
      <w:r>
        <w:t>31</w:t>
      </w:r>
      <w:r>
        <w:fldChar w:fldCharType="end"/>
      </w:r>
      <w:r>
        <w:rPr>
          <w:rFonts w:hint="eastAsia" w:ascii="宋体" w:hAnsi="宋体" w:eastAsia="宋体" w:cs="宋体"/>
          <w:color w:val="auto"/>
          <w:szCs w:val="21"/>
          <w:highlight w:val="none"/>
        </w:rPr>
        <w:fldChar w:fldCharType="end"/>
      </w:r>
    </w:p>
    <w:p w14:paraId="03B240A9">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_Toc24915 </w:instrText>
      </w:r>
      <w:r>
        <w:rPr>
          <w:rFonts w:hint="eastAsia" w:ascii="宋体" w:hAnsi="宋体" w:eastAsia="宋体" w:cs="宋体"/>
          <w:szCs w:val="21"/>
          <w:highlight w:val="none"/>
        </w:rPr>
        <w:fldChar w:fldCharType="separate"/>
      </w:r>
      <w:r>
        <w:rPr>
          <w:rFonts w:hint="eastAsia"/>
          <w:highlight w:val="none"/>
        </w:rPr>
        <w:t>2. 评审标准</w:t>
      </w:r>
      <w:r>
        <w:tab/>
      </w:r>
      <w:r>
        <w:fldChar w:fldCharType="begin"/>
      </w:r>
      <w:r>
        <w:instrText xml:space="preserve"> PAGEREF _Toc24915 \h </w:instrText>
      </w:r>
      <w:r>
        <w:fldChar w:fldCharType="separate"/>
      </w:r>
      <w:r>
        <w:t>31</w:t>
      </w:r>
      <w:r>
        <w:fldChar w:fldCharType="end"/>
      </w:r>
      <w:r>
        <w:rPr>
          <w:rFonts w:hint="eastAsia" w:ascii="宋体" w:hAnsi="宋体" w:eastAsia="宋体" w:cs="宋体"/>
          <w:color w:val="auto"/>
          <w:szCs w:val="21"/>
          <w:highlight w:val="none"/>
        </w:rPr>
        <w:fldChar w:fldCharType="end"/>
      </w:r>
    </w:p>
    <w:p w14:paraId="7B4D8C62">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_Toc29371 </w:instrText>
      </w:r>
      <w:r>
        <w:rPr>
          <w:rFonts w:hint="eastAsia" w:ascii="宋体" w:hAnsi="宋体" w:eastAsia="宋体" w:cs="宋体"/>
          <w:szCs w:val="21"/>
          <w:highlight w:val="none"/>
        </w:rPr>
        <w:fldChar w:fldCharType="separate"/>
      </w:r>
      <w:r>
        <w:rPr>
          <w:rFonts w:hint="eastAsia"/>
          <w:highlight w:val="none"/>
        </w:rPr>
        <w:t>3. 评标程序</w:t>
      </w:r>
      <w:r>
        <w:tab/>
      </w:r>
      <w:r>
        <w:fldChar w:fldCharType="begin"/>
      </w:r>
      <w:r>
        <w:instrText xml:space="preserve"> PAGEREF _Toc29371 \h </w:instrText>
      </w:r>
      <w:r>
        <w:fldChar w:fldCharType="separate"/>
      </w:r>
      <w:r>
        <w:t>31</w:t>
      </w:r>
      <w:r>
        <w:fldChar w:fldCharType="end"/>
      </w:r>
      <w:r>
        <w:rPr>
          <w:rFonts w:hint="eastAsia" w:ascii="宋体" w:hAnsi="宋体" w:eastAsia="宋体" w:cs="宋体"/>
          <w:color w:val="auto"/>
          <w:szCs w:val="21"/>
          <w:highlight w:val="none"/>
        </w:rPr>
        <w:fldChar w:fldCharType="end"/>
      </w:r>
    </w:p>
    <w:p w14:paraId="15369839">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_Toc23742 </w:instrText>
      </w:r>
      <w:r>
        <w:rPr>
          <w:rFonts w:hint="eastAsia" w:ascii="宋体" w:hAnsi="宋体" w:eastAsia="宋体" w:cs="宋体"/>
          <w:szCs w:val="21"/>
          <w:highlight w:val="none"/>
        </w:rPr>
        <w:fldChar w:fldCharType="separate"/>
      </w:r>
      <w:r>
        <w:rPr>
          <w:rFonts w:hint="eastAsia" w:ascii="宋体" w:hAnsi="宋体" w:eastAsia="宋体" w:cs="宋体"/>
          <w:szCs w:val="28"/>
          <w:highlight w:val="none"/>
        </w:rPr>
        <w:t>附件：综合评估法否决投标情况一览表</w:t>
      </w:r>
      <w:r>
        <w:tab/>
      </w:r>
      <w:r>
        <w:fldChar w:fldCharType="begin"/>
      </w:r>
      <w:r>
        <w:instrText xml:space="preserve"> PAGEREF _Toc23742 \h </w:instrText>
      </w:r>
      <w:r>
        <w:fldChar w:fldCharType="separate"/>
      </w:r>
      <w:r>
        <w:t>33</w:t>
      </w:r>
      <w:r>
        <w:fldChar w:fldCharType="end"/>
      </w:r>
      <w:r>
        <w:rPr>
          <w:rFonts w:hint="eastAsia" w:ascii="宋体" w:hAnsi="宋体" w:eastAsia="宋体" w:cs="宋体"/>
          <w:color w:val="auto"/>
          <w:szCs w:val="21"/>
          <w:highlight w:val="none"/>
        </w:rPr>
        <w:fldChar w:fldCharType="end"/>
      </w:r>
    </w:p>
    <w:p w14:paraId="6BBC0612">
      <w:pPr>
        <w:pStyle w:val="19"/>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_Toc19651 </w:instrText>
      </w:r>
      <w:r>
        <w:rPr>
          <w:rFonts w:hint="eastAsia" w:ascii="宋体" w:hAnsi="宋体" w:eastAsia="宋体" w:cs="宋体"/>
          <w:szCs w:val="21"/>
          <w:highlight w:val="none"/>
        </w:rPr>
        <w:fldChar w:fldCharType="separate"/>
      </w:r>
      <w:r>
        <w:rPr>
          <w:rFonts w:hint="eastAsia"/>
          <w:highlight w:val="none"/>
        </w:rPr>
        <w:t>第四章 合同条款及格式</w:t>
      </w:r>
      <w:r>
        <w:tab/>
      </w:r>
      <w:r>
        <w:fldChar w:fldCharType="begin"/>
      </w:r>
      <w:r>
        <w:instrText xml:space="preserve"> PAGEREF _Toc19651 \h </w:instrText>
      </w:r>
      <w:r>
        <w:fldChar w:fldCharType="separate"/>
      </w:r>
      <w:r>
        <w:t>35</w:t>
      </w:r>
      <w:r>
        <w:fldChar w:fldCharType="end"/>
      </w:r>
      <w:r>
        <w:rPr>
          <w:rFonts w:hint="eastAsia" w:ascii="宋体" w:hAnsi="宋体" w:eastAsia="宋体" w:cs="宋体"/>
          <w:color w:val="auto"/>
          <w:szCs w:val="21"/>
          <w:highlight w:val="none"/>
        </w:rPr>
        <w:fldChar w:fldCharType="end"/>
      </w:r>
    </w:p>
    <w:p w14:paraId="4AC7287E">
      <w:pPr>
        <w:pStyle w:val="19"/>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_Toc1009 </w:instrText>
      </w:r>
      <w:r>
        <w:rPr>
          <w:rFonts w:hint="eastAsia" w:ascii="宋体" w:hAnsi="宋体" w:eastAsia="宋体" w:cs="宋体"/>
          <w:szCs w:val="21"/>
          <w:highlight w:val="none"/>
        </w:rPr>
        <w:fldChar w:fldCharType="separate"/>
      </w:r>
      <w:r>
        <w:rPr>
          <w:rFonts w:hint="eastAsia"/>
          <w:highlight w:val="none"/>
        </w:rPr>
        <w:t>第五章</w:t>
      </w:r>
      <w:r>
        <w:rPr>
          <w:rFonts w:hint="eastAsia"/>
          <w:highlight w:val="none"/>
          <w:lang w:val="en-US" w:eastAsia="zh-CN"/>
        </w:rPr>
        <w:t xml:space="preserve"> </w:t>
      </w:r>
      <w:r>
        <w:rPr>
          <w:highlight w:val="none"/>
        </w:rPr>
        <w:t>发包人要求</w:t>
      </w:r>
      <w:r>
        <w:tab/>
      </w:r>
      <w:r>
        <w:fldChar w:fldCharType="begin"/>
      </w:r>
      <w:r>
        <w:instrText xml:space="preserve"> PAGEREF _Toc1009 \h </w:instrText>
      </w:r>
      <w:r>
        <w:fldChar w:fldCharType="separate"/>
      </w:r>
      <w:r>
        <w:t>36</w:t>
      </w:r>
      <w:r>
        <w:fldChar w:fldCharType="end"/>
      </w:r>
      <w:r>
        <w:rPr>
          <w:rFonts w:hint="eastAsia" w:ascii="宋体" w:hAnsi="宋体" w:eastAsia="宋体" w:cs="宋体"/>
          <w:color w:val="auto"/>
          <w:szCs w:val="21"/>
          <w:highlight w:val="none"/>
        </w:rPr>
        <w:fldChar w:fldCharType="end"/>
      </w:r>
    </w:p>
    <w:p w14:paraId="0A4A6AC0">
      <w:pPr>
        <w:pStyle w:val="19"/>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_Toc707 </w:instrText>
      </w:r>
      <w:r>
        <w:rPr>
          <w:rFonts w:hint="eastAsia" w:ascii="宋体" w:hAnsi="宋体" w:eastAsia="宋体" w:cs="宋体"/>
          <w:szCs w:val="21"/>
          <w:highlight w:val="none"/>
        </w:rPr>
        <w:fldChar w:fldCharType="separate"/>
      </w:r>
      <w:r>
        <w:rPr>
          <w:rFonts w:hint="eastAsia" w:ascii="微软雅黑" w:hAnsi="微软雅黑" w:eastAsia="微软雅黑"/>
          <w:szCs w:val="36"/>
          <w:highlight w:val="none"/>
        </w:rPr>
        <w:t>项目</w:t>
      </w:r>
      <w:r>
        <w:rPr>
          <w:rFonts w:hint="eastAsia" w:ascii="微软雅黑" w:hAnsi="微软雅黑" w:eastAsia="微软雅黑"/>
          <w:szCs w:val="36"/>
          <w:highlight w:val="none"/>
          <w:lang w:val="en-US" w:eastAsia="zh-CN"/>
        </w:rPr>
        <w:t>技术</w:t>
      </w:r>
      <w:r>
        <w:rPr>
          <w:rFonts w:hint="eastAsia" w:ascii="微软雅黑" w:hAnsi="微软雅黑" w:eastAsia="微软雅黑"/>
          <w:szCs w:val="36"/>
          <w:highlight w:val="none"/>
        </w:rPr>
        <w:t>服务及质量要求</w:t>
      </w:r>
      <w:r>
        <w:rPr>
          <w:rFonts w:hint="eastAsia" w:ascii="微软雅黑" w:hAnsi="微软雅黑" w:eastAsia="微软雅黑"/>
          <w:szCs w:val="36"/>
          <w:highlight w:val="none"/>
          <w:lang w:eastAsia="zh-CN"/>
        </w:rPr>
        <w:t>：</w:t>
      </w:r>
      <w:r>
        <w:tab/>
      </w:r>
      <w:r>
        <w:fldChar w:fldCharType="begin"/>
      </w:r>
      <w:r>
        <w:instrText xml:space="preserve"> PAGEREF _Toc707 \h </w:instrText>
      </w:r>
      <w:r>
        <w:fldChar w:fldCharType="separate"/>
      </w:r>
      <w:r>
        <w:t>37</w:t>
      </w:r>
      <w:r>
        <w:fldChar w:fldCharType="end"/>
      </w:r>
      <w:r>
        <w:rPr>
          <w:rFonts w:hint="eastAsia" w:ascii="宋体" w:hAnsi="宋体" w:eastAsia="宋体" w:cs="宋体"/>
          <w:color w:val="auto"/>
          <w:szCs w:val="21"/>
          <w:highlight w:val="none"/>
        </w:rPr>
        <w:fldChar w:fldCharType="end"/>
      </w:r>
    </w:p>
    <w:p w14:paraId="41296E7D">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_Toc19052 </w:instrText>
      </w:r>
      <w:r>
        <w:rPr>
          <w:rFonts w:hint="eastAsia" w:ascii="宋体" w:hAnsi="宋体" w:eastAsia="宋体" w:cs="宋体"/>
          <w:szCs w:val="21"/>
          <w:highlight w:val="none"/>
        </w:rPr>
        <w:fldChar w:fldCharType="separate"/>
      </w:r>
      <w:r>
        <w:rPr>
          <w:rFonts w:hint="eastAsia" w:ascii="微软雅黑" w:hAnsi="微软雅黑" w:eastAsia="微软雅黑" w:cs="Calibri"/>
          <w:highlight w:val="none"/>
          <w:lang w:val="en-US" w:eastAsia="zh-CN"/>
        </w:rPr>
        <w:t>一、项目基本概况介绍</w:t>
      </w:r>
      <w:r>
        <w:tab/>
      </w:r>
      <w:r>
        <w:fldChar w:fldCharType="begin"/>
      </w:r>
      <w:r>
        <w:instrText xml:space="preserve"> PAGEREF _Toc19052 \h </w:instrText>
      </w:r>
      <w:r>
        <w:fldChar w:fldCharType="separate"/>
      </w:r>
      <w:r>
        <w:t>37</w:t>
      </w:r>
      <w:r>
        <w:fldChar w:fldCharType="end"/>
      </w:r>
      <w:r>
        <w:rPr>
          <w:rFonts w:hint="eastAsia" w:ascii="宋体" w:hAnsi="宋体" w:eastAsia="宋体" w:cs="宋体"/>
          <w:color w:val="auto"/>
          <w:szCs w:val="21"/>
          <w:highlight w:val="none"/>
        </w:rPr>
        <w:fldChar w:fldCharType="end"/>
      </w:r>
    </w:p>
    <w:p w14:paraId="07934FEF">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_Toc21376 </w:instrText>
      </w:r>
      <w:r>
        <w:rPr>
          <w:rFonts w:hint="eastAsia" w:ascii="宋体" w:hAnsi="宋体" w:eastAsia="宋体" w:cs="宋体"/>
          <w:szCs w:val="21"/>
          <w:highlight w:val="none"/>
        </w:rPr>
        <w:fldChar w:fldCharType="separate"/>
      </w:r>
      <w:r>
        <w:rPr>
          <w:rFonts w:hint="eastAsia" w:ascii="微软雅黑" w:hAnsi="微软雅黑" w:eastAsia="微软雅黑" w:cs="Calibri"/>
          <w:highlight w:val="none"/>
          <w:lang w:val="en-US" w:eastAsia="zh-CN"/>
        </w:rPr>
        <w:t>二、</w:t>
      </w:r>
      <w:r>
        <w:rPr>
          <w:rFonts w:hint="eastAsia" w:ascii="微软雅黑" w:hAnsi="微软雅黑" w:eastAsia="微软雅黑" w:cs="Calibri"/>
          <w:highlight w:val="none"/>
          <w:lang w:val="zh-CN" w:eastAsia="zh-CN"/>
        </w:rPr>
        <w:t>项目服务</w:t>
      </w:r>
      <w:r>
        <w:rPr>
          <w:rFonts w:hint="eastAsia" w:ascii="微软雅黑" w:hAnsi="微软雅黑" w:eastAsia="微软雅黑" w:cs="Calibri"/>
          <w:highlight w:val="none"/>
          <w:lang w:val="en-US" w:eastAsia="zh-CN"/>
        </w:rPr>
        <w:t>及质量</w:t>
      </w:r>
      <w:r>
        <w:rPr>
          <w:rFonts w:hint="eastAsia" w:ascii="微软雅黑" w:hAnsi="微软雅黑" w:eastAsia="微软雅黑" w:cs="Calibri"/>
          <w:highlight w:val="none"/>
          <w:lang w:val="zh-CN" w:eastAsia="zh-CN"/>
        </w:rPr>
        <w:t>要求</w:t>
      </w:r>
      <w:r>
        <w:tab/>
      </w:r>
      <w:r>
        <w:fldChar w:fldCharType="begin"/>
      </w:r>
      <w:r>
        <w:instrText xml:space="preserve"> PAGEREF _Toc21376 \h </w:instrText>
      </w:r>
      <w:r>
        <w:fldChar w:fldCharType="separate"/>
      </w:r>
      <w:r>
        <w:t>37</w:t>
      </w:r>
      <w:r>
        <w:fldChar w:fldCharType="end"/>
      </w:r>
      <w:r>
        <w:rPr>
          <w:rFonts w:hint="eastAsia" w:ascii="宋体" w:hAnsi="宋体" w:eastAsia="宋体" w:cs="宋体"/>
          <w:color w:val="auto"/>
          <w:szCs w:val="21"/>
          <w:highlight w:val="none"/>
        </w:rPr>
        <w:fldChar w:fldCharType="end"/>
      </w:r>
    </w:p>
    <w:p w14:paraId="20FB023B">
      <w:pPr>
        <w:pStyle w:val="19"/>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_Toc21192 </w:instrText>
      </w:r>
      <w:r>
        <w:rPr>
          <w:rFonts w:hint="eastAsia" w:ascii="宋体" w:hAnsi="宋体" w:eastAsia="宋体" w:cs="宋体"/>
          <w:szCs w:val="21"/>
          <w:highlight w:val="none"/>
        </w:rPr>
        <w:fldChar w:fldCharType="separate"/>
      </w:r>
      <w:r>
        <w:rPr>
          <w:rFonts w:hint="eastAsia" w:ascii="微软雅黑" w:hAnsi="微软雅黑" w:eastAsia="微软雅黑"/>
          <w:szCs w:val="36"/>
          <w:highlight w:val="none"/>
        </w:rPr>
        <w:t>项目商务要求</w:t>
      </w:r>
      <w:r>
        <w:rPr>
          <w:rFonts w:hint="eastAsia" w:ascii="微软雅黑" w:hAnsi="微软雅黑" w:eastAsia="微软雅黑"/>
          <w:szCs w:val="36"/>
          <w:highlight w:val="none"/>
          <w:lang w:eastAsia="zh-CN"/>
        </w:rPr>
        <w:t>：</w:t>
      </w:r>
      <w:r>
        <w:tab/>
      </w:r>
      <w:r>
        <w:fldChar w:fldCharType="begin"/>
      </w:r>
      <w:r>
        <w:instrText xml:space="preserve"> PAGEREF _Toc21192 \h </w:instrText>
      </w:r>
      <w:r>
        <w:fldChar w:fldCharType="separate"/>
      </w:r>
      <w:r>
        <w:t>42</w:t>
      </w:r>
      <w:r>
        <w:fldChar w:fldCharType="end"/>
      </w:r>
      <w:r>
        <w:rPr>
          <w:rFonts w:hint="eastAsia" w:ascii="宋体" w:hAnsi="宋体" w:eastAsia="宋体" w:cs="宋体"/>
          <w:color w:val="auto"/>
          <w:szCs w:val="21"/>
          <w:highlight w:val="none"/>
        </w:rPr>
        <w:fldChar w:fldCharType="end"/>
      </w:r>
    </w:p>
    <w:p w14:paraId="2D1FFACF">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_Toc5464 </w:instrText>
      </w:r>
      <w:r>
        <w:rPr>
          <w:rFonts w:hint="eastAsia" w:ascii="宋体" w:hAnsi="宋体" w:eastAsia="宋体" w:cs="宋体"/>
          <w:szCs w:val="21"/>
          <w:highlight w:val="none"/>
        </w:rPr>
        <w:fldChar w:fldCharType="separate"/>
      </w:r>
      <w:r>
        <w:rPr>
          <w:rFonts w:hint="eastAsia" w:ascii="微软雅黑" w:hAnsi="微软雅黑" w:eastAsia="微软雅黑" w:cs="Calibri"/>
          <w:lang w:val="zh-CN" w:eastAsia="zh-CN"/>
        </w:rPr>
        <w:t xml:space="preserve">一、 </w:t>
      </w:r>
      <w:r>
        <w:rPr>
          <w:rFonts w:hint="eastAsia" w:ascii="微软雅黑" w:hAnsi="微软雅黑" w:eastAsia="微软雅黑" w:cs="Calibri"/>
          <w:highlight w:val="none"/>
          <w:lang w:val="zh-CN" w:eastAsia="zh-CN"/>
        </w:rPr>
        <w:t>实施时间、实施地点及验收方式</w:t>
      </w:r>
      <w:r>
        <w:tab/>
      </w:r>
      <w:r>
        <w:fldChar w:fldCharType="begin"/>
      </w:r>
      <w:r>
        <w:instrText xml:space="preserve"> PAGEREF _Toc5464 \h </w:instrText>
      </w:r>
      <w:r>
        <w:fldChar w:fldCharType="separate"/>
      </w:r>
      <w:r>
        <w:t>42</w:t>
      </w:r>
      <w:r>
        <w:fldChar w:fldCharType="end"/>
      </w:r>
      <w:r>
        <w:rPr>
          <w:rFonts w:hint="eastAsia" w:ascii="宋体" w:hAnsi="宋体" w:eastAsia="宋体" w:cs="宋体"/>
          <w:color w:val="auto"/>
          <w:szCs w:val="21"/>
          <w:highlight w:val="none"/>
        </w:rPr>
        <w:fldChar w:fldCharType="end"/>
      </w:r>
    </w:p>
    <w:p w14:paraId="2E29B6E7">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_Toc7333 </w:instrText>
      </w:r>
      <w:r>
        <w:rPr>
          <w:rFonts w:hint="eastAsia" w:ascii="宋体" w:hAnsi="宋体" w:eastAsia="宋体" w:cs="宋体"/>
          <w:szCs w:val="21"/>
          <w:highlight w:val="none"/>
        </w:rPr>
        <w:fldChar w:fldCharType="separate"/>
      </w:r>
      <w:r>
        <w:rPr>
          <w:rFonts w:hint="eastAsia" w:ascii="微软雅黑" w:hAnsi="微软雅黑" w:eastAsia="微软雅黑" w:cs="Calibri"/>
          <w:lang w:val="zh-CN" w:eastAsia="zh-CN"/>
        </w:rPr>
        <w:t xml:space="preserve">二、 </w:t>
      </w:r>
      <w:r>
        <w:rPr>
          <w:rFonts w:hint="eastAsia" w:ascii="微软雅黑" w:hAnsi="微软雅黑" w:eastAsia="微软雅黑" w:cs="Calibri"/>
          <w:highlight w:val="none"/>
          <w:lang w:val="zh-CN" w:eastAsia="zh-CN"/>
        </w:rPr>
        <w:t>报价要求</w:t>
      </w:r>
      <w:r>
        <w:tab/>
      </w:r>
      <w:r>
        <w:fldChar w:fldCharType="begin"/>
      </w:r>
      <w:r>
        <w:instrText xml:space="preserve"> PAGEREF _Toc7333 \h </w:instrText>
      </w:r>
      <w:r>
        <w:fldChar w:fldCharType="separate"/>
      </w:r>
      <w:r>
        <w:t>42</w:t>
      </w:r>
      <w:r>
        <w:fldChar w:fldCharType="end"/>
      </w:r>
      <w:r>
        <w:rPr>
          <w:rFonts w:hint="eastAsia" w:ascii="宋体" w:hAnsi="宋体" w:eastAsia="宋体" w:cs="宋体"/>
          <w:color w:val="auto"/>
          <w:szCs w:val="21"/>
          <w:highlight w:val="none"/>
        </w:rPr>
        <w:fldChar w:fldCharType="end"/>
      </w:r>
    </w:p>
    <w:p w14:paraId="68E104B1">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_Toc10550 </w:instrText>
      </w:r>
      <w:r>
        <w:rPr>
          <w:rFonts w:hint="eastAsia" w:ascii="宋体" w:hAnsi="宋体" w:eastAsia="宋体" w:cs="宋体"/>
          <w:szCs w:val="21"/>
          <w:highlight w:val="none"/>
        </w:rPr>
        <w:fldChar w:fldCharType="separate"/>
      </w:r>
      <w:r>
        <w:rPr>
          <w:rFonts w:hint="eastAsia" w:ascii="微软雅黑" w:hAnsi="微软雅黑" w:eastAsia="微软雅黑" w:cs="Calibri"/>
          <w:lang w:val="zh-CN" w:eastAsia="zh-CN"/>
        </w:rPr>
        <w:t xml:space="preserve">三、 </w:t>
      </w:r>
      <w:r>
        <w:rPr>
          <w:rFonts w:hint="eastAsia" w:ascii="微软雅黑" w:hAnsi="微软雅黑" w:eastAsia="微软雅黑" w:cs="Calibri"/>
          <w:highlight w:val="none"/>
          <w:lang w:val="zh-CN" w:eastAsia="zh-CN"/>
        </w:rPr>
        <w:t>质量保证及售后服务</w:t>
      </w:r>
      <w:r>
        <w:tab/>
      </w:r>
      <w:r>
        <w:fldChar w:fldCharType="begin"/>
      </w:r>
      <w:r>
        <w:instrText xml:space="preserve"> PAGEREF _Toc10550 \h </w:instrText>
      </w:r>
      <w:r>
        <w:fldChar w:fldCharType="separate"/>
      </w:r>
      <w:r>
        <w:t>42</w:t>
      </w:r>
      <w:r>
        <w:fldChar w:fldCharType="end"/>
      </w:r>
      <w:r>
        <w:rPr>
          <w:rFonts w:hint="eastAsia" w:ascii="宋体" w:hAnsi="宋体" w:eastAsia="宋体" w:cs="宋体"/>
          <w:color w:val="auto"/>
          <w:szCs w:val="21"/>
          <w:highlight w:val="none"/>
        </w:rPr>
        <w:fldChar w:fldCharType="end"/>
      </w:r>
    </w:p>
    <w:p w14:paraId="5617D11C">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_Toc11720 </w:instrText>
      </w:r>
      <w:r>
        <w:rPr>
          <w:rFonts w:hint="eastAsia" w:ascii="宋体" w:hAnsi="宋体" w:eastAsia="宋体" w:cs="宋体"/>
          <w:szCs w:val="21"/>
          <w:highlight w:val="none"/>
        </w:rPr>
        <w:fldChar w:fldCharType="separate"/>
      </w:r>
      <w:r>
        <w:rPr>
          <w:rFonts w:hint="eastAsia" w:ascii="微软雅黑" w:hAnsi="微软雅黑" w:eastAsia="微软雅黑"/>
          <w:szCs w:val="24"/>
          <w:highlight w:val="none"/>
          <w:lang w:val="en-US" w:eastAsia="zh-CN"/>
        </w:rPr>
        <w:t>四</w:t>
      </w:r>
      <w:r>
        <w:rPr>
          <w:rFonts w:hint="eastAsia" w:ascii="微软雅黑" w:hAnsi="微软雅黑" w:eastAsia="微软雅黑"/>
          <w:szCs w:val="24"/>
          <w:highlight w:val="none"/>
        </w:rPr>
        <w:t>、付款方式</w:t>
      </w:r>
      <w:r>
        <w:tab/>
      </w:r>
      <w:r>
        <w:fldChar w:fldCharType="begin"/>
      </w:r>
      <w:r>
        <w:instrText xml:space="preserve"> PAGEREF _Toc11720 \h </w:instrText>
      </w:r>
      <w:r>
        <w:fldChar w:fldCharType="separate"/>
      </w:r>
      <w:r>
        <w:t>43</w:t>
      </w:r>
      <w:r>
        <w:fldChar w:fldCharType="end"/>
      </w:r>
      <w:r>
        <w:rPr>
          <w:rFonts w:hint="eastAsia" w:ascii="宋体" w:hAnsi="宋体" w:eastAsia="宋体" w:cs="宋体"/>
          <w:color w:val="auto"/>
          <w:szCs w:val="21"/>
          <w:highlight w:val="none"/>
        </w:rPr>
        <w:fldChar w:fldCharType="end"/>
      </w:r>
    </w:p>
    <w:p w14:paraId="4494CB73">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_Toc11313 </w:instrText>
      </w:r>
      <w:r>
        <w:rPr>
          <w:rFonts w:hint="eastAsia" w:ascii="宋体" w:hAnsi="宋体" w:eastAsia="宋体" w:cs="宋体"/>
          <w:szCs w:val="21"/>
          <w:highlight w:val="none"/>
        </w:rPr>
        <w:fldChar w:fldCharType="separate"/>
      </w:r>
      <w:r>
        <w:rPr>
          <w:rFonts w:hint="eastAsia" w:ascii="微软雅黑" w:hAnsi="微软雅黑" w:eastAsia="微软雅黑"/>
          <w:szCs w:val="24"/>
          <w:highlight w:val="none"/>
          <w:lang w:val="en-US" w:eastAsia="zh-CN"/>
        </w:rPr>
        <w:t>五</w:t>
      </w:r>
      <w:r>
        <w:rPr>
          <w:rFonts w:hint="eastAsia" w:ascii="微软雅黑" w:hAnsi="微软雅黑" w:eastAsia="微软雅黑"/>
          <w:szCs w:val="24"/>
          <w:highlight w:val="none"/>
        </w:rPr>
        <w:t>、知识产权</w:t>
      </w:r>
      <w:r>
        <w:tab/>
      </w:r>
      <w:r>
        <w:fldChar w:fldCharType="begin"/>
      </w:r>
      <w:r>
        <w:instrText xml:space="preserve"> PAGEREF _Toc11313 \h </w:instrText>
      </w:r>
      <w:r>
        <w:fldChar w:fldCharType="separate"/>
      </w:r>
      <w:r>
        <w:t>43</w:t>
      </w:r>
      <w:r>
        <w:fldChar w:fldCharType="end"/>
      </w:r>
      <w:r>
        <w:rPr>
          <w:rFonts w:hint="eastAsia" w:ascii="宋体" w:hAnsi="宋体" w:eastAsia="宋体" w:cs="宋体"/>
          <w:color w:val="auto"/>
          <w:szCs w:val="21"/>
          <w:highlight w:val="none"/>
        </w:rPr>
        <w:fldChar w:fldCharType="end"/>
      </w:r>
    </w:p>
    <w:p w14:paraId="01F5B28A">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_Toc11210 </w:instrText>
      </w:r>
      <w:r>
        <w:rPr>
          <w:rFonts w:hint="eastAsia" w:ascii="宋体" w:hAnsi="宋体" w:eastAsia="宋体" w:cs="宋体"/>
          <w:szCs w:val="21"/>
          <w:highlight w:val="none"/>
        </w:rPr>
        <w:fldChar w:fldCharType="separate"/>
      </w:r>
      <w:r>
        <w:rPr>
          <w:rFonts w:hint="eastAsia" w:ascii="微软雅黑" w:hAnsi="微软雅黑" w:eastAsia="微软雅黑"/>
          <w:szCs w:val="24"/>
          <w:highlight w:val="none"/>
          <w:lang w:val="en-US" w:eastAsia="zh-CN"/>
        </w:rPr>
        <w:t>六、其他</w:t>
      </w:r>
      <w:r>
        <w:tab/>
      </w:r>
      <w:r>
        <w:fldChar w:fldCharType="begin"/>
      </w:r>
      <w:r>
        <w:instrText xml:space="preserve"> PAGEREF _Toc11210 \h </w:instrText>
      </w:r>
      <w:r>
        <w:fldChar w:fldCharType="separate"/>
      </w:r>
      <w:r>
        <w:t>43</w:t>
      </w:r>
      <w:r>
        <w:fldChar w:fldCharType="end"/>
      </w:r>
      <w:r>
        <w:rPr>
          <w:rFonts w:hint="eastAsia" w:ascii="宋体" w:hAnsi="宋体" w:eastAsia="宋体" w:cs="宋体"/>
          <w:color w:val="auto"/>
          <w:szCs w:val="21"/>
          <w:highlight w:val="none"/>
        </w:rPr>
        <w:fldChar w:fldCharType="end"/>
      </w:r>
    </w:p>
    <w:p w14:paraId="3C932CEE">
      <w:pPr>
        <w:pStyle w:val="19"/>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_Toc7918 </w:instrText>
      </w:r>
      <w:r>
        <w:rPr>
          <w:rFonts w:hint="eastAsia" w:ascii="宋体" w:hAnsi="宋体" w:eastAsia="宋体" w:cs="宋体"/>
          <w:szCs w:val="21"/>
          <w:highlight w:val="none"/>
        </w:rPr>
        <w:fldChar w:fldCharType="separate"/>
      </w:r>
      <w:r>
        <w:rPr>
          <w:rFonts w:hint="eastAsia"/>
          <w:highlight w:val="none"/>
        </w:rPr>
        <w:t>第六章 投标文件格式</w:t>
      </w:r>
      <w:r>
        <w:tab/>
      </w:r>
      <w:r>
        <w:fldChar w:fldCharType="begin"/>
      </w:r>
      <w:r>
        <w:instrText xml:space="preserve"> PAGEREF _Toc7918 \h </w:instrText>
      </w:r>
      <w:r>
        <w:fldChar w:fldCharType="separate"/>
      </w:r>
      <w:r>
        <w:t>44</w:t>
      </w:r>
      <w:r>
        <w:fldChar w:fldCharType="end"/>
      </w:r>
      <w:r>
        <w:rPr>
          <w:rFonts w:hint="eastAsia" w:ascii="宋体" w:hAnsi="宋体" w:eastAsia="宋体" w:cs="宋体"/>
          <w:color w:val="auto"/>
          <w:szCs w:val="21"/>
          <w:highlight w:val="none"/>
        </w:rPr>
        <w:fldChar w:fldCharType="end"/>
      </w:r>
    </w:p>
    <w:p w14:paraId="77F3F55A">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_Toc2152 </w:instrText>
      </w:r>
      <w:r>
        <w:rPr>
          <w:rFonts w:hint="eastAsia" w:ascii="宋体" w:hAnsi="宋体" w:eastAsia="宋体" w:cs="宋体"/>
          <w:szCs w:val="21"/>
          <w:highlight w:val="none"/>
        </w:rPr>
        <w:fldChar w:fldCharType="separate"/>
      </w:r>
      <w:r>
        <w:rPr>
          <w:rFonts w:hint="eastAsia"/>
          <w:highlight w:val="none"/>
          <w:lang w:eastAsia="zh-CN"/>
        </w:rPr>
        <w:t>一</w:t>
      </w:r>
      <w:r>
        <w:rPr>
          <w:rFonts w:hint="eastAsia"/>
          <w:highlight w:val="none"/>
        </w:rPr>
        <w:t>、</w:t>
      </w:r>
      <w:r>
        <w:rPr>
          <w:rFonts w:hint="eastAsia"/>
          <w:highlight w:val="none"/>
          <w:lang w:eastAsia="zh-CN"/>
        </w:rPr>
        <w:t>投标函</w:t>
      </w:r>
      <w:r>
        <w:tab/>
      </w:r>
      <w:r>
        <w:fldChar w:fldCharType="begin"/>
      </w:r>
      <w:r>
        <w:instrText xml:space="preserve"> PAGEREF _Toc2152 \h </w:instrText>
      </w:r>
      <w:r>
        <w:fldChar w:fldCharType="separate"/>
      </w:r>
      <w:r>
        <w:t>47</w:t>
      </w:r>
      <w:r>
        <w:fldChar w:fldCharType="end"/>
      </w:r>
      <w:r>
        <w:rPr>
          <w:rFonts w:hint="eastAsia" w:ascii="宋体" w:hAnsi="宋体" w:eastAsia="宋体" w:cs="宋体"/>
          <w:color w:val="auto"/>
          <w:szCs w:val="21"/>
          <w:highlight w:val="none"/>
        </w:rPr>
        <w:fldChar w:fldCharType="end"/>
      </w:r>
    </w:p>
    <w:p w14:paraId="41C35C95">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_Toc31036 </w:instrText>
      </w:r>
      <w:r>
        <w:rPr>
          <w:rFonts w:hint="eastAsia" w:ascii="宋体" w:hAnsi="宋体" w:eastAsia="宋体" w:cs="宋体"/>
          <w:szCs w:val="21"/>
          <w:highlight w:val="none"/>
        </w:rPr>
        <w:fldChar w:fldCharType="separate"/>
      </w:r>
      <w:r>
        <w:rPr>
          <w:rFonts w:hint="eastAsia"/>
          <w:highlight w:val="none"/>
          <w:lang w:eastAsia="zh-CN"/>
        </w:rPr>
        <w:t>二</w:t>
      </w:r>
      <w:r>
        <w:rPr>
          <w:rFonts w:hint="eastAsia"/>
          <w:highlight w:val="none"/>
        </w:rPr>
        <w:t>、法定代表人身份证明或授权委托书</w:t>
      </w:r>
      <w:r>
        <w:tab/>
      </w:r>
      <w:r>
        <w:fldChar w:fldCharType="begin"/>
      </w:r>
      <w:r>
        <w:instrText xml:space="preserve"> PAGEREF _Toc31036 \h </w:instrText>
      </w:r>
      <w:r>
        <w:fldChar w:fldCharType="separate"/>
      </w:r>
      <w:r>
        <w:t>48</w:t>
      </w:r>
      <w:r>
        <w:fldChar w:fldCharType="end"/>
      </w:r>
      <w:r>
        <w:rPr>
          <w:rFonts w:hint="eastAsia" w:ascii="宋体" w:hAnsi="宋体" w:eastAsia="宋体" w:cs="宋体"/>
          <w:color w:val="auto"/>
          <w:szCs w:val="21"/>
          <w:highlight w:val="none"/>
        </w:rPr>
        <w:fldChar w:fldCharType="end"/>
      </w:r>
    </w:p>
    <w:p w14:paraId="1AE1CA2D">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_Toc32042 </w:instrText>
      </w:r>
      <w:r>
        <w:rPr>
          <w:rFonts w:hint="eastAsia" w:ascii="宋体" w:hAnsi="宋体" w:eastAsia="宋体" w:cs="宋体"/>
          <w:szCs w:val="21"/>
          <w:highlight w:val="none"/>
        </w:rPr>
        <w:fldChar w:fldCharType="separate"/>
      </w:r>
      <w:r>
        <w:rPr>
          <w:rFonts w:hint="eastAsia"/>
          <w:highlight w:val="none"/>
          <w:lang w:eastAsia="zh-CN"/>
        </w:rPr>
        <w:t>三</w:t>
      </w:r>
      <w:r>
        <w:rPr>
          <w:rFonts w:hint="eastAsia"/>
          <w:highlight w:val="none"/>
        </w:rPr>
        <w:t>、商务部分</w:t>
      </w:r>
      <w:r>
        <w:tab/>
      </w:r>
      <w:r>
        <w:fldChar w:fldCharType="begin"/>
      </w:r>
      <w:r>
        <w:instrText xml:space="preserve"> PAGEREF _Toc32042 \h </w:instrText>
      </w:r>
      <w:r>
        <w:fldChar w:fldCharType="separate"/>
      </w:r>
      <w:r>
        <w:t>50</w:t>
      </w:r>
      <w:r>
        <w:fldChar w:fldCharType="end"/>
      </w:r>
      <w:r>
        <w:rPr>
          <w:rFonts w:hint="eastAsia" w:ascii="宋体" w:hAnsi="宋体" w:eastAsia="宋体" w:cs="宋体"/>
          <w:color w:val="auto"/>
          <w:szCs w:val="21"/>
          <w:highlight w:val="none"/>
        </w:rPr>
        <w:fldChar w:fldCharType="end"/>
      </w:r>
    </w:p>
    <w:p w14:paraId="06AF851B">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_Toc5007 </w:instrText>
      </w:r>
      <w:r>
        <w:rPr>
          <w:rFonts w:hint="eastAsia" w:ascii="宋体" w:hAnsi="宋体" w:eastAsia="宋体" w:cs="宋体"/>
          <w:szCs w:val="21"/>
          <w:highlight w:val="none"/>
        </w:rPr>
        <w:fldChar w:fldCharType="separate"/>
      </w:r>
      <w:r>
        <w:rPr>
          <w:rFonts w:hint="eastAsia" w:eastAsia="宋体"/>
          <w:highlight w:val="none"/>
          <w:lang w:eastAsia="zh-CN"/>
        </w:rPr>
        <w:t>四</w:t>
      </w:r>
      <w:r>
        <w:rPr>
          <w:rFonts w:hint="eastAsia"/>
          <w:highlight w:val="none"/>
        </w:rPr>
        <w:t>、技术</w:t>
      </w:r>
      <w:r>
        <w:rPr>
          <w:rFonts w:hint="eastAsia"/>
          <w:highlight w:val="none"/>
          <w:lang w:val="en-US" w:eastAsia="zh-CN"/>
        </w:rPr>
        <w:t>部分</w:t>
      </w:r>
      <w:r>
        <w:tab/>
      </w:r>
      <w:r>
        <w:fldChar w:fldCharType="begin"/>
      </w:r>
      <w:r>
        <w:instrText xml:space="preserve"> PAGEREF _Toc5007 \h </w:instrText>
      </w:r>
      <w:r>
        <w:fldChar w:fldCharType="separate"/>
      </w:r>
      <w:r>
        <w:t>51</w:t>
      </w:r>
      <w:r>
        <w:fldChar w:fldCharType="end"/>
      </w:r>
      <w:r>
        <w:rPr>
          <w:rFonts w:hint="eastAsia" w:ascii="宋体" w:hAnsi="宋体" w:eastAsia="宋体" w:cs="宋体"/>
          <w:color w:val="auto"/>
          <w:szCs w:val="21"/>
          <w:highlight w:val="none"/>
        </w:rPr>
        <w:fldChar w:fldCharType="end"/>
      </w:r>
    </w:p>
    <w:p w14:paraId="5D9737BA">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_Toc14721 </w:instrText>
      </w:r>
      <w:r>
        <w:rPr>
          <w:rFonts w:hint="eastAsia" w:ascii="宋体" w:hAnsi="宋体" w:eastAsia="宋体" w:cs="宋体"/>
          <w:szCs w:val="21"/>
          <w:highlight w:val="none"/>
        </w:rPr>
        <w:fldChar w:fldCharType="separate"/>
      </w:r>
      <w:r>
        <w:rPr>
          <w:rFonts w:hint="eastAsia"/>
          <w:highlight w:val="none"/>
          <w:lang w:eastAsia="zh-CN"/>
        </w:rPr>
        <w:t>五</w:t>
      </w:r>
      <w:r>
        <w:rPr>
          <w:rFonts w:hint="eastAsia"/>
          <w:highlight w:val="none"/>
        </w:rPr>
        <w:t>、资格审查资料</w:t>
      </w:r>
      <w:r>
        <w:tab/>
      </w:r>
      <w:r>
        <w:fldChar w:fldCharType="begin"/>
      </w:r>
      <w:r>
        <w:instrText xml:space="preserve"> PAGEREF _Toc14721 \h </w:instrText>
      </w:r>
      <w:r>
        <w:fldChar w:fldCharType="separate"/>
      </w:r>
      <w:r>
        <w:t>52</w:t>
      </w:r>
      <w:r>
        <w:fldChar w:fldCharType="end"/>
      </w:r>
      <w:r>
        <w:rPr>
          <w:rFonts w:hint="eastAsia" w:ascii="宋体" w:hAnsi="宋体" w:eastAsia="宋体" w:cs="宋体"/>
          <w:color w:val="auto"/>
          <w:szCs w:val="21"/>
          <w:highlight w:val="none"/>
        </w:rPr>
        <w:fldChar w:fldCharType="end"/>
      </w:r>
    </w:p>
    <w:p w14:paraId="311A3618">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_Toc23868 </w:instrText>
      </w:r>
      <w:r>
        <w:rPr>
          <w:rFonts w:hint="eastAsia" w:ascii="宋体" w:hAnsi="宋体" w:eastAsia="宋体" w:cs="宋体"/>
          <w:szCs w:val="21"/>
          <w:highlight w:val="none"/>
        </w:rPr>
        <w:fldChar w:fldCharType="separate"/>
      </w:r>
      <w:r>
        <w:rPr>
          <w:rFonts w:hint="eastAsia"/>
          <w:lang w:val="en-US" w:eastAsia="zh-CN"/>
        </w:rPr>
        <w:t>六、开标一览表</w:t>
      </w:r>
      <w:r>
        <w:tab/>
      </w:r>
      <w:r>
        <w:fldChar w:fldCharType="begin"/>
      </w:r>
      <w:r>
        <w:instrText xml:space="preserve"> PAGEREF _Toc23868 \h </w:instrText>
      </w:r>
      <w:r>
        <w:fldChar w:fldCharType="separate"/>
      </w:r>
      <w:r>
        <w:t>56</w:t>
      </w:r>
      <w:r>
        <w:fldChar w:fldCharType="end"/>
      </w:r>
      <w:r>
        <w:rPr>
          <w:rFonts w:hint="eastAsia" w:ascii="宋体" w:hAnsi="宋体" w:eastAsia="宋体" w:cs="宋体"/>
          <w:color w:val="auto"/>
          <w:szCs w:val="21"/>
          <w:highlight w:val="none"/>
        </w:rPr>
        <w:fldChar w:fldCharType="end"/>
      </w:r>
    </w:p>
    <w:p w14:paraId="17568808">
      <w:pPr>
        <w:pStyle w:val="12"/>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宋体" w:hAnsi="宋体" w:eastAsia="宋体" w:cs="宋体"/>
          <w:color w:val="auto"/>
          <w:szCs w:val="21"/>
          <w:highlight w:val="none"/>
        </w:rPr>
        <w:sectPr>
          <w:headerReference r:id="rId3" w:type="default"/>
          <w:footerReference r:id="rId4" w:type="default"/>
          <w:pgSz w:w="11906" w:h="16838"/>
          <w:pgMar w:top="1440" w:right="1800" w:bottom="1440" w:left="1803" w:header="851" w:footer="992" w:gutter="0"/>
          <w:pgNumType w:fmt="decimal" w:start="0"/>
          <w:cols w:space="425" w:num="1"/>
          <w:titlePg/>
          <w:docGrid w:type="lines" w:linePitch="312" w:charSpace="0"/>
        </w:sectPr>
      </w:pPr>
      <w:r>
        <w:rPr>
          <w:rFonts w:hint="eastAsia" w:ascii="宋体" w:hAnsi="宋体" w:eastAsia="宋体" w:cs="宋体"/>
          <w:color w:val="auto"/>
          <w:szCs w:val="21"/>
          <w:highlight w:val="none"/>
        </w:rPr>
        <w:fldChar w:fldCharType="end"/>
      </w:r>
    </w:p>
    <w:p w14:paraId="2210E95E">
      <w:pPr>
        <w:pStyle w:val="2"/>
        <w:jc w:val="center"/>
        <w:rPr>
          <w:color w:val="auto"/>
          <w:highlight w:val="none"/>
        </w:rPr>
      </w:pPr>
      <w:bookmarkStart w:id="5" w:name="_Toc224103298"/>
      <w:bookmarkStart w:id="6" w:name="_Toc277082535"/>
      <w:bookmarkStart w:id="7" w:name="_Toc430530415"/>
      <w:bookmarkStart w:id="8" w:name="_Toc17581"/>
      <w:bookmarkStart w:id="9" w:name="_Toc287607727"/>
      <w:bookmarkStart w:id="10" w:name="_Toc57820541"/>
      <w:bookmarkStart w:id="11" w:name="_Toc2724"/>
      <w:bookmarkStart w:id="12" w:name="_Toc9321"/>
      <w:bookmarkStart w:id="13" w:name="_Toc509218691"/>
      <w:bookmarkStart w:id="14" w:name="_Toc892"/>
      <w:bookmarkStart w:id="15" w:name="_Toc287620666"/>
      <w:bookmarkStart w:id="16" w:name="_Toc21224"/>
      <w:bookmarkStart w:id="17" w:name="_Toc153"/>
      <w:bookmarkStart w:id="18" w:name="_Toc12306"/>
      <w:r>
        <w:rPr>
          <w:rFonts w:hint="eastAsia"/>
          <w:color w:val="auto"/>
          <w:highlight w:val="none"/>
        </w:rPr>
        <w:t>第一章 招标公告</w:t>
      </w:r>
      <w:bookmarkEnd w:id="5"/>
      <w:bookmarkEnd w:id="6"/>
      <w:bookmarkEnd w:id="7"/>
      <w:bookmarkEnd w:id="8"/>
      <w:bookmarkEnd w:id="9"/>
      <w:bookmarkEnd w:id="10"/>
      <w:bookmarkEnd w:id="11"/>
      <w:bookmarkEnd w:id="12"/>
      <w:bookmarkEnd w:id="13"/>
      <w:bookmarkEnd w:id="14"/>
      <w:bookmarkEnd w:id="15"/>
    </w:p>
    <w:bookmarkEnd w:id="16"/>
    <w:bookmarkEnd w:id="17"/>
    <w:bookmarkEnd w:id="18"/>
    <w:p w14:paraId="68A0DABF">
      <w:pPr>
        <w:autoSpaceDE w:val="0"/>
        <w:autoSpaceDN w:val="0"/>
        <w:adjustRightInd w:val="0"/>
        <w:snapToGrid w:val="0"/>
        <w:spacing w:line="360" w:lineRule="auto"/>
        <w:jc w:val="center"/>
        <w:rPr>
          <w:rFonts w:hint="eastAsia" w:ascii="宋体" w:hAnsi="宋体" w:eastAsia="宋体" w:cs="宋体"/>
          <w:snapToGrid w:val="0"/>
          <w:color w:val="auto"/>
          <w:kern w:val="0"/>
          <w:sz w:val="28"/>
          <w:szCs w:val="28"/>
          <w:highlight w:val="none"/>
          <w:u w:val="none"/>
          <w:lang w:eastAsia="zh-CN"/>
        </w:rPr>
      </w:pPr>
      <w:r>
        <w:rPr>
          <w:rFonts w:hint="eastAsia" w:ascii="宋体" w:hAnsi="宋体" w:eastAsia="宋体" w:cs="宋体"/>
          <w:snapToGrid w:val="0"/>
          <w:color w:val="auto"/>
          <w:w w:val="99"/>
          <w:kern w:val="0"/>
          <w:sz w:val="28"/>
          <w:szCs w:val="28"/>
          <w:highlight w:val="none"/>
          <w:u w:val="single"/>
          <w:lang w:eastAsia="zh-CN"/>
        </w:rPr>
        <w:t>2026大渡口半程马拉松</w:t>
      </w:r>
      <w:r>
        <w:rPr>
          <w:rFonts w:hint="eastAsia" w:ascii="宋体" w:hAnsi="宋体" w:eastAsia="宋体" w:cs="宋体"/>
          <w:snapToGrid w:val="0"/>
          <w:color w:val="auto"/>
          <w:w w:val="100"/>
          <w:kern w:val="0"/>
          <w:sz w:val="28"/>
          <w:szCs w:val="28"/>
          <w:highlight w:val="none"/>
          <w:u w:val="none"/>
          <w:lang w:eastAsia="zh-CN"/>
        </w:rPr>
        <w:t>招标公告</w:t>
      </w:r>
    </w:p>
    <w:p w14:paraId="58A5419C">
      <w:pPr>
        <w:pStyle w:val="3"/>
        <w:spacing w:before="156"/>
        <w:rPr>
          <w:color w:val="auto"/>
          <w:highlight w:val="none"/>
        </w:rPr>
      </w:pPr>
      <w:bookmarkStart w:id="19" w:name="_Toc21930"/>
      <w:bookmarkStart w:id="20" w:name="_Toc8998"/>
      <w:bookmarkStart w:id="21" w:name="_Toc31597"/>
      <w:bookmarkStart w:id="22" w:name="_Toc20103"/>
      <w:bookmarkStart w:id="23" w:name="_Toc22470"/>
      <w:bookmarkStart w:id="24" w:name="_Toc492300546"/>
      <w:bookmarkStart w:id="25" w:name="_Toc29828"/>
      <w:bookmarkStart w:id="26" w:name="_Toc25015"/>
      <w:r>
        <w:rPr>
          <w:rFonts w:hint="eastAsia"/>
          <w:color w:val="auto"/>
          <w:highlight w:val="none"/>
        </w:rPr>
        <w:t>1. 招标条件</w:t>
      </w:r>
      <w:bookmarkEnd w:id="19"/>
      <w:bookmarkEnd w:id="20"/>
      <w:bookmarkEnd w:id="21"/>
      <w:bookmarkEnd w:id="22"/>
      <w:bookmarkEnd w:id="23"/>
      <w:bookmarkEnd w:id="24"/>
      <w:bookmarkEnd w:id="25"/>
      <w:bookmarkEnd w:id="26"/>
    </w:p>
    <w:p w14:paraId="76F917E0">
      <w:pPr>
        <w:tabs>
          <w:tab w:val="left" w:pos="3315"/>
          <w:tab w:val="left" w:pos="3390"/>
          <w:tab w:val="left" w:pos="6120"/>
          <w:tab w:val="left" w:pos="8850"/>
        </w:tabs>
        <w:spacing w:line="360" w:lineRule="auto"/>
        <w:ind w:firstLine="420" w:firstLineChars="200"/>
        <w:rPr>
          <w:rFonts w:ascii="宋体" w:hAnsi="宋体" w:eastAsia="宋体" w:cs="宋体"/>
          <w:color w:val="auto"/>
          <w:highlight w:val="none"/>
        </w:rPr>
      </w:pPr>
      <w:r>
        <w:rPr>
          <w:rFonts w:hint="eastAsia" w:ascii="宋体" w:hAnsi="宋体" w:eastAsia="宋体" w:cs="宋体"/>
          <w:b w:val="0"/>
          <w:bCs/>
          <w:color w:val="auto"/>
          <w:highlight w:val="none"/>
        </w:rPr>
        <w:t>本招标项目招标人为</w:t>
      </w:r>
      <w:r>
        <w:rPr>
          <w:rFonts w:hint="eastAsia" w:ascii="宋体" w:hAnsi="宋体" w:eastAsia="宋体" w:cs="Times New Roman"/>
          <w:snapToGrid w:val="0"/>
          <w:color w:val="auto"/>
          <w:kern w:val="0"/>
          <w:position w:val="-2"/>
          <w:sz w:val="21"/>
          <w:szCs w:val="21"/>
          <w:highlight w:val="none"/>
          <w:u w:val="single"/>
          <w:lang w:eastAsia="zh-CN"/>
        </w:rPr>
        <w:t>重庆市大渡口区新晟发建设有限公司</w:t>
      </w:r>
      <w:r>
        <w:rPr>
          <w:rFonts w:hint="eastAsia" w:ascii="宋体" w:hAnsi="宋体" w:eastAsia="宋体" w:cs="宋体"/>
          <w:b w:val="0"/>
          <w:bCs/>
          <w:color w:val="auto"/>
          <w:highlight w:val="none"/>
        </w:rPr>
        <w:t>，项目资金来自</w:t>
      </w:r>
      <w:r>
        <w:rPr>
          <w:rFonts w:hint="eastAsia" w:ascii="宋体" w:hAnsi="宋体" w:eastAsia="宋体" w:cs="宋体"/>
          <w:b w:val="0"/>
          <w:bCs/>
          <w:color w:val="auto"/>
          <w:highlight w:val="none"/>
          <w:u w:val="single"/>
          <w:lang w:val="en-US" w:eastAsia="zh-CN"/>
        </w:rPr>
        <w:t>企业自筹</w:t>
      </w:r>
      <w:r>
        <w:rPr>
          <w:rFonts w:hint="eastAsia" w:ascii="宋体" w:hAnsi="宋体" w:eastAsia="宋体" w:cs="宋体"/>
          <w:b w:val="0"/>
          <w:bCs/>
          <w:color w:val="auto"/>
          <w:highlight w:val="none"/>
          <w:u w:val="none"/>
        </w:rPr>
        <w:t>，</w:t>
      </w:r>
      <w:r>
        <w:rPr>
          <w:rFonts w:hint="eastAsia" w:ascii="宋体" w:hAnsi="宋体" w:eastAsia="宋体" w:cs="宋体"/>
          <w:color w:val="auto"/>
          <w:position w:val="-2"/>
          <w:highlight w:val="none"/>
        </w:rPr>
        <w:t>现对</w:t>
      </w:r>
      <w:r>
        <w:rPr>
          <w:rFonts w:hint="eastAsia" w:ascii="宋体" w:hAnsi="宋体" w:cs="Times New Roman"/>
          <w:snapToGrid w:val="0"/>
          <w:color w:val="auto"/>
          <w:kern w:val="0"/>
          <w:position w:val="-2"/>
          <w:sz w:val="21"/>
          <w:szCs w:val="21"/>
          <w:highlight w:val="none"/>
          <w:u w:val="single"/>
          <w:lang w:eastAsia="zh-CN"/>
        </w:rPr>
        <w:t>2026大渡口半程马拉松</w:t>
      </w:r>
      <w:r>
        <w:rPr>
          <w:rFonts w:hint="eastAsia" w:ascii="宋体" w:hAnsi="宋体" w:eastAsia="宋体" w:cs="宋体"/>
          <w:color w:val="auto"/>
          <w:position w:val="-2"/>
          <w:highlight w:val="none"/>
        </w:rPr>
        <w:t>进行公开招标</w:t>
      </w:r>
      <w:r>
        <w:rPr>
          <w:rFonts w:hint="eastAsia" w:ascii="宋体" w:hAnsi="宋体" w:eastAsia="宋体" w:cs="宋体"/>
          <w:color w:val="auto"/>
          <w:highlight w:val="none"/>
        </w:rPr>
        <w:t>。</w:t>
      </w:r>
    </w:p>
    <w:p w14:paraId="553242EA">
      <w:pPr>
        <w:pStyle w:val="3"/>
        <w:spacing w:before="156"/>
        <w:rPr>
          <w:color w:val="auto"/>
          <w:highlight w:val="none"/>
        </w:rPr>
      </w:pPr>
      <w:bookmarkStart w:id="27" w:name="_Toc492300547"/>
      <w:bookmarkStart w:id="28" w:name="_Toc23667"/>
      <w:bookmarkStart w:id="29" w:name="_Toc26458"/>
      <w:bookmarkStart w:id="30" w:name="_Toc8748"/>
      <w:bookmarkStart w:id="31" w:name="_Toc24481"/>
      <w:bookmarkStart w:id="32" w:name="_Toc16882"/>
      <w:bookmarkStart w:id="33" w:name="_Toc10839"/>
      <w:bookmarkStart w:id="34" w:name="_Toc22009"/>
      <w:r>
        <w:rPr>
          <w:rFonts w:hint="eastAsia"/>
          <w:color w:val="auto"/>
          <w:highlight w:val="none"/>
        </w:rPr>
        <w:t>2. 项目概况与招标范围</w:t>
      </w:r>
      <w:bookmarkEnd w:id="27"/>
      <w:bookmarkEnd w:id="28"/>
      <w:bookmarkEnd w:id="29"/>
      <w:bookmarkEnd w:id="30"/>
      <w:bookmarkEnd w:id="31"/>
      <w:bookmarkEnd w:id="32"/>
      <w:bookmarkEnd w:id="33"/>
      <w:bookmarkEnd w:id="34"/>
    </w:p>
    <w:p w14:paraId="1668DA71">
      <w:pPr>
        <w:spacing w:line="360" w:lineRule="auto"/>
        <w:ind w:firstLine="420" w:firstLineChars="200"/>
        <w:rPr>
          <w:rFonts w:hint="eastAsia" w:ascii="宋体" w:hAnsi="宋体" w:eastAsia="宋体" w:cs="宋体"/>
          <w:color w:val="auto"/>
          <w:highlight w:val="none"/>
          <w:u w:val="single"/>
          <w:lang w:val="en-US" w:eastAsia="zh-CN"/>
        </w:rPr>
      </w:pPr>
      <w:bookmarkStart w:id="35" w:name="_Hlk536432704"/>
      <w:r>
        <w:rPr>
          <w:rFonts w:hint="eastAsia" w:ascii="宋体" w:hAnsi="宋体" w:eastAsia="宋体" w:cs="宋体"/>
          <w:color w:val="auto"/>
          <w:highlight w:val="none"/>
        </w:rPr>
        <w:t>2.1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招标内容和范围</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lang w:val="en-US" w:eastAsia="zh-CN"/>
        </w:rPr>
        <w:t>为招标人提供2026大渡口半程马拉松赛事和相关赛事配套活动的策划、VI视觉效果和物料设计、赛事风险评估、赛事安全风险防控、赛事应急预案及应急处置、赛事医疗保障、参赛选手招募管理、竞赛组织和器材保障、裁判员组织管理、志愿者招募及管理、媒体宣传推广、后勤接待及相关保障、赛道和场地布置、所需竞赛隔离铁马（租赁）、赛事保安劳务、氛围营造、配套活动、各类证件和资料印制、赛事市场开发、按照中国田径协会办赛要求购买保险、税金、裁判员、运动员、志愿者服装、裁判员交通劳务和食宿、志愿者用餐和交通培训及前期赛道勘察丈量等服务。具体内容详见招标文件。</w:t>
      </w:r>
    </w:p>
    <w:p w14:paraId="3654863E">
      <w:pPr>
        <w:spacing w:line="360" w:lineRule="auto"/>
        <w:ind w:firstLine="420" w:firstLineChars="200"/>
        <w:rPr>
          <w:rFonts w:ascii="宋体" w:hAnsi="宋体" w:eastAsia="宋体" w:cs="宋体"/>
          <w:color w:val="auto"/>
          <w:highlight w:val="none"/>
          <w:u w:val="single"/>
        </w:rPr>
      </w:pPr>
      <w:r>
        <w:rPr>
          <w:rFonts w:hint="eastAsia" w:ascii="宋体" w:hAnsi="宋体" w:eastAsia="宋体" w:cs="宋体"/>
          <w:color w:val="auto"/>
          <w:highlight w:val="none"/>
        </w:rPr>
        <w:t>2.2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服务期限：</w:t>
      </w:r>
      <w:r>
        <w:rPr>
          <w:rFonts w:hint="eastAsia" w:ascii="微软雅黑" w:hAnsi="微软雅黑" w:eastAsia="微软雅黑" w:cs="Calibri"/>
          <w:color w:val="auto"/>
          <w:sz w:val="21"/>
          <w:szCs w:val="21"/>
          <w:highlight w:val="none"/>
          <w:u w:val="single"/>
          <w:lang w:val="en-US" w:eastAsia="zh-CN"/>
        </w:rPr>
        <w:t>签订合同之日起至赛事结束30日内。</w:t>
      </w:r>
    </w:p>
    <w:p w14:paraId="6D505D1D">
      <w:pPr>
        <w:spacing w:line="360" w:lineRule="auto"/>
        <w:ind w:firstLine="420" w:firstLineChars="200"/>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rPr>
        <w:t>2.3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服务地点：</w:t>
      </w:r>
      <w:r>
        <w:rPr>
          <w:rFonts w:hint="eastAsia" w:ascii="宋体" w:hAnsi="宋体" w:eastAsia="宋体" w:cs="宋体"/>
          <w:color w:val="auto"/>
          <w:highlight w:val="none"/>
          <w:u w:val="single"/>
        </w:rPr>
        <w:t>大渡口区滨江路音乐营地</w:t>
      </w:r>
      <w:r>
        <w:rPr>
          <w:rFonts w:hint="eastAsia" w:ascii="宋体" w:hAnsi="宋体" w:eastAsia="宋体" w:cs="宋体"/>
          <w:color w:val="auto"/>
          <w:highlight w:val="none"/>
          <w:u w:val="single"/>
          <w:lang w:eastAsia="zh-CN"/>
        </w:rPr>
        <w:t>。</w:t>
      </w:r>
    </w:p>
    <w:bookmarkEnd w:id="35"/>
    <w:p w14:paraId="37F953C7">
      <w:pPr>
        <w:pStyle w:val="3"/>
        <w:spacing w:before="156"/>
        <w:rPr>
          <w:color w:val="auto"/>
          <w:highlight w:val="none"/>
        </w:rPr>
      </w:pPr>
      <w:bookmarkStart w:id="36" w:name="_Toc8896"/>
      <w:bookmarkStart w:id="37" w:name="_Toc26133"/>
      <w:bookmarkStart w:id="38" w:name="_Toc27406"/>
      <w:bookmarkStart w:id="39" w:name="_Toc3553"/>
      <w:bookmarkStart w:id="40" w:name="_Toc628"/>
      <w:bookmarkStart w:id="41" w:name="_Toc151"/>
      <w:bookmarkStart w:id="42" w:name="_Toc26795"/>
      <w:bookmarkStart w:id="43" w:name="_Toc492300548"/>
      <w:r>
        <w:rPr>
          <w:rFonts w:hint="eastAsia"/>
          <w:color w:val="auto"/>
          <w:highlight w:val="none"/>
        </w:rPr>
        <w:t>3. 投标人资格要求</w:t>
      </w:r>
      <w:bookmarkEnd w:id="36"/>
      <w:bookmarkEnd w:id="37"/>
      <w:bookmarkEnd w:id="38"/>
      <w:bookmarkEnd w:id="39"/>
      <w:bookmarkEnd w:id="40"/>
      <w:bookmarkEnd w:id="41"/>
      <w:bookmarkEnd w:id="42"/>
      <w:bookmarkEnd w:id="43"/>
    </w:p>
    <w:p w14:paraId="0726B9AC">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3.1 本次招标要求投标人须具备以下条件：</w:t>
      </w:r>
    </w:p>
    <w:p w14:paraId="05358197">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3.1.1 本次招标要求投标人具备的资质条件：</w:t>
      </w:r>
      <w:r>
        <w:rPr>
          <w:rFonts w:hint="eastAsia" w:ascii="宋体" w:hAnsi="宋体" w:eastAsia="宋体" w:cs="宋体"/>
          <w:snapToGrid w:val="0"/>
          <w:color w:val="auto"/>
          <w:kern w:val="0"/>
          <w:sz w:val="21"/>
          <w:szCs w:val="21"/>
          <w:highlight w:val="none"/>
          <w:u w:val="single"/>
          <w:lang w:eastAsia="zh-CN"/>
        </w:rPr>
        <w:t>无；</w:t>
      </w:r>
    </w:p>
    <w:p w14:paraId="0E99C159">
      <w:pPr>
        <w:pStyle w:val="12"/>
        <w:spacing w:after="0"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en-US" w:eastAsia="zh-CN"/>
        </w:rPr>
        <w:t xml:space="preserve">2 </w:t>
      </w:r>
      <w:r>
        <w:rPr>
          <w:rFonts w:hint="eastAsia" w:ascii="宋体" w:hAnsi="宋体" w:eastAsia="宋体" w:cs="宋体"/>
          <w:color w:val="auto"/>
          <w:szCs w:val="21"/>
          <w:highlight w:val="none"/>
        </w:rPr>
        <w:t>投标人还应在</w:t>
      </w:r>
      <w:r>
        <w:rPr>
          <w:rFonts w:hint="eastAsia" w:ascii="宋体" w:hAnsi="宋体" w:eastAsia="宋体" w:cs="宋体"/>
          <w:color w:val="auto"/>
          <w:szCs w:val="21"/>
          <w:highlight w:val="none"/>
          <w:lang w:val="en-US" w:eastAsia="zh-CN"/>
        </w:rPr>
        <w:t>业绩、</w:t>
      </w:r>
      <w:r>
        <w:rPr>
          <w:rFonts w:hint="eastAsia" w:ascii="宋体" w:hAnsi="宋体" w:eastAsia="宋体" w:cs="宋体"/>
          <w:color w:val="auto"/>
          <w:szCs w:val="21"/>
          <w:highlight w:val="none"/>
        </w:rPr>
        <w:t>人员、设备、资金等方面具有相应的服务能力。</w:t>
      </w:r>
      <w:r>
        <w:rPr>
          <w:rFonts w:hint="eastAsia" w:ascii="宋体" w:hAnsi="宋体" w:eastAsia="宋体" w:cs="宋体"/>
          <w:color w:val="auto"/>
          <w:szCs w:val="21"/>
          <w:highlight w:val="none"/>
          <w:lang w:eastAsia="zh-CN"/>
        </w:rPr>
        <w:t>详见招标文件第二章投标人须知前附表第</w:t>
      </w:r>
      <w:r>
        <w:rPr>
          <w:rFonts w:hint="eastAsia" w:ascii="宋体" w:hAnsi="宋体" w:eastAsia="宋体" w:cs="宋体"/>
          <w:color w:val="auto"/>
          <w:szCs w:val="21"/>
          <w:highlight w:val="none"/>
          <w:lang w:val="en-US" w:eastAsia="zh-CN"/>
        </w:rPr>
        <w:t>1.4.1项内容</w:t>
      </w:r>
      <w:r>
        <w:rPr>
          <w:rFonts w:hint="eastAsia" w:ascii="宋体" w:hAnsi="宋体" w:eastAsia="宋体" w:cs="宋体"/>
          <w:color w:val="auto"/>
          <w:szCs w:val="21"/>
          <w:highlight w:val="none"/>
          <w:lang w:eastAsia="zh-CN"/>
        </w:rPr>
        <w:t>。</w:t>
      </w:r>
    </w:p>
    <w:p w14:paraId="54F86BF5">
      <w:pPr>
        <w:pStyle w:val="12"/>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3.2 本次招标</w:t>
      </w:r>
      <w:r>
        <w:rPr>
          <w:rFonts w:hint="eastAsia" w:ascii="宋体" w:hAnsi="宋体" w:eastAsia="宋体" w:cs="宋体"/>
          <w:snapToGrid/>
          <w:color w:val="auto"/>
          <w:kern w:val="2"/>
          <w:sz w:val="21"/>
          <w:szCs w:val="21"/>
          <w:highlight w:val="none"/>
          <w:lang w:val="en-US" w:eastAsia="zh-CN" w:bidi="ar-SA"/>
        </w:rPr>
        <w:t>不</w:t>
      </w:r>
      <w:r>
        <w:rPr>
          <w:rFonts w:hint="eastAsia" w:ascii="宋体" w:hAnsi="宋体" w:eastAsia="宋体" w:cs="宋体"/>
          <w:color w:val="auto"/>
          <w:sz w:val="21"/>
          <w:szCs w:val="21"/>
          <w:highlight w:val="none"/>
          <w:lang w:eastAsia="zh-CN"/>
        </w:rPr>
        <w:t>接受联合体投标。</w:t>
      </w:r>
    </w:p>
    <w:p w14:paraId="14CABF00">
      <w:pPr>
        <w:pStyle w:val="3"/>
        <w:spacing w:before="156" w:after="100" w:line="460" w:lineRule="exact"/>
        <w:rPr>
          <w:rFonts w:ascii="宋体" w:hAnsi="宋体"/>
          <w:color w:val="auto"/>
          <w:sz w:val="28"/>
          <w:szCs w:val="28"/>
          <w:highlight w:val="none"/>
        </w:rPr>
      </w:pPr>
      <w:bookmarkStart w:id="44" w:name="_Toc200359241"/>
      <w:bookmarkStart w:id="45" w:name="_Toc6233"/>
      <w:bookmarkStart w:id="46" w:name="_Toc509218695"/>
      <w:bookmarkStart w:id="47" w:name="_Toc26285"/>
      <w:bookmarkStart w:id="48" w:name="_Toc224103302"/>
      <w:bookmarkStart w:id="49" w:name="_Toc16329"/>
      <w:bookmarkStart w:id="50" w:name="_Toc3527"/>
      <w:bookmarkStart w:id="51" w:name="_Toc277082539"/>
      <w:bookmarkStart w:id="52" w:name="_Toc287607731"/>
      <w:bookmarkStart w:id="53" w:name="_Toc430530419"/>
      <w:bookmarkStart w:id="54" w:name="_Toc200359430"/>
      <w:bookmarkStart w:id="55" w:name="_Toc5188"/>
      <w:bookmarkStart w:id="56" w:name="_Toc13145"/>
      <w:bookmarkStart w:id="57" w:name="_Toc28203"/>
      <w:bookmarkStart w:id="58" w:name="_Toc287620670"/>
      <w:bookmarkStart w:id="59" w:name="_Toc19369"/>
      <w:bookmarkStart w:id="60" w:name="_Toc492300549"/>
      <w:r>
        <w:rPr>
          <w:rFonts w:hint="eastAsia" w:ascii="宋体" w:hAnsi="宋体"/>
          <w:color w:val="auto"/>
          <w:sz w:val="28"/>
          <w:szCs w:val="28"/>
          <w:highlight w:val="none"/>
        </w:rPr>
        <w:t>4</w:t>
      </w:r>
      <w:r>
        <w:rPr>
          <w:rFonts w:ascii="宋体" w:hAnsi="宋体"/>
          <w:color w:val="auto"/>
          <w:sz w:val="28"/>
          <w:szCs w:val="28"/>
          <w:highlight w:val="none"/>
        </w:rPr>
        <w:t>. 招标文件的获取</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D0FAFD7">
      <w:pPr>
        <w:tabs>
          <w:tab w:val="left" w:pos="2420"/>
          <w:tab w:val="left" w:pos="5445"/>
        </w:tabs>
        <w:spacing w:line="450" w:lineRule="exact"/>
        <w:ind w:firstLine="420"/>
        <w:rPr>
          <w:rFonts w:ascii="宋体" w:hAnsi="宋体"/>
          <w:color w:val="auto"/>
          <w:highlight w:val="none"/>
        </w:rPr>
      </w:pPr>
      <w:r>
        <w:rPr>
          <w:rFonts w:hint="eastAsia" w:ascii="宋体" w:hAnsi="宋体"/>
          <w:color w:val="auto"/>
          <w:highlight w:val="none"/>
        </w:rPr>
        <w:t xml:space="preserve">4.1  </w:t>
      </w:r>
      <w:r>
        <w:rPr>
          <w:rFonts w:ascii="宋体" w:hAnsi="宋体"/>
          <w:color w:val="auto"/>
          <w:highlight w:val="none"/>
        </w:rPr>
        <w:t>本招标项目采用</w:t>
      </w:r>
      <w:r>
        <w:rPr>
          <w:rFonts w:hint="eastAsia" w:ascii="宋体" w:hAnsi="宋体"/>
          <w:color w:val="auto"/>
          <w:highlight w:val="none"/>
        </w:rPr>
        <w:t>全流程电子</w:t>
      </w:r>
      <w:r>
        <w:rPr>
          <w:rFonts w:ascii="宋体" w:hAnsi="宋体"/>
          <w:color w:val="auto"/>
          <w:highlight w:val="none"/>
        </w:rPr>
        <w:t>招投标，投标人在投标前可在</w:t>
      </w:r>
      <w:r>
        <w:rPr>
          <w:rFonts w:hint="eastAsia" w:ascii="宋体" w:hAnsi="宋体"/>
          <w:color w:val="auto"/>
          <w:highlight w:val="none"/>
          <w:u w:val="single"/>
        </w:rPr>
        <w:t>重庆市公共资源交易网（https://www.cqggzy.com/）</w:t>
      </w:r>
      <w:r>
        <w:rPr>
          <w:rFonts w:ascii="宋体" w:hAnsi="宋体"/>
          <w:color w:val="auto"/>
          <w:highlight w:val="none"/>
        </w:rPr>
        <w:t>下载招标文件资料。参与投标的投标人</w:t>
      </w:r>
      <w:r>
        <w:rPr>
          <w:rFonts w:hint="eastAsia" w:ascii="宋体" w:hAnsi="宋体"/>
          <w:color w:val="auto"/>
          <w:highlight w:val="none"/>
        </w:rPr>
        <w:t>需在</w:t>
      </w:r>
      <w:r>
        <w:rPr>
          <w:rFonts w:hint="eastAsia" w:ascii="宋体" w:hAnsi="宋体"/>
          <w:color w:val="auto"/>
          <w:highlight w:val="none"/>
          <w:u w:val="single"/>
        </w:rPr>
        <w:t>重庆市公共资源交易网（https://www.cqggzy.com/）</w:t>
      </w:r>
      <w:r>
        <w:rPr>
          <w:rFonts w:hint="eastAsia" w:ascii="宋体" w:hAnsi="宋体"/>
          <w:color w:val="auto"/>
          <w:highlight w:val="none"/>
        </w:rPr>
        <w:t>完成市场主体信息登记以及 CA 数字证书办理，办理方式请参见</w:t>
      </w:r>
      <w:r>
        <w:rPr>
          <w:rFonts w:hint="eastAsia" w:ascii="宋体" w:hAnsi="宋体"/>
          <w:color w:val="auto"/>
          <w:highlight w:val="none"/>
          <w:u w:val="single"/>
        </w:rPr>
        <w:t>重庆市公共资源交易网（https://www.cqggzy.com/）</w:t>
      </w:r>
      <w:r>
        <w:rPr>
          <w:rFonts w:hint="eastAsia" w:ascii="宋体" w:hAnsi="宋体"/>
          <w:color w:val="auto"/>
          <w:highlight w:val="none"/>
        </w:rPr>
        <w:t>导航栏</w:t>
      </w:r>
      <w:r>
        <w:rPr>
          <w:rFonts w:hint="eastAsia" w:ascii="宋体" w:hAnsi="宋体" w:eastAsia="宋体"/>
          <w:color w:val="auto"/>
          <w:highlight w:val="none"/>
          <w:lang w:eastAsia="zh-CN"/>
        </w:rPr>
        <w:t>“</w:t>
      </w:r>
      <w:r>
        <w:rPr>
          <w:rFonts w:hint="eastAsia" w:ascii="宋体" w:hAnsi="宋体"/>
          <w:color w:val="auto"/>
          <w:highlight w:val="none"/>
        </w:rPr>
        <w:t>主体信息</w:t>
      </w:r>
      <w:r>
        <w:rPr>
          <w:rFonts w:hint="eastAsia" w:ascii="宋体" w:hAnsi="宋体" w:eastAsia="宋体"/>
          <w:color w:val="auto"/>
          <w:highlight w:val="none"/>
          <w:lang w:eastAsia="zh-CN"/>
        </w:rPr>
        <w:t>”</w:t>
      </w:r>
      <w:r>
        <w:rPr>
          <w:rFonts w:hint="eastAsia" w:ascii="宋体" w:hAnsi="宋体"/>
          <w:color w:val="auto"/>
          <w:highlight w:val="none"/>
        </w:rPr>
        <w:t>页面中</w:t>
      </w:r>
      <w:r>
        <w:rPr>
          <w:rFonts w:hint="eastAsia" w:ascii="宋体" w:hAnsi="宋体" w:eastAsia="宋体"/>
          <w:color w:val="auto"/>
          <w:highlight w:val="none"/>
          <w:lang w:eastAsia="zh-CN"/>
        </w:rPr>
        <w:t>“</w:t>
      </w:r>
      <w:r>
        <w:rPr>
          <w:rFonts w:hint="eastAsia" w:ascii="宋体" w:hAnsi="宋体"/>
          <w:color w:val="auto"/>
          <w:highlight w:val="none"/>
        </w:rPr>
        <w:t>市场主体信息登记</w:t>
      </w:r>
      <w:r>
        <w:rPr>
          <w:rFonts w:hint="eastAsia" w:ascii="宋体" w:hAnsi="宋体" w:eastAsia="宋体"/>
          <w:color w:val="auto"/>
          <w:highlight w:val="none"/>
          <w:lang w:eastAsia="zh-CN"/>
        </w:rPr>
        <w:t>”“</w:t>
      </w:r>
      <w:r>
        <w:rPr>
          <w:rFonts w:hint="eastAsia" w:ascii="宋体" w:hAnsi="宋体"/>
          <w:color w:val="auto"/>
          <w:highlight w:val="none"/>
        </w:rPr>
        <w:t>CA 数字证书办理</w:t>
      </w:r>
      <w:r>
        <w:rPr>
          <w:rFonts w:hint="eastAsia" w:ascii="宋体" w:hAnsi="宋体" w:eastAsia="宋体"/>
          <w:color w:val="auto"/>
          <w:highlight w:val="none"/>
          <w:lang w:eastAsia="zh-CN"/>
        </w:rPr>
        <w:t>”</w:t>
      </w:r>
      <w:r>
        <w:rPr>
          <w:rFonts w:hint="eastAsia" w:ascii="宋体" w:hAnsi="宋体"/>
          <w:color w:val="auto"/>
          <w:highlight w:val="none"/>
        </w:rPr>
        <w:t>。若投标人未及时完成市场主体信息登记和 CA 数字证书办理导致无法完成全流程电子招投标的，责任自负</w:t>
      </w:r>
      <w:r>
        <w:rPr>
          <w:rFonts w:ascii="宋体" w:hAnsi="宋体"/>
          <w:color w:val="auto"/>
          <w:highlight w:val="none"/>
        </w:rPr>
        <w:t>。</w:t>
      </w:r>
    </w:p>
    <w:p w14:paraId="62ED26CD">
      <w:pPr>
        <w:tabs>
          <w:tab w:val="left" w:pos="2420"/>
          <w:tab w:val="left" w:pos="5445"/>
        </w:tabs>
        <w:spacing w:line="450" w:lineRule="exact"/>
        <w:ind w:firstLine="420"/>
        <w:rPr>
          <w:rFonts w:ascii="宋体" w:hAnsi="宋体"/>
          <w:color w:val="auto"/>
          <w:highlight w:val="none"/>
        </w:rPr>
      </w:pPr>
      <w:r>
        <w:rPr>
          <w:rFonts w:hint="eastAsia" w:ascii="宋体" w:hAnsi="宋体"/>
          <w:color w:val="auto"/>
          <w:highlight w:val="none"/>
        </w:rPr>
        <w:t>4.2  投标人可</w:t>
      </w:r>
      <w:r>
        <w:rPr>
          <w:rFonts w:hint="eastAsia" w:ascii="宋体" w:hAnsi="宋体" w:eastAsia="宋体"/>
          <w:color w:val="auto"/>
          <w:highlight w:val="none"/>
          <w:lang w:eastAsia="zh-CN"/>
        </w:rPr>
        <w:t>在附件</w:t>
      </w:r>
      <w:r>
        <w:rPr>
          <w:rFonts w:hint="eastAsia" w:ascii="宋体" w:hAnsi="宋体"/>
          <w:snapToGrid w:val="0"/>
          <w:color w:val="auto"/>
          <w:kern w:val="0"/>
          <w:szCs w:val="21"/>
          <w:highlight w:val="none"/>
        </w:rPr>
        <w:t>招标公告规定的时限内</w:t>
      </w:r>
      <w:r>
        <w:rPr>
          <w:rFonts w:hint="eastAsia" w:ascii="宋体" w:hAnsi="宋体"/>
          <w:color w:val="auto"/>
          <w:highlight w:val="none"/>
        </w:rPr>
        <w:t>在</w:t>
      </w:r>
      <w:r>
        <w:rPr>
          <w:rFonts w:hint="eastAsia" w:ascii="宋体" w:hAnsi="宋体"/>
          <w:color w:val="auto"/>
          <w:highlight w:val="none"/>
          <w:u w:val="single"/>
        </w:rPr>
        <w:t>重庆市公共资源交易网（https://www.cqggzy.com/）</w:t>
      </w:r>
      <w:r>
        <w:rPr>
          <w:rFonts w:hint="eastAsia" w:ascii="宋体" w:hAnsi="宋体"/>
          <w:color w:val="auto"/>
          <w:highlight w:val="none"/>
        </w:rPr>
        <w:t>本项目招标公告网页下方</w:t>
      </w:r>
      <w:r>
        <w:rPr>
          <w:rFonts w:hint="eastAsia" w:ascii="宋体" w:hAnsi="宋体" w:eastAsia="宋体"/>
          <w:color w:val="auto"/>
          <w:highlight w:val="none"/>
          <w:lang w:eastAsia="zh-CN"/>
        </w:rPr>
        <w:t>“</w:t>
      </w:r>
      <w:r>
        <w:rPr>
          <w:rFonts w:hint="eastAsia" w:ascii="宋体" w:hAnsi="宋体"/>
          <w:color w:val="auto"/>
          <w:highlight w:val="none"/>
        </w:rPr>
        <w:t>我要提问</w:t>
      </w:r>
      <w:r>
        <w:rPr>
          <w:rFonts w:hint="eastAsia" w:ascii="宋体" w:hAnsi="宋体" w:eastAsia="宋体"/>
          <w:color w:val="auto"/>
          <w:highlight w:val="none"/>
          <w:lang w:eastAsia="zh-CN"/>
        </w:rPr>
        <w:t>”</w:t>
      </w:r>
      <w:r>
        <w:rPr>
          <w:rFonts w:hint="eastAsia" w:ascii="宋体" w:hAnsi="宋体"/>
          <w:color w:val="auto"/>
          <w:highlight w:val="none"/>
        </w:rPr>
        <w:t>栏提出疑问。</w:t>
      </w:r>
    </w:p>
    <w:p w14:paraId="2FADF8A2">
      <w:pPr>
        <w:tabs>
          <w:tab w:val="left" w:pos="2420"/>
          <w:tab w:val="left" w:pos="5445"/>
        </w:tabs>
        <w:spacing w:line="450" w:lineRule="exact"/>
        <w:ind w:firstLine="420"/>
        <w:rPr>
          <w:rFonts w:ascii="宋体" w:hAnsi="宋体"/>
          <w:color w:val="auto"/>
          <w:highlight w:val="none"/>
        </w:rPr>
      </w:pPr>
      <w:r>
        <w:rPr>
          <w:rFonts w:hint="eastAsia" w:ascii="宋体" w:hAnsi="宋体"/>
          <w:color w:val="auto"/>
          <w:highlight w:val="none"/>
        </w:rPr>
        <w:t>4.3  招标人应</w:t>
      </w:r>
      <w:r>
        <w:rPr>
          <w:rFonts w:hint="eastAsia" w:ascii="宋体" w:hAnsi="宋体" w:eastAsia="宋体"/>
          <w:color w:val="auto"/>
          <w:highlight w:val="none"/>
          <w:lang w:eastAsia="zh-CN"/>
        </w:rPr>
        <w:t>在附件</w:t>
      </w:r>
      <w:r>
        <w:rPr>
          <w:rFonts w:hint="eastAsia" w:ascii="宋体" w:hAnsi="宋体"/>
          <w:snapToGrid w:val="0"/>
          <w:color w:val="auto"/>
          <w:kern w:val="0"/>
          <w:szCs w:val="21"/>
          <w:highlight w:val="none"/>
        </w:rPr>
        <w:t>招标公告规定的时限内</w:t>
      </w:r>
      <w:r>
        <w:rPr>
          <w:rFonts w:hint="eastAsia" w:ascii="宋体" w:hAnsi="宋体"/>
          <w:color w:val="auto"/>
          <w:highlight w:val="none"/>
        </w:rPr>
        <w:t>在</w:t>
      </w:r>
      <w:r>
        <w:rPr>
          <w:rFonts w:hint="eastAsia" w:ascii="宋体" w:hAnsi="宋体"/>
          <w:color w:val="auto"/>
          <w:highlight w:val="none"/>
          <w:u w:val="single"/>
        </w:rPr>
        <w:t>重庆市公共资源交易网（https://www.cqggzy.com/）</w:t>
      </w:r>
      <w:r>
        <w:rPr>
          <w:rFonts w:hint="eastAsia" w:ascii="宋体" w:hAnsi="宋体"/>
          <w:color w:val="auto"/>
          <w:highlight w:val="none"/>
        </w:rPr>
        <w:t>发布澄清或修改。</w:t>
      </w:r>
    </w:p>
    <w:p w14:paraId="1F8E4157">
      <w:pPr>
        <w:pStyle w:val="3"/>
        <w:spacing w:before="156" w:after="100" w:line="460" w:lineRule="exact"/>
        <w:rPr>
          <w:rFonts w:ascii="宋体" w:hAnsi="宋体"/>
          <w:color w:val="auto"/>
          <w:sz w:val="28"/>
          <w:szCs w:val="28"/>
          <w:highlight w:val="none"/>
        </w:rPr>
      </w:pPr>
      <w:bookmarkStart w:id="61" w:name="_Toc200359242"/>
      <w:bookmarkStart w:id="62" w:name="_Toc11097"/>
      <w:bookmarkStart w:id="63" w:name="_Toc287620671"/>
      <w:bookmarkStart w:id="64" w:name="_Toc277082540"/>
      <w:bookmarkStart w:id="65" w:name="_Toc509218696"/>
      <w:bookmarkStart w:id="66" w:name="_Toc2314"/>
      <w:bookmarkStart w:id="67" w:name="_Toc25061"/>
      <w:bookmarkStart w:id="68" w:name="_Toc200359431"/>
      <w:bookmarkStart w:id="69" w:name="_Toc10040"/>
      <w:bookmarkStart w:id="70" w:name="_Toc27424"/>
      <w:bookmarkStart w:id="71" w:name="_Toc430530420"/>
      <w:bookmarkStart w:id="72" w:name="_Toc224103303"/>
      <w:bookmarkStart w:id="73" w:name="_Toc287607732"/>
      <w:bookmarkStart w:id="74" w:name="_Toc31974"/>
      <w:bookmarkStart w:id="75" w:name="_Toc9573"/>
      <w:r>
        <w:rPr>
          <w:rFonts w:hint="eastAsia" w:ascii="宋体" w:hAnsi="宋体"/>
          <w:color w:val="auto"/>
          <w:sz w:val="28"/>
          <w:szCs w:val="28"/>
          <w:highlight w:val="none"/>
        </w:rPr>
        <w:t>5</w:t>
      </w:r>
      <w:r>
        <w:rPr>
          <w:rFonts w:ascii="宋体" w:hAnsi="宋体"/>
          <w:color w:val="auto"/>
          <w:sz w:val="28"/>
          <w:szCs w:val="28"/>
          <w:highlight w:val="none"/>
        </w:rPr>
        <w:t>. 投标文件的递交</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09884E34">
      <w:pPr>
        <w:tabs>
          <w:tab w:val="left" w:pos="2000"/>
          <w:tab w:val="left" w:pos="5580"/>
          <w:tab w:val="left" w:pos="6220"/>
          <w:tab w:val="left" w:pos="6840"/>
          <w:tab w:val="left" w:pos="7460"/>
          <w:tab w:val="left" w:pos="8100"/>
        </w:tabs>
        <w:spacing w:line="450" w:lineRule="exact"/>
        <w:ind w:firstLine="420" w:firstLineChars="200"/>
        <w:rPr>
          <w:rFonts w:ascii="宋体" w:hAnsi="宋体"/>
          <w:color w:val="auto"/>
          <w:highlight w:val="none"/>
        </w:rPr>
      </w:pPr>
      <w:r>
        <w:rPr>
          <w:rFonts w:hint="eastAsia" w:ascii="宋体" w:hAnsi="宋体"/>
          <w:color w:val="auto"/>
          <w:highlight w:val="none"/>
        </w:rPr>
        <w:t>5</w:t>
      </w:r>
      <w:r>
        <w:rPr>
          <w:rFonts w:ascii="宋体" w:hAnsi="宋体"/>
          <w:color w:val="auto"/>
          <w:highlight w:val="none"/>
        </w:rPr>
        <w:t>.1  投标文件递交的截止时间（投标截止时间，下同）</w:t>
      </w:r>
      <w:r>
        <w:rPr>
          <w:rFonts w:hint="eastAsia" w:ascii="宋体" w:hAnsi="宋体"/>
          <w:snapToGrid w:val="0"/>
          <w:color w:val="auto"/>
          <w:kern w:val="0"/>
          <w:szCs w:val="21"/>
          <w:highlight w:val="none"/>
        </w:rPr>
        <w:t>详见</w:t>
      </w:r>
      <w:r>
        <w:rPr>
          <w:rFonts w:hint="eastAsia" w:ascii="宋体" w:hAnsi="宋体" w:eastAsia="宋体"/>
          <w:snapToGrid w:val="0"/>
          <w:color w:val="auto"/>
          <w:kern w:val="0"/>
          <w:szCs w:val="21"/>
          <w:highlight w:val="none"/>
          <w:lang w:eastAsia="zh-CN"/>
        </w:rPr>
        <w:t>附件</w:t>
      </w:r>
      <w:r>
        <w:rPr>
          <w:rFonts w:hint="eastAsia" w:ascii="宋体" w:hAnsi="宋体"/>
          <w:snapToGrid w:val="0"/>
          <w:color w:val="auto"/>
          <w:kern w:val="0"/>
          <w:szCs w:val="21"/>
          <w:highlight w:val="none"/>
        </w:rPr>
        <w:t>招标公告规定的投标截止时间</w:t>
      </w:r>
      <w:r>
        <w:rPr>
          <w:rFonts w:ascii="宋体" w:hAnsi="宋体"/>
          <w:color w:val="auto"/>
          <w:highlight w:val="none"/>
        </w:rPr>
        <w:t>，</w:t>
      </w:r>
      <w:r>
        <w:rPr>
          <w:rFonts w:hint="eastAsia" w:ascii="宋体" w:hAnsi="宋体"/>
          <w:color w:val="auto"/>
          <w:highlight w:val="none"/>
        </w:rPr>
        <w:t>投标人应当在投标截止时间前，通过互联网使用CA数字证书登录重庆市电子招投标系统（https://ztb.cqggzy.com/CQTPBidder/memberLogin/，下同），将加密的电子投标文件上传。</w:t>
      </w:r>
    </w:p>
    <w:p w14:paraId="54455B1E">
      <w:pPr>
        <w:spacing w:line="450" w:lineRule="exact"/>
        <w:ind w:firstLine="420" w:firstLineChars="200"/>
        <w:rPr>
          <w:rFonts w:ascii="宋体" w:hAnsi="宋体"/>
          <w:color w:val="auto"/>
          <w:highlight w:val="none"/>
        </w:rPr>
      </w:pPr>
      <w:r>
        <w:rPr>
          <w:rFonts w:hint="eastAsia" w:ascii="宋体" w:hAnsi="宋体"/>
          <w:color w:val="auto"/>
          <w:highlight w:val="none"/>
        </w:rPr>
        <w:t>5</w:t>
      </w:r>
      <w:r>
        <w:rPr>
          <w:rFonts w:ascii="宋体" w:hAnsi="宋体"/>
          <w:color w:val="auto"/>
          <w:highlight w:val="none"/>
        </w:rPr>
        <w:t xml:space="preserve">.2  </w:t>
      </w:r>
      <w:r>
        <w:rPr>
          <w:rFonts w:hint="eastAsia" w:ascii="宋体" w:hAnsi="宋体"/>
          <w:color w:val="auto"/>
          <w:highlight w:val="none"/>
        </w:rPr>
        <w:t>未按要求加密的电子投标文件，将无法上传至重庆市电子招投标系统，逾期未完成上传投标文件的，视为撤回投标文件。</w:t>
      </w:r>
    </w:p>
    <w:bookmarkEnd w:id="59"/>
    <w:bookmarkEnd w:id="60"/>
    <w:p w14:paraId="100FB01B">
      <w:pPr>
        <w:spacing w:line="360" w:lineRule="auto"/>
        <w:ind w:firstLine="420" w:firstLineChars="200"/>
        <w:rPr>
          <w:rFonts w:ascii="宋体" w:hAnsi="宋体" w:eastAsia="宋体" w:cs="宋体"/>
          <w:color w:val="auto"/>
          <w:highlight w:val="none"/>
        </w:rPr>
      </w:pPr>
    </w:p>
    <w:p w14:paraId="1C2DA2BB">
      <w:pPr>
        <w:pStyle w:val="3"/>
        <w:spacing w:before="156"/>
        <w:rPr>
          <w:color w:val="auto"/>
          <w:highlight w:val="none"/>
        </w:rPr>
      </w:pPr>
      <w:bookmarkStart w:id="76" w:name="_Toc18346"/>
      <w:bookmarkStart w:id="77" w:name="_Toc20803"/>
      <w:bookmarkStart w:id="78" w:name="_Toc18124"/>
      <w:bookmarkStart w:id="79" w:name="_Toc21928"/>
      <w:bookmarkStart w:id="80" w:name="_Toc4346"/>
      <w:bookmarkStart w:id="81" w:name="_Toc20615"/>
      <w:bookmarkStart w:id="82" w:name="_Toc19703"/>
      <w:bookmarkStart w:id="83" w:name="_Toc492300551"/>
      <w:r>
        <w:rPr>
          <w:rFonts w:hint="eastAsia"/>
          <w:color w:val="auto"/>
          <w:highlight w:val="none"/>
        </w:rPr>
        <w:t>6. 发布公告的媒介</w:t>
      </w:r>
      <w:bookmarkEnd w:id="76"/>
      <w:bookmarkEnd w:id="77"/>
      <w:bookmarkEnd w:id="78"/>
      <w:bookmarkEnd w:id="79"/>
      <w:bookmarkEnd w:id="80"/>
      <w:bookmarkEnd w:id="81"/>
      <w:bookmarkEnd w:id="82"/>
      <w:bookmarkEnd w:id="83"/>
    </w:p>
    <w:p w14:paraId="6FB4DA62">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本次招标公告同时在</w:t>
      </w:r>
      <w:r>
        <w:rPr>
          <w:rFonts w:hint="eastAsia" w:ascii="宋体" w:hAnsi="宋体"/>
          <w:color w:val="auto"/>
          <w:highlight w:val="none"/>
          <w:u w:val="single"/>
        </w:rPr>
        <w:t>重庆市公共资源交易网（https://www.cqggzy.com/）</w:t>
      </w:r>
      <w:r>
        <w:rPr>
          <w:rFonts w:hint="eastAsia" w:ascii="宋体" w:hAnsi="宋体" w:eastAsia="宋体" w:cs="宋体"/>
          <w:color w:val="auto"/>
          <w:highlight w:val="none"/>
        </w:rPr>
        <w:t>（发布公告的媒介名称）上发布。</w:t>
      </w:r>
    </w:p>
    <w:p w14:paraId="3AA80674">
      <w:pPr>
        <w:pStyle w:val="3"/>
        <w:spacing w:before="156"/>
        <w:rPr>
          <w:color w:val="auto"/>
          <w:highlight w:val="none"/>
        </w:rPr>
      </w:pPr>
      <w:bookmarkStart w:id="84" w:name="_Toc17475"/>
      <w:bookmarkStart w:id="85" w:name="_Toc25723"/>
      <w:bookmarkStart w:id="86" w:name="_Toc2931"/>
      <w:bookmarkStart w:id="87" w:name="_Toc15018"/>
      <w:bookmarkStart w:id="88" w:name="_Toc492300552"/>
      <w:bookmarkStart w:id="89" w:name="_Toc9586"/>
      <w:bookmarkStart w:id="90" w:name="_Toc24945"/>
      <w:bookmarkStart w:id="91" w:name="_Toc11678"/>
      <w:r>
        <w:rPr>
          <w:rFonts w:hint="eastAsia"/>
          <w:color w:val="auto"/>
          <w:highlight w:val="none"/>
        </w:rPr>
        <w:t>7. 联系方式</w:t>
      </w:r>
      <w:bookmarkEnd w:id="84"/>
      <w:bookmarkEnd w:id="85"/>
      <w:bookmarkEnd w:id="86"/>
      <w:bookmarkEnd w:id="87"/>
      <w:bookmarkEnd w:id="88"/>
      <w:bookmarkEnd w:id="89"/>
      <w:bookmarkEnd w:id="90"/>
      <w:bookmarkEnd w:id="91"/>
    </w:p>
    <w:p w14:paraId="3DC3B2BA">
      <w:pPr>
        <w:pageBreakBefore w:val="0"/>
        <w:widowControl w:val="0"/>
        <w:tabs>
          <w:tab w:val="left" w:pos="5140"/>
          <w:tab w:val="left" w:pos="8520"/>
        </w:tabs>
        <w:kinsoku/>
        <w:wordWrap/>
        <w:overflowPunct/>
        <w:topLinePunct w:val="0"/>
        <w:autoSpaceDE w:val="0"/>
        <w:autoSpaceDN w:val="0"/>
        <w:bidi w:val="0"/>
        <w:adjustRightInd w:val="0"/>
        <w:snapToGrid w:val="0"/>
        <w:spacing w:line="360" w:lineRule="auto"/>
        <w:jc w:val="left"/>
        <w:textAlignment w:val="auto"/>
        <w:rPr>
          <w:rFonts w:ascii="宋体" w:hAnsi="宋体"/>
          <w:snapToGrid w:val="0"/>
          <w:color w:val="auto"/>
          <w:spacing w:val="-6"/>
          <w:kern w:val="0"/>
          <w:sz w:val="21"/>
          <w:szCs w:val="21"/>
          <w:highlight w:val="none"/>
        </w:rPr>
      </w:pPr>
      <w:bookmarkStart w:id="92" w:name="_Toc369531498"/>
      <w:bookmarkEnd w:id="92"/>
      <w:bookmarkStart w:id="93" w:name="_Toc384308185"/>
      <w:bookmarkEnd w:id="93"/>
      <w:bookmarkStart w:id="94" w:name="_Toc300834930"/>
      <w:bookmarkEnd w:id="94"/>
      <w:bookmarkStart w:id="95" w:name="_Toc30817"/>
      <w:bookmarkEnd w:id="95"/>
      <w:bookmarkStart w:id="96" w:name="_Toc300834929"/>
      <w:bookmarkEnd w:id="96"/>
      <w:bookmarkStart w:id="97" w:name="_Toc369531497"/>
      <w:bookmarkEnd w:id="97"/>
      <w:bookmarkStart w:id="98" w:name="_Toc247513935"/>
      <w:bookmarkEnd w:id="98"/>
      <w:bookmarkStart w:id="99" w:name="_Toc144974480"/>
      <w:bookmarkEnd w:id="99"/>
      <w:bookmarkStart w:id="100" w:name="_Toc247513934"/>
      <w:bookmarkEnd w:id="100"/>
      <w:bookmarkStart w:id="101" w:name="_Toc361508560"/>
      <w:bookmarkEnd w:id="101"/>
      <w:bookmarkStart w:id="102" w:name="_Toc152045512"/>
      <w:bookmarkEnd w:id="102"/>
      <w:bookmarkStart w:id="103" w:name="_Toc247527535"/>
      <w:bookmarkEnd w:id="103"/>
      <w:bookmarkStart w:id="104" w:name="_Toc352691456"/>
      <w:bookmarkEnd w:id="104"/>
      <w:bookmarkStart w:id="105" w:name="_Toc144974481"/>
      <w:bookmarkEnd w:id="105"/>
      <w:bookmarkStart w:id="106" w:name="_Toc152042288"/>
      <w:bookmarkEnd w:id="106"/>
      <w:bookmarkStart w:id="107" w:name="_Toc152045513"/>
      <w:bookmarkEnd w:id="107"/>
      <w:bookmarkStart w:id="108" w:name="_Toc369531495"/>
      <w:bookmarkEnd w:id="108"/>
      <w:bookmarkStart w:id="109" w:name="_Toc300834927"/>
      <w:bookmarkEnd w:id="109"/>
      <w:bookmarkStart w:id="110" w:name="_Toc10785"/>
      <w:bookmarkEnd w:id="110"/>
      <w:bookmarkStart w:id="111" w:name="_Toc17972"/>
      <w:bookmarkEnd w:id="111"/>
      <w:bookmarkStart w:id="112" w:name="_Toc352691453"/>
      <w:bookmarkEnd w:id="112"/>
      <w:bookmarkStart w:id="113" w:name="_Toc361508562"/>
      <w:bookmarkEnd w:id="113"/>
      <w:bookmarkStart w:id="114" w:name="_Toc352691455"/>
      <w:bookmarkEnd w:id="114"/>
      <w:bookmarkStart w:id="115" w:name="_Toc384308187"/>
      <w:bookmarkEnd w:id="115"/>
      <w:bookmarkStart w:id="116" w:name="_Toc152042289"/>
      <w:bookmarkEnd w:id="116"/>
      <w:bookmarkStart w:id="117" w:name="_Toc384308188"/>
      <w:bookmarkEnd w:id="117"/>
      <w:bookmarkStart w:id="118" w:name="_Toc361508563"/>
      <w:bookmarkEnd w:id="118"/>
      <w:bookmarkStart w:id="119" w:name="_Toc247527536"/>
      <w:bookmarkEnd w:id="119"/>
      <w:bookmarkStart w:id="120" w:name="_Toc13951"/>
      <w:bookmarkStart w:id="121" w:name="_Toc31594"/>
      <w:r>
        <w:rPr>
          <w:rFonts w:ascii="宋体" w:hAnsi="宋体"/>
          <w:snapToGrid w:val="0"/>
          <w:color w:val="auto"/>
          <w:kern w:val="0"/>
          <w:szCs w:val="21"/>
          <w:highlight w:val="none"/>
        </w:rPr>
        <w:t>招标人：</w:t>
      </w:r>
      <w:r>
        <w:rPr>
          <w:rFonts w:hint="eastAsia" w:ascii="宋体" w:hAnsi="宋体"/>
          <w:snapToGrid w:val="0"/>
          <w:color w:val="auto"/>
          <w:kern w:val="0"/>
          <w:szCs w:val="21"/>
          <w:highlight w:val="none"/>
          <w:u w:val="single"/>
        </w:rPr>
        <w:t>重庆市大渡口区新晟发建设有限公司</w:t>
      </w:r>
      <w:r>
        <w:rPr>
          <w:rFonts w:ascii="宋体" w:hAnsi="宋体"/>
          <w:snapToGrid w:val="0"/>
          <w:color w:val="auto"/>
          <w:kern w:val="0"/>
          <w:szCs w:val="21"/>
          <w:highlight w:val="none"/>
        </w:rPr>
        <w:t xml:space="preserve"> 招标代理机构：</w:t>
      </w:r>
      <w:r>
        <w:rPr>
          <w:rFonts w:hint="eastAsia" w:ascii="宋体" w:hAnsi="宋体"/>
          <w:snapToGrid w:val="0"/>
          <w:color w:val="auto"/>
          <w:spacing w:val="-6"/>
          <w:kern w:val="0"/>
          <w:sz w:val="21"/>
          <w:szCs w:val="21"/>
          <w:highlight w:val="none"/>
          <w:u w:val="single"/>
        </w:rPr>
        <w:t>重庆市义渡工程管理有限公司</w:t>
      </w:r>
    </w:p>
    <w:p w14:paraId="72824EEE">
      <w:pPr>
        <w:tabs>
          <w:tab w:val="left" w:pos="210"/>
          <w:tab w:val="left" w:pos="5140"/>
          <w:tab w:val="left" w:pos="8420"/>
        </w:tabs>
        <w:autoSpaceDE w:val="0"/>
        <w:autoSpaceDN w:val="0"/>
        <w:adjustRightInd w:val="0"/>
        <w:snapToGrid w:val="0"/>
        <w:spacing w:line="480" w:lineRule="auto"/>
        <w:ind w:left="5040" w:hanging="5040" w:hangingChars="2400"/>
        <w:jc w:val="left"/>
        <w:rPr>
          <w:rFonts w:hint="eastAsia" w:ascii="宋体" w:hAnsi="宋体" w:cs="宋体"/>
          <w:snapToGrid w:val="0"/>
          <w:color w:val="auto"/>
          <w:spacing w:val="-17"/>
          <w:kern w:val="0"/>
          <w:sz w:val="21"/>
          <w:szCs w:val="21"/>
          <w:highlight w:val="none"/>
          <w:u w:val="single"/>
        </w:rPr>
      </w:pPr>
      <w:r>
        <w:rPr>
          <w:rFonts w:ascii="宋体" w:hAnsi="宋体"/>
          <w:snapToGrid w:val="0"/>
          <w:color w:val="auto"/>
          <w:kern w:val="0"/>
          <w:szCs w:val="21"/>
          <w:highlight w:val="none"/>
        </w:rPr>
        <w:t>地址</w:t>
      </w:r>
      <w:r>
        <w:rPr>
          <w:rFonts w:hint="eastAsia" w:ascii="宋体" w:hAnsi="宋体" w:eastAsia="宋体"/>
          <w:snapToGrid w:val="0"/>
          <w:color w:val="auto"/>
          <w:kern w:val="0"/>
          <w:szCs w:val="21"/>
          <w:highlight w:val="none"/>
          <w:lang w:eastAsia="zh-CN"/>
        </w:rPr>
        <w:t>：</w:t>
      </w:r>
      <w:r>
        <w:rPr>
          <w:rFonts w:hint="eastAsia" w:ascii="宋体" w:hAnsi="宋体"/>
          <w:snapToGrid w:val="0"/>
          <w:color w:val="auto"/>
          <w:kern w:val="0"/>
          <w:szCs w:val="21"/>
          <w:highlight w:val="none"/>
          <w:u w:val="single"/>
        </w:rPr>
        <w:t>重庆市大渡口区思源路32号6幢5楼</w:t>
      </w:r>
      <w:r>
        <w:rPr>
          <w:rFonts w:hint="eastAsia" w:ascii="宋体" w:hAnsi="宋体" w:eastAsia="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rPr>
        <w:t>地址：</w:t>
      </w:r>
      <w:r>
        <w:rPr>
          <w:rFonts w:hint="eastAsia" w:ascii="宋体" w:hAnsi="宋体" w:cs="宋体"/>
          <w:snapToGrid w:val="0"/>
          <w:color w:val="auto"/>
          <w:spacing w:val="-17"/>
          <w:kern w:val="0"/>
          <w:sz w:val="21"/>
          <w:szCs w:val="21"/>
          <w:highlight w:val="none"/>
          <w:u w:val="single"/>
        </w:rPr>
        <w:t>重庆市大渡口区文体路126号锦天商务中心东楼513</w:t>
      </w:r>
      <w:r>
        <w:rPr>
          <w:rFonts w:hint="eastAsia" w:ascii="宋体" w:hAnsi="宋体" w:cs="宋体"/>
          <w:snapToGrid w:val="0"/>
          <w:color w:val="auto"/>
          <w:spacing w:val="-17"/>
          <w:kern w:val="0"/>
          <w:sz w:val="21"/>
          <w:szCs w:val="21"/>
          <w:highlight w:val="none"/>
          <w:u w:val="single"/>
          <w:lang w:eastAsia="zh-CN"/>
        </w:rPr>
        <w:t>室</w:t>
      </w:r>
    </w:p>
    <w:p w14:paraId="6850FB48">
      <w:pPr>
        <w:pageBreakBefore w:val="0"/>
        <w:widowControl w:val="0"/>
        <w:tabs>
          <w:tab w:val="left" w:pos="5140"/>
          <w:tab w:val="left" w:pos="8420"/>
        </w:tabs>
        <w:kinsoku/>
        <w:wordWrap/>
        <w:overflowPunct/>
        <w:topLinePunct w:val="0"/>
        <w:autoSpaceDE w:val="0"/>
        <w:autoSpaceDN w:val="0"/>
        <w:bidi w:val="0"/>
        <w:adjustRightInd w:val="0"/>
        <w:snapToGrid w:val="0"/>
        <w:spacing w:line="360" w:lineRule="auto"/>
        <w:ind w:firstLine="420" w:firstLineChars="200"/>
        <w:jc w:val="left"/>
        <w:textAlignment w:val="auto"/>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联系人：</w:t>
      </w:r>
      <w:r>
        <w:rPr>
          <w:rFonts w:hint="eastAsia" w:ascii="宋体" w:hAnsi="宋体"/>
          <w:snapToGrid w:val="0"/>
          <w:color w:val="auto"/>
          <w:kern w:val="0"/>
          <w:szCs w:val="21"/>
          <w:highlight w:val="none"/>
          <w:u w:val="single"/>
          <w:lang w:eastAsia="zh-CN"/>
        </w:rPr>
        <w:t>唐</w:t>
      </w:r>
      <w:r>
        <w:rPr>
          <w:rFonts w:hint="eastAsia" w:ascii="宋体" w:hAnsi="宋体"/>
          <w:snapToGrid w:val="0"/>
          <w:color w:val="auto"/>
          <w:kern w:val="0"/>
          <w:szCs w:val="21"/>
          <w:highlight w:val="none"/>
          <w:u w:val="single"/>
        </w:rPr>
        <w:t>老师</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    联系人：</w:t>
      </w:r>
      <w:r>
        <w:rPr>
          <w:rFonts w:hint="eastAsia" w:ascii="宋体" w:hAnsi="宋体"/>
          <w:snapToGrid w:val="0"/>
          <w:color w:val="auto"/>
          <w:kern w:val="0"/>
          <w:szCs w:val="21"/>
          <w:highlight w:val="none"/>
          <w:u w:val="single"/>
          <w:lang w:eastAsia="zh-CN"/>
        </w:rPr>
        <w:t>严力、唐书霞</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p>
    <w:p w14:paraId="1E8EB25D">
      <w:pPr>
        <w:pageBreakBefore w:val="0"/>
        <w:widowControl w:val="0"/>
        <w:tabs>
          <w:tab w:val="left" w:pos="5140"/>
          <w:tab w:val="left" w:pos="8420"/>
        </w:tabs>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电话：</w:t>
      </w:r>
      <w:r>
        <w:rPr>
          <w:rFonts w:hint="eastAsia" w:ascii="宋体" w:hAnsi="宋体"/>
          <w:snapToGrid w:val="0"/>
          <w:color w:val="auto"/>
          <w:kern w:val="0"/>
          <w:szCs w:val="21"/>
          <w:highlight w:val="none"/>
          <w:u w:val="single"/>
        </w:rPr>
        <w:t>023-68109712</w:t>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电话：</w:t>
      </w:r>
      <w:r>
        <w:rPr>
          <w:rFonts w:hint="eastAsia" w:ascii="宋体" w:hAnsi="宋体"/>
          <w:snapToGrid w:val="0"/>
          <w:color w:val="auto"/>
          <w:kern w:val="0"/>
          <w:szCs w:val="21"/>
          <w:highlight w:val="none"/>
          <w:u w:val="single"/>
        </w:rPr>
        <w:t>023-62759575</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u w:val="single"/>
        </w:rPr>
        <w:t xml:space="preserve">       </w:t>
      </w:r>
    </w:p>
    <w:p w14:paraId="52F83F57">
      <w:pPr>
        <w:pageBreakBefore w:val="0"/>
        <w:widowControl w:val="0"/>
        <w:kinsoku/>
        <w:wordWrap/>
        <w:overflowPunct/>
        <w:topLinePunct w:val="0"/>
        <w:autoSpaceDE w:val="0"/>
        <w:autoSpaceDN w:val="0"/>
        <w:bidi w:val="0"/>
        <w:adjustRightInd w:val="0"/>
        <w:snapToGrid w:val="0"/>
        <w:spacing w:line="360" w:lineRule="auto"/>
        <w:ind w:firstLine="3906" w:firstLineChars="1860"/>
        <w:jc w:val="right"/>
        <w:textAlignment w:val="auto"/>
        <w:rPr>
          <w:rFonts w:ascii="宋体" w:hAnsi="宋体"/>
          <w:snapToGrid w:val="0"/>
          <w:color w:val="auto"/>
          <w:kern w:val="0"/>
          <w:sz w:val="20"/>
          <w:szCs w:val="20"/>
          <w:highlight w:val="none"/>
        </w:rPr>
      </w:pPr>
      <w:r>
        <w:rPr>
          <w:rFonts w:hint="eastAsia" w:ascii="宋体" w:hAnsi="宋体"/>
          <w:snapToGrid w:val="0"/>
          <w:color w:val="auto"/>
          <w:kern w:val="0"/>
          <w:szCs w:val="21"/>
          <w:highlight w:val="none"/>
          <w:u w:val="single"/>
          <w:lang w:val="en-US" w:eastAsia="zh-CN"/>
        </w:rPr>
        <w:t>2026</w:t>
      </w:r>
      <w:r>
        <w:rPr>
          <w:rFonts w:ascii="宋体" w:hAnsi="宋体"/>
          <w:snapToGrid w:val="0"/>
          <w:color w:val="auto"/>
          <w:kern w:val="0"/>
          <w:szCs w:val="21"/>
          <w:highlight w:val="none"/>
        </w:rPr>
        <w:t>年</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月</w:t>
      </w:r>
      <w:r>
        <w:rPr>
          <w:rFonts w:hint="eastAsia" w:ascii="宋体" w:hAnsi="宋体"/>
          <w:snapToGrid w:val="0"/>
          <w:color w:val="auto"/>
          <w:kern w:val="0"/>
          <w:szCs w:val="21"/>
          <w:highlight w:val="none"/>
          <w:lang w:val="en-US" w:eastAsia="zh-CN"/>
        </w:rPr>
        <w:t>6</w:t>
      </w:r>
      <w:r>
        <w:rPr>
          <w:rFonts w:ascii="宋体" w:hAnsi="宋体"/>
          <w:snapToGrid w:val="0"/>
          <w:color w:val="auto"/>
          <w:kern w:val="0"/>
          <w:szCs w:val="21"/>
          <w:highlight w:val="none"/>
        </w:rPr>
        <w:t>日</w:t>
      </w:r>
    </w:p>
    <w:p w14:paraId="08F2DF29">
      <w:pPr>
        <w:rPr>
          <w:rFonts w:hint="eastAsia"/>
          <w:color w:val="auto"/>
          <w:highlight w:val="none"/>
        </w:rPr>
      </w:pPr>
      <w:r>
        <w:rPr>
          <w:rFonts w:hint="eastAsia"/>
          <w:color w:val="auto"/>
          <w:highlight w:val="none"/>
        </w:rPr>
        <w:br w:type="page"/>
      </w:r>
    </w:p>
    <w:p w14:paraId="2FE7E8DA">
      <w:pPr>
        <w:pStyle w:val="2"/>
        <w:bidi w:val="0"/>
        <w:jc w:val="center"/>
        <w:rPr>
          <w:rStyle w:val="34"/>
          <w:b/>
          <w:color w:val="auto"/>
          <w:highlight w:val="none"/>
        </w:rPr>
      </w:pPr>
      <w:bookmarkStart w:id="122" w:name="_Toc27043"/>
      <w:bookmarkStart w:id="123" w:name="_Toc7476"/>
      <w:bookmarkStart w:id="124" w:name="_Toc24586"/>
      <w:bookmarkStart w:id="125" w:name="_Toc26466"/>
      <w:r>
        <w:rPr>
          <w:rStyle w:val="34"/>
          <w:b/>
          <w:color w:val="auto"/>
          <w:highlight w:val="none"/>
        </w:rPr>
        <w:t>第二章 投标人须知</w:t>
      </w:r>
      <w:bookmarkEnd w:id="120"/>
      <w:bookmarkEnd w:id="121"/>
      <w:bookmarkEnd w:id="122"/>
    </w:p>
    <w:bookmarkEnd w:id="123"/>
    <w:bookmarkEnd w:id="124"/>
    <w:bookmarkEnd w:id="125"/>
    <w:p w14:paraId="44849C7A">
      <w:pPr>
        <w:pStyle w:val="3"/>
        <w:spacing w:before="156"/>
        <w:jc w:val="center"/>
        <w:rPr>
          <w:color w:val="auto"/>
          <w:highlight w:val="none"/>
        </w:rPr>
      </w:pPr>
      <w:bookmarkStart w:id="126" w:name="_Toc11708"/>
      <w:bookmarkStart w:id="127" w:name="_Toc17035"/>
      <w:bookmarkStart w:id="128" w:name="_Toc23862"/>
      <w:bookmarkStart w:id="129" w:name="_Toc25333"/>
      <w:bookmarkStart w:id="130" w:name="_Toc4189"/>
      <w:bookmarkStart w:id="131" w:name="_Toc2716"/>
      <w:r>
        <w:rPr>
          <w:rFonts w:hint="eastAsia"/>
          <w:color w:val="auto"/>
          <w:highlight w:val="none"/>
        </w:rPr>
        <w:t>投标人须知前附表</w:t>
      </w:r>
      <w:bookmarkEnd w:id="126"/>
      <w:bookmarkEnd w:id="127"/>
      <w:bookmarkEnd w:id="128"/>
      <w:bookmarkEnd w:id="129"/>
      <w:bookmarkEnd w:id="130"/>
      <w:bookmarkEnd w:id="131"/>
    </w:p>
    <w:p w14:paraId="786E18F8">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正文内容不允许修改。若投标人须知前附表与正文不一致的地方，以投标人须知前附表为准。</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1"/>
        <w:gridCol w:w="2155"/>
        <w:gridCol w:w="5289"/>
      </w:tblGrid>
      <w:tr w14:paraId="029B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14:paraId="2AAAE8E0">
            <w:pPr>
              <w:widowControl w:val="0"/>
              <w:kinsoku/>
              <w:autoSpaceDE/>
              <w:autoSpaceDN/>
              <w:adjustRightInd/>
              <w:snapToGrid/>
              <w:spacing w:line="400" w:lineRule="exact"/>
              <w:jc w:val="center"/>
              <w:textAlignment w:val="auto"/>
              <w:rPr>
                <w:rFonts w:ascii="宋体" w:hAnsi="宋体" w:eastAsia="宋体" w:cs="宋体"/>
                <w:b/>
                <w:snapToGrid/>
                <w:color w:val="auto"/>
                <w:kern w:val="2"/>
                <w:highlight w:val="none"/>
              </w:rPr>
            </w:pPr>
            <w:r>
              <w:rPr>
                <w:rFonts w:hint="eastAsia" w:ascii="宋体" w:hAnsi="宋体" w:eastAsia="宋体" w:cs="宋体"/>
                <w:b/>
                <w:snapToGrid/>
                <w:color w:val="auto"/>
                <w:kern w:val="2"/>
                <w:highlight w:val="none"/>
              </w:rPr>
              <w:t>条款号</w:t>
            </w:r>
          </w:p>
        </w:tc>
        <w:tc>
          <w:tcPr>
            <w:tcW w:w="2166" w:type="dxa"/>
            <w:gridSpan w:val="2"/>
            <w:vAlign w:val="center"/>
          </w:tcPr>
          <w:p w14:paraId="5FFBAFCD">
            <w:pPr>
              <w:widowControl w:val="0"/>
              <w:kinsoku/>
              <w:autoSpaceDE/>
              <w:autoSpaceDN/>
              <w:adjustRightInd/>
              <w:snapToGrid/>
              <w:spacing w:line="400" w:lineRule="exact"/>
              <w:jc w:val="center"/>
              <w:textAlignment w:val="auto"/>
              <w:rPr>
                <w:rFonts w:ascii="宋体" w:hAnsi="宋体" w:eastAsia="宋体" w:cs="宋体"/>
                <w:b/>
                <w:snapToGrid/>
                <w:color w:val="auto"/>
                <w:kern w:val="2"/>
                <w:highlight w:val="none"/>
              </w:rPr>
            </w:pPr>
            <w:r>
              <w:rPr>
                <w:rFonts w:hint="eastAsia" w:ascii="宋体" w:hAnsi="宋体" w:eastAsia="宋体" w:cs="宋体"/>
                <w:b/>
                <w:snapToGrid/>
                <w:color w:val="auto"/>
                <w:kern w:val="2"/>
                <w:highlight w:val="none"/>
              </w:rPr>
              <w:t>条款名称</w:t>
            </w:r>
          </w:p>
        </w:tc>
        <w:tc>
          <w:tcPr>
            <w:tcW w:w="5289" w:type="dxa"/>
            <w:vAlign w:val="center"/>
          </w:tcPr>
          <w:p w14:paraId="494D4D7E">
            <w:pPr>
              <w:widowControl w:val="0"/>
              <w:kinsoku/>
              <w:autoSpaceDE/>
              <w:autoSpaceDN/>
              <w:adjustRightInd/>
              <w:snapToGrid/>
              <w:spacing w:line="400" w:lineRule="exact"/>
              <w:jc w:val="center"/>
              <w:textAlignment w:val="auto"/>
              <w:rPr>
                <w:rFonts w:ascii="宋体" w:hAnsi="宋体" w:eastAsia="宋体" w:cs="宋体"/>
                <w:b/>
                <w:snapToGrid/>
                <w:color w:val="auto"/>
                <w:kern w:val="2"/>
                <w:highlight w:val="none"/>
              </w:rPr>
            </w:pPr>
            <w:r>
              <w:rPr>
                <w:rFonts w:hint="eastAsia" w:ascii="宋体" w:hAnsi="宋体" w:eastAsia="宋体" w:cs="宋体"/>
                <w:b/>
                <w:snapToGrid/>
                <w:color w:val="auto"/>
                <w:kern w:val="2"/>
                <w:highlight w:val="none"/>
              </w:rPr>
              <w:t>编列内容</w:t>
            </w:r>
          </w:p>
        </w:tc>
      </w:tr>
      <w:tr w14:paraId="4AA2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1067" w:type="dxa"/>
            <w:vAlign w:val="center"/>
          </w:tcPr>
          <w:p w14:paraId="1439B992">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1.1.2</w:t>
            </w:r>
          </w:p>
        </w:tc>
        <w:tc>
          <w:tcPr>
            <w:tcW w:w="2166" w:type="dxa"/>
            <w:gridSpan w:val="2"/>
            <w:vAlign w:val="center"/>
          </w:tcPr>
          <w:p w14:paraId="52F63267">
            <w:pPr>
              <w:keepNext w:val="0"/>
              <w:keepLines w:val="0"/>
              <w:pageBreakBefore w:val="0"/>
              <w:widowControl w:val="0"/>
              <w:kinsoku/>
              <w:wordWrap/>
              <w:overflowPunct/>
              <w:topLinePunct w:val="0"/>
              <w:bidi w:val="0"/>
              <w:snapToGrid w:val="0"/>
              <w:spacing w:line="400" w:lineRule="exact"/>
              <w:jc w:val="center"/>
              <w:textAlignment w:val="auto"/>
              <w:rPr>
                <w:rFonts w:ascii="宋体" w:hAnsi="宋体" w:eastAsia="宋体" w:cs="宋体"/>
                <w:snapToGrid/>
                <w:color w:val="auto"/>
                <w:kern w:val="2"/>
                <w:highlight w:val="none"/>
              </w:rPr>
            </w:pPr>
            <w:r>
              <w:rPr>
                <w:rFonts w:hint="eastAsia" w:asciiTheme="minorEastAsia" w:hAnsiTheme="minorEastAsia" w:eastAsiaTheme="minorEastAsia" w:cstheme="minorEastAsia"/>
                <w:i w:val="0"/>
                <w:iCs w:val="0"/>
                <w:color w:val="auto"/>
                <w:kern w:val="0"/>
                <w:sz w:val="21"/>
                <w:szCs w:val="21"/>
                <w:highlight w:val="none"/>
              </w:rPr>
              <w:t>招标人</w:t>
            </w:r>
          </w:p>
        </w:tc>
        <w:tc>
          <w:tcPr>
            <w:tcW w:w="5289" w:type="dxa"/>
            <w:vAlign w:val="center"/>
          </w:tcPr>
          <w:p w14:paraId="7FCAEC0C">
            <w:pPr>
              <w:keepNext w:val="0"/>
              <w:keepLines w:val="0"/>
              <w:pageBreakBefore w:val="0"/>
              <w:widowControl w:val="0"/>
              <w:kinsoku/>
              <w:wordWrap/>
              <w:overflowPunct/>
              <w:topLinePunct w:val="0"/>
              <w:bidi w:val="0"/>
              <w:snapToGrid w:val="0"/>
              <w:spacing w:line="400" w:lineRule="exact"/>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名称：重庆市大渡口区新晟发建设有限公司</w:t>
            </w:r>
          </w:p>
          <w:p w14:paraId="1387283A">
            <w:pPr>
              <w:keepNext w:val="0"/>
              <w:keepLines w:val="0"/>
              <w:pageBreakBefore w:val="0"/>
              <w:widowControl w:val="0"/>
              <w:kinsoku/>
              <w:wordWrap/>
              <w:overflowPunct/>
              <w:topLinePunct w:val="0"/>
              <w:bidi w:val="0"/>
              <w:snapToGrid w:val="0"/>
              <w:spacing w:line="400" w:lineRule="exact"/>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地址：重庆市大渡口区思源路32号6幢5楼</w:t>
            </w:r>
          </w:p>
          <w:p w14:paraId="7DFE050A">
            <w:pPr>
              <w:keepNext w:val="0"/>
              <w:keepLines w:val="0"/>
              <w:pageBreakBefore w:val="0"/>
              <w:widowControl w:val="0"/>
              <w:kinsoku/>
              <w:wordWrap/>
              <w:overflowPunct/>
              <w:topLinePunct w:val="0"/>
              <w:bidi w:val="0"/>
              <w:snapToGrid w:val="0"/>
              <w:spacing w:line="400" w:lineRule="exact"/>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联系人：</w:t>
            </w:r>
            <w:r>
              <w:rPr>
                <w:rFonts w:hint="eastAsia" w:asciiTheme="minorEastAsia" w:hAnsiTheme="minorEastAsia" w:eastAsiaTheme="minorEastAsia" w:cstheme="minorEastAsia"/>
                <w:i w:val="0"/>
                <w:iCs w:val="0"/>
                <w:color w:val="auto"/>
                <w:kern w:val="0"/>
                <w:sz w:val="21"/>
                <w:szCs w:val="21"/>
                <w:highlight w:val="none"/>
                <w:lang w:eastAsia="zh-CN"/>
              </w:rPr>
              <w:t>唐</w:t>
            </w:r>
            <w:r>
              <w:rPr>
                <w:rFonts w:hint="eastAsia" w:asciiTheme="minorEastAsia" w:hAnsiTheme="minorEastAsia" w:eastAsiaTheme="minorEastAsia" w:cstheme="minorEastAsia"/>
                <w:i w:val="0"/>
                <w:iCs w:val="0"/>
                <w:color w:val="auto"/>
                <w:kern w:val="0"/>
                <w:sz w:val="21"/>
                <w:szCs w:val="21"/>
                <w:highlight w:val="none"/>
              </w:rPr>
              <w:t>老师</w:t>
            </w:r>
          </w:p>
          <w:p w14:paraId="58FC4770">
            <w:pPr>
              <w:keepNext w:val="0"/>
              <w:keepLines w:val="0"/>
              <w:pageBreakBefore w:val="0"/>
              <w:widowControl w:val="0"/>
              <w:kinsoku/>
              <w:wordWrap/>
              <w:overflowPunct/>
              <w:topLinePunct w:val="0"/>
              <w:bidi w:val="0"/>
              <w:snapToGrid w:val="0"/>
              <w:spacing w:line="400" w:lineRule="exact"/>
              <w:jc w:val="both"/>
              <w:textAlignment w:val="auto"/>
              <w:rPr>
                <w:rFonts w:ascii="宋体" w:hAnsi="宋体" w:eastAsia="宋体" w:cs="宋体"/>
                <w:snapToGrid/>
                <w:color w:val="auto"/>
                <w:kern w:val="2"/>
                <w:highlight w:val="none"/>
              </w:rPr>
            </w:pPr>
            <w:r>
              <w:rPr>
                <w:rFonts w:hint="eastAsia" w:asciiTheme="minorEastAsia" w:hAnsiTheme="minorEastAsia" w:eastAsiaTheme="minorEastAsia" w:cstheme="minorEastAsia"/>
                <w:i w:val="0"/>
                <w:iCs w:val="0"/>
                <w:color w:val="auto"/>
                <w:kern w:val="0"/>
                <w:sz w:val="21"/>
                <w:szCs w:val="21"/>
                <w:highlight w:val="none"/>
              </w:rPr>
              <w:t>联系电话：023-68109712</w:t>
            </w:r>
          </w:p>
        </w:tc>
      </w:tr>
      <w:tr w14:paraId="32CA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067" w:type="dxa"/>
            <w:vAlign w:val="center"/>
          </w:tcPr>
          <w:p w14:paraId="025103B8">
            <w:pPr>
              <w:widowControl w:val="0"/>
              <w:kinsoku/>
              <w:autoSpaceDE/>
              <w:autoSpaceDN/>
              <w:adjustRightInd/>
              <w:snapToGrid/>
              <w:spacing w:line="400" w:lineRule="exact"/>
              <w:jc w:val="center"/>
              <w:textAlignment w:val="auto"/>
              <w:rPr>
                <w:rFonts w:hint="default" w:ascii="宋体" w:hAnsi="宋体" w:eastAsia="宋体" w:cs="宋体"/>
                <w:snapToGrid/>
                <w:color w:val="auto"/>
                <w:kern w:val="2"/>
                <w:highlight w:val="none"/>
                <w:lang w:val="en-US" w:eastAsia="zh-CN"/>
              </w:rPr>
            </w:pPr>
            <w:r>
              <w:rPr>
                <w:rFonts w:hint="eastAsia" w:ascii="宋体" w:hAnsi="宋体" w:eastAsia="宋体" w:cs="宋体"/>
                <w:snapToGrid/>
                <w:color w:val="auto"/>
                <w:kern w:val="2"/>
                <w:highlight w:val="none"/>
                <w:lang w:val="en-US" w:eastAsia="zh-CN"/>
              </w:rPr>
              <w:t>1.1.3</w:t>
            </w:r>
          </w:p>
        </w:tc>
        <w:tc>
          <w:tcPr>
            <w:tcW w:w="2166" w:type="dxa"/>
            <w:gridSpan w:val="2"/>
            <w:vAlign w:val="center"/>
          </w:tcPr>
          <w:p w14:paraId="70F6E8B0">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snapToGrid/>
                <w:color w:val="auto"/>
                <w:kern w:val="2"/>
                <w:highlight w:val="none"/>
              </w:rPr>
            </w:pPr>
            <w:r>
              <w:rPr>
                <w:rFonts w:hint="eastAsia" w:asciiTheme="minorEastAsia" w:hAnsiTheme="minorEastAsia" w:eastAsiaTheme="minorEastAsia" w:cstheme="minorEastAsia"/>
                <w:i w:val="0"/>
                <w:iCs w:val="0"/>
                <w:color w:val="auto"/>
                <w:kern w:val="0"/>
                <w:sz w:val="21"/>
                <w:szCs w:val="21"/>
                <w:highlight w:val="none"/>
              </w:rPr>
              <w:t>招标代理机构</w:t>
            </w:r>
          </w:p>
        </w:tc>
        <w:tc>
          <w:tcPr>
            <w:tcW w:w="5289" w:type="dxa"/>
            <w:vAlign w:val="center"/>
          </w:tcPr>
          <w:p w14:paraId="6BE0329E">
            <w:pPr>
              <w:keepNext w:val="0"/>
              <w:keepLines w:val="0"/>
              <w:pageBreakBefore w:val="0"/>
              <w:widowControl w:val="0"/>
              <w:kinsoku/>
              <w:wordWrap/>
              <w:overflowPunct/>
              <w:topLinePunct w:val="0"/>
              <w:bidi w:val="0"/>
              <w:snapToGrid w:val="0"/>
              <w:spacing w:line="400" w:lineRule="exact"/>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名称：重庆市义渡工程管理有限公司</w:t>
            </w:r>
          </w:p>
          <w:p w14:paraId="73A71C68">
            <w:pPr>
              <w:keepNext w:val="0"/>
              <w:keepLines w:val="0"/>
              <w:pageBreakBefore w:val="0"/>
              <w:widowControl w:val="0"/>
              <w:kinsoku/>
              <w:wordWrap/>
              <w:overflowPunct/>
              <w:topLinePunct w:val="0"/>
              <w:bidi w:val="0"/>
              <w:snapToGrid w:val="0"/>
              <w:spacing w:line="400" w:lineRule="exact"/>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地址：重庆市大渡口区文体路126号锦天商务中心东楼513室</w:t>
            </w:r>
          </w:p>
          <w:p w14:paraId="332843A0">
            <w:pPr>
              <w:keepNext w:val="0"/>
              <w:keepLines w:val="0"/>
              <w:pageBreakBefore w:val="0"/>
              <w:widowControl w:val="0"/>
              <w:kinsoku/>
              <w:wordWrap/>
              <w:overflowPunct/>
              <w:topLinePunct w:val="0"/>
              <w:bidi w:val="0"/>
              <w:snapToGrid w:val="0"/>
              <w:spacing w:line="400" w:lineRule="exact"/>
              <w:jc w:val="both"/>
              <w:textAlignment w:val="auto"/>
              <w:rPr>
                <w:rFonts w:hint="eastAsia" w:asciiTheme="minorEastAsia" w:hAnsiTheme="minorEastAsia" w:eastAsiaTheme="minorEastAsia" w:cstheme="minorEastAsia"/>
                <w:i w:val="0"/>
                <w:iCs w:val="0"/>
                <w:color w:val="auto"/>
                <w:kern w:val="0"/>
                <w:sz w:val="21"/>
                <w:szCs w:val="21"/>
                <w:highlight w:val="none"/>
                <w:lang w:eastAsia="zh-CN"/>
              </w:rPr>
            </w:pPr>
            <w:r>
              <w:rPr>
                <w:rFonts w:hint="eastAsia" w:asciiTheme="minorEastAsia" w:hAnsiTheme="minorEastAsia" w:eastAsiaTheme="minorEastAsia" w:cstheme="minorEastAsia"/>
                <w:i w:val="0"/>
                <w:iCs w:val="0"/>
                <w:color w:val="auto"/>
                <w:kern w:val="0"/>
                <w:sz w:val="21"/>
                <w:szCs w:val="21"/>
                <w:highlight w:val="none"/>
              </w:rPr>
              <w:t>联系人：</w:t>
            </w:r>
            <w:r>
              <w:rPr>
                <w:rFonts w:hint="eastAsia" w:asciiTheme="minorEastAsia" w:hAnsiTheme="minorEastAsia" w:eastAsiaTheme="minorEastAsia" w:cstheme="minorEastAsia"/>
                <w:i w:val="0"/>
                <w:iCs w:val="0"/>
                <w:color w:val="auto"/>
                <w:kern w:val="0"/>
                <w:sz w:val="21"/>
                <w:szCs w:val="21"/>
                <w:highlight w:val="none"/>
                <w:lang w:eastAsia="zh-CN"/>
              </w:rPr>
              <w:t>严力、唐书霞</w:t>
            </w:r>
          </w:p>
          <w:p w14:paraId="0FC8BC26">
            <w:pPr>
              <w:keepNext w:val="0"/>
              <w:keepLines w:val="0"/>
              <w:pageBreakBefore w:val="0"/>
              <w:widowControl w:val="0"/>
              <w:kinsoku/>
              <w:wordWrap/>
              <w:overflowPunct/>
              <w:topLinePunct w:val="0"/>
              <w:bidi w:val="0"/>
              <w:snapToGrid w:val="0"/>
              <w:spacing w:line="400" w:lineRule="exact"/>
              <w:jc w:val="both"/>
              <w:textAlignment w:val="auto"/>
              <w:rPr>
                <w:rFonts w:hint="eastAsia" w:ascii="宋体" w:hAnsi="宋体" w:eastAsia="宋体" w:cs="宋体"/>
                <w:snapToGrid/>
                <w:color w:val="auto"/>
                <w:kern w:val="2"/>
                <w:highlight w:val="none"/>
              </w:rPr>
            </w:pPr>
            <w:r>
              <w:rPr>
                <w:rFonts w:hint="eastAsia" w:asciiTheme="minorEastAsia" w:hAnsiTheme="minorEastAsia" w:eastAsiaTheme="minorEastAsia" w:cstheme="minorEastAsia"/>
                <w:i w:val="0"/>
                <w:iCs w:val="0"/>
                <w:color w:val="auto"/>
                <w:kern w:val="0"/>
                <w:sz w:val="21"/>
                <w:szCs w:val="21"/>
                <w:highlight w:val="none"/>
              </w:rPr>
              <w:t>联系电话：023-62759575</w:t>
            </w:r>
          </w:p>
        </w:tc>
      </w:tr>
      <w:tr w14:paraId="7B78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14:paraId="75B2B994">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1.1.4</w:t>
            </w:r>
          </w:p>
        </w:tc>
        <w:tc>
          <w:tcPr>
            <w:tcW w:w="2166" w:type="dxa"/>
            <w:gridSpan w:val="2"/>
            <w:vAlign w:val="center"/>
          </w:tcPr>
          <w:p w14:paraId="69517AF7">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项目名称</w:t>
            </w:r>
          </w:p>
        </w:tc>
        <w:tc>
          <w:tcPr>
            <w:tcW w:w="5289" w:type="dxa"/>
          </w:tcPr>
          <w:p w14:paraId="5EA24C8E">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Theme="minorEastAsia" w:hAnsiTheme="minorEastAsia" w:eastAsiaTheme="minorEastAsia" w:cstheme="minorEastAsia"/>
                <w:i w:val="0"/>
                <w:iCs w:val="0"/>
                <w:snapToGrid w:val="0"/>
                <w:color w:val="auto"/>
                <w:kern w:val="0"/>
                <w:sz w:val="21"/>
                <w:szCs w:val="21"/>
                <w:highlight w:val="none"/>
                <w:lang w:eastAsia="zh-CN"/>
              </w:rPr>
              <w:t>2026大渡口半程马拉松</w:t>
            </w:r>
          </w:p>
        </w:tc>
      </w:tr>
      <w:tr w14:paraId="1403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14:paraId="5DDEFB2D">
            <w:pPr>
              <w:widowControl w:val="0"/>
              <w:spacing w:line="440" w:lineRule="exact"/>
              <w:jc w:val="center"/>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1.1.5</w:t>
            </w:r>
          </w:p>
        </w:tc>
        <w:tc>
          <w:tcPr>
            <w:tcW w:w="2166" w:type="dxa"/>
            <w:gridSpan w:val="2"/>
            <w:vAlign w:val="center"/>
          </w:tcPr>
          <w:p w14:paraId="518304CE">
            <w:pPr>
              <w:widowControl w:val="0"/>
              <w:spacing w:line="440" w:lineRule="exact"/>
              <w:jc w:val="center"/>
              <w:rPr>
                <w:rFonts w:ascii="宋体" w:hAnsi="宋体" w:eastAsia="宋体" w:cs="宋体"/>
                <w:snapToGrid/>
                <w:color w:val="auto"/>
                <w:kern w:val="2"/>
                <w:highlight w:val="none"/>
              </w:rPr>
            </w:pPr>
            <w:r>
              <w:rPr>
                <w:rFonts w:hint="eastAsia" w:ascii="宋体" w:hAnsi="宋体" w:eastAsia="宋体" w:cs="宋体"/>
                <w:color w:val="auto"/>
                <w:highlight w:val="none"/>
              </w:rPr>
              <w:t>服务地点</w:t>
            </w:r>
          </w:p>
        </w:tc>
        <w:tc>
          <w:tcPr>
            <w:tcW w:w="5289" w:type="dxa"/>
          </w:tcPr>
          <w:p w14:paraId="278B1A7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ascii="宋体" w:hAnsi="宋体" w:eastAsia="宋体" w:cs="宋体"/>
                <w:snapToGrid/>
                <w:color w:val="auto"/>
                <w:kern w:val="2"/>
                <w:highlight w:val="none"/>
              </w:rPr>
            </w:pPr>
            <w:r>
              <w:rPr>
                <w:rFonts w:hint="eastAsia" w:ascii="微软雅黑" w:hAnsi="微软雅黑" w:eastAsia="微软雅黑" w:cs="微软雅黑"/>
                <w:b w:val="0"/>
                <w:bCs w:val="0"/>
                <w:color w:val="auto"/>
                <w:sz w:val="21"/>
                <w:szCs w:val="21"/>
                <w:highlight w:val="none"/>
                <w:lang w:val="en-US" w:eastAsia="zh-CN"/>
              </w:rPr>
              <w:t>大渡口区滨江路音乐营地</w:t>
            </w:r>
          </w:p>
        </w:tc>
      </w:tr>
      <w:tr w14:paraId="721C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67" w:type="dxa"/>
            <w:vAlign w:val="center"/>
          </w:tcPr>
          <w:p w14:paraId="237135AA">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1.2.1</w:t>
            </w:r>
          </w:p>
        </w:tc>
        <w:tc>
          <w:tcPr>
            <w:tcW w:w="2166" w:type="dxa"/>
            <w:gridSpan w:val="2"/>
            <w:vAlign w:val="center"/>
          </w:tcPr>
          <w:p w14:paraId="35C46ED6">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资金来源及比例</w:t>
            </w:r>
          </w:p>
        </w:tc>
        <w:tc>
          <w:tcPr>
            <w:tcW w:w="5289" w:type="dxa"/>
          </w:tcPr>
          <w:p w14:paraId="3B102D0B">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highlight w:val="none"/>
                <w:lang w:eastAsia="zh-CN"/>
              </w:rPr>
            </w:pPr>
            <w:r>
              <w:rPr>
                <w:rFonts w:hint="eastAsia" w:ascii="宋体" w:hAnsi="宋体" w:eastAsia="宋体" w:cs="宋体"/>
                <w:snapToGrid/>
                <w:color w:val="auto"/>
                <w:kern w:val="2"/>
                <w:highlight w:val="none"/>
                <w:lang w:eastAsia="zh-CN"/>
              </w:rPr>
              <w:t>资金来源：企业自筹</w:t>
            </w:r>
          </w:p>
          <w:p w14:paraId="721E71E1">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lang w:eastAsia="zh-CN"/>
              </w:rPr>
              <w:t>出资比例：</w:t>
            </w:r>
            <w:r>
              <w:rPr>
                <w:rFonts w:hint="eastAsia" w:ascii="宋体" w:hAnsi="宋体" w:eastAsia="宋体" w:cs="宋体"/>
                <w:snapToGrid/>
                <w:color w:val="auto"/>
                <w:kern w:val="2"/>
                <w:highlight w:val="none"/>
              </w:rPr>
              <w:t>100%</w:t>
            </w:r>
          </w:p>
        </w:tc>
      </w:tr>
      <w:tr w14:paraId="3A19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067" w:type="dxa"/>
            <w:vAlign w:val="center"/>
          </w:tcPr>
          <w:p w14:paraId="072EE8E3">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1.2.2</w:t>
            </w:r>
          </w:p>
        </w:tc>
        <w:tc>
          <w:tcPr>
            <w:tcW w:w="2166" w:type="dxa"/>
            <w:gridSpan w:val="2"/>
            <w:vAlign w:val="center"/>
          </w:tcPr>
          <w:p w14:paraId="5FC82162">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资金落实情况</w:t>
            </w:r>
          </w:p>
        </w:tc>
        <w:tc>
          <w:tcPr>
            <w:tcW w:w="5289" w:type="dxa"/>
          </w:tcPr>
          <w:p w14:paraId="33327412">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已落实</w:t>
            </w:r>
          </w:p>
        </w:tc>
      </w:tr>
      <w:tr w14:paraId="6689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67" w:type="dxa"/>
            <w:vAlign w:val="center"/>
          </w:tcPr>
          <w:p w14:paraId="0A0C506F">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1.3.1</w:t>
            </w:r>
          </w:p>
        </w:tc>
        <w:tc>
          <w:tcPr>
            <w:tcW w:w="2166" w:type="dxa"/>
            <w:gridSpan w:val="2"/>
            <w:vAlign w:val="center"/>
          </w:tcPr>
          <w:p w14:paraId="1464E7A3">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招标范围</w:t>
            </w:r>
          </w:p>
        </w:tc>
        <w:tc>
          <w:tcPr>
            <w:tcW w:w="5289" w:type="dxa"/>
          </w:tcPr>
          <w:p w14:paraId="5ECE4E6E">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为招标人提供2026大渡口半程马拉松赛事和相关赛事配套活动的策划、VI视觉效果和物料设计、赛事风险评估、赛事安全风险防控、赛事应急预案及应急处置、赛事医疗保障、参赛选手招募管理、竞赛组织和器材保障、裁判员组织管理、志愿者招募及管理、媒体宣传推广、后勤接待及相关保障、赛道和场地布置、所需竞赛隔离铁马（租赁）、赛事保安劳务、氛围营造、配套活动、各类证件和资料印制、赛事市场开发、按照中国田径协会办赛要求购买保险、税金、裁判员、运动员、志愿者服装、裁判员交通劳务和食宿、志愿者用餐和交通培训及前期赛道勘察丈量等服务。具体内容详见招标文件。</w:t>
            </w:r>
          </w:p>
        </w:tc>
      </w:tr>
      <w:tr w14:paraId="367D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14:paraId="1D1942EB">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1.3.2</w:t>
            </w:r>
          </w:p>
        </w:tc>
        <w:tc>
          <w:tcPr>
            <w:tcW w:w="2166" w:type="dxa"/>
            <w:gridSpan w:val="2"/>
            <w:vAlign w:val="center"/>
          </w:tcPr>
          <w:p w14:paraId="7D54720B">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服务期限</w:t>
            </w:r>
          </w:p>
        </w:tc>
        <w:tc>
          <w:tcPr>
            <w:tcW w:w="5289" w:type="dxa"/>
          </w:tcPr>
          <w:p w14:paraId="28ED5822">
            <w:pPr>
              <w:widowControl/>
              <w:kinsoku/>
              <w:autoSpaceDE/>
              <w:autoSpaceDN/>
              <w:adjustRightInd/>
              <w:snapToGrid/>
              <w:spacing w:line="440" w:lineRule="exact"/>
              <w:jc w:val="both"/>
              <w:textAlignment w:val="auto"/>
              <w:rPr>
                <w:rFonts w:hint="default" w:ascii="宋体" w:hAnsi="宋体" w:eastAsia="宋体" w:cs="宋体"/>
                <w:snapToGrid/>
                <w:color w:val="auto"/>
                <w:kern w:val="2"/>
                <w:highlight w:val="none"/>
                <w:lang w:val="en-US" w:eastAsia="zh-CN"/>
              </w:rPr>
            </w:pPr>
            <w:r>
              <w:rPr>
                <w:rFonts w:hint="eastAsia" w:ascii="宋体" w:hAnsi="宋体" w:eastAsia="宋体" w:cs="宋体"/>
                <w:color w:val="auto"/>
                <w:highlight w:val="none"/>
                <w:u w:val="none"/>
                <w:lang w:val="en-US" w:eastAsia="zh-CN"/>
              </w:rPr>
              <w:t xml:space="preserve">   签订合同之日起至赛事结束30日内。</w:t>
            </w:r>
          </w:p>
        </w:tc>
      </w:tr>
      <w:tr w14:paraId="1249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67" w:type="dxa"/>
            <w:vAlign w:val="center"/>
          </w:tcPr>
          <w:p w14:paraId="0F36D73F">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1.3.3</w:t>
            </w:r>
          </w:p>
        </w:tc>
        <w:tc>
          <w:tcPr>
            <w:tcW w:w="2166" w:type="dxa"/>
            <w:gridSpan w:val="2"/>
            <w:vAlign w:val="center"/>
          </w:tcPr>
          <w:p w14:paraId="40A426D6">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color w:val="auto"/>
                <w:highlight w:val="none"/>
              </w:rPr>
              <w:t>质量标准</w:t>
            </w:r>
          </w:p>
        </w:tc>
        <w:tc>
          <w:tcPr>
            <w:tcW w:w="5289" w:type="dxa"/>
          </w:tcPr>
          <w:p w14:paraId="79EFECAA">
            <w:pPr>
              <w:widowControl w:val="0"/>
              <w:tabs>
                <w:tab w:val="left" w:pos="4138"/>
              </w:tabs>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微软雅黑" w:hAnsi="微软雅黑" w:eastAsia="微软雅黑" w:cs="Calibri"/>
                <w:color w:val="auto"/>
                <w:sz w:val="21"/>
                <w:szCs w:val="21"/>
                <w:highlight w:val="none"/>
                <w:lang w:val="en-US" w:eastAsia="zh-CN"/>
              </w:rPr>
              <w:t>按照中国田协办赛组织标准执行。</w:t>
            </w:r>
          </w:p>
        </w:tc>
      </w:tr>
      <w:tr w14:paraId="1D1E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067" w:type="dxa"/>
            <w:vAlign w:val="center"/>
          </w:tcPr>
          <w:p w14:paraId="01FD33AE">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p>
          <w:p w14:paraId="441B2063">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p>
          <w:p w14:paraId="6F14B2B7">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1.4.1</w:t>
            </w:r>
          </w:p>
        </w:tc>
        <w:tc>
          <w:tcPr>
            <w:tcW w:w="2166" w:type="dxa"/>
            <w:gridSpan w:val="2"/>
            <w:vAlign w:val="center"/>
          </w:tcPr>
          <w:p w14:paraId="21CFD475">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投标人资质条件、能力、信誉</w:t>
            </w:r>
          </w:p>
        </w:tc>
        <w:tc>
          <w:tcPr>
            <w:tcW w:w="5289" w:type="dxa"/>
          </w:tcPr>
          <w:p w14:paraId="0EDBCFE2">
            <w:pPr>
              <w:widowControl w:val="0"/>
              <w:autoSpaceDE w:val="0"/>
              <w:autoSpaceDN w:val="0"/>
              <w:adjustRightInd w:val="0"/>
              <w:snapToGrid w:val="0"/>
              <w:spacing w:line="400" w:lineRule="exact"/>
              <w:ind w:firstLine="0" w:firstLineChars="0"/>
              <w:jc w:val="both"/>
              <w:rPr>
                <w:rFonts w:ascii="宋体" w:hAnsi="宋体"/>
                <w:b/>
                <w:color w:val="auto"/>
                <w:szCs w:val="21"/>
                <w:highlight w:val="none"/>
              </w:rPr>
            </w:pPr>
            <w:r>
              <w:rPr>
                <w:rFonts w:ascii="宋体" w:hAnsi="宋体"/>
                <w:b/>
                <w:color w:val="auto"/>
                <w:szCs w:val="21"/>
                <w:highlight w:val="none"/>
              </w:rPr>
              <w:t>1.资质条件</w:t>
            </w:r>
            <w:r>
              <w:rPr>
                <w:rFonts w:hint="eastAsia" w:ascii="宋体" w:hAnsi="宋体" w:eastAsia="宋体"/>
                <w:b/>
                <w:color w:val="auto"/>
                <w:szCs w:val="21"/>
                <w:highlight w:val="none"/>
                <w:lang w:eastAsia="zh-CN"/>
              </w:rPr>
              <w:t>及</w:t>
            </w:r>
            <w:r>
              <w:rPr>
                <w:rFonts w:ascii="宋体" w:hAnsi="宋体"/>
                <w:b/>
                <w:color w:val="auto"/>
                <w:szCs w:val="21"/>
                <w:highlight w:val="none"/>
              </w:rPr>
              <w:t>营业执照</w:t>
            </w:r>
          </w:p>
          <w:p w14:paraId="47DD8FAD">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1</w:t>
            </w:r>
            <w:r>
              <w:rPr>
                <w:rFonts w:hint="eastAsia" w:asciiTheme="minorEastAsia" w:hAnsiTheme="minorEastAsia" w:eastAsiaTheme="minorEastAsia" w:cstheme="minorEastAsia"/>
                <w:color w:val="auto"/>
                <w:highlight w:val="none"/>
              </w:rPr>
              <w:t>）具备有效的营业执照。</w:t>
            </w:r>
          </w:p>
          <w:p w14:paraId="6F15055C">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highlight w:val="none"/>
              </w:rPr>
              <w:t>投标人须提供有效的营业执照</w:t>
            </w:r>
            <w:r>
              <w:rPr>
                <w:rFonts w:hint="eastAsia" w:asciiTheme="minorEastAsia" w:hAnsiTheme="minorEastAsia" w:eastAsiaTheme="minorEastAsia" w:cstheme="minorEastAsia"/>
                <w:b/>
                <w:bCs/>
                <w:color w:val="auto"/>
                <w:highlight w:val="none"/>
                <w:lang w:eastAsia="zh-CN"/>
              </w:rPr>
              <w:t>）</w:t>
            </w:r>
          </w:p>
          <w:p w14:paraId="4CE38070">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Theme="minorEastAsia" w:hAnsiTheme="minorEastAsia" w:eastAsiaTheme="minorEastAsia" w:cstheme="minorEastAsia"/>
                <w:i w:val="0"/>
                <w:iCs w:val="0"/>
                <w:color w:val="auto"/>
                <w:sz w:val="21"/>
                <w:szCs w:val="21"/>
                <w:highlight w:val="none"/>
              </w:rPr>
            </w:pPr>
            <w:r>
              <w:rPr>
                <w:rFonts w:hint="eastAsia" w:asciiTheme="minorEastAsia" w:hAnsiTheme="minorEastAsia" w:eastAsiaTheme="minorEastAsia" w:cstheme="minorEastAsia"/>
                <w:i w:val="0"/>
                <w:iCs w:val="0"/>
                <w:color w:val="auto"/>
                <w:sz w:val="21"/>
                <w:szCs w:val="21"/>
                <w:highlight w:val="none"/>
              </w:rPr>
              <w:t>注：不得将投标人营业执照记载的经营范围作为评审因素。</w:t>
            </w:r>
          </w:p>
          <w:p w14:paraId="5CCBF4C3">
            <w:pPr>
              <w:keepNext w:val="0"/>
              <w:keepLines w:val="0"/>
              <w:pageBreakBefore w:val="0"/>
              <w:widowControl w:val="0"/>
              <w:kinsoku/>
              <w:wordWrap/>
              <w:overflowPunct/>
              <w:topLinePunct w:val="0"/>
              <w:bidi w:val="0"/>
              <w:snapToGrid w:val="0"/>
              <w:spacing w:line="400" w:lineRule="exact"/>
              <w:jc w:val="both"/>
              <w:textAlignment w:val="auto"/>
              <w:rPr>
                <w:rFonts w:hint="eastAsia" w:asciiTheme="minorEastAsia" w:hAnsiTheme="minorEastAsia" w:eastAsiaTheme="minorEastAsia" w:cstheme="minorEastAsia"/>
                <w:i w:val="0"/>
                <w:iCs w:val="0"/>
                <w:color w:val="auto"/>
                <w:sz w:val="21"/>
                <w:szCs w:val="21"/>
                <w:highlight w:val="none"/>
                <w:lang w:eastAsia="zh-CN"/>
              </w:rPr>
            </w:pPr>
            <w:r>
              <w:rPr>
                <w:rFonts w:hint="eastAsia" w:asciiTheme="minorEastAsia" w:hAnsiTheme="minorEastAsia" w:eastAsiaTheme="minorEastAsia" w:cstheme="minorEastAsia"/>
                <w:i w:val="0"/>
                <w:iCs w:val="0"/>
                <w:color w:val="auto"/>
                <w:sz w:val="21"/>
                <w:szCs w:val="21"/>
                <w:highlight w:val="none"/>
                <w:lang w:eastAsia="zh-CN"/>
              </w:rPr>
              <w:t>（</w:t>
            </w:r>
            <w:r>
              <w:rPr>
                <w:rFonts w:hint="eastAsia" w:asciiTheme="minorEastAsia" w:hAnsiTheme="minorEastAsia" w:eastAsiaTheme="minorEastAsia" w:cstheme="minorEastAsia"/>
                <w:i w:val="0"/>
                <w:iCs w:val="0"/>
                <w:color w:val="auto"/>
                <w:sz w:val="21"/>
                <w:szCs w:val="21"/>
                <w:highlight w:val="none"/>
                <w:lang w:val="en-US" w:eastAsia="zh-CN"/>
              </w:rPr>
              <w:t>2</w:t>
            </w:r>
            <w:r>
              <w:rPr>
                <w:rFonts w:hint="eastAsia" w:asciiTheme="minorEastAsia" w:hAnsiTheme="minorEastAsia" w:eastAsiaTheme="minorEastAsia" w:cstheme="minorEastAsia"/>
                <w:i w:val="0"/>
                <w:iCs w:val="0"/>
                <w:color w:val="auto"/>
                <w:sz w:val="21"/>
                <w:szCs w:val="21"/>
                <w:highlight w:val="none"/>
                <w:lang w:eastAsia="zh-CN"/>
              </w:rPr>
              <w:t>）</w:t>
            </w:r>
            <w:r>
              <w:rPr>
                <w:rFonts w:hint="eastAsia" w:asciiTheme="minorEastAsia" w:hAnsiTheme="minorEastAsia" w:eastAsiaTheme="minorEastAsia" w:cstheme="minorEastAsia"/>
                <w:i w:val="0"/>
                <w:iCs w:val="0"/>
                <w:color w:val="auto"/>
                <w:sz w:val="21"/>
                <w:szCs w:val="21"/>
                <w:highlight w:val="none"/>
              </w:rPr>
              <w:t>投标人承诺</w:t>
            </w:r>
            <w:r>
              <w:rPr>
                <w:rFonts w:hint="eastAsia" w:asciiTheme="minorEastAsia" w:hAnsiTheme="minorEastAsia" w:eastAsiaTheme="minorEastAsia" w:cstheme="minorEastAsia"/>
                <w:i w:val="0"/>
                <w:iCs w:val="0"/>
                <w:color w:val="auto"/>
                <w:sz w:val="21"/>
                <w:szCs w:val="21"/>
                <w:highlight w:val="none"/>
                <w:lang w:eastAsia="zh-CN"/>
              </w:rPr>
              <w:t>函</w:t>
            </w:r>
            <w:r>
              <w:rPr>
                <w:rFonts w:hint="eastAsia" w:asciiTheme="minorEastAsia" w:hAnsiTheme="minorEastAsia" w:eastAsiaTheme="minorEastAsia" w:cstheme="minorEastAsia"/>
                <w:i w:val="0"/>
                <w:iCs w:val="0"/>
                <w:color w:val="auto"/>
                <w:sz w:val="21"/>
                <w:szCs w:val="21"/>
                <w:highlight w:val="none"/>
              </w:rPr>
              <w:t>（格式见第六章投标文件格式）</w:t>
            </w:r>
            <w:r>
              <w:rPr>
                <w:rFonts w:hint="eastAsia" w:asciiTheme="minorEastAsia" w:hAnsiTheme="minorEastAsia" w:eastAsiaTheme="minorEastAsia" w:cstheme="minorEastAsia"/>
                <w:i w:val="0"/>
                <w:iCs w:val="0"/>
                <w:color w:val="auto"/>
                <w:sz w:val="21"/>
                <w:szCs w:val="21"/>
                <w:highlight w:val="none"/>
                <w:lang w:eastAsia="zh-CN"/>
              </w:rPr>
              <w:t>。</w:t>
            </w:r>
          </w:p>
          <w:p w14:paraId="4FABC26E">
            <w:pPr>
              <w:pStyle w:val="12"/>
              <w:widowControl w:val="0"/>
              <w:jc w:val="both"/>
              <w:rPr>
                <w:rFonts w:hint="eastAsia"/>
                <w:color w:val="auto"/>
                <w:highlight w:val="none"/>
                <w:lang w:eastAsia="zh-CN"/>
              </w:rPr>
            </w:pPr>
            <w:r>
              <w:rPr>
                <w:rFonts w:hint="eastAsia" w:asciiTheme="minorEastAsia" w:hAnsiTheme="minorEastAsia" w:eastAsiaTheme="minorEastAsia" w:cstheme="minorEastAsia"/>
                <w:i w:val="0"/>
                <w:iCs w:val="0"/>
                <w:color w:val="auto"/>
                <w:sz w:val="21"/>
                <w:szCs w:val="21"/>
                <w:highlight w:val="none"/>
              </w:rPr>
              <w:t>投标人须在投标文件</w:t>
            </w:r>
            <w:r>
              <w:rPr>
                <w:rFonts w:hint="eastAsia" w:asciiTheme="minorEastAsia" w:hAnsiTheme="minorEastAsia" w:eastAsiaTheme="minorEastAsia" w:cstheme="minorEastAsia"/>
                <w:b w:val="0"/>
                <w:bCs w:val="0"/>
                <w:i w:val="0"/>
                <w:iCs w:val="0"/>
                <w:color w:val="auto"/>
                <w:kern w:val="2"/>
                <w:sz w:val="21"/>
                <w:szCs w:val="21"/>
                <w:highlight w:val="none"/>
              </w:rPr>
              <w:t>资</w:t>
            </w:r>
            <w:r>
              <w:rPr>
                <w:rFonts w:hint="eastAsia" w:asciiTheme="minorEastAsia" w:hAnsiTheme="minorEastAsia" w:eastAsiaTheme="minorEastAsia" w:cstheme="minorEastAsia"/>
                <w:i w:val="0"/>
                <w:iCs w:val="0"/>
                <w:color w:val="auto"/>
                <w:sz w:val="21"/>
                <w:szCs w:val="21"/>
                <w:highlight w:val="none"/>
              </w:rPr>
              <w:t>格审查</w:t>
            </w:r>
            <w:r>
              <w:rPr>
                <w:rFonts w:hint="eastAsia" w:asciiTheme="minorEastAsia" w:hAnsiTheme="minorEastAsia" w:eastAsiaTheme="minorEastAsia" w:cstheme="minorEastAsia"/>
                <w:b w:val="0"/>
                <w:bCs w:val="0"/>
                <w:i w:val="0"/>
                <w:iCs w:val="0"/>
                <w:color w:val="auto"/>
                <w:kern w:val="2"/>
                <w:sz w:val="21"/>
                <w:szCs w:val="21"/>
                <w:highlight w:val="none"/>
              </w:rPr>
              <w:t>部分</w:t>
            </w:r>
            <w:r>
              <w:rPr>
                <w:rFonts w:hint="eastAsia" w:asciiTheme="minorEastAsia" w:hAnsiTheme="minorEastAsia" w:eastAsiaTheme="minorEastAsia" w:cstheme="minorEastAsia"/>
                <w:i w:val="0"/>
                <w:iCs w:val="0"/>
                <w:color w:val="auto"/>
                <w:sz w:val="21"/>
                <w:szCs w:val="21"/>
                <w:highlight w:val="none"/>
              </w:rPr>
              <w:t>提供承诺</w:t>
            </w:r>
            <w:r>
              <w:rPr>
                <w:rFonts w:hint="eastAsia" w:asciiTheme="minorEastAsia" w:hAnsiTheme="minorEastAsia" w:eastAsiaTheme="minorEastAsia" w:cstheme="minorEastAsia"/>
                <w:i w:val="0"/>
                <w:iCs w:val="0"/>
                <w:color w:val="auto"/>
                <w:sz w:val="21"/>
                <w:szCs w:val="21"/>
                <w:highlight w:val="none"/>
                <w:lang w:eastAsia="zh-CN"/>
              </w:rPr>
              <w:t>函。</w:t>
            </w:r>
          </w:p>
          <w:p w14:paraId="17224EC9">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Theme="minorEastAsia" w:hAnsiTheme="minorEastAsia" w:eastAsiaTheme="minorEastAsia" w:cstheme="minorEastAsia"/>
                <w:b/>
                <w:i w:val="0"/>
                <w:iCs w:val="0"/>
                <w:color w:val="auto"/>
                <w:sz w:val="21"/>
                <w:szCs w:val="21"/>
                <w:highlight w:val="none"/>
              </w:rPr>
            </w:pPr>
            <w:r>
              <w:rPr>
                <w:rFonts w:hint="eastAsia" w:asciiTheme="minorEastAsia" w:hAnsiTheme="minorEastAsia" w:eastAsiaTheme="minorEastAsia" w:cstheme="minorEastAsia"/>
                <w:b/>
                <w:i w:val="0"/>
                <w:iCs w:val="0"/>
                <w:color w:val="auto"/>
                <w:sz w:val="21"/>
                <w:szCs w:val="21"/>
                <w:highlight w:val="none"/>
              </w:rPr>
              <w:t>特别说明：</w:t>
            </w:r>
          </w:p>
          <w:p w14:paraId="3D38B530">
            <w:pPr>
              <w:keepNext w:val="0"/>
              <w:keepLines w:val="0"/>
              <w:pageBreakBefore w:val="0"/>
              <w:widowControl w:val="0"/>
              <w:kinsoku/>
              <w:wordWrap/>
              <w:overflowPunct/>
              <w:topLinePunct w:val="0"/>
              <w:autoSpaceDE w:val="0"/>
              <w:autoSpaceDN w:val="0"/>
              <w:bidi w:val="0"/>
              <w:adjustRightInd w:val="0"/>
              <w:snapToGrid w:val="0"/>
              <w:spacing w:line="400" w:lineRule="exact"/>
              <w:ind w:firstLine="415" w:firstLineChars="198"/>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sz w:val="21"/>
                <w:szCs w:val="21"/>
                <w:highlight w:val="none"/>
              </w:rPr>
              <w:t>（1）上述要求须提交的相关证明材料均为扫描件（原件或复印件的扫描件均可），扫描件须清晰可辨，</w:t>
            </w:r>
            <w:r>
              <w:rPr>
                <w:rFonts w:hint="eastAsia" w:asciiTheme="minorEastAsia" w:hAnsiTheme="minorEastAsia" w:eastAsiaTheme="minorEastAsia" w:cstheme="minorEastAsia"/>
                <w:i w:val="0"/>
                <w:iCs w:val="0"/>
                <w:color w:val="auto"/>
                <w:kern w:val="0"/>
                <w:sz w:val="21"/>
                <w:szCs w:val="21"/>
                <w:highlight w:val="none"/>
              </w:rPr>
              <w:t>有一条不满足，则投标文件由评标委员会</w:t>
            </w:r>
            <w:r>
              <w:rPr>
                <w:rFonts w:hint="eastAsia" w:asciiTheme="minorEastAsia" w:hAnsiTheme="minorEastAsia" w:eastAsiaTheme="minorEastAsia" w:cstheme="minorEastAsia"/>
                <w:i w:val="0"/>
                <w:iCs w:val="0"/>
                <w:color w:val="auto"/>
                <w:sz w:val="21"/>
                <w:szCs w:val="21"/>
                <w:highlight w:val="none"/>
              </w:rPr>
              <w:t>作否决投标处理</w:t>
            </w:r>
            <w:r>
              <w:rPr>
                <w:rFonts w:hint="eastAsia" w:asciiTheme="minorEastAsia" w:hAnsiTheme="minorEastAsia" w:eastAsiaTheme="minorEastAsia" w:cstheme="minorEastAsia"/>
                <w:i w:val="0"/>
                <w:iCs w:val="0"/>
                <w:color w:val="auto"/>
                <w:kern w:val="0"/>
                <w:sz w:val="21"/>
                <w:szCs w:val="21"/>
                <w:highlight w:val="none"/>
              </w:rPr>
              <w:t>。</w:t>
            </w:r>
          </w:p>
          <w:p w14:paraId="09A9FD8B">
            <w:pPr>
              <w:keepNext w:val="0"/>
              <w:keepLines w:val="0"/>
              <w:pageBreakBefore w:val="0"/>
              <w:widowControl w:val="0"/>
              <w:kinsoku/>
              <w:wordWrap/>
              <w:overflowPunct/>
              <w:topLinePunct w:val="0"/>
              <w:autoSpaceDE w:val="0"/>
              <w:autoSpaceDN w:val="0"/>
              <w:bidi w:val="0"/>
              <w:adjustRightInd w:val="0"/>
              <w:snapToGrid w:val="0"/>
              <w:spacing w:line="400" w:lineRule="exact"/>
              <w:ind w:firstLine="415" w:firstLineChars="198"/>
              <w:jc w:val="both"/>
              <w:textAlignment w:val="auto"/>
              <w:rPr>
                <w:color w:val="auto"/>
                <w:highlight w:val="none"/>
              </w:rPr>
            </w:pPr>
            <w:r>
              <w:rPr>
                <w:rFonts w:hint="eastAsia" w:asciiTheme="minorEastAsia" w:hAnsiTheme="minorEastAsia" w:eastAsiaTheme="minorEastAsia" w:cstheme="minorEastAsia"/>
                <w:i w:val="0"/>
                <w:iCs w:val="0"/>
                <w:color w:val="auto"/>
                <w:sz w:val="21"/>
                <w:szCs w:val="21"/>
                <w:highlight w:val="none"/>
              </w:rPr>
              <w:t>（2）投标人须自行承诺其提供的上述相关证明材料真实有效，不存在弄虚作假情形（格式见第六章投标文件格式）。招标人在合同签订前均有权对投标人提供的资料进行核实，若发现弄虚作假，</w:t>
            </w:r>
            <w:r>
              <w:rPr>
                <w:rFonts w:hint="eastAsia" w:asciiTheme="minorEastAsia" w:hAnsiTheme="minorEastAsia" w:eastAsiaTheme="minorEastAsia" w:cstheme="minorEastAsia"/>
                <w:i w:val="0"/>
                <w:iCs w:val="0"/>
                <w:color w:val="auto"/>
                <w:sz w:val="21"/>
                <w:szCs w:val="21"/>
                <w:highlight w:val="none"/>
                <w:lang w:val="en-US" w:eastAsia="zh-CN"/>
              </w:rPr>
              <w:t>按相关规定</w:t>
            </w:r>
            <w:r>
              <w:rPr>
                <w:rFonts w:hint="eastAsia" w:asciiTheme="minorEastAsia" w:hAnsiTheme="minorEastAsia" w:eastAsiaTheme="minorEastAsia" w:cstheme="minorEastAsia"/>
                <w:i w:val="0"/>
                <w:iCs w:val="0"/>
                <w:color w:val="auto"/>
                <w:sz w:val="21"/>
                <w:szCs w:val="21"/>
                <w:highlight w:val="none"/>
              </w:rPr>
              <w:t>取消其中标资格，并按相关法律法规报招标投标监督部门，其投标保证金不予退还，投标人承担因此造成的相关责任并赔偿相应损失。</w:t>
            </w:r>
          </w:p>
        </w:tc>
      </w:tr>
      <w:tr w14:paraId="3BB1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67" w:type="dxa"/>
            <w:vAlign w:val="center"/>
          </w:tcPr>
          <w:p w14:paraId="684C8760">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1.4.2</w:t>
            </w:r>
          </w:p>
        </w:tc>
        <w:tc>
          <w:tcPr>
            <w:tcW w:w="2166" w:type="dxa"/>
            <w:gridSpan w:val="2"/>
            <w:vAlign w:val="center"/>
          </w:tcPr>
          <w:p w14:paraId="0593E776">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是否接受联合体投标</w:t>
            </w:r>
          </w:p>
        </w:tc>
        <w:tc>
          <w:tcPr>
            <w:tcW w:w="5289" w:type="dxa"/>
          </w:tcPr>
          <w:p w14:paraId="46B61648">
            <w:pPr>
              <w:widowControl w:val="0"/>
              <w:kinsoku/>
              <w:autoSpaceDE/>
              <w:autoSpaceDN/>
              <w:adjustRightInd/>
              <w:snapToGrid/>
              <w:spacing w:line="400" w:lineRule="exact"/>
              <w:ind w:firstLine="0" w:firstLineChars="0"/>
              <w:jc w:val="left"/>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sz w:val="21"/>
                <w:szCs w:val="21"/>
                <w:highlight w:val="none"/>
                <w:lang w:val="en-US" w:eastAsia="zh-CN" w:bidi="ar-SA"/>
              </w:rPr>
              <w:t>不</w:t>
            </w:r>
            <w:r>
              <w:rPr>
                <w:rFonts w:hint="eastAsia" w:ascii="宋体" w:hAnsi="宋体" w:eastAsia="宋体" w:cs="宋体"/>
                <w:color w:val="auto"/>
                <w:sz w:val="21"/>
                <w:szCs w:val="21"/>
                <w:highlight w:val="none"/>
                <w:lang w:eastAsia="zh-CN"/>
              </w:rPr>
              <w:t>接受</w:t>
            </w:r>
          </w:p>
        </w:tc>
      </w:tr>
      <w:tr w14:paraId="675B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67" w:type="dxa"/>
            <w:vAlign w:val="center"/>
          </w:tcPr>
          <w:p w14:paraId="4606002F">
            <w:pPr>
              <w:widowControl w:val="0"/>
              <w:spacing w:line="440" w:lineRule="exact"/>
              <w:jc w:val="center"/>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1.9.1</w:t>
            </w:r>
          </w:p>
        </w:tc>
        <w:tc>
          <w:tcPr>
            <w:tcW w:w="2166" w:type="dxa"/>
            <w:gridSpan w:val="2"/>
            <w:vAlign w:val="center"/>
          </w:tcPr>
          <w:p w14:paraId="542539D2">
            <w:pPr>
              <w:widowControl w:val="0"/>
              <w:spacing w:line="440" w:lineRule="exact"/>
              <w:jc w:val="center"/>
              <w:rPr>
                <w:rFonts w:ascii="宋体" w:hAnsi="宋体" w:eastAsia="宋体" w:cs="宋体"/>
                <w:snapToGrid/>
                <w:color w:val="auto"/>
                <w:kern w:val="2"/>
                <w:highlight w:val="none"/>
              </w:rPr>
            </w:pPr>
            <w:r>
              <w:rPr>
                <w:rFonts w:hint="eastAsia" w:ascii="宋体" w:hAnsi="宋体" w:eastAsia="宋体" w:cs="宋体"/>
                <w:color w:val="auto"/>
                <w:highlight w:val="none"/>
              </w:rPr>
              <w:t>踏勘现场</w:t>
            </w:r>
          </w:p>
        </w:tc>
        <w:tc>
          <w:tcPr>
            <w:tcW w:w="5289" w:type="dxa"/>
            <w:vAlign w:val="center"/>
          </w:tcPr>
          <w:p w14:paraId="75447663">
            <w:pPr>
              <w:pStyle w:val="11"/>
              <w:widowControl w:val="0"/>
              <w:topLinePunct/>
              <w:spacing w:line="400" w:lineRule="exact"/>
              <w:ind w:firstLine="0" w:firstLineChars="0"/>
              <w:jc w:val="both"/>
              <w:rPr>
                <w:rFonts w:hAnsi="宋体" w:eastAsia="宋体" w:cs="宋体"/>
                <w:snapToGrid/>
                <w:color w:val="auto"/>
                <w:kern w:val="2"/>
                <w:highlight w:val="none"/>
              </w:rPr>
            </w:pPr>
            <w:r>
              <w:rPr>
                <w:rFonts w:hint="eastAsia" w:ascii="宋体" w:hAnsi="宋体" w:eastAsia="宋体" w:cs="宋体"/>
                <w:color w:val="auto"/>
                <w:sz w:val="21"/>
                <w:szCs w:val="21"/>
                <w:highlight w:val="none"/>
              </w:rPr>
              <w:t>不组织</w:t>
            </w:r>
          </w:p>
        </w:tc>
      </w:tr>
      <w:tr w14:paraId="2DF8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3A3BA11E">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1.10</w:t>
            </w:r>
          </w:p>
        </w:tc>
        <w:tc>
          <w:tcPr>
            <w:tcW w:w="2155" w:type="dxa"/>
            <w:vAlign w:val="center"/>
          </w:tcPr>
          <w:p w14:paraId="66A98254">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分包</w:t>
            </w:r>
          </w:p>
        </w:tc>
        <w:tc>
          <w:tcPr>
            <w:tcW w:w="5289" w:type="dxa"/>
          </w:tcPr>
          <w:p w14:paraId="1868C065">
            <w:pPr>
              <w:widowControl w:val="0"/>
              <w:kinsoku/>
              <w:autoSpaceDE/>
              <w:autoSpaceDN/>
              <w:adjustRightInd/>
              <w:snapToGrid/>
              <w:spacing w:line="400" w:lineRule="exact"/>
              <w:ind w:firstLine="0" w:firstLineChars="0"/>
              <w:jc w:val="left"/>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sz w:val="21"/>
                <w:szCs w:val="21"/>
                <w:highlight w:val="none"/>
                <w:lang w:val="en-US" w:eastAsia="zh-CN" w:bidi="ar-SA"/>
              </w:rPr>
              <w:t>不允许</w:t>
            </w:r>
          </w:p>
        </w:tc>
      </w:tr>
      <w:tr w14:paraId="7533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78" w:type="dxa"/>
            <w:gridSpan w:val="2"/>
            <w:vAlign w:val="center"/>
          </w:tcPr>
          <w:p w14:paraId="233F38E5">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2.1</w:t>
            </w:r>
          </w:p>
        </w:tc>
        <w:tc>
          <w:tcPr>
            <w:tcW w:w="2155" w:type="dxa"/>
            <w:vAlign w:val="center"/>
          </w:tcPr>
          <w:p w14:paraId="0CE565EB">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color w:val="auto"/>
                <w:highlight w:val="none"/>
              </w:rPr>
              <w:t>构成招标文件的其他材料</w:t>
            </w:r>
          </w:p>
        </w:tc>
        <w:tc>
          <w:tcPr>
            <w:tcW w:w="5289" w:type="dxa"/>
          </w:tcPr>
          <w:p w14:paraId="7E6D948E">
            <w:pPr>
              <w:widowControl w:val="0"/>
              <w:kinsoku/>
              <w:autoSpaceDE/>
              <w:autoSpaceDN/>
              <w:adjustRightInd/>
              <w:snapToGrid/>
              <w:spacing w:line="400" w:lineRule="exact"/>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招标人发出的澄清及修改</w:t>
            </w:r>
          </w:p>
        </w:tc>
      </w:tr>
      <w:tr w14:paraId="61AF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1078" w:type="dxa"/>
            <w:gridSpan w:val="2"/>
            <w:vAlign w:val="center"/>
          </w:tcPr>
          <w:p w14:paraId="57B522D3">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2.2.1</w:t>
            </w:r>
          </w:p>
        </w:tc>
        <w:tc>
          <w:tcPr>
            <w:tcW w:w="2155" w:type="dxa"/>
            <w:vAlign w:val="center"/>
          </w:tcPr>
          <w:p w14:paraId="06B569EB">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color w:val="auto"/>
                <w:highlight w:val="none"/>
                <w:lang w:val="en-US" w:eastAsia="zh-CN"/>
              </w:rPr>
              <w:t>提问</w:t>
            </w:r>
          </w:p>
        </w:tc>
        <w:tc>
          <w:tcPr>
            <w:tcW w:w="5289" w:type="dxa"/>
          </w:tcPr>
          <w:p w14:paraId="591A6CBD">
            <w:pPr>
              <w:widowControl w:val="0"/>
              <w:kinsoku/>
              <w:autoSpaceDE/>
              <w:autoSpaceDN/>
              <w:adjustRightInd/>
              <w:snapToGrid/>
              <w:spacing w:line="400" w:lineRule="exact"/>
              <w:ind w:firstLine="0" w:firstLineChars="0"/>
              <w:jc w:val="both"/>
              <w:textAlignment w:val="auto"/>
              <w:rPr>
                <w:rFonts w:ascii="宋体" w:hAnsi="宋体" w:eastAsia="宋体" w:cs="宋体"/>
                <w:snapToGrid/>
                <w:color w:val="auto"/>
                <w:kern w:val="2"/>
                <w:highlight w:val="none"/>
              </w:rPr>
            </w:pPr>
            <w:r>
              <w:rPr>
                <w:rFonts w:ascii="宋体" w:hAnsi="宋体"/>
                <w:color w:val="auto"/>
                <w:kern w:val="0"/>
                <w:szCs w:val="21"/>
                <w:highlight w:val="none"/>
              </w:rPr>
              <w:t>投标人应仔细</w:t>
            </w:r>
            <w:r>
              <w:rPr>
                <w:rFonts w:hint="eastAsia" w:ascii="宋体" w:hAnsi="宋体"/>
                <w:color w:val="auto"/>
                <w:kern w:val="0"/>
                <w:szCs w:val="21"/>
                <w:highlight w:val="none"/>
              </w:rPr>
              <w:t>阅读</w:t>
            </w:r>
            <w:r>
              <w:rPr>
                <w:rFonts w:ascii="宋体" w:hAnsi="宋体"/>
                <w:color w:val="auto"/>
                <w:kern w:val="0"/>
                <w:szCs w:val="21"/>
                <w:highlight w:val="none"/>
              </w:rPr>
              <w:t>招标文件</w:t>
            </w:r>
            <w:r>
              <w:rPr>
                <w:rFonts w:hint="eastAsia" w:ascii="宋体" w:hAnsi="宋体"/>
                <w:color w:val="auto"/>
                <w:kern w:val="0"/>
                <w:szCs w:val="21"/>
                <w:highlight w:val="none"/>
              </w:rPr>
              <w:t>及附件</w:t>
            </w:r>
            <w:r>
              <w:rPr>
                <w:rFonts w:ascii="宋体" w:hAnsi="宋体"/>
                <w:color w:val="auto"/>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color w:val="auto"/>
                <w:kern w:val="0"/>
                <w:szCs w:val="21"/>
                <w:highlight w:val="none"/>
              </w:rPr>
              <w:t>在规定的时间</w:t>
            </w:r>
            <w:r>
              <w:rPr>
                <w:rFonts w:ascii="宋体" w:hAnsi="宋体"/>
                <w:color w:val="auto"/>
                <w:kern w:val="0"/>
                <w:szCs w:val="21"/>
                <w:highlight w:val="none"/>
              </w:rPr>
              <w:t>前</w:t>
            </w:r>
            <w:r>
              <w:rPr>
                <w:rFonts w:hint="eastAsia" w:ascii="宋体" w:hAnsi="宋体"/>
                <w:color w:val="auto"/>
                <w:kern w:val="0"/>
                <w:szCs w:val="21"/>
                <w:highlight w:val="none"/>
              </w:rPr>
              <w:t>在本项目招标公告网页下方</w:t>
            </w:r>
            <w:r>
              <w:rPr>
                <w:rFonts w:hint="eastAsia" w:ascii="宋体" w:hAnsi="宋体" w:eastAsia="宋体"/>
                <w:color w:val="auto"/>
                <w:kern w:val="0"/>
                <w:szCs w:val="21"/>
                <w:highlight w:val="none"/>
                <w:lang w:eastAsia="zh-CN"/>
              </w:rPr>
              <w:t>“</w:t>
            </w:r>
            <w:r>
              <w:rPr>
                <w:rFonts w:hint="eastAsia" w:ascii="宋体" w:hAnsi="宋体"/>
                <w:color w:val="auto"/>
                <w:kern w:val="0"/>
                <w:szCs w:val="21"/>
                <w:highlight w:val="none"/>
              </w:rPr>
              <w:t>我要提问</w:t>
            </w:r>
            <w:r>
              <w:rPr>
                <w:rFonts w:hint="eastAsia" w:ascii="宋体" w:hAnsi="宋体" w:eastAsia="宋体"/>
                <w:color w:val="auto"/>
                <w:kern w:val="0"/>
                <w:szCs w:val="21"/>
                <w:highlight w:val="none"/>
                <w:lang w:eastAsia="zh-CN"/>
              </w:rPr>
              <w:t>”</w:t>
            </w:r>
            <w:r>
              <w:rPr>
                <w:rFonts w:hint="eastAsia" w:ascii="宋体" w:hAnsi="宋体"/>
                <w:color w:val="auto"/>
                <w:kern w:val="0"/>
                <w:szCs w:val="21"/>
                <w:highlight w:val="none"/>
              </w:rPr>
              <w:t>栏</w:t>
            </w:r>
            <w:r>
              <w:rPr>
                <w:rFonts w:ascii="宋体" w:hAnsi="宋体"/>
                <w:color w:val="auto"/>
                <w:kern w:val="0"/>
                <w:szCs w:val="21"/>
                <w:highlight w:val="none"/>
              </w:rPr>
              <w:t>提交。</w:t>
            </w:r>
          </w:p>
        </w:tc>
      </w:tr>
      <w:tr w14:paraId="142B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078" w:type="dxa"/>
            <w:gridSpan w:val="2"/>
            <w:vAlign w:val="center"/>
          </w:tcPr>
          <w:p w14:paraId="4A0846C2">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2.2.2</w:t>
            </w:r>
          </w:p>
        </w:tc>
        <w:tc>
          <w:tcPr>
            <w:tcW w:w="2155" w:type="dxa"/>
            <w:vAlign w:val="center"/>
          </w:tcPr>
          <w:p w14:paraId="50E4BB29">
            <w:pPr>
              <w:widowControl w:val="0"/>
              <w:kinsoku/>
              <w:autoSpaceDE/>
              <w:autoSpaceDN/>
              <w:adjustRightInd/>
              <w:snapToGrid/>
              <w:spacing w:line="400" w:lineRule="exact"/>
              <w:jc w:val="center"/>
              <w:textAlignment w:val="auto"/>
              <w:rPr>
                <w:rFonts w:hint="default" w:ascii="宋体" w:hAnsi="宋体" w:eastAsia="宋体" w:cs="宋体"/>
                <w:snapToGrid/>
                <w:color w:val="auto"/>
                <w:kern w:val="2"/>
                <w:highlight w:val="none"/>
                <w:lang w:val="en-US" w:eastAsia="zh-CN"/>
              </w:rPr>
            </w:pPr>
            <w:r>
              <w:rPr>
                <w:rFonts w:hint="eastAsia" w:ascii="宋体" w:hAnsi="宋体" w:eastAsia="宋体" w:cs="宋体"/>
                <w:snapToGrid/>
                <w:color w:val="auto"/>
                <w:kern w:val="2"/>
                <w:highlight w:val="none"/>
              </w:rPr>
              <w:t>澄清</w:t>
            </w:r>
            <w:r>
              <w:rPr>
                <w:rFonts w:hint="eastAsia" w:ascii="宋体" w:hAnsi="宋体" w:eastAsia="宋体" w:cs="宋体"/>
                <w:snapToGrid/>
                <w:color w:val="auto"/>
                <w:kern w:val="2"/>
                <w:highlight w:val="none"/>
                <w:lang w:val="en-US" w:eastAsia="zh-CN"/>
              </w:rPr>
              <w:t>及修改</w:t>
            </w:r>
          </w:p>
        </w:tc>
        <w:tc>
          <w:tcPr>
            <w:tcW w:w="5289" w:type="dxa"/>
          </w:tcPr>
          <w:p w14:paraId="5BCFE77F">
            <w:pPr>
              <w:widowControl w:val="0"/>
              <w:kinsoku/>
              <w:autoSpaceDE/>
              <w:autoSpaceDN/>
              <w:adjustRightInd/>
              <w:snapToGrid/>
              <w:spacing w:line="400" w:lineRule="exact"/>
              <w:ind w:firstLine="0" w:firstLineChars="0"/>
              <w:jc w:val="both"/>
              <w:textAlignment w:val="auto"/>
              <w:rPr>
                <w:rFonts w:ascii="宋体" w:hAnsi="宋体" w:eastAsia="宋体" w:cs="宋体"/>
                <w:color w:val="auto"/>
                <w:highlight w:val="none"/>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宋体" w:hAnsi="宋体" w:eastAsia="宋体" w:cs="宋体"/>
                <w:color w:val="auto"/>
                <w:highlight w:val="none"/>
                <w:lang w:eastAsia="zh-CN"/>
              </w:rPr>
              <w:t>通过</w:t>
            </w:r>
            <w:r>
              <w:rPr>
                <w:rFonts w:hint="eastAsia" w:ascii="宋体" w:hAnsi="宋体"/>
                <w:color w:val="auto"/>
                <w:kern w:val="0"/>
                <w:szCs w:val="21"/>
                <w:highlight w:val="none"/>
                <w:u w:val="single"/>
              </w:rPr>
              <w:t>重庆市公共资源交易网</w:t>
            </w:r>
            <w:r>
              <w:rPr>
                <w:rFonts w:hint="eastAsia" w:ascii="宋体" w:hAnsi="宋体" w:eastAsia="宋体"/>
                <w:color w:val="auto"/>
                <w:kern w:val="0"/>
                <w:szCs w:val="21"/>
                <w:highlight w:val="none"/>
                <w:u w:val="single"/>
                <w:lang w:eastAsia="zh-CN"/>
              </w:rPr>
              <w:t>（https://www.cqggzy.com/）</w:t>
            </w:r>
            <w:r>
              <w:rPr>
                <w:rFonts w:ascii="宋体" w:hAnsi="宋体"/>
                <w:color w:val="auto"/>
                <w:kern w:val="0"/>
                <w:szCs w:val="21"/>
                <w:highlight w:val="none"/>
              </w:rPr>
              <w:t>发布</w:t>
            </w:r>
            <w:r>
              <w:rPr>
                <w:rFonts w:hint="eastAsia" w:ascii="宋体" w:hAnsi="宋体"/>
                <w:color w:val="auto"/>
                <w:kern w:val="0"/>
                <w:szCs w:val="21"/>
                <w:highlight w:val="none"/>
              </w:rPr>
              <w:t>澄清</w:t>
            </w:r>
            <w:r>
              <w:rPr>
                <w:rFonts w:hint="eastAsia" w:ascii="宋体" w:hAnsi="宋体" w:eastAsia="宋体"/>
                <w:color w:val="auto"/>
                <w:kern w:val="0"/>
                <w:szCs w:val="21"/>
                <w:highlight w:val="none"/>
                <w:lang w:val="en-US" w:eastAsia="zh-CN"/>
              </w:rPr>
              <w:t>及修改。</w:t>
            </w:r>
          </w:p>
        </w:tc>
      </w:tr>
      <w:tr w14:paraId="0C29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78" w:type="dxa"/>
            <w:gridSpan w:val="2"/>
            <w:vAlign w:val="center"/>
          </w:tcPr>
          <w:p w14:paraId="1D5015D4">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3.2</w:t>
            </w:r>
          </w:p>
        </w:tc>
        <w:tc>
          <w:tcPr>
            <w:tcW w:w="2155" w:type="dxa"/>
            <w:vAlign w:val="center"/>
          </w:tcPr>
          <w:p w14:paraId="202BFDAB">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投标报价</w:t>
            </w:r>
          </w:p>
        </w:tc>
        <w:tc>
          <w:tcPr>
            <w:tcW w:w="5289" w:type="dxa"/>
          </w:tcPr>
          <w:p w14:paraId="5A9EC87E">
            <w:pPr>
              <w:widowControl w:val="0"/>
              <w:kinsoku/>
              <w:autoSpaceDE/>
              <w:autoSpaceDN/>
              <w:adjustRightInd/>
              <w:snapToGrid/>
              <w:spacing w:line="360" w:lineRule="auto"/>
              <w:ind w:firstLine="0" w:firstLineChars="0"/>
              <w:jc w:val="both"/>
              <w:textAlignment w:val="auto"/>
              <w:rPr>
                <w:rFonts w:hint="default"/>
                <w:color w:val="auto"/>
                <w:highlight w:val="none"/>
                <w:lang w:val="en-US" w:eastAsia="zh-CN"/>
              </w:rPr>
            </w:pPr>
            <w:r>
              <w:rPr>
                <w:rFonts w:hint="eastAsia"/>
                <w:color w:val="auto"/>
                <w:highlight w:val="none"/>
                <w:lang w:eastAsia="zh-CN"/>
              </w:rPr>
              <w:t>最高限价：</w:t>
            </w:r>
            <w:r>
              <w:rPr>
                <w:rFonts w:hint="eastAsia"/>
                <w:color w:val="auto"/>
                <w:highlight w:val="none"/>
                <w:lang w:val="en-US" w:eastAsia="zh-CN"/>
              </w:rPr>
              <w:t>285万元。</w:t>
            </w:r>
          </w:p>
          <w:p w14:paraId="69F99D9F">
            <w:pPr>
              <w:pStyle w:val="12"/>
              <w:widowControl w:val="0"/>
              <w:jc w:val="both"/>
              <w:rPr>
                <w:rFonts w:hint="eastAsia" w:ascii="宋体" w:hAnsi="宋体" w:eastAsia="宋体" w:cs="宋体"/>
                <w:snapToGrid/>
                <w:color w:val="auto"/>
                <w:kern w:val="2"/>
                <w:highlight w:val="none"/>
                <w:lang w:eastAsia="zh-CN"/>
              </w:rPr>
            </w:pPr>
            <w:r>
              <w:rPr>
                <w:rFonts w:hint="eastAsia" w:ascii="宋体" w:hAnsi="宋体" w:eastAsia="宋体" w:cs="宋体"/>
                <w:snapToGrid/>
                <w:color w:val="auto"/>
                <w:kern w:val="2"/>
                <w:highlight w:val="none"/>
                <w:lang w:eastAsia="zh-CN"/>
              </w:rPr>
              <w:t>报价方式及要求：</w:t>
            </w:r>
          </w:p>
          <w:p w14:paraId="1CF0B4A6">
            <w:pPr>
              <w:pStyle w:val="12"/>
              <w:widowControl w:val="0"/>
              <w:jc w:val="both"/>
              <w:rPr>
                <w:rFonts w:hint="eastAsia" w:ascii="宋体" w:hAnsi="宋体" w:eastAsia="宋体" w:cs="宋体"/>
                <w:snapToGrid/>
                <w:color w:val="auto"/>
                <w:kern w:val="2"/>
                <w:highlight w:val="none"/>
                <w:lang w:eastAsia="zh-CN"/>
              </w:rPr>
            </w:pPr>
            <w:r>
              <w:rPr>
                <w:rFonts w:hint="eastAsia" w:ascii="宋体" w:hAnsi="宋体" w:eastAsia="宋体" w:cs="宋体"/>
                <w:snapToGrid/>
                <w:color w:val="auto"/>
                <w:kern w:val="2"/>
                <w:highlight w:val="none"/>
                <w:lang w:eastAsia="zh-CN"/>
              </w:rPr>
              <w:t>报价方式：固定总价。</w:t>
            </w:r>
          </w:p>
          <w:p w14:paraId="593B9288">
            <w:pPr>
              <w:widowControl w:val="0"/>
              <w:snapToGrid w:val="0"/>
              <w:spacing w:line="440" w:lineRule="exact"/>
              <w:jc w:val="both"/>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Calibri"/>
                <w:color w:val="auto"/>
                <w:sz w:val="21"/>
                <w:szCs w:val="21"/>
                <w:highlight w:val="none"/>
                <w:lang w:val="en-US" w:eastAsia="zh-CN"/>
              </w:rPr>
              <w:t>1.本次报价须为人民币含税报价，应包括完成2026大渡口半程马拉松赛的全部相关服务以及其他直接费、间接费、所有税款、利润及风险金等所需的全部费用，包含但不限于运营费、物资采购费、车辆费、媒体宣传、医疗保障、人工费、保险费、税金及技术服务费。投标人在投标报价时应充分考虑其中的风险因素。因投标人自身原因造成漏报、少报皆由其自行承担责任，采购人不再补偿。</w:t>
            </w:r>
          </w:p>
          <w:p w14:paraId="0E85DCF7">
            <w:pPr>
              <w:pStyle w:val="12"/>
              <w:widowControl w:val="0"/>
              <w:jc w:val="both"/>
              <w:rPr>
                <w:rFonts w:hint="eastAsia"/>
                <w:color w:val="auto"/>
                <w:highlight w:val="none"/>
                <w:lang w:eastAsia="zh-CN"/>
              </w:rPr>
            </w:pPr>
            <w:r>
              <w:rPr>
                <w:rFonts w:hint="eastAsia" w:ascii="微软雅黑" w:hAnsi="微软雅黑" w:eastAsia="微软雅黑" w:cs="Calibri"/>
                <w:color w:val="auto"/>
                <w:sz w:val="21"/>
                <w:szCs w:val="21"/>
                <w:highlight w:val="none"/>
                <w:lang w:val="en-US" w:eastAsia="zh-CN"/>
              </w:rPr>
              <w:t>2.投标总报价不得超过最高限价。</w:t>
            </w:r>
          </w:p>
        </w:tc>
      </w:tr>
      <w:tr w14:paraId="2C93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tcPr>
          <w:p w14:paraId="64FF9D52">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3.3.1</w:t>
            </w:r>
          </w:p>
        </w:tc>
        <w:tc>
          <w:tcPr>
            <w:tcW w:w="2155" w:type="dxa"/>
          </w:tcPr>
          <w:p w14:paraId="05083E2F">
            <w:pPr>
              <w:widowControl w:val="0"/>
              <w:spacing w:before="172" w:line="186" w:lineRule="auto"/>
              <w:jc w:val="center"/>
              <w:rPr>
                <w:rFonts w:ascii="宋体" w:hAnsi="宋体" w:eastAsia="宋体" w:cs="宋体"/>
                <w:color w:val="auto"/>
                <w:highlight w:val="none"/>
              </w:rPr>
            </w:pPr>
            <w:r>
              <w:rPr>
                <w:rFonts w:hint="eastAsia" w:ascii="宋体" w:hAnsi="宋体" w:eastAsia="宋体" w:cs="宋体"/>
                <w:color w:val="auto"/>
                <w:spacing w:val="-2"/>
                <w:highlight w:val="none"/>
              </w:rPr>
              <w:t>投标有效期</w:t>
            </w:r>
          </w:p>
        </w:tc>
        <w:tc>
          <w:tcPr>
            <w:tcW w:w="5289" w:type="dxa"/>
          </w:tcPr>
          <w:p w14:paraId="61211709">
            <w:pPr>
              <w:widowControl w:val="0"/>
              <w:kinsoku/>
              <w:autoSpaceDE/>
              <w:autoSpaceDN/>
              <w:adjustRightInd/>
              <w:snapToGrid/>
              <w:spacing w:line="400" w:lineRule="exact"/>
              <w:jc w:val="both"/>
              <w:textAlignment w:val="auto"/>
              <w:rPr>
                <w:rFonts w:ascii="宋体" w:hAnsi="宋体" w:eastAsia="宋体" w:cs="宋体"/>
                <w:snapToGrid/>
                <w:color w:val="auto"/>
                <w:kern w:val="2"/>
                <w:highlight w:val="none"/>
              </w:rPr>
            </w:pPr>
            <w:r>
              <w:rPr>
                <w:rFonts w:hint="eastAsia" w:ascii="宋体" w:hAnsi="宋体" w:eastAsia="宋体"/>
                <w:color w:val="auto"/>
                <w:szCs w:val="21"/>
                <w:highlight w:val="none"/>
                <w:u w:val="single"/>
                <w:lang w:val="en-US" w:eastAsia="zh-CN"/>
              </w:rPr>
              <w:t>90</w:t>
            </w:r>
            <w:r>
              <w:rPr>
                <w:rFonts w:ascii="宋体" w:hAnsi="宋体"/>
                <w:color w:val="auto"/>
                <w:szCs w:val="21"/>
                <w:highlight w:val="none"/>
              </w:rPr>
              <w:t>日历天（从提交投标文件截止日起计算）</w:t>
            </w:r>
          </w:p>
        </w:tc>
      </w:tr>
      <w:tr w14:paraId="1518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1E18539B">
            <w:pPr>
              <w:widowControl w:val="0"/>
              <w:kinsoku/>
              <w:autoSpaceDE/>
              <w:autoSpaceDN/>
              <w:adjustRightInd/>
              <w:snapToGrid/>
              <w:spacing w:line="400" w:lineRule="exact"/>
              <w:jc w:val="center"/>
              <w:textAlignment w:val="auto"/>
              <w:rPr>
                <w:rFonts w:ascii="宋体" w:hAnsi="宋体" w:eastAsia="宋体" w:cs="宋体"/>
                <w:color w:val="auto"/>
                <w:highlight w:val="none"/>
              </w:rPr>
            </w:pPr>
            <w:r>
              <w:rPr>
                <w:rFonts w:hint="eastAsia" w:ascii="宋体" w:hAnsi="宋体" w:eastAsia="宋体" w:cs="宋体"/>
                <w:snapToGrid/>
                <w:color w:val="auto"/>
                <w:kern w:val="2"/>
                <w:highlight w:val="none"/>
              </w:rPr>
              <w:t>3.4.1</w:t>
            </w:r>
          </w:p>
        </w:tc>
        <w:tc>
          <w:tcPr>
            <w:tcW w:w="2155" w:type="dxa"/>
            <w:vAlign w:val="center"/>
          </w:tcPr>
          <w:p w14:paraId="19C5F6A2">
            <w:pPr>
              <w:widowControl w:val="0"/>
              <w:spacing w:before="68" w:line="186" w:lineRule="auto"/>
              <w:jc w:val="center"/>
              <w:rPr>
                <w:rFonts w:ascii="宋体" w:hAnsi="宋体" w:eastAsia="宋体" w:cs="宋体"/>
                <w:color w:val="auto"/>
                <w:highlight w:val="none"/>
              </w:rPr>
            </w:pPr>
            <w:r>
              <w:rPr>
                <w:rFonts w:hint="eastAsia" w:ascii="宋体" w:hAnsi="宋体" w:eastAsia="宋体" w:cs="宋体"/>
                <w:color w:val="auto"/>
                <w:spacing w:val="-2"/>
                <w:highlight w:val="none"/>
              </w:rPr>
              <w:t>投标保证金</w:t>
            </w:r>
          </w:p>
        </w:tc>
        <w:tc>
          <w:tcPr>
            <w:tcW w:w="5289" w:type="dxa"/>
          </w:tcPr>
          <w:p w14:paraId="1C2E87EB">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是否要求投标人提交投标保证金：</w:t>
            </w:r>
          </w:p>
          <w:p w14:paraId="3A74CD98">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要求。</w:t>
            </w:r>
          </w:p>
          <w:p w14:paraId="7D7545CD">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一、投标保证金的交纳方式：</w:t>
            </w:r>
          </w:p>
          <w:p w14:paraId="76056A3C">
            <w:pPr>
              <w:widowControl w:val="0"/>
              <w:kinsoku/>
              <w:autoSpaceDE/>
              <w:autoSpaceDN/>
              <w:adjustRightInd/>
              <w:snapToGrid/>
              <w:spacing w:line="400" w:lineRule="exact"/>
              <w:ind w:firstLine="422" w:firstLineChars="200"/>
              <w:jc w:val="both"/>
              <w:textAlignment w:val="auto"/>
              <w:rPr>
                <w:rFonts w:ascii="宋体" w:hAnsi="宋体" w:eastAsia="宋体" w:cs="宋体"/>
                <w:snapToGrid/>
                <w:color w:val="auto"/>
                <w:kern w:val="2"/>
                <w:highlight w:val="none"/>
              </w:rPr>
            </w:pPr>
            <w:r>
              <w:rPr>
                <w:rFonts w:hint="eastAsia" w:ascii="宋体" w:hAnsi="宋体" w:eastAsia="宋体" w:cs="宋体"/>
                <w:b/>
                <w:bCs/>
                <w:snapToGrid/>
                <w:color w:val="auto"/>
                <w:kern w:val="2"/>
                <w:highlight w:val="none"/>
              </w:rPr>
              <w:t>以转账支票或电汇形式交纳投标保证金</w:t>
            </w:r>
          </w:p>
          <w:p w14:paraId="40704D81">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投标保证金交款形式及要求：投标人从企业的账户在投标截止时间前通过转账支票直接划付或以电汇方式直接划付至下面指定的投标保证金账户。若投标截止时间延期，则投标保证金提交的截止时间和投标截止时间应当保持一致。不满足上述要求的投标保证金无效。</w:t>
            </w:r>
          </w:p>
          <w:p w14:paraId="785D65FC">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投标人自行考虑汇入时间风险，如同城汇入、异地汇入、跨行汇入的时间要求。</w:t>
            </w:r>
          </w:p>
          <w:p w14:paraId="523D096F">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2．以转账支票或电汇形式提交投标保证金的金额：</w:t>
            </w:r>
            <w:r>
              <w:rPr>
                <w:rFonts w:hint="eastAsia" w:ascii="宋体" w:hAnsi="宋体" w:eastAsia="宋体" w:cs="宋体"/>
                <w:snapToGrid/>
                <w:color w:val="auto"/>
                <w:kern w:val="2"/>
                <w:highlight w:val="none"/>
                <w:u w:val="single"/>
                <w:lang w:val="en-US" w:eastAsia="zh-CN"/>
              </w:rPr>
              <w:t>20000.00</w:t>
            </w:r>
            <w:r>
              <w:rPr>
                <w:rFonts w:hint="eastAsia" w:ascii="宋体" w:hAnsi="宋体" w:eastAsia="宋体" w:cs="宋体"/>
                <w:snapToGrid/>
                <w:color w:val="auto"/>
                <w:kern w:val="2"/>
                <w:highlight w:val="none"/>
                <w:u w:val="single"/>
              </w:rPr>
              <w:t>元（人民币</w:t>
            </w:r>
            <w:r>
              <w:rPr>
                <w:rFonts w:hint="eastAsia" w:ascii="宋体" w:hAnsi="宋体" w:eastAsia="宋体" w:cs="宋体"/>
                <w:snapToGrid/>
                <w:color w:val="auto"/>
                <w:kern w:val="2"/>
                <w:highlight w:val="none"/>
                <w:u w:val="single"/>
                <w:lang w:eastAsia="zh-CN"/>
              </w:rPr>
              <w:t>大写：贰万元整</w:t>
            </w:r>
            <w:r>
              <w:rPr>
                <w:rFonts w:hint="eastAsia" w:ascii="宋体" w:hAnsi="宋体" w:eastAsia="宋体" w:cs="宋体"/>
                <w:snapToGrid/>
                <w:color w:val="auto"/>
                <w:kern w:val="2"/>
                <w:highlight w:val="none"/>
              </w:rPr>
              <w:t>）</w:t>
            </w:r>
          </w:p>
          <w:p w14:paraId="341A58B9">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3．投标保证金账户及账号（任选其一）：</w:t>
            </w:r>
          </w:p>
          <w:p w14:paraId="43EF6809">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详见</w:t>
            </w:r>
            <w:r>
              <w:rPr>
                <w:rFonts w:hint="eastAsia"/>
                <w:color w:val="auto"/>
                <w:highlight w:val="none"/>
                <w:u w:val="single"/>
              </w:rPr>
              <w:t>重庆市公共资源交易网</w:t>
            </w:r>
            <w:r>
              <w:rPr>
                <w:rFonts w:hint="eastAsia" w:eastAsia="宋体"/>
                <w:color w:val="auto"/>
                <w:highlight w:val="none"/>
                <w:u w:val="single"/>
                <w:lang w:eastAsia="zh-CN"/>
              </w:rPr>
              <w:t>（https://www.cqggzy.com/）</w:t>
            </w:r>
            <w:r>
              <w:rPr>
                <w:rFonts w:hint="eastAsia" w:ascii="宋体" w:hAnsi="宋体" w:eastAsia="宋体" w:cs="宋体"/>
                <w:snapToGrid/>
                <w:color w:val="auto"/>
                <w:kern w:val="2"/>
                <w:highlight w:val="none"/>
              </w:rPr>
              <w:t>对应本项目招标公告信息栏中的保证金信息。</w:t>
            </w:r>
          </w:p>
          <w:p w14:paraId="4805C86A">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投标保证金以重庆市公共资源交易中心</w:t>
            </w:r>
            <w:r>
              <w:rPr>
                <w:rFonts w:hint="eastAsia" w:ascii="宋体" w:hAnsi="宋体" w:eastAsia="宋体" w:cs="宋体"/>
                <w:snapToGrid/>
                <w:color w:val="auto"/>
                <w:kern w:val="2"/>
                <w:highlight w:val="none"/>
                <w:lang w:val="en-US" w:eastAsia="zh-CN"/>
              </w:rPr>
              <w:t>提交</w:t>
            </w:r>
            <w:r>
              <w:rPr>
                <w:rFonts w:hint="eastAsia" w:ascii="宋体" w:hAnsi="宋体" w:eastAsia="宋体" w:cs="宋体"/>
                <w:snapToGrid/>
                <w:color w:val="auto"/>
                <w:kern w:val="2"/>
                <w:highlight w:val="none"/>
              </w:rPr>
              <w:t>的保证金交纳情况为准。（付款凭证不作为评审因素，投标人无需提供付款凭证）</w:t>
            </w:r>
          </w:p>
          <w:p w14:paraId="55834150">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highlight w:val="none"/>
              </w:rPr>
            </w:pPr>
            <w:r>
              <w:rPr>
                <w:rFonts w:hint="eastAsia" w:ascii="宋体" w:hAnsi="宋体" w:eastAsia="宋体" w:cs="宋体"/>
                <w:snapToGrid/>
                <w:color w:val="auto"/>
                <w:kern w:val="2"/>
                <w:highlight w:val="none"/>
              </w:rPr>
              <w:t>4．投标保证金有效期与投标有效期一致。</w:t>
            </w:r>
          </w:p>
          <w:p w14:paraId="2B1F56D8">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二、投标保证金的退还</w:t>
            </w:r>
          </w:p>
          <w:p w14:paraId="2EDF80A5">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招标人应当在法定时间内确定中标人。招标人应当在中标通知书发出后2个工作日内将中标通知书和保证金退还通知抄告重庆市公共资源交易中心，重庆市公共资源交易中心</w:t>
            </w:r>
            <w:r>
              <w:rPr>
                <w:rFonts w:hint="eastAsia" w:ascii="宋体" w:hAnsi="宋体" w:eastAsia="宋体" w:cs="宋体"/>
                <w:snapToGrid/>
                <w:color w:val="auto"/>
                <w:kern w:val="2"/>
                <w:highlight w:val="none"/>
                <w:lang w:val="en-US" w:eastAsia="zh-CN"/>
              </w:rPr>
              <w:t>在收到资料之次日起2个工作日内</w:t>
            </w:r>
            <w:r>
              <w:rPr>
                <w:rFonts w:hint="eastAsia" w:ascii="宋体" w:hAnsi="宋体" w:eastAsia="宋体" w:cs="宋体"/>
                <w:snapToGrid/>
                <w:color w:val="auto"/>
                <w:kern w:val="2"/>
                <w:highlight w:val="none"/>
              </w:rPr>
              <w:t>，向除中标人以外的投标人，退还投标保证金及银行同期活期存款利息。</w:t>
            </w:r>
          </w:p>
          <w:p w14:paraId="3C4B5071">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招标人应当在法定时间内和中标人签订合同。招标人应当在合同生效后2个工作日内将签订的合同和保证金退还通知抄告重庆市公共资源交易中心，重庆市公共资源交易中心</w:t>
            </w:r>
            <w:r>
              <w:rPr>
                <w:rFonts w:hint="eastAsia" w:ascii="宋体" w:hAnsi="宋体" w:eastAsia="宋体" w:cs="宋体"/>
                <w:snapToGrid/>
                <w:color w:val="auto"/>
                <w:kern w:val="2"/>
                <w:highlight w:val="none"/>
                <w:lang w:val="en-US" w:eastAsia="zh-CN"/>
              </w:rPr>
              <w:t>在收到资料之次日起2个工作日内</w:t>
            </w:r>
            <w:r>
              <w:rPr>
                <w:rFonts w:hint="eastAsia" w:ascii="宋体" w:hAnsi="宋体" w:eastAsia="宋体" w:cs="宋体"/>
                <w:snapToGrid/>
                <w:color w:val="auto"/>
                <w:kern w:val="2"/>
                <w:highlight w:val="none"/>
              </w:rPr>
              <w:t>，向中标人退还投标保证金及银行同期活期存款利息。</w:t>
            </w:r>
          </w:p>
          <w:p w14:paraId="377B0B3A">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投标保证金专用账户由重庆市公共资源交易中心制定，关于保证金相关情况的问题请咨询重庆市公共资源交易中心。</w:t>
            </w:r>
          </w:p>
        </w:tc>
      </w:tr>
      <w:tr w14:paraId="0ED7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078" w:type="dxa"/>
            <w:gridSpan w:val="2"/>
            <w:vAlign w:val="center"/>
          </w:tcPr>
          <w:p w14:paraId="5A66EEF3">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3.7.3</w:t>
            </w:r>
          </w:p>
        </w:tc>
        <w:tc>
          <w:tcPr>
            <w:tcW w:w="2155" w:type="dxa"/>
            <w:vAlign w:val="center"/>
          </w:tcPr>
          <w:p w14:paraId="7069BAF0">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签名盖章要求</w:t>
            </w:r>
          </w:p>
        </w:tc>
        <w:tc>
          <w:tcPr>
            <w:tcW w:w="5289" w:type="dxa"/>
          </w:tcPr>
          <w:p w14:paraId="3C4817F1">
            <w:pPr>
              <w:pStyle w:val="12"/>
              <w:widowControl w:val="0"/>
              <w:spacing w:after="0" w:line="360" w:lineRule="auto"/>
              <w:ind w:firstLine="420" w:firstLineChars="200"/>
              <w:jc w:val="both"/>
              <w:rPr>
                <w:color w:val="auto"/>
                <w:highlight w:val="none"/>
              </w:rPr>
            </w:pPr>
            <w:r>
              <w:rPr>
                <w:rFonts w:hint="eastAsia" w:ascii="宋体" w:hAnsi="宋体"/>
                <w:color w:val="auto"/>
                <w:szCs w:val="21"/>
                <w:highlight w:val="none"/>
              </w:rPr>
              <w:t>投标文件应使用专用的</w:t>
            </w:r>
            <w:r>
              <w:rPr>
                <w:rFonts w:hint="eastAsia" w:eastAsia="宋体"/>
                <w:color w:val="auto"/>
                <w:highlight w:val="none"/>
                <w:lang w:eastAsia="zh-CN"/>
              </w:rPr>
              <w:t>“</w:t>
            </w:r>
            <w:r>
              <w:rPr>
                <w:rFonts w:hint="eastAsia"/>
                <w:color w:val="auto"/>
                <w:highlight w:val="none"/>
              </w:rPr>
              <w:t>新点投标文件制作软件（重庆版）</w:t>
            </w:r>
            <w:r>
              <w:rPr>
                <w:rFonts w:hint="eastAsia" w:eastAsia="宋体"/>
                <w:color w:val="auto"/>
                <w:highlight w:val="none"/>
                <w:lang w:eastAsia="zh-CN"/>
              </w:rPr>
              <w:t>”</w:t>
            </w:r>
            <w:r>
              <w:rPr>
                <w:rFonts w:hint="eastAsia"/>
                <w:color w:val="auto"/>
                <w:highlight w:val="none"/>
              </w:rPr>
              <w:t>编制工具编制而成。第六章 投标文件格式要求签名（或盖章）的须齐全</w:t>
            </w:r>
            <w:r>
              <w:rPr>
                <w:rFonts w:hint="eastAsia" w:eastAsia="宋体"/>
                <w:color w:val="auto"/>
                <w:highlight w:val="none"/>
                <w:lang w:eastAsia="zh-CN"/>
              </w:rPr>
              <w:t>，</w:t>
            </w:r>
            <w:r>
              <w:rPr>
                <w:rFonts w:hint="eastAsia"/>
                <w:color w:val="auto"/>
                <w:highlight w:val="none"/>
              </w:rPr>
              <w:t>要求签名（或盖章）的，签名采用手写签名或签章或加盖CA数字证书均可。</w:t>
            </w:r>
          </w:p>
          <w:p w14:paraId="4536536B">
            <w:pPr>
              <w:pStyle w:val="12"/>
              <w:widowControl w:val="0"/>
              <w:spacing w:after="0" w:line="360" w:lineRule="auto"/>
              <w:ind w:firstLine="420" w:firstLineChars="200"/>
              <w:jc w:val="both"/>
              <w:rPr>
                <w:color w:val="auto"/>
                <w:highlight w:val="none"/>
              </w:rPr>
            </w:pPr>
            <w:r>
              <w:rPr>
                <w:rFonts w:hint="eastAsia"/>
                <w:color w:val="auto"/>
                <w:highlight w:val="none"/>
              </w:rPr>
              <w:t>未按上述规定执行的，交由评标委员会作否决投标</w:t>
            </w:r>
            <w:r>
              <w:rPr>
                <w:rFonts w:hint="eastAsia" w:ascii="Times New Roman" w:hAnsi="Times New Roman" w:eastAsia="Arial" w:cs="Arial"/>
                <w:color w:val="auto"/>
                <w:highlight w:val="none"/>
              </w:rPr>
              <w:t>处理。</w:t>
            </w:r>
          </w:p>
        </w:tc>
      </w:tr>
      <w:tr w14:paraId="5D0A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3E02852C">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3.7.4</w:t>
            </w:r>
          </w:p>
        </w:tc>
        <w:tc>
          <w:tcPr>
            <w:tcW w:w="2155" w:type="dxa"/>
            <w:vAlign w:val="center"/>
          </w:tcPr>
          <w:p w14:paraId="12B5545F">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投标文件的份数</w:t>
            </w:r>
          </w:p>
        </w:tc>
        <w:tc>
          <w:tcPr>
            <w:tcW w:w="5289" w:type="dxa"/>
          </w:tcPr>
          <w:p w14:paraId="4E1A814C">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本项目采用全流程电子招标投标，投标人提供的投标文件为：加密的电子投标文件（网上递交）一份。</w:t>
            </w:r>
          </w:p>
        </w:tc>
      </w:tr>
      <w:tr w14:paraId="25B3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64017C04">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3.7.5</w:t>
            </w:r>
          </w:p>
        </w:tc>
        <w:tc>
          <w:tcPr>
            <w:tcW w:w="2155" w:type="dxa"/>
            <w:vAlign w:val="center"/>
          </w:tcPr>
          <w:p w14:paraId="2CD19468">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编制要求</w:t>
            </w:r>
          </w:p>
        </w:tc>
        <w:tc>
          <w:tcPr>
            <w:tcW w:w="5289" w:type="dxa"/>
          </w:tcPr>
          <w:p w14:paraId="5A4822A6">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（1）电子投标文件由投标人使用</w:t>
            </w:r>
            <w:r>
              <w:rPr>
                <w:rFonts w:hint="eastAsia" w:ascii="宋体" w:hAnsi="宋体"/>
                <w:color w:val="auto"/>
                <w:highlight w:val="none"/>
              </w:rPr>
              <w:t>“新点投标文件制作软件（重庆版）”</w:t>
            </w:r>
            <w:r>
              <w:rPr>
                <w:rFonts w:hint="eastAsia" w:ascii="宋体" w:hAnsi="宋体" w:eastAsia="宋体" w:cs="宋体"/>
                <w:snapToGrid/>
                <w:color w:val="auto"/>
                <w:kern w:val="2"/>
                <w:highlight w:val="none"/>
              </w:rPr>
              <w:t>编制工具制作生成。</w:t>
            </w:r>
          </w:p>
          <w:p w14:paraId="52BA63BA">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highlight w:val="none"/>
                <w:lang w:eastAsia="zh-CN"/>
              </w:rPr>
            </w:pPr>
            <w:r>
              <w:rPr>
                <w:rFonts w:hint="eastAsia" w:ascii="宋体" w:hAnsi="宋体" w:eastAsia="宋体" w:cs="宋体"/>
                <w:snapToGrid/>
                <w:color w:val="auto"/>
                <w:kern w:val="2"/>
                <w:highlight w:val="none"/>
              </w:rPr>
              <w:t>（2）投标人在编制电子投标文件时应按照标签提示导入相关内容。</w:t>
            </w:r>
            <w:r>
              <w:rPr>
                <w:rFonts w:hint="eastAsia" w:ascii="宋体" w:hAnsi="宋体" w:eastAsia="宋体" w:cs="宋体"/>
                <w:snapToGrid/>
                <w:color w:val="auto"/>
                <w:kern w:val="2"/>
                <w:highlight w:val="none"/>
                <w:lang w:eastAsia="zh-CN"/>
              </w:rPr>
              <w:t>原则上应编制目录，但不得将</w:t>
            </w:r>
            <w:r>
              <w:rPr>
                <w:rFonts w:hint="eastAsia" w:asciiTheme="minorEastAsia" w:hAnsiTheme="minorEastAsia" w:eastAsiaTheme="minorEastAsia" w:cstheme="minorEastAsia"/>
                <w:color w:val="auto"/>
                <w:szCs w:val="21"/>
                <w:highlight w:val="none"/>
                <w:lang w:val="en-US" w:eastAsia="zh-CN"/>
              </w:rPr>
              <w:t>封面设置、</w:t>
            </w:r>
            <w:r>
              <w:rPr>
                <w:rFonts w:hint="eastAsia" w:ascii="宋体" w:hAnsi="宋体" w:eastAsia="宋体" w:cs="宋体"/>
                <w:snapToGrid/>
                <w:color w:val="auto"/>
                <w:kern w:val="2"/>
                <w:highlight w:val="none"/>
                <w:lang w:eastAsia="zh-CN"/>
              </w:rPr>
              <w:t>目录编制作为评审因素。</w:t>
            </w:r>
          </w:p>
          <w:p w14:paraId="18868DA4">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（3）按本章前附表第3.7.3项签名盖章要求进行投标文件的签署。</w:t>
            </w:r>
          </w:p>
          <w:p w14:paraId="7B02F097">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（4）电子投标文件制作完成后，将生成一份加密的电子投标文件和一份不加密的电子投标文件。</w:t>
            </w:r>
          </w:p>
        </w:tc>
      </w:tr>
      <w:tr w14:paraId="7D80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4299BA8A">
            <w:pPr>
              <w:widowControl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4.1.1</w:t>
            </w:r>
          </w:p>
        </w:tc>
        <w:tc>
          <w:tcPr>
            <w:tcW w:w="2155" w:type="dxa"/>
            <w:vAlign w:val="center"/>
          </w:tcPr>
          <w:p w14:paraId="0D64B142">
            <w:pPr>
              <w:widowControl w:val="0"/>
              <w:spacing w:line="400" w:lineRule="exact"/>
              <w:jc w:val="center"/>
              <w:rPr>
                <w:rFonts w:ascii="宋体" w:hAnsi="宋体" w:eastAsia="宋体" w:cs="宋体"/>
                <w:color w:val="auto"/>
                <w:highlight w:val="none"/>
              </w:rPr>
            </w:pPr>
            <w:r>
              <w:rPr>
                <w:rFonts w:hint="eastAsia" w:ascii="宋体" w:hAnsi="宋体" w:eastAsia="宋体" w:cs="宋体"/>
                <w:color w:val="auto"/>
                <w:spacing w:val="-6"/>
                <w:highlight w:val="none"/>
              </w:rPr>
              <w:t>投标文件的密封</w:t>
            </w:r>
          </w:p>
        </w:tc>
        <w:tc>
          <w:tcPr>
            <w:tcW w:w="5289" w:type="dxa"/>
          </w:tcPr>
          <w:p w14:paraId="41F7A02F">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电子投标文件应按照要求制作。</w:t>
            </w:r>
          </w:p>
          <w:p w14:paraId="5CA6E370">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电子投标文件如未按要求加密，将无法上传至重庆市电子招投标系统。逾期未完成上传投标文件的，视为撤回投标文件。</w:t>
            </w:r>
          </w:p>
        </w:tc>
      </w:tr>
      <w:tr w14:paraId="128A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2779EF52">
            <w:pPr>
              <w:widowControl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4.2.1</w:t>
            </w:r>
          </w:p>
        </w:tc>
        <w:tc>
          <w:tcPr>
            <w:tcW w:w="2155" w:type="dxa"/>
            <w:vAlign w:val="center"/>
          </w:tcPr>
          <w:p w14:paraId="5C1EBCA3">
            <w:pPr>
              <w:widowControl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投标截止时间</w:t>
            </w:r>
          </w:p>
        </w:tc>
        <w:tc>
          <w:tcPr>
            <w:tcW w:w="5289" w:type="dxa"/>
            <w:vAlign w:val="center"/>
          </w:tcPr>
          <w:p w14:paraId="59414A7D">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详见招标公告规定的投标截止时间。</w:t>
            </w:r>
          </w:p>
        </w:tc>
      </w:tr>
      <w:tr w14:paraId="4C53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71FD8A4D">
            <w:pPr>
              <w:widowControl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4.2.2</w:t>
            </w:r>
          </w:p>
        </w:tc>
        <w:tc>
          <w:tcPr>
            <w:tcW w:w="2155" w:type="dxa"/>
            <w:vAlign w:val="center"/>
          </w:tcPr>
          <w:p w14:paraId="703DDBAF">
            <w:pPr>
              <w:widowControl w:val="0"/>
              <w:spacing w:line="400" w:lineRule="exact"/>
              <w:jc w:val="center"/>
              <w:rPr>
                <w:rFonts w:ascii="宋体" w:hAnsi="宋体" w:eastAsia="宋体" w:cs="宋体"/>
                <w:color w:val="auto"/>
                <w:spacing w:val="-6"/>
                <w:highlight w:val="none"/>
              </w:rPr>
            </w:pPr>
            <w:r>
              <w:rPr>
                <w:rFonts w:hint="eastAsia" w:ascii="宋体" w:hAnsi="宋体" w:eastAsia="宋体" w:cs="宋体"/>
                <w:color w:val="auto"/>
                <w:highlight w:val="none"/>
              </w:rPr>
              <w:t>递交投标文件地点</w:t>
            </w:r>
          </w:p>
        </w:tc>
        <w:tc>
          <w:tcPr>
            <w:tcW w:w="5289" w:type="dxa"/>
            <w:vAlign w:val="center"/>
          </w:tcPr>
          <w:p w14:paraId="017BDB15">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投标人应当在投标截止时间前，通过互联网使用CA数字证书登录重庆市电子招投标系统，将加密的电子投标文件上传。</w:t>
            </w:r>
          </w:p>
        </w:tc>
      </w:tr>
      <w:tr w14:paraId="0C25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6B2100D6">
            <w:pPr>
              <w:widowControl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4.2.3</w:t>
            </w:r>
          </w:p>
        </w:tc>
        <w:tc>
          <w:tcPr>
            <w:tcW w:w="2155" w:type="dxa"/>
            <w:vAlign w:val="center"/>
          </w:tcPr>
          <w:p w14:paraId="55E253DA">
            <w:pPr>
              <w:widowControl w:val="0"/>
              <w:spacing w:line="400" w:lineRule="exact"/>
              <w:jc w:val="center"/>
              <w:rPr>
                <w:rFonts w:ascii="宋体" w:hAnsi="宋体" w:eastAsia="宋体" w:cs="宋体"/>
                <w:color w:val="auto"/>
                <w:spacing w:val="-6"/>
                <w:highlight w:val="none"/>
              </w:rPr>
            </w:pPr>
            <w:r>
              <w:rPr>
                <w:rFonts w:hint="eastAsia" w:ascii="宋体" w:hAnsi="宋体" w:eastAsia="宋体" w:cs="宋体"/>
                <w:color w:val="auto"/>
                <w:highlight w:val="none"/>
              </w:rPr>
              <w:t>投标文件是否退还</w:t>
            </w:r>
          </w:p>
        </w:tc>
        <w:tc>
          <w:tcPr>
            <w:tcW w:w="5289" w:type="dxa"/>
            <w:vAlign w:val="center"/>
          </w:tcPr>
          <w:p w14:paraId="262741DA">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否</w:t>
            </w:r>
          </w:p>
        </w:tc>
      </w:tr>
      <w:tr w14:paraId="4F79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448E2735">
            <w:pPr>
              <w:widowControl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5.1.1</w:t>
            </w:r>
          </w:p>
        </w:tc>
        <w:tc>
          <w:tcPr>
            <w:tcW w:w="2155" w:type="dxa"/>
            <w:vAlign w:val="center"/>
          </w:tcPr>
          <w:p w14:paraId="638E8653">
            <w:pPr>
              <w:widowControl w:val="0"/>
              <w:jc w:val="center"/>
              <w:rPr>
                <w:rFonts w:ascii="宋体" w:hAnsi="宋体" w:eastAsia="宋体" w:cs="宋体"/>
                <w:color w:val="auto"/>
                <w:highlight w:val="none"/>
              </w:rPr>
            </w:pPr>
            <w:r>
              <w:rPr>
                <w:rFonts w:hint="eastAsia" w:ascii="宋体" w:hAnsi="宋体" w:eastAsia="宋体" w:cs="宋体"/>
                <w:color w:val="auto"/>
                <w:highlight w:val="none"/>
              </w:rPr>
              <w:t>开标时间和地点</w:t>
            </w:r>
          </w:p>
        </w:tc>
        <w:tc>
          <w:tcPr>
            <w:tcW w:w="5289" w:type="dxa"/>
          </w:tcPr>
          <w:p w14:paraId="7B10BA68">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开标时间：同投标截止时间</w:t>
            </w:r>
          </w:p>
          <w:p w14:paraId="4494CB42">
            <w:pPr>
              <w:widowControl/>
              <w:kinsoku/>
              <w:autoSpaceDE/>
              <w:autoSpaceDN/>
              <w:adjustRightIn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开标地点：</w:t>
            </w:r>
            <w:r>
              <w:rPr>
                <w:rFonts w:hint="eastAsia" w:ascii="宋体" w:hAnsi="宋体" w:eastAsia="宋体" w:cs="宋体"/>
                <w:color w:val="auto"/>
                <w:highlight w:val="none"/>
                <w:u w:val="single"/>
              </w:rPr>
              <w:t>重庆市公共资源交易中心</w:t>
            </w:r>
            <w:r>
              <w:rPr>
                <w:rFonts w:hint="eastAsia" w:ascii="宋体" w:hAnsi="宋体" w:eastAsia="宋体" w:cs="宋体"/>
                <w:color w:val="auto"/>
                <w:highlight w:val="none"/>
              </w:rPr>
              <w:t>开标室（具体请登陆</w:t>
            </w:r>
            <w:r>
              <w:rPr>
                <w:rFonts w:hint="eastAsia" w:ascii="宋体" w:hAnsi="宋体" w:eastAsia="宋体" w:cs="宋体"/>
                <w:color w:val="auto"/>
                <w:highlight w:val="none"/>
                <w:u w:val="single"/>
              </w:rPr>
              <w:t>重庆市公共资源交易网</w:t>
            </w:r>
            <w:r>
              <w:rPr>
                <w:rFonts w:hint="eastAsia" w:ascii="宋体" w:hAnsi="宋体" w:eastAsia="宋体" w:cs="宋体"/>
                <w:color w:val="auto"/>
                <w:highlight w:val="none"/>
                <w:u w:val="single"/>
                <w:lang w:eastAsia="zh-CN"/>
              </w:rPr>
              <w:t>（https://www.cqggzy.com/）</w:t>
            </w:r>
            <w:r>
              <w:rPr>
                <w:rFonts w:hint="eastAsia" w:ascii="宋体" w:hAnsi="宋体" w:eastAsia="宋体" w:cs="宋体"/>
                <w:color w:val="auto"/>
                <w:highlight w:val="none"/>
              </w:rPr>
              <w:t>查询或递交投标文件当日见交易中心大厅电子显示屏）。</w:t>
            </w:r>
          </w:p>
          <w:p w14:paraId="624B61BF">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color w:val="auto"/>
                <w:highlight w:val="none"/>
              </w:rPr>
              <w:t>特别注意：1、解密电子投标文件须使用加密该电子投标文件的同一CA数字证书。2、投标人代表可携带该CA数字证书到开标现场完成投标文件解密工作，或通过互联网使用该CA数字证书登录</w:t>
            </w:r>
            <w:r>
              <w:rPr>
                <w:rFonts w:hint="eastAsia" w:ascii="宋体" w:hAnsi="宋体" w:eastAsia="宋体" w:cs="宋体"/>
                <w:snapToGrid/>
                <w:color w:val="auto"/>
                <w:kern w:val="2"/>
                <w:highlight w:val="none"/>
              </w:rPr>
              <w:t>重庆市电子招投标系统</w:t>
            </w:r>
            <w:r>
              <w:rPr>
                <w:rFonts w:hint="eastAsia" w:ascii="宋体" w:hAnsi="宋体" w:eastAsia="宋体" w:cs="宋体"/>
                <w:color w:val="auto"/>
                <w:highlight w:val="none"/>
              </w:rPr>
              <w:t>，采用远程解密的方式在规定的时间内完成投标文件解密工作。</w:t>
            </w:r>
          </w:p>
        </w:tc>
      </w:tr>
      <w:tr w14:paraId="5AE8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4D2B687C">
            <w:pPr>
              <w:widowControl w:val="0"/>
              <w:jc w:val="center"/>
              <w:rPr>
                <w:rFonts w:ascii="宋体" w:hAnsi="宋体" w:eastAsia="宋体" w:cs="宋体"/>
                <w:color w:val="auto"/>
                <w:highlight w:val="none"/>
              </w:rPr>
            </w:pPr>
            <w:r>
              <w:rPr>
                <w:rFonts w:hint="eastAsia" w:ascii="宋体" w:hAnsi="宋体" w:eastAsia="宋体" w:cs="宋体"/>
                <w:color w:val="auto"/>
                <w:highlight w:val="none"/>
              </w:rPr>
              <w:t>5.1.2</w:t>
            </w:r>
          </w:p>
        </w:tc>
        <w:tc>
          <w:tcPr>
            <w:tcW w:w="2155" w:type="dxa"/>
            <w:vAlign w:val="center"/>
          </w:tcPr>
          <w:p w14:paraId="0EDAE377">
            <w:pPr>
              <w:widowControl w:val="0"/>
              <w:jc w:val="center"/>
              <w:rPr>
                <w:rFonts w:ascii="宋体" w:hAnsi="宋体" w:eastAsia="宋体" w:cs="宋体"/>
                <w:color w:val="auto"/>
                <w:highlight w:val="none"/>
              </w:rPr>
            </w:pPr>
            <w:r>
              <w:rPr>
                <w:rFonts w:hint="eastAsia" w:ascii="宋体" w:hAnsi="宋体" w:eastAsia="宋体" w:cs="宋体"/>
                <w:color w:val="auto"/>
                <w:highlight w:val="none"/>
              </w:rPr>
              <w:t>解密时间</w:t>
            </w:r>
          </w:p>
        </w:tc>
        <w:tc>
          <w:tcPr>
            <w:tcW w:w="5289" w:type="dxa"/>
          </w:tcPr>
          <w:p w14:paraId="48F0E92C">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color w:val="auto"/>
                <w:highlight w:val="none"/>
              </w:rPr>
              <w:t>解</w:t>
            </w:r>
            <w:r>
              <w:rPr>
                <w:rFonts w:hint="eastAsia" w:ascii="宋体" w:hAnsi="宋体" w:eastAsia="宋体" w:cs="宋体"/>
                <w:snapToGrid/>
                <w:color w:val="auto"/>
                <w:kern w:val="2"/>
                <w:highlight w:val="none"/>
              </w:rPr>
              <w:t>密时长为 30 分钟。</w:t>
            </w:r>
          </w:p>
          <w:p w14:paraId="545551C2">
            <w:pPr>
              <w:widowControl w:val="0"/>
              <w:kinsoku/>
              <w:autoSpaceDE/>
              <w:autoSpaceDN/>
              <w:adjustRightInd/>
              <w:snapToGrid/>
              <w:spacing w:line="400" w:lineRule="exact"/>
              <w:ind w:firstLine="420" w:firstLineChars="200"/>
              <w:jc w:val="both"/>
              <w:textAlignment w:val="auto"/>
              <w:rPr>
                <w:rFonts w:ascii="宋体" w:hAnsi="宋体" w:eastAsia="宋体" w:cs="宋体"/>
                <w:color w:val="auto"/>
                <w:highlight w:val="none"/>
              </w:rPr>
            </w:pPr>
            <w:r>
              <w:rPr>
                <w:rFonts w:hint="eastAsia" w:ascii="宋体" w:hAnsi="宋体" w:eastAsia="宋体" w:cs="宋体"/>
                <w:snapToGrid/>
                <w:color w:val="auto"/>
                <w:kern w:val="2"/>
                <w:highlight w:val="none"/>
              </w:rPr>
              <w:t>特别注意：招标人可根据现场实际情况延长解密时间；因投标人原因造成投标文件未解密的，视为撤销投标文件；因投标人之外原因造成投标文件未解密的，视为撤回投标文件。</w:t>
            </w:r>
          </w:p>
        </w:tc>
      </w:tr>
      <w:tr w14:paraId="048E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69414D9C">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5"/>
                <w:w w:val="94"/>
                <w:highlight w:val="none"/>
              </w:rPr>
              <w:t>5.2</w:t>
            </w:r>
          </w:p>
        </w:tc>
        <w:tc>
          <w:tcPr>
            <w:tcW w:w="2155" w:type="dxa"/>
            <w:vAlign w:val="center"/>
          </w:tcPr>
          <w:p w14:paraId="5EB9D4E2">
            <w:pPr>
              <w:widowControl w:val="0"/>
              <w:spacing w:before="174" w:line="186" w:lineRule="auto"/>
              <w:jc w:val="center"/>
              <w:rPr>
                <w:rFonts w:ascii="宋体" w:hAnsi="宋体" w:eastAsia="宋体" w:cs="宋体"/>
                <w:color w:val="auto"/>
                <w:spacing w:val="-1"/>
                <w:highlight w:val="none"/>
              </w:rPr>
            </w:pPr>
            <w:r>
              <w:rPr>
                <w:rFonts w:hint="eastAsia" w:ascii="宋体" w:hAnsi="宋体" w:eastAsia="宋体" w:cs="宋体"/>
                <w:color w:val="auto"/>
                <w:spacing w:val="-2"/>
                <w:highlight w:val="none"/>
              </w:rPr>
              <w:t>开标程序</w:t>
            </w:r>
          </w:p>
        </w:tc>
        <w:tc>
          <w:tcPr>
            <w:tcW w:w="5289" w:type="dxa"/>
          </w:tcPr>
          <w:p w14:paraId="68BDB7F9">
            <w:pPr>
              <w:widowControl/>
              <w:kinsoku/>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主持人按下列程序进行开标：</w:t>
            </w:r>
          </w:p>
          <w:p w14:paraId="771C92CA">
            <w:pPr>
              <w:widowControl w:val="0"/>
              <w:spacing w:line="400" w:lineRule="exact"/>
              <w:ind w:firstLine="420" w:firstLineChars="200"/>
              <w:jc w:val="both"/>
              <w:rPr>
                <w:rFonts w:ascii="宋体" w:hAnsi="宋体"/>
                <w:color w:val="auto"/>
                <w:highlight w:val="none"/>
              </w:rPr>
            </w:pPr>
            <w:r>
              <w:rPr>
                <w:rFonts w:hint="eastAsia" w:ascii="宋体" w:hAnsi="宋体"/>
                <w:color w:val="auto"/>
                <w:highlight w:val="none"/>
              </w:rPr>
              <w:t>1. 开标时间（应与投标截止时间一致），交易系统自动提取所有在投标截止时间前成功投递的投标文件，系统自动展示投标人数量是否大于（等于）3家，经招标人确认达到法定开标条件的，系统进入开标环节。</w:t>
            </w:r>
          </w:p>
          <w:p w14:paraId="43CC0E98">
            <w:pPr>
              <w:widowControl w:val="0"/>
              <w:spacing w:line="400" w:lineRule="exact"/>
              <w:ind w:firstLine="420" w:firstLineChars="200"/>
              <w:jc w:val="both"/>
              <w:rPr>
                <w:rFonts w:ascii="宋体" w:hAnsi="宋体"/>
                <w:color w:val="auto"/>
                <w:highlight w:val="none"/>
              </w:rPr>
            </w:pPr>
            <w:r>
              <w:rPr>
                <w:rFonts w:hint="eastAsia" w:ascii="宋体" w:hAnsi="宋体"/>
                <w:color w:val="auto"/>
                <w:highlight w:val="none"/>
              </w:rPr>
              <w:t>2. 投标文件提取完成，经招标人确认开始解密环节，投标人在招标文件规定的时间内自行解密其经加密的电子投标文件。</w:t>
            </w:r>
          </w:p>
          <w:p w14:paraId="0E3A75E1">
            <w:pPr>
              <w:widowControl/>
              <w:kinsoku/>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color w:val="auto"/>
                <w:highlight w:val="none"/>
              </w:rPr>
              <w:t xml:space="preserve">3. </w:t>
            </w:r>
            <w:r>
              <w:rPr>
                <w:rFonts w:hint="eastAsia" w:ascii="宋体" w:hAnsi="宋体" w:eastAsia="宋体" w:cs="宋体"/>
                <w:snapToGrid/>
                <w:color w:val="auto"/>
                <w:kern w:val="2"/>
                <w:highlight w:val="none"/>
              </w:rPr>
              <w:t>汇总投标保证金交纳情况</w:t>
            </w:r>
          </w:p>
          <w:p w14:paraId="78AEEDA0">
            <w:pPr>
              <w:widowControl/>
              <w:kinsoku/>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展示以电子转账方式递交投标保证金的保证金交纳情况，应至少包含投标人名称、金额、投标保证金打入指定账户的时间等，异常情况在开标记录表中记录并交由评标委员会评审。</w:t>
            </w:r>
          </w:p>
          <w:p w14:paraId="77857C46">
            <w:pPr>
              <w:widowControl w:val="0"/>
              <w:spacing w:line="400" w:lineRule="exact"/>
              <w:ind w:firstLine="420" w:firstLineChars="200"/>
              <w:jc w:val="both"/>
              <w:rPr>
                <w:rFonts w:ascii="宋体" w:hAnsi="宋体"/>
                <w:color w:val="auto"/>
                <w:highlight w:val="none"/>
              </w:rPr>
            </w:pPr>
            <w:r>
              <w:rPr>
                <w:rFonts w:hint="eastAsia" w:ascii="宋体" w:hAnsi="宋体"/>
                <w:color w:val="auto"/>
                <w:highlight w:val="none"/>
              </w:rPr>
              <w:t>4. 公布投标人名称、投标报价等内容。</w:t>
            </w:r>
          </w:p>
          <w:p w14:paraId="5769D41E">
            <w:pPr>
              <w:widowControl w:val="0"/>
              <w:spacing w:line="400" w:lineRule="exact"/>
              <w:ind w:firstLine="420" w:firstLineChars="200"/>
              <w:jc w:val="both"/>
              <w:rPr>
                <w:rFonts w:ascii="宋体" w:hAnsi="宋体" w:eastAsia="宋体" w:cs="宋体"/>
                <w:snapToGrid/>
                <w:color w:val="auto"/>
                <w:kern w:val="2"/>
                <w:highlight w:val="none"/>
              </w:rPr>
            </w:pPr>
            <w:r>
              <w:rPr>
                <w:rFonts w:hint="eastAsia" w:ascii="宋体" w:hAnsi="宋体"/>
                <w:color w:val="auto"/>
                <w:highlight w:val="none"/>
              </w:rPr>
              <w:t>5.投标人对开标有异议的，应当场或在线提出，由招标人当场或在线答复，并记录到开标记录表中。</w:t>
            </w:r>
            <w:r>
              <w:rPr>
                <w:rFonts w:hint="eastAsia" w:ascii="宋体" w:hAnsi="宋体" w:eastAsia="宋体" w:cs="宋体"/>
                <w:snapToGrid/>
                <w:color w:val="auto"/>
                <w:kern w:val="2"/>
                <w:highlight w:val="none"/>
              </w:rPr>
              <w:t>异议处理完毕后，汇总开标情况，生成开标记录表。</w:t>
            </w:r>
          </w:p>
          <w:p w14:paraId="5829DC71">
            <w:pPr>
              <w:widowControl/>
              <w:kinsoku/>
              <w:spacing w:line="400" w:lineRule="exact"/>
              <w:ind w:firstLine="420" w:firstLineChars="200"/>
              <w:jc w:val="both"/>
              <w:textAlignment w:val="auto"/>
              <w:rPr>
                <w:rFonts w:ascii="宋体" w:hAnsi="宋体" w:eastAsia="宋体" w:cs="宋体"/>
                <w:color w:val="auto"/>
                <w:highlight w:val="none"/>
              </w:rPr>
            </w:pPr>
            <w:r>
              <w:rPr>
                <w:rFonts w:hint="eastAsia" w:ascii="宋体" w:hAnsi="宋体"/>
                <w:color w:val="auto"/>
                <w:highlight w:val="none"/>
              </w:rPr>
              <w:t>6.开标结束。</w:t>
            </w:r>
          </w:p>
        </w:tc>
      </w:tr>
      <w:tr w14:paraId="0A7F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10A4E318">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6.1.1</w:t>
            </w:r>
          </w:p>
        </w:tc>
        <w:tc>
          <w:tcPr>
            <w:tcW w:w="2155" w:type="dxa"/>
            <w:vAlign w:val="center"/>
          </w:tcPr>
          <w:p w14:paraId="43C2D143">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评标委员会的组建</w:t>
            </w:r>
          </w:p>
        </w:tc>
        <w:tc>
          <w:tcPr>
            <w:tcW w:w="5289" w:type="dxa"/>
          </w:tcPr>
          <w:p w14:paraId="5D6A00FF">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评标委员会构成：</w:t>
            </w:r>
            <w:r>
              <w:rPr>
                <w:rFonts w:hint="eastAsia" w:ascii="宋体" w:hAnsi="宋体" w:eastAsia="宋体" w:cs="宋体"/>
                <w:snapToGrid/>
                <w:color w:val="auto"/>
                <w:kern w:val="2"/>
                <w:highlight w:val="none"/>
                <w:u w:val="single"/>
                <w:lang w:val="en-US" w:eastAsia="zh-CN"/>
              </w:rPr>
              <w:t>5</w:t>
            </w:r>
            <w:r>
              <w:rPr>
                <w:rFonts w:hint="eastAsia" w:ascii="宋体" w:hAnsi="宋体" w:eastAsia="宋体" w:cs="宋体"/>
                <w:snapToGrid/>
                <w:color w:val="auto"/>
                <w:kern w:val="2"/>
                <w:highlight w:val="none"/>
              </w:rPr>
              <w:t>人；由招标人按法律法规及相关规定依法组建评标委员会。</w:t>
            </w:r>
          </w:p>
        </w:tc>
      </w:tr>
      <w:tr w14:paraId="127F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78" w:type="dxa"/>
            <w:gridSpan w:val="2"/>
            <w:vAlign w:val="center"/>
          </w:tcPr>
          <w:p w14:paraId="3917AD5A">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7.1</w:t>
            </w:r>
          </w:p>
        </w:tc>
        <w:tc>
          <w:tcPr>
            <w:tcW w:w="2155" w:type="dxa"/>
            <w:vAlign w:val="center"/>
          </w:tcPr>
          <w:p w14:paraId="701BF5E5">
            <w:pPr>
              <w:widowControl w:val="0"/>
              <w:spacing w:line="400" w:lineRule="exact"/>
              <w:ind w:firstLine="315" w:firstLineChars="150"/>
              <w:jc w:val="both"/>
              <w:rPr>
                <w:rFonts w:ascii="宋体" w:hAnsi="宋体" w:eastAsia="宋体" w:cs="宋体"/>
                <w:color w:val="auto"/>
                <w:highlight w:val="none"/>
              </w:rPr>
            </w:pPr>
            <w:r>
              <w:rPr>
                <w:rFonts w:hint="eastAsia" w:ascii="宋体" w:hAnsi="宋体" w:eastAsia="宋体" w:cs="宋体"/>
                <w:color w:val="auto"/>
                <w:highlight w:val="none"/>
              </w:rPr>
              <w:t>是否授权评标委员会确定中标人</w:t>
            </w:r>
          </w:p>
        </w:tc>
        <w:tc>
          <w:tcPr>
            <w:tcW w:w="5289" w:type="dxa"/>
          </w:tcPr>
          <w:p w14:paraId="0DD242CB">
            <w:pPr>
              <w:widowControl w:val="0"/>
              <w:spacing w:line="400" w:lineRule="exact"/>
              <w:ind w:firstLine="315" w:firstLineChars="150"/>
              <w:jc w:val="both"/>
              <w:rPr>
                <w:rFonts w:hint="default"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否，推荐的中标候选人数：3人（若有效投标人不足3人的则按实际数量推荐）</w:t>
            </w:r>
          </w:p>
        </w:tc>
      </w:tr>
      <w:tr w14:paraId="6622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65A508A8">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7.2</w:t>
            </w:r>
          </w:p>
        </w:tc>
        <w:tc>
          <w:tcPr>
            <w:tcW w:w="2155" w:type="dxa"/>
            <w:vAlign w:val="center"/>
          </w:tcPr>
          <w:p w14:paraId="1FE2DEF7">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中标候选人公示媒介及期限</w:t>
            </w:r>
          </w:p>
        </w:tc>
        <w:tc>
          <w:tcPr>
            <w:tcW w:w="5289" w:type="dxa"/>
          </w:tcPr>
          <w:p w14:paraId="4D2F7C0A">
            <w:pPr>
              <w:widowControl w:val="0"/>
              <w:kinsoku/>
              <w:autoSpaceDE/>
              <w:autoSpaceDN/>
              <w:adjustRightInd/>
              <w:snapToGrid/>
              <w:spacing w:line="400" w:lineRule="exact"/>
              <w:jc w:val="both"/>
              <w:textAlignment w:val="auto"/>
              <w:rPr>
                <w:rFonts w:hint="eastAsia" w:ascii="宋体" w:hAnsi="宋体" w:eastAsia="宋体" w:cs="宋体"/>
                <w:snapToGrid/>
                <w:color w:val="auto"/>
                <w:kern w:val="2"/>
                <w:highlight w:val="none"/>
                <w:lang w:eastAsia="zh-CN"/>
              </w:rPr>
            </w:pPr>
            <w:r>
              <w:rPr>
                <w:rFonts w:hint="eastAsia" w:ascii="宋体" w:hAnsi="宋体" w:eastAsia="宋体" w:cs="宋体"/>
                <w:snapToGrid/>
                <w:color w:val="auto"/>
                <w:kern w:val="2"/>
                <w:highlight w:val="none"/>
              </w:rPr>
              <w:t>公示媒介：重庆市公共资源交易网</w:t>
            </w:r>
            <w:r>
              <w:rPr>
                <w:rFonts w:hint="eastAsia" w:ascii="宋体" w:hAnsi="宋体" w:eastAsia="宋体" w:cs="宋体"/>
                <w:snapToGrid/>
                <w:color w:val="auto"/>
                <w:kern w:val="2"/>
                <w:highlight w:val="none"/>
                <w:lang w:eastAsia="zh-CN"/>
              </w:rPr>
              <w:t>（https://www.cqggzy.com/）</w:t>
            </w:r>
          </w:p>
          <w:p w14:paraId="7992C734">
            <w:pPr>
              <w:widowControl w:val="0"/>
              <w:kinsoku/>
              <w:autoSpaceDE/>
              <w:autoSpaceDN/>
              <w:adjustRightInd/>
              <w:snapToGrid/>
              <w:spacing w:line="400" w:lineRule="exact"/>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公示期限：</w:t>
            </w:r>
            <w:r>
              <w:rPr>
                <w:rFonts w:hint="eastAsia" w:ascii="宋体" w:hAnsi="宋体" w:eastAsia="宋体" w:cs="宋体"/>
                <w:snapToGrid/>
                <w:color w:val="auto"/>
                <w:kern w:val="2"/>
                <w:highlight w:val="none"/>
                <w:u w:val="single"/>
                <w:lang w:val="en-US" w:eastAsia="zh-CN"/>
              </w:rPr>
              <w:t xml:space="preserve">  3   </w:t>
            </w:r>
            <w:r>
              <w:rPr>
                <w:rFonts w:hint="eastAsia" w:ascii="宋体" w:hAnsi="宋体" w:eastAsia="宋体" w:cs="宋体"/>
                <w:snapToGrid/>
                <w:color w:val="auto"/>
                <w:kern w:val="2"/>
                <w:highlight w:val="none"/>
              </w:rPr>
              <w:t>日</w:t>
            </w:r>
          </w:p>
        </w:tc>
      </w:tr>
      <w:tr w14:paraId="2665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6B9011EF">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7.4.1</w:t>
            </w:r>
          </w:p>
        </w:tc>
        <w:tc>
          <w:tcPr>
            <w:tcW w:w="2155" w:type="dxa"/>
            <w:vAlign w:val="center"/>
          </w:tcPr>
          <w:p w14:paraId="3B9C5EEE">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履约担保</w:t>
            </w:r>
          </w:p>
        </w:tc>
        <w:tc>
          <w:tcPr>
            <w:tcW w:w="5289" w:type="dxa"/>
          </w:tcPr>
          <w:p w14:paraId="79432506">
            <w:pPr>
              <w:widowControl w:val="0"/>
              <w:kinsoku/>
              <w:autoSpaceDE/>
              <w:autoSpaceDN/>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是否要求中标人提交履约担保：</w:t>
            </w:r>
          </w:p>
          <w:p w14:paraId="2CFDB590">
            <w:pPr>
              <w:widowControl w:val="0"/>
              <w:kinsoku/>
              <w:autoSpaceDE/>
              <w:autoSpaceDN/>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要求，履约担保的形式：</w:t>
            </w:r>
          </w:p>
          <w:p w14:paraId="386F7684">
            <w:pPr>
              <w:widowControl w:val="0"/>
              <w:snapToGrid w:val="0"/>
              <w:spacing w:line="40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履约担保的金额：</w:t>
            </w:r>
          </w:p>
          <w:p w14:paraId="3C67524F">
            <w:pPr>
              <w:keepNext w:val="0"/>
              <w:keepLines w:val="0"/>
              <w:pageBreakBefore w:val="0"/>
              <w:widowControl w:val="0"/>
              <w:kinsoku/>
              <w:wordWrap/>
              <w:overflowPunct/>
              <w:topLinePunct w:val="0"/>
              <w:bidi w:val="0"/>
              <w:snapToGrid w:val="0"/>
              <w:spacing w:after="62" w:afterLines="20" w:line="400" w:lineRule="exact"/>
              <w:ind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lang w:eastAsia="zh-CN"/>
              </w:rPr>
            </w:pPr>
            <w:r>
              <w:rPr>
                <w:rFonts w:hint="eastAsia" w:asciiTheme="minorEastAsia" w:hAnsiTheme="minorEastAsia" w:eastAsiaTheme="minorEastAsia" w:cstheme="minorEastAsia"/>
                <w:i w:val="0"/>
                <w:iCs w:val="0"/>
                <w:color w:val="auto"/>
                <w:kern w:val="0"/>
                <w:sz w:val="21"/>
                <w:szCs w:val="21"/>
                <w:highlight w:val="none"/>
                <w:lang w:val="en-US" w:eastAsia="zh-CN"/>
              </w:rPr>
              <w:t>1.</w:t>
            </w:r>
            <w:r>
              <w:rPr>
                <w:rFonts w:hint="eastAsia" w:asciiTheme="minorEastAsia" w:hAnsiTheme="minorEastAsia" w:eastAsiaTheme="minorEastAsia" w:cstheme="minorEastAsia"/>
                <w:i w:val="0"/>
                <w:iCs w:val="0"/>
                <w:color w:val="auto"/>
                <w:kern w:val="0"/>
                <w:sz w:val="21"/>
                <w:szCs w:val="21"/>
                <w:highlight w:val="none"/>
                <w:lang w:eastAsia="zh-CN"/>
              </w:rPr>
              <w:t>中标人应自中标通知书发出之日起15日内并在合同签订之前向招标人缴纳履约保证金：</w:t>
            </w:r>
            <w:r>
              <w:rPr>
                <w:rFonts w:hint="eastAsia" w:asciiTheme="minorEastAsia" w:hAnsiTheme="minorEastAsia" w:eastAsiaTheme="minorEastAsia" w:cstheme="minorEastAsia"/>
                <w:i w:val="0"/>
                <w:iCs w:val="0"/>
                <w:color w:val="auto"/>
                <w:kern w:val="0"/>
                <w:sz w:val="21"/>
                <w:szCs w:val="21"/>
                <w:highlight w:val="none"/>
                <w:u w:val="single"/>
                <w:lang w:val="en-US" w:eastAsia="zh-CN"/>
              </w:rPr>
              <w:t>中标金额的5%</w:t>
            </w:r>
            <w:r>
              <w:rPr>
                <w:rFonts w:hint="eastAsia" w:asciiTheme="minorEastAsia" w:hAnsiTheme="minorEastAsia" w:eastAsiaTheme="minorEastAsia" w:cstheme="minorEastAsia"/>
                <w:i w:val="0"/>
                <w:iCs w:val="0"/>
                <w:color w:val="auto"/>
                <w:kern w:val="0"/>
                <w:sz w:val="21"/>
                <w:szCs w:val="21"/>
                <w:highlight w:val="none"/>
                <w:lang w:eastAsia="zh-CN"/>
              </w:rPr>
              <w:t>（以转账、支票、汇票、本票或者金融机构、担保机构出具的保函等非现金形式提交）；中标人不按约定缴纳履约保证金的，视为放弃中标，其投标保证金不予退还，给招标人造成的损失超过投标保证金数额的，中标人还应当对超过部分予以赔偿，投标人应对此作出响应。</w:t>
            </w:r>
          </w:p>
          <w:p w14:paraId="1E22581B">
            <w:pPr>
              <w:widowControl w:val="0"/>
              <w:spacing w:line="400" w:lineRule="exact"/>
              <w:ind w:firstLine="420" w:firstLineChars="200"/>
              <w:jc w:val="both"/>
              <w:rPr>
                <w:rFonts w:ascii="宋体" w:hAnsi="宋体" w:eastAsia="宋体" w:cs="宋体"/>
                <w:color w:val="auto"/>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rPr>
              <w:t>2.</w:t>
            </w:r>
            <w:r>
              <w:rPr>
                <w:rFonts w:hint="eastAsia" w:asciiTheme="minorEastAsia" w:hAnsiTheme="minorEastAsia" w:eastAsiaTheme="minorEastAsia" w:cstheme="minorEastAsia"/>
                <w:i w:val="0"/>
                <w:iCs w:val="0"/>
                <w:color w:val="auto"/>
                <w:kern w:val="0"/>
                <w:sz w:val="21"/>
                <w:szCs w:val="21"/>
                <w:highlight w:val="none"/>
                <w:lang w:eastAsia="zh-CN"/>
              </w:rPr>
              <w:t>合同履行完成后，招标人在10个工作日内按程序办理退还手续。</w:t>
            </w:r>
          </w:p>
        </w:tc>
      </w:tr>
      <w:tr w14:paraId="3E9C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48E285E0">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10</w:t>
            </w:r>
          </w:p>
        </w:tc>
        <w:tc>
          <w:tcPr>
            <w:tcW w:w="2155" w:type="dxa"/>
            <w:vAlign w:val="center"/>
          </w:tcPr>
          <w:p w14:paraId="486DE0A5">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相关费用</w:t>
            </w:r>
          </w:p>
        </w:tc>
        <w:tc>
          <w:tcPr>
            <w:tcW w:w="5289" w:type="dxa"/>
          </w:tcPr>
          <w:p w14:paraId="5ECB2754">
            <w:pPr>
              <w:widowControl w:val="0"/>
              <w:numPr>
                <w:ilvl w:val="0"/>
                <w:numId w:val="0"/>
              </w:numPr>
              <w:jc w:val="both"/>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iCs/>
                <w:color w:val="auto"/>
                <w:kern w:val="0"/>
                <w:szCs w:val="21"/>
                <w:highlight w:val="none"/>
                <w:lang w:val="en-US" w:eastAsia="zh-CN"/>
              </w:rPr>
              <w:t>1.</w:t>
            </w:r>
            <w:r>
              <w:rPr>
                <w:rFonts w:hint="eastAsia" w:ascii="宋体" w:hAnsi="宋体"/>
                <w:iCs/>
                <w:color w:val="auto"/>
                <w:kern w:val="0"/>
                <w:szCs w:val="21"/>
                <w:highlight w:val="none"/>
              </w:rPr>
              <w:t>交易服务费：</w:t>
            </w:r>
            <w:r>
              <w:rPr>
                <w:rFonts w:hint="eastAsia" w:ascii="宋体" w:hAnsi="宋体" w:cs="宋体"/>
                <w:color w:val="auto"/>
                <w:szCs w:val="21"/>
                <w:highlight w:val="none"/>
              </w:rPr>
              <w:t>本</w:t>
            </w:r>
            <w:r>
              <w:rPr>
                <w:rFonts w:hint="eastAsia" w:ascii="宋体" w:hAnsi="宋体" w:eastAsia="宋体" w:cs="宋体"/>
                <w:color w:val="auto"/>
                <w:szCs w:val="21"/>
                <w:highlight w:val="none"/>
                <w:lang w:eastAsia="zh-CN"/>
              </w:rPr>
              <w:t>项目</w:t>
            </w:r>
            <w:r>
              <w:rPr>
                <w:rFonts w:hint="eastAsia" w:ascii="宋体" w:hAnsi="宋体" w:cs="宋体"/>
                <w:color w:val="auto"/>
                <w:szCs w:val="21"/>
                <w:highlight w:val="none"/>
              </w:rPr>
              <w:t>按渝发改收费﹝2023﹞115 号文规定收取交易服务费，该项费用由中标人</w:t>
            </w:r>
            <w:r>
              <w:rPr>
                <w:rFonts w:hint="eastAsia" w:ascii="宋体" w:hAnsi="宋体" w:eastAsia="宋体" w:cs="宋体"/>
                <w:color w:val="auto"/>
                <w:szCs w:val="21"/>
                <w:highlight w:val="none"/>
                <w:lang w:eastAsia="zh-CN"/>
              </w:rPr>
              <w:t>向重庆市公共资源交易中心</w:t>
            </w:r>
            <w:r>
              <w:rPr>
                <w:rFonts w:hint="eastAsia" w:ascii="宋体" w:hAnsi="宋体" w:cs="宋体"/>
                <w:color w:val="auto"/>
                <w:szCs w:val="21"/>
                <w:highlight w:val="none"/>
              </w:rPr>
              <w:t>一次性全额支付。</w:t>
            </w:r>
            <w:r>
              <w:rPr>
                <w:rFonts w:hint="eastAsia"/>
                <w:color w:val="auto"/>
                <w:highlight w:val="none"/>
              </w:rPr>
              <w:t>该费用由投标人在投标报价中综合考虑，招标人不再另行支付，在中标人领取中标通知书前向交易中心支付。</w:t>
            </w:r>
          </w:p>
          <w:p w14:paraId="606662E8">
            <w:pPr>
              <w:widowControl w:val="0"/>
              <w:numPr>
                <w:ilvl w:val="0"/>
                <w:numId w:val="0"/>
              </w:numPr>
              <w:spacing w:line="240" w:lineRule="auto"/>
              <w:jc w:val="both"/>
              <w:rPr>
                <w:rFonts w:ascii="Times" w:hAnsi="Times"/>
                <w:i w:val="0"/>
                <w:iCs w:val="0"/>
                <w:color w:val="auto"/>
                <w:kern w:val="0"/>
                <w:sz w:val="21"/>
                <w:szCs w:val="21"/>
                <w:highlight w:val="none"/>
                <w:lang w:val="zh-CN"/>
              </w:rPr>
            </w:pPr>
            <w:r>
              <w:rPr>
                <w:rFonts w:hint="eastAsia" w:ascii="Times" w:hAnsi="Times"/>
                <w:i w:val="0"/>
                <w:iCs w:val="0"/>
                <w:color w:val="auto"/>
                <w:kern w:val="0"/>
                <w:sz w:val="21"/>
                <w:szCs w:val="21"/>
                <w:highlight w:val="none"/>
                <w:lang w:val="en-US" w:eastAsia="zh-CN"/>
              </w:rPr>
              <w:t>2.招标代理服务费：</w:t>
            </w:r>
            <w:r>
              <w:rPr>
                <w:rFonts w:hint="eastAsia"/>
                <w:color w:val="auto"/>
                <w:highlight w:val="none"/>
              </w:rPr>
              <w:t>本次招标代理服务费以中标金额为基数，参照《国家计委关于印发&lt;招标代理服务收费管理暂行办法&gt;的通知》（计价格〔2002〕1980号）</w:t>
            </w:r>
            <w:r>
              <w:rPr>
                <w:rFonts w:hint="eastAsia"/>
                <w:color w:val="auto"/>
                <w:highlight w:val="none"/>
                <w:lang w:eastAsia="zh-CN"/>
              </w:rPr>
              <w:t>、</w:t>
            </w:r>
            <w:r>
              <w:rPr>
                <w:rFonts w:hint="eastAsia"/>
                <w:color w:val="auto"/>
                <w:highlight w:val="none"/>
              </w:rPr>
              <w:t>《国家发展改革委办办公厅关于招标代理股务费收费有关问题的通知》(发改办价格(2003)857号)和《国家发展改革委关于降低部分建设项目收费标准规范收费行为等有关问题的通知》发改价格(2011〕534号文规定的收费标准的80%计取</w:t>
            </w:r>
            <w:r>
              <w:rPr>
                <w:rFonts w:hint="eastAsia" w:ascii="Times" w:hAnsi="Times"/>
                <w:i w:val="0"/>
                <w:iCs w:val="0"/>
                <w:color w:val="auto"/>
                <w:kern w:val="0"/>
                <w:sz w:val="21"/>
                <w:szCs w:val="21"/>
                <w:highlight w:val="none"/>
                <w:lang w:val="zh-TW" w:eastAsia="zh-TW"/>
              </w:rPr>
              <w:t>，由中标单位在领取中标通知书前一次性缴纳至</w:t>
            </w:r>
            <w:r>
              <w:rPr>
                <w:rFonts w:hint="eastAsia" w:ascii="Times" w:hAnsi="Times"/>
                <w:i w:val="0"/>
                <w:iCs w:val="0"/>
                <w:color w:val="auto"/>
                <w:kern w:val="0"/>
                <w:sz w:val="21"/>
                <w:szCs w:val="21"/>
                <w:highlight w:val="none"/>
              </w:rPr>
              <w:t>招标</w:t>
            </w:r>
            <w:r>
              <w:rPr>
                <w:rFonts w:hint="eastAsia" w:ascii="Times" w:hAnsi="Times"/>
                <w:i w:val="0"/>
                <w:iCs w:val="0"/>
                <w:color w:val="auto"/>
                <w:kern w:val="0"/>
                <w:sz w:val="21"/>
                <w:szCs w:val="21"/>
                <w:highlight w:val="none"/>
                <w:lang w:val="zh-TW" w:eastAsia="zh-TW"/>
              </w:rPr>
              <w:t>代理机构</w:t>
            </w:r>
            <w:r>
              <w:rPr>
                <w:rFonts w:hint="eastAsia" w:ascii="Times" w:hAnsi="Times"/>
                <w:i w:val="0"/>
                <w:iCs w:val="0"/>
                <w:color w:val="auto"/>
                <w:kern w:val="0"/>
                <w:sz w:val="21"/>
                <w:szCs w:val="21"/>
                <w:highlight w:val="none"/>
                <w:lang w:val="zh-TW"/>
              </w:rPr>
              <w:t>。</w:t>
            </w:r>
          </w:p>
          <w:p w14:paraId="7AC608CE">
            <w:pPr>
              <w:widowControl w:val="0"/>
              <w:spacing w:line="240" w:lineRule="auto"/>
              <w:ind w:firstLine="0" w:firstLineChars="0"/>
              <w:jc w:val="both"/>
              <w:rPr>
                <w:rFonts w:hint="eastAsia" w:ascii="Times" w:hAnsi="Times"/>
                <w:i w:val="0"/>
                <w:iCs w:val="0"/>
                <w:color w:val="auto"/>
                <w:kern w:val="0"/>
                <w:sz w:val="21"/>
                <w:szCs w:val="21"/>
                <w:highlight w:val="none"/>
                <w:lang w:val="zh-CN"/>
              </w:rPr>
            </w:pPr>
            <w:r>
              <w:rPr>
                <w:rFonts w:hint="eastAsia" w:ascii="Times" w:hAnsi="Times"/>
                <w:i w:val="0"/>
                <w:iCs w:val="0"/>
                <w:color w:val="auto"/>
                <w:kern w:val="0"/>
                <w:sz w:val="21"/>
                <w:szCs w:val="21"/>
                <w:highlight w:val="none"/>
                <w:lang w:val="zh-CN"/>
              </w:rPr>
              <w:t>账 户 名：重庆市义渡工程管理有限公司</w:t>
            </w:r>
          </w:p>
          <w:p w14:paraId="0FDB16E4">
            <w:pPr>
              <w:widowControl w:val="0"/>
              <w:spacing w:line="240" w:lineRule="auto"/>
              <w:ind w:firstLine="0" w:firstLineChars="0"/>
              <w:jc w:val="both"/>
              <w:rPr>
                <w:rFonts w:hint="eastAsia"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开户行：重庆银行股份有限公司大渡口支行</w:t>
            </w:r>
          </w:p>
          <w:p w14:paraId="2D84BBFD">
            <w:pPr>
              <w:widowControl w:val="0"/>
              <w:spacing w:line="240" w:lineRule="auto"/>
              <w:ind w:firstLine="0" w:firstLineChars="0"/>
              <w:jc w:val="both"/>
              <w:rPr>
                <w:color w:val="auto"/>
                <w:highlight w:val="none"/>
              </w:rPr>
            </w:pPr>
            <w:r>
              <w:rPr>
                <w:rFonts w:hint="eastAsia" w:ascii="宋体" w:hAnsi="宋体" w:cs="宋体"/>
                <w:i w:val="0"/>
                <w:iCs w:val="0"/>
                <w:color w:val="auto"/>
                <w:sz w:val="21"/>
                <w:szCs w:val="21"/>
                <w:highlight w:val="none"/>
              </w:rPr>
              <w:t>帐  号：340102029004903154</w:t>
            </w:r>
          </w:p>
        </w:tc>
      </w:tr>
      <w:tr w14:paraId="6AC6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Merge w:val="restart"/>
            <w:vAlign w:val="center"/>
          </w:tcPr>
          <w:p w14:paraId="53416DF8">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11</w:t>
            </w:r>
          </w:p>
        </w:tc>
        <w:tc>
          <w:tcPr>
            <w:tcW w:w="2155" w:type="dxa"/>
            <w:vMerge w:val="restart"/>
            <w:vAlign w:val="center"/>
          </w:tcPr>
          <w:p w14:paraId="60B8955E">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需要补充的其他内容</w:t>
            </w:r>
          </w:p>
        </w:tc>
        <w:tc>
          <w:tcPr>
            <w:tcW w:w="5289" w:type="dxa"/>
            <w:shd w:val="clear" w:color="auto" w:fill="auto"/>
            <w:vAlign w:val="top"/>
          </w:tcPr>
          <w:p w14:paraId="0ADB002F">
            <w:pPr>
              <w:keepNext w:val="0"/>
              <w:keepLines w:val="0"/>
              <w:pageBreakBefore w:val="0"/>
              <w:widowControl/>
              <w:numPr>
                <w:ilvl w:val="0"/>
                <w:numId w:val="0"/>
              </w:numPr>
              <w:kinsoku/>
              <w:wordWrap/>
              <w:overflowPunct/>
              <w:topLinePunct w:val="0"/>
              <w:bidi w:val="0"/>
              <w:spacing w:line="400" w:lineRule="exact"/>
              <w:jc w:val="both"/>
              <w:textAlignment w:val="auto"/>
              <w:rPr>
                <w:rFonts w:hint="eastAsia" w:asciiTheme="minorEastAsia" w:hAnsiTheme="minorEastAsia" w:eastAsiaTheme="minorEastAsia" w:cstheme="minorEastAsia"/>
                <w:i w:val="0"/>
                <w:iCs w:val="0"/>
                <w:color w:val="auto"/>
                <w:kern w:val="0"/>
                <w:sz w:val="21"/>
                <w:szCs w:val="21"/>
                <w:highlight w:val="none"/>
                <w:lang w:eastAsia="zh-CN"/>
              </w:rPr>
            </w:pPr>
            <w:r>
              <w:rPr>
                <w:rFonts w:hint="eastAsia" w:asciiTheme="minorEastAsia" w:hAnsiTheme="minorEastAsia" w:eastAsiaTheme="minorEastAsia" w:cstheme="minorEastAsia"/>
                <w:i w:val="0"/>
                <w:iCs w:val="0"/>
                <w:color w:val="auto"/>
                <w:kern w:val="0"/>
                <w:sz w:val="21"/>
                <w:szCs w:val="21"/>
                <w:highlight w:val="none"/>
                <w:lang w:eastAsia="zh-CN"/>
              </w:rPr>
              <w:t>一、异议和投诉</w:t>
            </w:r>
          </w:p>
          <w:p w14:paraId="6AC62302">
            <w:pPr>
              <w:keepNext w:val="0"/>
              <w:keepLines w:val="0"/>
              <w:pageBreakBefore w:val="0"/>
              <w:widowControl/>
              <w:numPr>
                <w:ilvl w:val="0"/>
                <w:numId w:val="0"/>
              </w:numPr>
              <w:kinsoku/>
              <w:wordWrap/>
              <w:overflowPunct/>
              <w:topLinePunct w:val="0"/>
              <w:bidi w:val="0"/>
              <w:spacing w:line="400" w:lineRule="exact"/>
              <w:ind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1. 投标人或者其他利害关系人就本项目的招标文件（含澄清修改）、开标情况、评标结果等事项提出投诉的，应当先向招标人提出异议；招标人应当在规定时间内答复；对招标人的答复不满意，可向</w:t>
            </w:r>
            <w:r>
              <w:rPr>
                <w:rFonts w:hint="eastAsia" w:asciiTheme="minorEastAsia" w:hAnsiTheme="minorEastAsia" w:eastAsiaTheme="minorEastAsia" w:cstheme="minorEastAsia"/>
                <w:i w:val="0"/>
                <w:iCs w:val="0"/>
                <w:color w:val="auto"/>
                <w:kern w:val="0"/>
                <w:sz w:val="21"/>
                <w:szCs w:val="21"/>
                <w:highlight w:val="none"/>
                <w:lang w:eastAsia="zh-CN"/>
              </w:rPr>
              <w:t>招标人</w:t>
            </w:r>
            <w:r>
              <w:rPr>
                <w:rFonts w:hint="eastAsia" w:asciiTheme="minorEastAsia" w:hAnsiTheme="minorEastAsia" w:eastAsiaTheme="minorEastAsia" w:cstheme="minorEastAsia"/>
                <w:i w:val="0"/>
                <w:iCs w:val="0"/>
                <w:color w:val="auto"/>
                <w:kern w:val="0"/>
                <w:sz w:val="21"/>
                <w:szCs w:val="21"/>
                <w:highlight w:val="none"/>
              </w:rPr>
              <w:t>监督部门投诉。</w:t>
            </w:r>
          </w:p>
          <w:p w14:paraId="55FB95E5">
            <w:pPr>
              <w:keepNext w:val="0"/>
              <w:keepLines w:val="0"/>
              <w:pageBreakBefore w:val="0"/>
              <w:widowControl/>
              <w:kinsoku/>
              <w:wordWrap/>
              <w:overflowPunct/>
              <w:topLinePunct w:val="0"/>
              <w:bidi w:val="0"/>
              <w:spacing w:line="400" w:lineRule="exact"/>
              <w:ind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提出异议或投诉时应当包括下列内容：</w:t>
            </w:r>
          </w:p>
          <w:p w14:paraId="6E5EF2B8">
            <w:pPr>
              <w:keepNext w:val="0"/>
              <w:keepLines w:val="0"/>
              <w:pageBreakBefore w:val="0"/>
              <w:widowControl/>
              <w:kinsoku/>
              <w:wordWrap/>
              <w:overflowPunct/>
              <w:topLinePunct w:val="0"/>
              <w:bidi w:val="0"/>
              <w:spacing w:line="400" w:lineRule="exact"/>
              <w:ind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（1）异议</w:t>
            </w:r>
            <w:r>
              <w:rPr>
                <w:rFonts w:hint="eastAsia" w:asciiTheme="minorEastAsia" w:hAnsiTheme="minorEastAsia" w:eastAsiaTheme="minorEastAsia" w:cstheme="minorEastAsia"/>
                <w:i w:val="0"/>
                <w:iCs w:val="0"/>
                <w:color w:val="auto"/>
                <w:kern w:val="0"/>
                <w:sz w:val="21"/>
                <w:szCs w:val="21"/>
                <w:highlight w:val="none"/>
                <w:lang w:val="en-US" w:eastAsia="zh-CN"/>
              </w:rPr>
              <w:t>人</w:t>
            </w:r>
            <w:r>
              <w:rPr>
                <w:rFonts w:hint="eastAsia" w:asciiTheme="minorEastAsia" w:hAnsiTheme="minorEastAsia" w:eastAsiaTheme="minorEastAsia" w:cstheme="minorEastAsia"/>
                <w:i w:val="0"/>
                <w:iCs w:val="0"/>
                <w:color w:val="auto"/>
                <w:kern w:val="0"/>
                <w:sz w:val="21"/>
                <w:szCs w:val="21"/>
                <w:highlight w:val="none"/>
              </w:rPr>
              <w:t>或投诉人的名称、地址及有效联系方式；</w:t>
            </w:r>
          </w:p>
          <w:p w14:paraId="2D60AFC9">
            <w:pPr>
              <w:keepNext w:val="0"/>
              <w:keepLines w:val="0"/>
              <w:pageBreakBefore w:val="0"/>
              <w:widowControl/>
              <w:kinsoku/>
              <w:wordWrap/>
              <w:overflowPunct/>
              <w:topLinePunct w:val="0"/>
              <w:bidi w:val="0"/>
              <w:spacing w:line="400" w:lineRule="exact"/>
              <w:ind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（2）被异议</w:t>
            </w:r>
            <w:r>
              <w:rPr>
                <w:rFonts w:hint="eastAsia" w:asciiTheme="minorEastAsia" w:hAnsiTheme="minorEastAsia" w:eastAsiaTheme="minorEastAsia" w:cstheme="minorEastAsia"/>
                <w:i w:val="0"/>
                <w:iCs w:val="0"/>
                <w:color w:val="auto"/>
                <w:kern w:val="0"/>
                <w:sz w:val="21"/>
                <w:szCs w:val="21"/>
                <w:highlight w:val="none"/>
                <w:lang w:val="en-US" w:eastAsia="zh-CN"/>
              </w:rPr>
              <w:t>人</w:t>
            </w:r>
            <w:r>
              <w:rPr>
                <w:rFonts w:hint="eastAsia" w:asciiTheme="minorEastAsia" w:hAnsiTheme="minorEastAsia" w:eastAsiaTheme="minorEastAsia" w:cstheme="minorEastAsia"/>
                <w:i w:val="0"/>
                <w:iCs w:val="0"/>
                <w:color w:val="auto"/>
                <w:kern w:val="0"/>
                <w:sz w:val="21"/>
                <w:szCs w:val="21"/>
                <w:highlight w:val="none"/>
              </w:rPr>
              <w:t>或</w:t>
            </w:r>
            <w:r>
              <w:rPr>
                <w:rFonts w:hint="eastAsia" w:asciiTheme="minorEastAsia" w:hAnsiTheme="minorEastAsia" w:eastAsiaTheme="minorEastAsia" w:cstheme="minorEastAsia"/>
                <w:i w:val="0"/>
                <w:iCs w:val="0"/>
                <w:color w:val="auto"/>
                <w:kern w:val="0"/>
                <w:sz w:val="21"/>
                <w:szCs w:val="21"/>
                <w:highlight w:val="none"/>
                <w:lang w:val="en-US" w:eastAsia="zh-CN"/>
              </w:rPr>
              <w:t>被</w:t>
            </w:r>
            <w:r>
              <w:rPr>
                <w:rFonts w:hint="eastAsia" w:asciiTheme="minorEastAsia" w:hAnsiTheme="minorEastAsia" w:eastAsiaTheme="minorEastAsia" w:cstheme="minorEastAsia"/>
                <w:i w:val="0"/>
                <w:iCs w:val="0"/>
                <w:color w:val="auto"/>
                <w:kern w:val="0"/>
                <w:sz w:val="21"/>
                <w:szCs w:val="21"/>
                <w:highlight w:val="none"/>
              </w:rPr>
              <w:t>投诉人的名称、地址及有效联系方式；</w:t>
            </w:r>
          </w:p>
          <w:p w14:paraId="48C02672">
            <w:pPr>
              <w:keepNext w:val="0"/>
              <w:keepLines w:val="0"/>
              <w:pageBreakBefore w:val="0"/>
              <w:widowControl/>
              <w:kinsoku/>
              <w:wordWrap/>
              <w:overflowPunct/>
              <w:topLinePunct w:val="0"/>
              <w:bidi w:val="0"/>
              <w:spacing w:line="400" w:lineRule="exact"/>
              <w:ind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（3）异议或投诉事项的基本事实；</w:t>
            </w:r>
          </w:p>
          <w:p w14:paraId="30E5DAEB">
            <w:pPr>
              <w:keepNext w:val="0"/>
              <w:keepLines w:val="0"/>
              <w:pageBreakBefore w:val="0"/>
              <w:widowControl/>
              <w:kinsoku/>
              <w:wordWrap/>
              <w:overflowPunct/>
              <w:topLinePunct w:val="0"/>
              <w:bidi w:val="0"/>
              <w:spacing w:line="400" w:lineRule="exact"/>
              <w:ind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（4）请求及主张；</w:t>
            </w:r>
          </w:p>
          <w:p w14:paraId="610279ED">
            <w:pPr>
              <w:keepNext w:val="0"/>
              <w:keepLines w:val="0"/>
              <w:pageBreakBefore w:val="0"/>
              <w:widowControl/>
              <w:kinsoku/>
              <w:wordWrap/>
              <w:overflowPunct/>
              <w:topLinePunct w:val="0"/>
              <w:bidi w:val="0"/>
              <w:spacing w:line="400" w:lineRule="exact"/>
              <w:ind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（5）涉及事项的证据、证明材料。</w:t>
            </w:r>
          </w:p>
          <w:p w14:paraId="3878FF51">
            <w:pPr>
              <w:keepNext w:val="0"/>
              <w:keepLines w:val="0"/>
              <w:pageBreakBefore w:val="0"/>
              <w:widowControl/>
              <w:kinsoku/>
              <w:wordWrap/>
              <w:overflowPunct/>
              <w:topLinePunct w:val="0"/>
              <w:bidi w:val="0"/>
              <w:spacing w:line="400" w:lineRule="exact"/>
              <w:ind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rPr>
              <w:t>2.</w:t>
            </w:r>
            <w:r>
              <w:rPr>
                <w:rFonts w:hint="eastAsia" w:asciiTheme="minorEastAsia" w:hAnsiTheme="minorEastAsia" w:eastAsiaTheme="minorEastAsia" w:cstheme="minorEastAsia"/>
                <w:i w:val="0"/>
                <w:iCs w:val="0"/>
                <w:color w:val="auto"/>
                <w:kern w:val="0"/>
                <w:sz w:val="21"/>
                <w:szCs w:val="21"/>
                <w:highlight w:val="none"/>
              </w:rPr>
              <w:t>异议人或投诉人是法人的，异议书或投诉书必须由其法定代表人或者委托代理人签名并加盖单位</w:t>
            </w:r>
            <w:r>
              <w:rPr>
                <w:rFonts w:hint="eastAsia" w:asciiTheme="minorEastAsia" w:hAnsiTheme="minorEastAsia" w:eastAsiaTheme="minorEastAsia" w:cstheme="minorEastAsia"/>
                <w:i w:val="0"/>
                <w:iCs w:val="0"/>
                <w:color w:val="auto"/>
                <w:kern w:val="0"/>
                <w:sz w:val="21"/>
                <w:szCs w:val="21"/>
                <w:highlight w:val="none"/>
                <w:lang w:val="en-US" w:eastAsia="zh-CN"/>
              </w:rPr>
              <w:t>法人</w:t>
            </w:r>
            <w:r>
              <w:rPr>
                <w:rFonts w:hint="eastAsia" w:asciiTheme="minorEastAsia" w:hAnsiTheme="minorEastAsia" w:eastAsiaTheme="minorEastAsia" w:cstheme="minorEastAsia"/>
                <w:i w:val="0"/>
                <w:iCs w:val="0"/>
                <w:color w:val="auto"/>
                <w:kern w:val="0"/>
                <w:sz w:val="21"/>
                <w:szCs w:val="21"/>
                <w:highlight w:val="none"/>
              </w:rPr>
              <w:t>章；异议人或投诉人是其他组织或者自然人的，异议书或投诉书必须由其主要负责人签名或者异议人（或投诉人）本人签名，并附有效身份证明。如有关材料是外文，应当同时提供中文译本。</w:t>
            </w:r>
          </w:p>
          <w:p w14:paraId="39EAB822">
            <w:pPr>
              <w:keepNext w:val="0"/>
              <w:keepLines w:val="0"/>
              <w:pageBreakBefore w:val="0"/>
              <w:widowControl w:val="0"/>
              <w:numPr>
                <w:ilvl w:val="0"/>
                <w:numId w:val="0"/>
              </w:numPr>
              <w:kinsoku/>
              <w:wordWrap/>
              <w:overflowPunct/>
              <w:topLinePunct w:val="0"/>
              <w:bidi w:val="0"/>
              <w:snapToGrid w:val="0"/>
              <w:spacing w:line="400" w:lineRule="exact"/>
              <w:ind w:left="0" w:leftChars="0"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snapToGrid w:val="0"/>
                <w:color w:val="auto"/>
                <w:kern w:val="0"/>
                <w:sz w:val="21"/>
                <w:szCs w:val="21"/>
                <w:highlight w:val="none"/>
                <w:lang w:val="en-US" w:eastAsia="zh-CN" w:bidi="ar-SA"/>
              </w:rPr>
              <w:t>3.</w:t>
            </w:r>
            <w:r>
              <w:rPr>
                <w:rFonts w:hint="eastAsia" w:asciiTheme="minorEastAsia" w:hAnsiTheme="minorEastAsia" w:eastAsiaTheme="minorEastAsia" w:cstheme="minorEastAsia"/>
                <w:i w:val="0"/>
                <w:iCs w:val="0"/>
                <w:color w:val="auto"/>
                <w:kern w:val="0"/>
                <w:sz w:val="21"/>
                <w:szCs w:val="21"/>
                <w:highlight w:val="none"/>
              </w:rPr>
              <w:t>异议受理单位：重庆市大渡口区新晟发建设有限公司</w:t>
            </w:r>
          </w:p>
          <w:p w14:paraId="6C5348C3">
            <w:pPr>
              <w:keepNext w:val="0"/>
              <w:keepLines w:val="0"/>
              <w:pageBreakBefore w:val="0"/>
              <w:widowControl w:val="0"/>
              <w:numPr>
                <w:ilvl w:val="0"/>
                <w:numId w:val="0"/>
              </w:numPr>
              <w:kinsoku/>
              <w:wordWrap/>
              <w:overflowPunct/>
              <w:topLinePunct w:val="0"/>
              <w:bidi w:val="0"/>
              <w:snapToGrid w:val="0"/>
              <w:spacing w:line="400" w:lineRule="exact"/>
              <w:ind w:left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联系电话：023-68109712</w:t>
            </w:r>
            <w:r>
              <w:rPr>
                <w:rFonts w:hint="eastAsia" w:cs="宋体"/>
                <w:i w:val="0"/>
                <w:iCs w:val="0"/>
                <w:color w:val="auto"/>
                <w:kern w:val="0"/>
                <w:sz w:val="24"/>
                <w:highlight w:val="none"/>
                <w:lang w:bidi="ar-SA"/>
              </w:rPr>
              <w:t>。</w:t>
            </w:r>
          </w:p>
          <w:p w14:paraId="7B25697C">
            <w:pPr>
              <w:keepNext w:val="0"/>
              <w:keepLines w:val="0"/>
              <w:pageBreakBefore w:val="0"/>
              <w:widowControl w:val="0"/>
              <w:numPr>
                <w:ilvl w:val="0"/>
                <w:numId w:val="0"/>
              </w:numPr>
              <w:kinsoku/>
              <w:wordWrap/>
              <w:overflowPunct/>
              <w:topLinePunct w:val="0"/>
              <w:bidi w:val="0"/>
              <w:snapToGrid w:val="0"/>
              <w:spacing w:line="400" w:lineRule="exact"/>
              <w:ind w:left="0" w:leftChars="0"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snapToGrid w:val="0"/>
                <w:color w:val="auto"/>
                <w:kern w:val="0"/>
                <w:sz w:val="21"/>
                <w:szCs w:val="21"/>
                <w:highlight w:val="none"/>
                <w:lang w:val="en-US" w:eastAsia="zh-CN" w:bidi="ar-SA"/>
              </w:rPr>
              <w:t>4.</w:t>
            </w:r>
            <w:r>
              <w:rPr>
                <w:rFonts w:hint="eastAsia" w:asciiTheme="minorEastAsia" w:hAnsiTheme="minorEastAsia" w:eastAsiaTheme="minorEastAsia" w:cstheme="minorEastAsia"/>
                <w:i w:val="0"/>
                <w:iCs w:val="0"/>
                <w:color w:val="auto"/>
                <w:kern w:val="0"/>
                <w:sz w:val="21"/>
                <w:szCs w:val="21"/>
                <w:highlight w:val="none"/>
              </w:rPr>
              <w:t>投诉受理部门：重庆市大渡口区新晟发建设有限公司</w:t>
            </w:r>
            <w:r>
              <w:rPr>
                <w:rFonts w:hint="eastAsia" w:asciiTheme="minorEastAsia" w:hAnsiTheme="minorEastAsia" w:eastAsiaTheme="minorEastAsia" w:cstheme="minorEastAsia"/>
                <w:i w:val="0"/>
                <w:iCs w:val="0"/>
                <w:color w:val="auto"/>
                <w:kern w:val="0"/>
                <w:sz w:val="21"/>
                <w:szCs w:val="21"/>
                <w:highlight w:val="none"/>
                <w:lang w:eastAsia="zh-CN"/>
              </w:rPr>
              <w:t>纪检部门</w:t>
            </w:r>
            <w:r>
              <w:rPr>
                <w:rFonts w:hint="eastAsia" w:asciiTheme="minorEastAsia" w:hAnsiTheme="minorEastAsia" w:eastAsiaTheme="minorEastAsia" w:cstheme="minorEastAsia"/>
                <w:i w:val="0"/>
                <w:iCs w:val="0"/>
                <w:color w:val="auto"/>
                <w:kern w:val="0"/>
                <w:sz w:val="21"/>
                <w:szCs w:val="21"/>
                <w:highlight w:val="none"/>
                <w:lang w:val="en-US" w:eastAsia="zh-CN"/>
              </w:rPr>
              <w:t xml:space="preserve"> </w:t>
            </w:r>
          </w:p>
          <w:p w14:paraId="22754692">
            <w:pPr>
              <w:widowControl w:val="0"/>
              <w:spacing w:before="60" w:line="180" w:lineRule="auto"/>
              <w:jc w:val="both"/>
              <w:rPr>
                <w:rFonts w:hint="eastAsia" w:ascii="宋体" w:hAnsi="宋体" w:eastAsia="宋体" w:cs="宋体"/>
                <w:snapToGrid w:val="0"/>
                <w:color w:val="auto"/>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rPr>
              <w:t>联系电话：023-68109712</w:t>
            </w:r>
            <w:r>
              <w:rPr>
                <w:rFonts w:hint="eastAsia" w:cs="宋体"/>
                <w:i w:val="0"/>
                <w:iCs w:val="0"/>
                <w:color w:val="auto"/>
                <w:kern w:val="0"/>
                <w:sz w:val="24"/>
                <w:highlight w:val="none"/>
                <w:lang w:bidi="ar-SA"/>
              </w:rPr>
              <w:t>。</w:t>
            </w:r>
          </w:p>
        </w:tc>
      </w:tr>
      <w:tr w14:paraId="059B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Merge w:val="continue"/>
            <w:vAlign w:val="center"/>
          </w:tcPr>
          <w:p w14:paraId="34550F14">
            <w:pPr>
              <w:widowControl w:val="0"/>
              <w:spacing w:before="174" w:line="186" w:lineRule="auto"/>
              <w:jc w:val="center"/>
              <w:rPr>
                <w:rFonts w:hint="eastAsia" w:ascii="宋体" w:hAnsi="宋体" w:eastAsia="宋体" w:cs="宋体"/>
                <w:color w:val="auto"/>
                <w:spacing w:val="-2"/>
                <w:highlight w:val="none"/>
              </w:rPr>
            </w:pPr>
          </w:p>
        </w:tc>
        <w:tc>
          <w:tcPr>
            <w:tcW w:w="2155" w:type="dxa"/>
            <w:vMerge w:val="continue"/>
            <w:vAlign w:val="center"/>
          </w:tcPr>
          <w:p w14:paraId="6C6FF311">
            <w:pPr>
              <w:widowControl w:val="0"/>
              <w:spacing w:before="174" w:line="186" w:lineRule="auto"/>
              <w:jc w:val="center"/>
              <w:rPr>
                <w:rFonts w:hint="eastAsia" w:ascii="宋体" w:hAnsi="宋体" w:eastAsia="宋体" w:cs="宋体"/>
                <w:color w:val="auto"/>
                <w:spacing w:val="-2"/>
                <w:highlight w:val="none"/>
              </w:rPr>
            </w:pPr>
          </w:p>
        </w:tc>
        <w:tc>
          <w:tcPr>
            <w:tcW w:w="5289" w:type="dxa"/>
          </w:tcPr>
          <w:p w14:paraId="512EBC57">
            <w:pPr>
              <w:widowControl w:val="0"/>
              <w:numPr>
                <w:ilvl w:val="0"/>
                <w:numId w:val="1"/>
              </w:numPr>
              <w:spacing w:before="60" w:line="180" w:lineRule="auto"/>
              <w:jc w:val="both"/>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关于对招标文件及投标争议的解释</w:t>
            </w:r>
          </w:p>
          <w:p w14:paraId="0713C00A">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对资格预审文件或者招标文件的评标标准和方法，以及资格审查和否决投标条款理解有争议的，应当作出不利于招标人的解释，但违背国家利益、社会公共利益的除外。</w:t>
            </w:r>
          </w:p>
          <w:p w14:paraId="479B47AB">
            <w:pPr>
              <w:pStyle w:val="12"/>
              <w:widowControl w:val="0"/>
              <w:numPr>
                <w:ilvl w:val="0"/>
                <w:numId w:val="0"/>
              </w:numPr>
              <w:jc w:val="both"/>
              <w:rPr>
                <w:rFonts w:hint="eastAsia"/>
                <w:color w:val="auto"/>
                <w:highlight w:val="none"/>
                <w:lang w:eastAsia="zh-CN"/>
              </w:rPr>
            </w:pPr>
            <w:r>
              <w:rPr>
                <w:rFonts w:hint="eastAsia" w:asciiTheme="minorEastAsia" w:hAnsiTheme="minorEastAsia" w:eastAsiaTheme="minorEastAsia" w:cstheme="minorEastAsia"/>
                <w:i w:val="0"/>
                <w:iCs w:val="0"/>
                <w:color w:val="auto"/>
                <w:kern w:val="0"/>
                <w:sz w:val="21"/>
                <w:szCs w:val="21"/>
                <w:highlight w:val="none"/>
              </w:rPr>
              <w:t>对投标文件理解有争议的，应当作出不利于提交该投标文件的投标人的解释。</w:t>
            </w:r>
          </w:p>
        </w:tc>
      </w:tr>
      <w:tr w14:paraId="72FA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Merge w:val="continue"/>
            <w:vAlign w:val="center"/>
          </w:tcPr>
          <w:p w14:paraId="5C8EC613">
            <w:pPr>
              <w:widowControl w:val="0"/>
              <w:spacing w:before="174" w:line="186" w:lineRule="auto"/>
              <w:jc w:val="center"/>
              <w:rPr>
                <w:rFonts w:hint="eastAsia" w:ascii="宋体" w:hAnsi="宋体" w:eastAsia="宋体" w:cs="宋体"/>
                <w:color w:val="auto"/>
                <w:spacing w:val="-2"/>
                <w:highlight w:val="none"/>
              </w:rPr>
            </w:pPr>
          </w:p>
        </w:tc>
        <w:tc>
          <w:tcPr>
            <w:tcW w:w="2155" w:type="dxa"/>
            <w:vMerge w:val="continue"/>
            <w:vAlign w:val="center"/>
          </w:tcPr>
          <w:p w14:paraId="7429592C">
            <w:pPr>
              <w:widowControl w:val="0"/>
              <w:spacing w:before="174" w:line="186" w:lineRule="auto"/>
              <w:jc w:val="center"/>
              <w:rPr>
                <w:rFonts w:hint="eastAsia" w:ascii="宋体" w:hAnsi="宋体" w:eastAsia="宋体" w:cs="宋体"/>
                <w:color w:val="auto"/>
                <w:spacing w:val="-2"/>
                <w:highlight w:val="none"/>
              </w:rPr>
            </w:pPr>
          </w:p>
        </w:tc>
        <w:tc>
          <w:tcPr>
            <w:tcW w:w="5289" w:type="dxa"/>
          </w:tcPr>
          <w:p w14:paraId="0F1624A2">
            <w:pPr>
              <w:widowControl w:val="0"/>
              <w:numPr>
                <w:ilvl w:val="0"/>
                <w:numId w:val="1"/>
              </w:numPr>
              <w:spacing w:before="60" w:line="180" w:lineRule="auto"/>
              <w:ind w:left="0" w:leftChars="0" w:firstLine="0" w:firstLineChars="0"/>
              <w:jc w:val="both"/>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投标人注意事项</w:t>
            </w:r>
          </w:p>
          <w:p w14:paraId="6019BCD1">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1. 本次投标采用全流程电子开评标模式，第一次参与投标的单位务必在</w:t>
            </w:r>
            <w:r>
              <w:rPr>
                <w:rFonts w:hint="eastAsia" w:asciiTheme="minorEastAsia" w:hAnsiTheme="minorEastAsia" w:eastAsiaTheme="minorEastAsia" w:cstheme="minorEastAsia"/>
                <w:i w:val="0"/>
                <w:iCs w:val="0"/>
                <w:color w:val="auto"/>
                <w:kern w:val="0"/>
                <w:sz w:val="21"/>
                <w:szCs w:val="21"/>
                <w:highlight w:val="none"/>
                <w:u w:val="single"/>
              </w:rPr>
              <w:t>重庆市公共资源交易网（www.cqggzy.com）</w:t>
            </w:r>
            <w:r>
              <w:rPr>
                <w:rFonts w:hint="eastAsia" w:asciiTheme="minorEastAsia" w:hAnsiTheme="minorEastAsia" w:eastAsiaTheme="minorEastAsia" w:cstheme="minorEastAsia"/>
                <w:i w:val="0"/>
                <w:iCs w:val="0"/>
                <w:color w:val="auto"/>
                <w:kern w:val="0"/>
                <w:sz w:val="21"/>
                <w:szCs w:val="21"/>
                <w:highlight w:val="none"/>
              </w:rPr>
              <w:t>完成市场主体信息登记以及 CA 数字证书办理，并且下载新点投标文件制作软件（重庆版）制作投标文件。</w:t>
            </w:r>
          </w:p>
          <w:p w14:paraId="368C5ECD">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2. 制作投标文件需要使用CA 数字证书加密，并且加盖电子印章，CA 数字证书购买及办理方式请参见</w:t>
            </w:r>
            <w:r>
              <w:rPr>
                <w:rFonts w:hint="eastAsia" w:asciiTheme="minorEastAsia" w:hAnsiTheme="minorEastAsia" w:eastAsiaTheme="minorEastAsia" w:cstheme="minorEastAsia"/>
                <w:i w:val="0"/>
                <w:iCs w:val="0"/>
                <w:color w:val="auto"/>
                <w:kern w:val="0"/>
                <w:sz w:val="21"/>
                <w:szCs w:val="21"/>
                <w:highlight w:val="none"/>
                <w:u w:val="single"/>
              </w:rPr>
              <w:t>重庆市公共资源交易网（www.cqggzy.com）</w:t>
            </w:r>
            <w:r>
              <w:rPr>
                <w:rFonts w:hint="eastAsia" w:asciiTheme="minorEastAsia" w:hAnsiTheme="minorEastAsia" w:eastAsiaTheme="minorEastAsia" w:cstheme="minorEastAsia"/>
                <w:i w:val="0"/>
                <w:iCs w:val="0"/>
                <w:color w:val="auto"/>
                <w:kern w:val="0"/>
                <w:sz w:val="21"/>
                <w:szCs w:val="21"/>
                <w:highlight w:val="none"/>
              </w:rPr>
              <w:t>导航栏“主体信息”页面中“市场主体信息登记”“CA数字证书办理”。</w:t>
            </w:r>
          </w:p>
          <w:p w14:paraId="4FC44106">
            <w:pPr>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3.投标人应当在投标截止时间前，通过互联网使用CA数字证书登录重庆市电子招投标系统，将加密的电子投标文件上传，未按规定加密将无法上传。投标人应充分考虑上传文件时的不可预见因素，逾期未完成上传投标文件的，视为撤回投标文件。</w:t>
            </w:r>
          </w:p>
          <w:p w14:paraId="603A4B8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4.</w:t>
            </w:r>
            <w:r>
              <w:rPr>
                <w:rFonts w:hint="eastAsia" w:asciiTheme="minorEastAsia" w:hAnsiTheme="minorEastAsia" w:eastAsiaTheme="minorEastAsia" w:cstheme="minorEastAsia"/>
                <w:i w:val="0"/>
                <w:iCs w:val="0"/>
                <w:color w:val="auto"/>
                <w:kern w:val="0"/>
                <w:sz w:val="21"/>
                <w:szCs w:val="21"/>
                <w:highlight w:val="none"/>
                <w:lang w:val="en-US" w:eastAsia="zh-CN"/>
              </w:rPr>
              <w:t xml:space="preserve"> </w:t>
            </w:r>
            <w:r>
              <w:rPr>
                <w:rFonts w:hint="eastAsia" w:asciiTheme="minorEastAsia" w:hAnsiTheme="minorEastAsia" w:eastAsiaTheme="minorEastAsia" w:cstheme="minorEastAsia"/>
                <w:i w:val="0"/>
                <w:iCs w:val="0"/>
                <w:color w:val="auto"/>
                <w:kern w:val="0"/>
                <w:sz w:val="21"/>
                <w:szCs w:val="21"/>
                <w:highlight w:val="none"/>
              </w:rPr>
              <w:t>开标活动由招标人主持，邀请所有投标人参加。投标人未在开标现场提出异议，或者不见面开标系统未收到投标人异议的（采用不见面开标方式时适用），视为投标人默认开标结果。</w:t>
            </w:r>
          </w:p>
          <w:p w14:paraId="601E1201">
            <w:pPr>
              <w:pStyle w:val="12"/>
              <w:widowControl w:val="0"/>
              <w:numPr>
                <w:ilvl w:val="0"/>
                <w:numId w:val="0"/>
              </w:numPr>
              <w:ind w:leftChars="0"/>
              <w:jc w:val="both"/>
              <w:rPr>
                <w:rFonts w:hint="eastAsia"/>
                <w:color w:val="auto"/>
                <w:highlight w:val="none"/>
                <w:lang w:eastAsia="zh-CN"/>
              </w:rPr>
            </w:pPr>
            <w:r>
              <w:rPr>
                <w:rFonts w:hint="eastAsia" w:asciiTheme="minorEastAsia" w:hAnsiTheme="minorEastAsia" w:eastAsiaTheme="minorEastAsia" w:cstheme="minorEastAsia"/>
                <w:i w:val="0"/>
                <w:iCs w:val="0"/>
                <w:color w:val="auto"/>
                <w:kern w:val="0"/>
                <w:sz w:val="21"/>
                <w:szCs w:val="21"/>
                <w:highlight w:val="none"/>
                <w:lang w:val="en-US" w:eastAsia="zh-CN"/>
              </w:rPr>
              <w:t>5</w:t>
            </w:r>
            <w:r>
              <w:rPr>
                <w:rFonts w:hint="eastAsia" w:asciiTheme="minorEastAsia" w:hAnsiTheme="minorEastAsia" w:eastAsiaTheme="minorEastAsia" w:cstheme="minorEastAsia"/>
                <w:i w:val="0"/>
                <w:iCs w:val="0"/>
                <w:color w:val="auto"/>
                <w:kern w:val="0"/>
                <w:sz w:val="21"/>
                <w:szCs w:val="21"/>
                <w:highlight w:val="none"/>
              </w:rPr>
              <w:t>. 投标人应按时解密，在评标结束前应在线或在现场关注项目进展情况，确保通讯联系正常。如评标委员会要求投标人澄清的，投标人应确保及时回复，否则视为拒绝按评标委员会要求澄清、说明或补正。</w:t>
            </w:r>
          </w:p>
        </w:tc>
      </w:tr>
    </w:tbl>
    <w:p w14:paraId="5C229E31">
      <w:pPr>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br w:type="page"/>
      </w:r>
    </w:p>
    <w:p w14:paraId="262AD414">
      <w:pPr>
        <w:pStyle w:val="3"/>
        <w:numPr>
          <w:ilvl w:val="0"/>
          <w:numId w:val="2"/>
        </w:numPr>
        <w:spacing w:before="156"/>
        <w:rPr>
          <w:color w:val="auto"/>
          <w:highlight w:val="none"/>
        </w:rPr>
      </w:pPr>
      <w:bookmarkStart w:id="132" w:name="_Toc27241"/>
      <w:bookmarkStart w:id="133" w:name="_Toc1064"/>
      <w:bookmarkStart w:id="134" w:name="_Toc29298"/>
      <w:bookmarkStart w:id="135" w:name="_Toc16868"/>
      <w:bookmarkStart w:id="136" w:name="_Toc15776"/>
      <w:bookmarkStart w:id="137" w:name="_Toc19537"/>
      <w:r>
        <w:rPr>
          <w:rFonts w:hint="eastAsia"/>
          <w:color w:val="auto"/>
          <w:highlight w:val="none"/>
        </w:rPr>
        <w:t>总则</w:t>
      </w:r>
      <w:bookmarkEnd w:id="132"/>
      <w:bookmarkEnd w:id="133"/>
      <w:bookmarkEnd w:id="134"/>
      <w:bookmarkEnd w:id="135"/>
      <w:bookmarkEnd w:id="136"/>
      <w:bookmarkEnd w:id="137"/>
    </w:p>
    <w:p w14:paraId="2ED1AA4E">
      <w:pPr>
        <w:pStyle w:val="4"/>
        <w:spacing w:before="156"/>
        <w:rPr>
          <w:color w:val="auto"/>
          <w:highlight w:val="none"/>
        </w:rPr>
      </w:pPr>
      <w:bookmarkStart w:id="138" w:name="_Toc26953"/>
      <w:bookmarkStart w:id="139" w:name="_Toc32315"/>
      <w:bookmarkStart w:id="140" w:name="_Toc19723"/>
      <w:bookmarkStart w:id="141" w:name="_Toc27726"/>
      <w:r>
        <w:rPr>
          <w:rFonts w:hint="eastAsia"/>
          <w:color w:val="auto"/>
          <w:highlight w:val="none"/>
        </w:rPr>
        <w:t>1.1 招标项目概况</w:t>
      </w:r>
      <w:bookmarkEnd w:id="138"/>
      <w:bookmarkEnd w:id="139"/>
      <w:bookmarkEnd w:id="140"/>
      <w:bookmarkEnd w:id="141"/>
    </w:p>
    <w:p w14:paraId="4C92A58A">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1.1.1 根据《中华人民共和国招标投标法》、《中华人民共和国招标投标法实施条例》等有关法律、法规和规章的规定，本招标项目已具备招标条件，</w:t>
      </w:r>
      <w:r>
        <w:rPr>
          <w:rFonts w:hint="eastAsia" w:ascii="宋体" w:hAnsi="宋体" w:eastAsia="宋体" w:cs="宋体"/>
          <w:color w:val="auto"/>
          <w:highlight w:val="none"/>
        </w:rPr>
        <w:t>现对本项目进行招标。</w:t>
      </w:r>
    </w:p>
    <w:p w14:paraId="22823739">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1.1.2  招标人：见投标人须知前附表。</w:t>
      </w:r>
    </w:p>
    <w:p w14:paraId="346A04B1">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highlight w:val="none"/>
          <w:lang w:eastAsia="zh-CN"/>
        </w:rPr>
      </w:pPr>
      <w:r>
        <w:rPr>
          <w:rFonts w:hint="eastAsia" w:ascii="宋体" w:hAnsi="宋体" w:eastAsia="宋体" w:cs="宋体"/>
          <w:snapToGrid/>
          <w:color w:val="auto"/>
          <w:kern w:val="2"/>
          <w:highlight w:val="none"/>
        </w:rPr>
        <w:t>1.1.</w:t>
      </w:r>
      <w:r>
        <w:rPr>
          <w:rFonts w:hint="eastAsia" w:ascii="宋体" w:hAnsi="宋体" w:eastAsia="宋体" w:cs="宋体"/>
          <w:snapToGrid/>
          <w:color w:val="auto"/>
          <w:kern w:val="2"/>
          <w:highlight w:val="none"/>
          <w:lang w:val="en-US" w:eastAsia="zh-CN"/>
        </w:rPr>
        <w:t>3</w:t>
      </w:r>
      <w:r>
        <w:rPr>
          <w:rFonts w:hint="eastAsia" w:ascii="宋体" w:hAnsi="宋体" w:eastAsia="宋体" w:cs="宋体"/>
          <w:snapToGrid/>
          <w:color w:val="auto"/>
          <w:kern w:val="2"/>
          <w:highlight w:val="none"/>
        </w:rPr>
        <w:t xml:space="preserve">  </w:t>
      </w:r>
      <w:r>
        <w:rPr>
          <w:rFonts w:hint="eastAsia" w:ascii="宋体" w:hAnsi="宋体" w:eastAsia="宋体" w:cs="宋体"/>
          <w:snapToGrid/>
          <w:color w:val="auto"/>
          <w:kern w:val="2"/>
          <w:highlight w:val="none"/>
          <w:lang w:eastAsia="zh-CN"/>
        </w:rPr>
        <w:t>招标代理机构：</w:t>
      </w:r>
      <w:r>
        <w:rPr>
          <w:rFonts w:hint="eastAsia" w:ascii="宋体" w:hAnsi="宋体" w:eastAsia="宋体" w:cs="宋体"/>
          <w:snapToGrid/>
          <w:color w:val="auto"/>
          <w:kern w:val="2"/>
          <w:highlight w:val="none"/>
        </w:rPr>
        <w:t>见投标人须知前附表。</w:t>
      </w:r>
    </w:p>
    <w:p w14:paraId="50935CDD">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lang w:val="en-US" w:eastAsia="zh-CN"/>
        </w:rPr>
        <w:t>1.1.4</w:t>
      </w:r>
      <w:r>
        <w:rPr>
          <w:rFonts w:hint="eastAsia" w:ascii="宋体" w:hAnsi="宋体" w:eastAsia="宋体" w:cs="宋体"/>
          <w:snapToGrid/>
          <w:color w:val="auto"/>
          <w:kern w:val="2"/>
          <w:highlight w:val="none"/>
        </w:rPr>
        <w:t>招标项目名称：见投标人须知前附表。</w:t>
      </w:r>
    </w:p>
    <w:p w14:paraId="46D5275B">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1.1.</w:t>
      </w:r>
      <w:r>
        <w:rPr>
          <w:rFonts w:hint="eastAsia" w:ascii="宋体" w:hAnsi="宋体" w:eastAsia="宋体" w:cs="宋体"/>
          <w:snapToGrid/>
          <w:color w:val="auto"/>
          <w:kern w:val="2"/>
          <w:highlight w:val="none"/>
          <w:lang w:val="en-US" w:eastAsia="zh-CN"/>
        </w:rPr>
        <w:t>5</w:t>
      </w:r>
      <w:r>
        <w:rPr>
          <w:rFonts w:hint="eastAsia" w:ascii="宋体" w:hAnsi="宋体" w:eastAsia="宋体" w:cs="宋体"/>
          <w:snapToGrid/>
          <w:color w:val="auto"/>
          <w:kern w:val="2"/>
          <w:highlight w:val="none"/>
        </w:rPr>
        <w:t xml:space="preserve"> 招标项目服务地点：见投标人须知前附表。</w:t>
      </w:r>
    </w:p>
    <w:p w14:paraId="0A632C2B">
      <w:pPr>
        <w:pStyle w:val="4"/>
        <w:spacing w:before="156"/>
        <w:rPr>
          <w:color w:val="auto"/>
          <w:highlight w:val="none"/>
        </w:rPr>
      </w:pPr>
      <w:bookmarkStart w:id="142" w:name="_bookmark23"/>
      <w:bookmarkEnd w:id="142"/>
      <w:bookmarkStart w:id="143" w:name="_Toc15098"/>
      <w:bookmarkStart w:id="144" w:name="_Toc21937"/>
      <w:bookmarkStart w:id="145" w:name="_Toc11740"/>
      <w:bookmarkStart w:id="146" w:name="_Toc12249"/>
      <w:r>
        <w:rPr>
          <w:rFonts w:hint="eastAsia"/>
          <w:color w:val="auto"/>
          <w:highlight w:val="none"/>
        </w:rPr>
        <w:t>1.2 招标项目的资金来源和落实情况</w:t>
      </w:r>
      <w:bookmarkEnd w:id="143"/>
      <w:bookmarkEnd w:id="144"/>
      <w:bookmarkEnd w:id="145"/>
      <w:bookmarkEnd w:id="146"/>
    </w:p>
    <w:p w14:paraId="28091EBD">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1.2.1  资金来源及比例：见投标人须知前附表。</w:t>
      </w:r>
    </w:p>
    <w:p w14:paraId="5F6ED812">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bookmarkStart w:id="147" w:name="_bookmark24"/>
      <w:bookmarkEnd w:id="147"/>
      <w:r>
        <w:rPr>
          <w:rFonts w:hint="eastAsia" w:ascii="宋体" w:hAnsi="宋体" w:eastAsia="宋体" w:cs="宋体"/>
          <w:snapToGrid/>
          <w:color w:val="auto"/>
          <w:kern w:val="2"/>
          <w:highlight w:val="none"/>
        </w:rPr>
        <w:t>1.2.2  资金落实情况：见投标人须知前附表。</w:t>
      </w:r>
    </w:p>
    <w:p w14:paraId="400183E4">
      <w:pPr>
        <w:pStyle w:val="4"/>
        <w:spacing w:before="156"/>
        <w:rPr>
          <w:color w:val="auto"/>
          <w:highlight w:val="none"/>
        </w:rPr>
      </w:pPr>
      <w:bookmarkStart w:id="148" w:name="_Toc179632549"/>
      <w:bookmarkStart w:id="149" w:name="_Toc152045532"/>
      <w:bookmarkStart w:id="150" w:name="_Toc296602423"/>
      <w:bookmarkStart w:id="151" w:name="_Toc152042308"/>
      <w:bookmarkStart w:id="152" w:name="_Toc246996178"/>
      <w:bookmarkStart w:id="153" w:name="_Toc144974500"/>
      <w:bookmarkStart w:id="154" w:name="_Toc247085692"/>
      <w:bookmarkStart w:id="155" w:name="_Toc246996921"/>
      <w:bookmarkStart w:id="156" w:name="_Toc1467"/>
      <w:bookmarkStart w:id="157" w:name="_Toc14634"/>
      <w:bookmarkStart w:id="158" w:name="_Toc6874"/>
      <w:bookmarkStart w:id="159" w:name="_Toc25813"/>
      <w:r>
        <w:rPr>
          <w:rFonts w:hint="eastAsia"/>
          <w:color w:val="auto"/>
          <w:highlight w:val="none"/>
        </w:rPr>
        <w:t>1.3 招标范围、服务期限、质量</w:t>
      </w:r>
      <w:bookmarkEnd w:id="148"/>
      <w:bookmarkEnd w:id="149"/>
      <w:bookmarkEnd w:id="150"/>
      <w:bookmarkEnd w:id="151"/>
      <w:bookmarkEnd w:id="152"/>
      <w:bookmarkEnd w:id="153"/>
      <w:bookmarkEnd w:id="154"/>
      <w:bookmarkEnd w:id="155"/>
      <w:r>
        <w:rPr>
          <w:rFonts w:hint="eastAsia"/>
          <w:color w:val="auto"/>
          <w:highlight w:val="none"/>
        </w:rPr>
        <w:t>标准</w:t>
      </w:r>
      <w:bookmarkEnd w:id="156"/>
      <w:bookmarkEnd w:id="157"/>
      <w:bookmarkEnd w:id="158"/>
      <w:bookmarkEnd w:id="159"/>
    </w:p>
    <w:p w14:paraId="4098749E">
      <w:pPr>
        <w:keepNext/>
        <w:keepLines/>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1.3.1 本次招标范围：见投标人须知前附表。</w:t>
      </w:r>
    </w:p>
    <w:p w14:paraId="146A39CB">
      <w:pPr>
        <w:keepNext/>
        <w:keepLines/>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1.3.2 本招标项目的服务期限：见投标人须知前附表。</w:t>
      </w:r>
    </w:p>
    <w:p w14:paraId="1C4DF4F3">
      <w:pPr>
        <w:keepNext/>
        <w:keepLines/>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1.3.3 本招标项目的质量标准：见投标人须知前附表。</w:t>
      </w:r>
    </w:p>
    <w:p w14:paraId="2473C4AA">
      <w:pPr>
        <w:pStyle w:val="4"/>
        <w:spacing w:before="156"/>
        <w:rPr>
          <w:color w:val="auto"/>
          <w:highlight w:val="none"/>
        </w:rPr>
      </w:pPr>
      <w:bookmarkStart w:id="160" w:name="_Toc6266"/>
      <w:bookmarkStart w:id="161" w:name="_Toc11628"/>
      <w:bookmarkStart w:id="162" w:name="_Toc9456"/>
      <w:bookmarkStart w:id="163" w:name="_Toc24496"/>
      <w:r>
        <w:rPr>
          <w:rFonts w:hint="eastAsia"/>
          <w:color w:val="auto"/>
          <w:highlight w:val="none"/>
        </w:rPr>
        <w:t>1.4 投标人资格要求</w:t>
      </w:r>
      <w:bookmarkEnd w:id="160"/>
      <w:bookmarkEnd w:id="161"/>
      <w:bookmarkEnd w:id="162"/>
      <w:bookmarkEnd w:id="163"/>
    </w:p>
    <w:p w14:paraId="469355DB">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1.4.1  投标人应具备承担本招标项目资质条件、能力和信誉：</w:t>
      </w:r>
    </w:p>
    <w:p w14:paraId="399028D0">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（1）资质要求及营业执照：见投标人须知前附表；</w:t>
      </w:r>
    </w:p>
    <w:p w14:paraId="7959CACF">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1.4.2 投标人须知前附表规定接受联合体投标的，联合体除应符合本章第 1.4.1 项和投标人须知前附表的要求外，还应遵守以下规定：</w:t>
      </w:r>
    </w:p>
    <w:p w14:paraId="100C0BF1">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（1）联合体各方应按招标文件提供的格式签订联合体协议书，明确联合体牵头人和各方权利义务，并承诺就中标项目向招标人承担连带责任；</w:t>
      </w:r>
    </w:p>
    <w:p w14:paraId="5940D2F3">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（2）由同一专业的单位组成的联合体，按照资质等级较低的单位确定资质等级；</w:t>
      </w:r>
    </w:p>
    <w:p w14:paraId="634CAF9D">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（3）联合体各方不得再以自己名义单独或参加其他联合体在本招标项目中投标，否则各相关投标均无效。</w:t>
      </w:r>
    </w:p>
    <w:p w14:paraId="3525EAD9">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1.4.3  投标人不得存在下列情形之一：</w:t>
      </w:r>
    </w:p>
    <w:p w14:paraId="5F55856F">
      <w:pPr>
        <w:pStyle w:val="12"/>
        <w:tabs>
          <w:tab w:val="left" w:leader="dot" w:pos="480"/>
        </w:tabs>
        <w:spacing w:before="110"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pacing w:val="-3"/>
          <w:szCs w:val="21"/>
          <w:highlight w:val="none"/>
        </w:rPr>
        <w:t>）</w:t>
      </w:r>
      <w:r>
        <w:rPr>
          <w:rFonts w:hint="eastAsia" w:ascii="宋体" w:hAnsi="宋体" w:eastAsia="宋体" w:cs="宋体"/>
          <w:color w:val="auto"/>
          <w:szCs w:val="21"/>
          <w:highlight w:val="none"/>
        </w:rPr>
        <w:t>为</w:t>
      </w:r>
      <w:r>
        <w:rPr>
          <w:rFonts w:hint="eastAsia" w:ascii="宋体" w:hAnsi="宋体" w:eastAsia="宋体" w:cs="宋体"/>
          <w:color w:val="auto"/>
          <w:spacing w:val="-3"/>
          <w:szCs w:val="21"/>
          <w:highlight w:val="none"/>
        </w:rPr>
        <w:t>招</w:t>
      </w:r>
      <w:r>
        <w:rPr>
          <w:rFonts w:hint="eastAsia" w:ascii="宋体" w:hAnsi="宋体" w:eastAsia="宋体" w:cs="宋体"/>
          <w:color w:val="auto"/>
          <w:szCs w:val="21"/>
          <w:highlight w:val="none"/>
        </w:rPr>
        <w:t>标</w:t>
      </w:r>
      <w:r>
        <w:rPr>
          <w:rFonts w:hint="eastAsia" w:ascii="宋体" w:hAnsi="宋体" w:eastAsia="宋体" w:cs="宋体"/>
          <w:color w:val="auto"/>
          <w:spacing w:val="-3"/>
          <w:szCs w:val="21"/>
          <w:highlight w:val="none"/>
        </w:rPr>
        <w:t>人</w:t>
      </w:r>
      <w:r>
        <w:rPr>
          <w:rFonts w:hint="eastAsia" w:ascii="宋体" w:hAnsi="宋体" w:eastAsia="宋体" w:cs="宋体"/>
          <w:color w:val="auto"/>
          <w:szCs w:val="21"/>
          <w:highlight w:val="none"/>
        </w:rPr>
        <w:t>不</w:t>
      </w:r>
      <w:r>
        <w:rPr>
          <w:rFonts w:hint="eastAsia" w:ascii="宋体" w:hAnsi="宋体" w:eastAsia="宋体" w:cs="宋体"/>
          <w:color w:val="auto"/>
          <w:spacing w:val="-3"/>
          <w:szCs w:val="21"/>
          <w:highlight w:val="none"/>
        </w:rPr>
        <w:t>具</w:t>
      </w:r>
      <w:r>
        <w:rPr>
          <w:rFonts w:hint="eastAsia" w:ascii="宋体" w:hAnsi="宋体" w:eastAsia="宋体" w:cs="宋体"/>
          <w:color w:val="auto"/>
          <w:szCs w:val="21"/>
          <w:highlight w:val="none"/>
        </w:rPr>
        <w:t>有</w:t>
      </w:r>
      <w:r>
        <w:rPr>
          <w:rFonts w:hint="eastAsia" w:ascii="宋体" w:hAnsi="宋体" w:eastAsia="宋体" w:cs="宋体"/>
          <w:color w:val="auto"/>
          <w:spacing w:val="-3"/>
          <w:szCs w:val="21"/>
          <w:highlight w:val="none"/>
        </w:rPr>
        <w:t>独立</w:t>
      </w:r>
      <w:r>
        <w:rPr>
          <w:rFonts w:hint="eastAsia" w:ascii="宋体" w:hAnsi="宋体" w:eastAsia="宋体" w:cs="宋体"/>
          <w:color w:val="auto"/>
          <w:szCs w:val="21"/>
          <w:highlight w:val="none"/>
        </w:rPr>
        <w:t>法人</w:t>
      </w:r>
      <w:r>
        <w:rPr>
          <w:rFonts w:hint="eastAsia" w:ascii="宋体" w:hAnsi="宋体" w:eastAsia="宋体" w:cs="宋体"/>
          <w:color w:val="auto"/>
          <w:spacing w:val="-3"/>
          <w:szCs w:val="21"/>
          <w:highlight w:val="none"/>
        </w:rPr>
        <w:t>资</w:t>
      </w:r>
      <w:r>
        <w:rPr>
          <w:rFonts w:hint="eastAsia" w:ascii="宋体" w:hAnsi="宋体" w:eastAsia="宋体" w:cs="宋体"/>
          <w:color w:val="auto"/>
          <w:szCs w:val="21"/>
          <w:highlight w:val="none"/>
        </w:rPr>
        <w:t>格</w:t>
      </w:r>
      <w:r>
        <w:rPr>
          <w:rFonts w:hint="eastAsia" w:ascii="宋体" w:hAnsi="宋体" w:eastAsia="宋体" w:cs="宋体"/>
          <w:color w:val="auto"/>
          <w:spacing w:val="-3"/>
          <w:szCs w:val="21"/>
          <w:highlight w:val="none"/>
        </w:rPr>
        <w:t>的</w:t>
      </w:r>
      <w:r>
        <w:rPr>
          <w:rFonts w:hint="eastAsia" w:ascii="宋体" w:hAnsi="宋体" w:eastAsia="宋体" w:cs="宋体"/>
          <w:color w:val="auto"/>
          <w:szCs w:val="21"/>
          <w:highlight w:val="none"/>
        </w:rPr>
        <w:t>附</w:t>
      </w:r>
      <w:r>
        <w:rPr>
          <w:rFonts w:hint="eastAsia" w:ascii="宋体" w:hAnsi="宋体" w:eastAsia="宋体" w:cs="宋体"/>
          <w:color w:val="auto"/>
          <w:spacing w:val="-3"/>
          <w:szCs w:val="21"/>
          <w:highlight w:val="none"/>
        </w:rPr>
        <w:t>属</w:t>
      </w:r>
      <w:r>
        <w:rPr>
          <w:rFonts w:hint="eastAsia" w:ascii="宋体" w:hAnsi="宋体" w:eastAsia="宋体" w:cs="宋体"/>
          <w:color w:val="auto"/>
          <w:szCs w:val="21"/>
          <w:highlight w:val="none"/>
        </w:rPr>
        <w:t>机</w:t>
      </w:r>
      <w:r>
        <w:rPr>
          <w:rFonts w:hint="eastAsia" w:ascii="宋体" w:hAnsi="宋体" w:eastAsia="宋体" w:cs="宋体"/>
          <w:color w:val="auto"/>
          <w:spacing w:val="-3"/>
          <w:szCs w:val="21"/>
          <w:highlight w:val="none"/>
        </w:rPr>
        <w:t>构</w:t>
      </w:r>
      <w:r>
        <w:rPr>
          <w:rFonts w:hint="eastAsia" w:ascii="宋体" w:hAnsi="宋体" w:eastAsia="宋体" w:cs="宋体"/>
          <w:color w:val="auto"/>
          <w:szCs w:val="21"/>
          <w:highlight w:val="none"/>
        </w:rPr>
        <w:t>（</w:t>
      </w:r>
      <w:r>
        <w:rPr>
          <w:rFonts w:hint="eastAsia" w:ascii="宋体" w:hAnsi="宋体" w:eastAsia="宋体" w:cs="宋体"/>
          <w:color w:val="auto"/>
          <w:spacing w:val="-3"/>
          <w:szCs w:val="21"/>
          <w:highlight w:val="none"/>
        </w:rPr>
        <w:t>单</w:t>
      </w:r>
      <w:r>
        <w:rPr>
          <w:rFonts w:hint="eastAsia" w:ascii="宋体" w:hAnsi="宋体" w:eastAsia="宋体" w:cs="宋体"/>
          <w:color w:val="auto"/>
          <w:szCs w:val="21"/>
          <w:highlight w:val="none"/>
        </w:rPr>
        <w:t>位</w:t>
      </w:r>
      <w:r>
        <w:rPr>
          <w:rFonts w:hint="eastAsia" w:ascii="宋体" w:hAnsi="宋体" w:eastAsia="宋体" w:cs="宋体"/>
          <w:color w:val="auto"/>
          <w:spacing w:val="-106"/>
          <w:szCs w:val="21"/>
          <w:highlight w:val="none"/>
        </w:rPr>
        <w:t>）</w:t>
      </w:r>
      <w:r>
        <w:rPr>
          <w:rFonts w:hint="eastAsia" w:ascii="宋体" w:hAnsi="宋体" w:eastAsia="宋体" w:cs="宋体"/>
          <w:color w:val="auto"/>
          <w:szCs w:val="21"/>
          <w:highlight w:val="none"/>
        </w:rPr>
        <w:t>；</w:t>
      </w:r>
    </w:p>
    <w:p w14:paraId="320486E9">
      <w:pPr>
        <w:pStyle w:val="12"/>
        <w:tabs>
          <w:tab w:val="left" w:leader="dot" w:pos="480"/>
        </w:tabs>
        <w:spacing w:before="107"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（2）与招标人存在利害关系且可能影响招标公正性；</w:t>
      </w:r>
    </w:p>
    <w:p w14:paraId="712FFF50">
      <w:pPr>
        <w:pStyle w:val="12"/>
        <w:tabs>
          <w:tab w:val="left" w:leader="dot" w:pos="480"/>
        </w:tabs>
        <w:spacing w:before="110"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（3）与本招标项目的其他投标人为同一个单位负责人；</w:t>
      </w:r>
    </w:p>
    <w:p w14:paraId="6EE99160">
      <w:pPr>
        <w:pStyle w:val="12"/>
        <w:tabs>
          <w:tab w:val="left" w:leader="dot" w:pos="480"/>
        </w:tabs>
        <w:spacing w:before="110"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（4）与本招标项目的其他投标人存在控股、管理关系；</w:t>
      </w:r>
    </w:p>
    <w:p w14:paraId="6A122204">
      <w:pPr>
        <w:pStyle w:val="12"/>
        <w:tabs>
          <w:tab w:val="left" w:leader="dot" w:pos="480"/>
        </w:tabs>
        <w:spacing w:before="107"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（5）为本招标项目的代建人；</w:t>
      </w:r>
    </w:p>
    <w:p w14:paraId="2DC606EE">
      <w:pPr>
        <w:pStyle w:val="12"/>
        <w:tabs>
          <w:tab w:val="left" w:leader="dot" w:pos="480"/>
        </w:tabs>
        <w:spacing w:before="110"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（6）为本招标项目的招标代理机构；</w:t>
      </w:r>
    </w:p>
    <w:p w14:paraId="6B71A513">
      <w:pPr>
        <w:pStyle w:val="12"/>
        <w:tabs>
          <w:tab w:val="left" w:leader="dot" w:pos="480"/>
        </w:tabs>
        <w:spacing w:before="110"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（7）与本招标项目的代建人或招标代理机构同为一个法定代表人；</w:t>
      </w:r>
    </w:p>
    <w:p w14:paraId="1DE7E86A">
      <w:pPr>
        <w:pStyle w:val="12"/>
        <w:tabs>
          <w:tab w:val="left" w:leader="dot" w:pos="480"/>
        </w:tabs>
        <w:spacing w:before="107"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（8）与本招标项目的代建人或招标代理机构存在控股或参股关系；</w:t>
      </w:r>
    </w:p>
    <w:p w14:paraId="2F26BF24">
      <w:pPr>
        <w:pStyle w:val="12"/>
        <w:tabs>
          <w:tab w:val="left" w:leader="dot" w:pos="480"/>
        </w:tabs>
        <w:spacing w:before="110"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（9）被依法暂停或者取消投标资格；</w:t>
      </w:r>
    </w:p>
    <w:p w14:paraId="79249159">
      <w:pPr>
        <w:pStyle w:val="12"/>
        <w:tabs>
          <w:tab w:val="left" w:leader="dot" w:pos="480"/>
        </w:tabs>
        <w:spacing w:before="110"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（10）被责令停产停业、暂扣或者吊销许可证、暂扣或者吊销执照；</w:t>
      </w:r>
    </w:p>
    <w:p w14:paraId="7B41E212">
      <w:pPr>
        <w:pStyle w:val="12"/>
        <w:tabs>
          <w:tab w:val="left" w:leader="dot" w:pos="480"/>
        </w:tabs>
        <w:spacing w:before="107"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（11）进入清算程序，或被宣告破产，或其他丧失履约能力的情形；</w:t>
      </w:r>
    </w:p>
    <w:p w14:paraId="596E4589">
      <w:pPr>
        <w:pStyle w:val="12"/>
        <w:tabs>
          <w:tab w:val="left" w:leader="dot" w:pos="480"/>
        </w:tabs>
        <w:spacing w:before="110" w:line="360" w:lineRule="auto"/>
        <w:ind w:left="520" w:right="107"/>
        <w:rPr>
          <w:rFonts w:ascii="宋体" w:hAnsi="宋体" w:eastAsia="宋体" w:cs="宋体"/>
          <w:color w:val="auto"/>
          <w:szCs w:val="21"/>
          <w:highlight w:val="none"/>
        </w:rPr>
      </w:pPr>
      <w:r>
        <w:rPr>
          <w:rFonts w:hint="eastAsia" w:ascii="宋体" w:hAnsi="宋体" w:eastAsia="宋体" w:cs="宋体"/>
          <w:color w:val="auto"/>
          <w:spacing w:val="-1"/>
          <w:szCs w:val="21"/>
          <w:highlight w:val="none"/>
        </w:rPr>
        <w:t>（12）在</w:t>
      </w:r>
      <w:r>
        <w:rPr>
          <w:rFonts w:hint="eastAsia" w:ascii="宋体" w:hAnsi="宋体" w:eastAsia="宋体" w:cs="宋体"/>
          <w:color w:val="auto"/>
          <w:szCs w:val="21"/>
          <w:highlight w:val="none"/>
        </w:rPr>
        <w:t>最近</w:t>
      </w:r>
      <w:r>
        <w:rPr>
          <w:rFonts w:hint="eastAsia" w:ascii="宋体" w:hAnsi="宋体" w:eastAsia="宋体" w:cs="宋体"/>
          <w:color w:val="auto"/>
          <w:spacing w:val="-1"/>
          <w:szCs w:val="21"/>
          <w:highlight w:val="none"/>
        </w:rPr>
        <w:t>三年内发生重大质量问题（以相关行业主管部门的行政处罚决定或司法</w:t>
      </w:r>
      <w:r>
        <w:rPr>
          <w:rFonts w:hint="eastAsia" w:ascii="宋体" w:hAnsi="宋体" w:eastAsia="宋体" w:cs="宋体"/>
          <w:color w:val="auto"/>
          <w:spacing w:val="-9"/>
          <w:szCs w:val="21"/>
          <w:highlight w:val="none"/>
        </w:rPr>
        <w:t>机关出具的有关法律文书为准）；</w:t>
      </w:r>
    </w:p>
    <w:p w14:paraId="2A09F82C">
      <w:pPr>
        <w:pStyle w:val="12"/>
        <w:tabs>
          <w:tab w:val="left" w:leader="dot" w:pos="480"/>
        </w:tabs>
        <w:spacing w:before="110" w:line="360" w:lineRule="auto"/>
        <w:ind w:right="107" w:firstLine="419"/>
        <w:rPr>
          <w:rFonts w:ascii="宋体" w:hAnsi="宋体" w:eastAsia="宋体" w:cs="宋体"/>
          <w:color w:val="auto"/>
          <w:spacing w:val="-9"/>
          <w:szCs w:val="21"/>
          <w:highlight w:val="none"/>
        </w:rPr>
      </w:pPr>
      <w:r>
        <w:rPr>
          <w:rFonts w:hint="eastAsia" w:ascii="宋体" w:hAnsi="宋体" w:eastAsia="宋体" w:cs="宋体"/>
          <w:color w:val="auto"/>
          <w:spacing w:val="-9"/>
          <w:szCs w:val="21"/>
          <w:highlight w:val="none"/>
        </w:rPr>
        <w:t>（13）被市场监督管理机关在全国企业信用信息公示系统中列入严重违法失信企业名单；</w:t>
      </w:r>
    </w:p>
    <w:p w14:paraId="106E641C">
      <w:pPr>
        <w:pStyle w:val="12"/>
        <w:tabs>
          <w:tab w:val="left" w:leader="dot" w:pos="480"/>
        </w:tabs>
        <w:spacing w:before="110" w:line="360" w:lineRule="auto"/>
        <w:ind w:right="107" w:firstLine="419"/>
        <w:rPr>
          <w:rFonts w:ascii="宋体" w:hAnsi="宋体" w:eastAsia="宋体" w:cs="宋体"/>
          <w:color w:val="auto"/>
          <w:szCs w:val="21"/>
          <w:highlight w:val="none"/>
        </w:rPr>
      </w:pPr>
      <w:r>
        <w:rPr>
          <w:rFonts w:hint="eastAsia" w:ascii="宋体" w:hAnsi="宋体" w:eastAsia="宋体" w:cs="宋体"/>
          <w:color w:val="auto"/>
          <w:spacing w:val="-4"/>
          <w:szCs w:val="21"/>
          <w:highlight w:val="none"/>
        </w:rPr>
        <w:t>（14）被最高人民法院在“信用中国”网站（</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hint="eastAsia" w:ascii="宋体" w:hAnsi="宋体" w:eastAsia="宋体" w:cs="宋体"/>
          <w:color w:val="auto"/>
          <w:spacing w:val="-4"/>
          <w:szCs w:val="21"/>
          <w:highlight w:val="none"/>
        </w:rPr>
        <w:t>www.creditchina.gov.cn</w:t>
      </w:r>
      <w:r>
        <w:rPr>
          <w:rFonts w:hint="eastAsia" w:ascii="宋体" w:hAnsi="宋体" w:eastAsia="宋体" w:cs="宋体"/>
          <w:color w:val="auto"/>
          <w:spacing w:val="-4"/>
          <w:szCs w:val="21"/>
          <w:highlight w:val="none"/>
        </w:rPr>
        <w:fldChar w:fldCharType="end"/>
      </w:r>
      <w:r>
        <w:rPr>
          <w:rFonts w:hint="eastAsia" w:ascii="宋体" w:hAnsi="宋体" w:eastAsia="宋体" w:cs="宋体"/>
          <w:color w:val="auto"/>
          <w:spacing w:val="-4"/>
          <w:szCs w:val="21"/>
          <w:highlight w:val="none"/>
        </w:rPr>
        <w:t>）或各级信用信息共享平</w:t>
      </w:r>
      <w:r>
        <w:rPr>
          <w:rFonts w:hint="eastAsia" w:ascii="宋体" w:hAnsi="宋体" w:eastAsia="宋体" w:cs="宋体"/>
          <w:color w:val="auto"/>
          <w:szCs w:val="21"/>
          <w:highlight w:val="none"/>
        </w:rPr>
        <w:t>台中列入失信被执行人名单；</w:t>
      </w:r>
    </w:p>
    <w:p w14:paraId="5949842F">
      <w:pPr>
        <w:pStyle w:val="12"/>
        <w:tabs>
          <w:tab w:val="left" w:leader="dot" w:pos="480"/>
        </w:tabs>
        <w:spacing w:before="43" w:line="360" w:lineRule="auto"/>
        <w:ind w:right="107" w:firstLine="419"/>
        <w:rPr>
          <w:rFonts w:ascii="宋体" w:hAnsi="宋体" w:eastAsia="宋体" w:cs="宋体"/>
          <w:color w:val="auto"/>
          <w:szCs w:val="21"/>
          <w:highlight w:val="none"/>
        </w:rPr>
      </w:pPr>
      <w:r>
        <w:rPr>
          <w:rFonts w:hint="eastAsia" w:ascii="宋体" w:hAnsi="宋体" w:eastAsia="宋体" w:cs="宋体"/>
          <w:color w:val="auto"/>
          <w:spacing w:val="-1"/>
          <w:szCs w:val="21"/>
          <w:highlight w:val="none"/>
        </w:rPr>
        <w:t>（15）在近三年内投标人或其法定代表人、拟委任的项目负责人有行贿犯罪行为的</w:t>
      </w:r>
      <w:r>
        <w:rPr>
          <w:rFonts w:hint="eastAsia" w:ascii="宋体" w:hAnsi="宋体" w:eastAsia="宋体" w:cs="宋体"/>
          <w:color w:val="auto"/>
          <w:spacing w:val="-6"/>
          <w:szCs w:val="21"/>
          <w:highlight w:val="none"/>
        </w:rPr>
        <w:t>；</w:t>
      </w:r>
    </w:p>
    <w:p w14:paraId="2BD89786">
      <w:pPr>
        <w:widowControl w:val="0"/>
        <w:kinsoku/>
        <w:autoSpaceDE/>
        <w:autoSpaceDN/>
        <w:adjustRightInd/>
        <w:snapToGrid/>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color w:val="auto"/>
          <w:highlight w:val="none"/>
        </w:rPr>
        <w:t>（16）</w:t>
      </w:r>
      <w:r>
        <w:rPr>
          <w:rFonts w:hint="eastAsia" w:ascii="宋体" w:hAnsi="宋体" w:eastAsia="宋体" w:cs="宋体"/>
          <w:color w:val="auto"/>
          <w:spacing w:val="-4"/>
          <w:highlight w:val="none"/>
        </w:rPr>
        <w:t>法律</w:t>
      </w:r>
      <w:r>
        <w:rPr>
          <w:rFonts w:hint="eastAsia" w:ascii="宋体" w:hAnsi="宋体" w:eastAsia="宋体" w:cs="宋体"/>
          <w:color w:val="auto"/>
          <w:highlight w:val="none"/>
        </w:rPr>
        <w:t>法规或投标人须知前附表规定的其他情形。</w:t>
      </w:r>
    </w:p>
    <w:p w14:paraId="6EF3C8E8">
      <w:pPr>
        <w:pStyle w:val="4"/>
        <w:spacing w:before="156"/>
        <w:rPr>
          <w:color w:val="auto"/>
          <w:highlight w:val="none"/>
        </w:rPr>
      </w:pPr>
      <w:bookmarkStart w:id="164" w:name="_bookmark26"/>
      <w:bookmarkEnd w:id="164"/>
      <w:bookmarkStart w:id="165" w:name="_Toc26913"/>
      <w:bookmarkStart w:id="166" w:name="_Toc28085"/>
      <w:bookmarkStart w:id="167" w:name="_Toc28626"/>
      <w:bookmarkStart w:id="168" w:name="_Toc30232"/>
      <w:r>
        <w:rPr>
          <w:rFonts w:hint="eastAsia"/>
          <w:color w:val="auto"/>
          <w:highlight w:val="none"/>
        </w:rPr>
        <w:t>1.5 费用承担</w:t>
      </w:r>
      <w:bookmarkEnd w:id="165"/>
      <w:bookmarkEnd w:id="166"/>
      <w:bookmarkEnd w:id="167"/>
      <w:bookmarkEnd w:id="168"/>
    </w:p>
    <w:p w14:paraId="370B6775">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bookmarkStart w:id="169" w:name="_bookmark27"/>
      <w:bookmarkEnd w:id="169"/>
      <w:r>
        <w:rPr>
          <w:rFonts w:hint="eastAsia" w:ascii="宋体" w:hAnsi="宋体" w:eastAsia="宋体" w:cs="宋体"/>
          <w:snapToGrid/>
          <w:color w:val="auto"/>
          <w:kern w:val="2"/>
          <w:highlight w:val="none"/>
        </w:rPr>
        <w:t>投标人准备和参加投标活动发生的费用自理。</w:t>
      </w:r>
    </w:p>
    <w:p w14:paraId="290226EC">
      <w:pPr>
        <w:pStyle w:val="4"/>
        <w:spacing w:before="156"/>
        <w:rPr>
          <w:color w:val="auto"/>
          <w:highlight w:val="none"/>
        </w:rPr>
      </w:pPr>
      <w:bookmarkStart w:id="170" w:name="_Toc19013"/>
      <w:bookmarkStart w:id="171" w:name="_Toc17172"/>
      <w:bookmarkStart w:id="172" w:name="_Toc26130"/>
      <w:bookmarkStart w:id="173" w:name="_Toc3385"/>
      <w:r>
        <w:rPr>
          <w:rFonts w:hint="eastAsia"/>
          <w:color w:val="auto"/>
          <w:highlight w:val="none"/>
        </w:rPr>
        <w:t>1.6 保密</w:t>
      </w:r>
      <w:bookmarkEnd w:id="170"/>
      <w:bookmarkEnd w:id="171"/>
      <w:bookmarkEnd w:id="172"/>
      <w:bookmarkEnd w:id="173"/>
    </w:p>
    <w:p w14:paraId="19251E50">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参与招标投标活动的各方应对招标文件和投标文件中的商业和技术等秘密保密，否则应承</w:t>
      </w:r>
      <w:bookmarkStart w:id="174" w:name="_bookmark28"/>
      <w:bookmarkEnd w:id="174"/>
      <w:r>
        <w:rPr>
          <w:rFonts w:hint="eastAsia" w:ascii="宋体" w:hAnsi="宋体" w:eastAsia="宋体" w:cs="宋体"/>
          <w:snapToGrid/>
          <w:color w:val="auto"/>
          <w:kern w:val="2"/>
          <w:highlight w:val="none"/>
        </w:rPr>
        <w:t>担相应的法律责任。</w:t>
      </w:r>
    </w:p>
    <w:p w14:paraId="4AB2A069">
      <w:pPr>
        <w:pStyle w:val="4"/>
        <w:spacing w:before="156"/>
        <w:rPr>
          <w:color w:val="auto"/>
          <w:highlight w:val="none"/>
        </w:rPr>
      </w:pPr>
      <w:bookmarkStart w:id="175" w:name="_Toc4894"/>
      <w:bookmarkStart w:id="176" w:name="_Toc24195"/>
      <w:bookmarkStart w:id="177" w:name="_Toc9022"/>
      <w:bookmarkStart w:id="178" w:name="_Toc14890"/>
      <w:r>
        <w:rPr>
          <w:rFonts w:hint="eastAsia"/>
          <w:color w:val="auto"/>
          <w:highlight w:val="none"/>
        </w:rPr>
        <w:t>1.7 语言文字</w:t>
      </w:r>
      <w:bookmarkEnd w:id="175"/>
      <w:bookmarkEnd w:id="176"/>
      <w:bookmarkEnd w:id="177"/>
      <w:bookmarkEnd w:id="178"/>
    </w:p>
    <w:p w14:paraId="37A2A47C">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招标投标文件使用的语言文字为中文。专用术语使用外文的，应附有中文注释。</w:t>
      </w:r>
    </w:p>
    <w:p w14:paraId="37F6C113">
      <w:pPr>
        <w:pStyle w:val="4"/>
        <w:spacing w:before="156"/>
        <w:rPr>
          <w:color w:val="auto"/>
          <w:highlight w:val="none"/>
        </w:rPr>
      </w:pPr>
      <w:bookmarkStart w:id="179" w:name="_bookmark29"/>
      <w:bookmarkEnd w:id="179"/>
      <w:bookmarkStart w:id="180" w:name="_Toc10236"/>
      <w:bookmarkStart w:id="181" w:name="_Toc20389"/>
      <w:bookmarkStart w:id="182" w:name="_Toc21759"/>
      <w:bookmarkStart w:id="183" w:name="_Toc3014"/>
      <w:r>
        <w:rPr>
          <w:rFonts w:hint="eastAsia"/>
          <w:color w:val="auto"/>
          <w:highlight w:val="none"/>
        </w:rPr>
        <w:t>1.8 计量单位</w:t>
      </w:r>
      <w:bookmarkEnd w:id="180"/>
      <w:bookmarkEnd w:id="181"/>
      <w:bookmarkEnd w:id="182"/>
      <w:bookmarkEnd w:id="183"/>
    </w:p>
    <w:p w14:paraId="1428C52E">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bookmarkStart w:id="184" w:name="_bookmark30"/>
      <w:bookmarkEnd w:id="184"/>
      <w:r>
        <w:rPr>
          <w:rFonts w:hint="eastAsia" w:ascii="宋体" w:hAnsi="宋体" w:eastAsia="宋体" w:cs="宋体"/>
          <w:snapToGrid/>
          <w:color w:val="auto"/>
          <w:kern w:val="2"/>
          <w:highlight w:val="none"/>
        </w:rPr>
        <w:t>所有计量均采用中华人民共和国法定计量单位。</w:t>
      </w:r>
    </w:p>
    <w:p w14:paraId="41CF954B">
      <w:pPr>
        <w:pStyle w:val="4"/>
        <w:spacing w:before="156"/>
        <w:rPr>
          <w:color w:val="auto"/>
          <w:highlight w:val="none"/>
        </w:rPr>
      </w:pPr>
      <w:bookmarkStart w:id="185" w:name="_Toc5626"/>
      <w:bookmarkStart w:id="186" w:name="_Toc15612"/>
      <w:bookmarkStart w:id="187" w:name="_Toc29029"/>
      <w:bookmarkStart w:id="188" w:name="_Toc21008"/>
      <w:r>
        <w:rPr>
          <w:rFonts w:hint="eastAsia"/>
          <w:color w:val="auto"/>
          <w:highlight w:val="none"/>
        </w:rPr>
        <w:t>1.9 踏勘现场</w:t>
      </w:r>
      <w:bookmarkEnd w:id="185"/>
      <w:bookmarkEnd w:id="186"/>
      <w:bookmarkEnd w:id="187"/>
      <w:bookmarkEnd w:id="188"/>
    </w:p>
    <w:p w14:paraId="39047B8B">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 xml:space="preserve">1.9.1 投标人须知前附表规定组织踏勘现场的，招标人按投标人须知前附表规定的时间、地点组织投标人踏勘项目现场。 </w:t>
      </w:r>
    </w:p>
    <w:p w14:paraId="76D8579F">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1.9.2 投标人踏勘现场发生的费用自理。</w:t>
      </w:r>
    </w:p>
    <w:p w14:paraId="31DDF299">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1.9.3 除招标人的原因外，投标人自行负责在踏勘现场中所发生的人员伤亡和财产损失。</w:t>
      </w:r>
    </w:p>
    <w:p w14:paraId="2B177938">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1.9.4 招标人在踏勘现场中介绍的场地和相关的周边环境情况，供投标人在编制投标文件时参考，招标人不对投标人据此作出的判断和决策负责。</w:t>
      </w:r>
    </w:p>
    <w:p w14:paraId="7F5742AE">
      <w:pPr>
        <w:pStyle w:val="4"/>
        <w:spacing w:before="156"/>
        <w:rPr>
          <w:color w:val="auto"/>
          <w:highlight w:val="none"/>
        </w:rPr>
      </w:pPr>
      <w:bookmarkStart w:id="189" w:name="_bookmark31"/>
      <w:bookmarkEnd w:id="189"/>
      <w:bookmarkStart w:id="190" w:name="_Toc9090"/>
      <w:bookmarkStart w:id="191" w:name="_Toc14937"/>
      <w:bookmarkStart w:id="192" w:name="_Toc52"/>
      <w:bookmarkStart w:id="193" w:name="_Toc18607"/>
      <w:r>
        <w:rPr>
          <w:rFonts w:hint="eastAsia"/>
          <w:color w:val="auto"/>
          <w:highlight w:val="none"/>
        </w:rPr>
        <w:t>1.10 分包</w:t>
      </w:r>
      <w:bookmarkEnd w:id="190"/>
      <w:bookmarkEnd w:id="191"/>
      <w:bookmarkEnd w:id="192"/>
      <w:bookmarkEnd w:id="193"/>
    </w:p>
    <w:p w14:paraId="32B8FCA4">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投标人拟在中标后将中标项目的部分非主体、非关键性工作进行分包的，应符合投标人须知前附表规定的分包内容、分包金额和接受分包的第三人资质要求等限制性条件。</w:t>
      </w:r>
    </w:p>
    <w:p w14:paraId="23DC7E23">
      <w:pPr>
        <w:pStyle w:val="4"/>
        <w:spacing w:before="156"/>
        <w:rPr>
          <w:color w:val="auto"/>
          <w:highlight w:val="none"/>
        </w:rPr>
      </w:pPr>
      <w:bookmarkStart w:id="194" w:name="_Toc4539"/>
      <w:bookmarkStart w:id="195" w:name="_Toc27618"/>
      <w:bookmarkStart w:id="196" w:name="_Toc14732"/>
      <w:bookmarkStart w:id="197" w:name="_Toc21812"/>
      <w:r>
        <w:rPr>
          <w:rFonts w:hint="eastAsia"/>
          <w:color w:val="auto"/>
          <w:highlight w:val="none"/>
        </w:rPr>
        <w:t>1.11 偏离</w:t>
      </w:r>
      <w:bookmarkEnd w:id="194"/>
      <w:bookmarkEnd w:id="195"/>
      <w:bookmarkEnd w:id="196"/>
      <w:bookmarkEnd w:id="197"/>
    </w:p>
    <w:p w14:paraId="22066883">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投标人须知前附表允许投标文件偏离招标文件某些要求的，偏离应当符合招标文件规定 的偏离范围和幅度。</w:t>
      </w:r>
    </w:p>
    <w:p w14:paraId="2E2C9243">
      <w:pPr>
        <w:pStyle w:val="3"/>
        <w:numPr>
          <w:ilvl w:val="0"/>
          <w:numId w:val="2"/>
        </w:numPr>
        <w:spacing w:before="156"/>
        <w:rPr>
          <w:color w:val="auto"/>
          <w:highlight w:val="none"/>
        </w:rPr>
      </w:pPr>
      <w:bookmarkStart w:id="198" w:name="_bookmark33"/>
      <w:bookmarkEnd w:id="198"/>
      <w:bookmarkStart w:id="199" w:name="_bookmark34"/>
      <w:bookmarkEnd w:id="199"/>
      <w:bookmarkStart w:id="200" w:name="_Toc20022"/>
      <w:bookmarkStart w:id="201" w:name="_Toc6497"/>
      <w:bookmarkStart w:id="202" w:name="_Toc32329"/>
      <w:bookmarkStart w:id="203" w:name="_Toc20634"/>
      <w:bookmarkStart w:id="204" w:name="_Toc4741"/>
      <w:bookmarkStart w:id="205" w:name="_Toc7826"/>
      <w:r>
        <w:rPr>
          <w:rFonts w:hint="eastAsia"/>
          <w:color w:val="auto"/>
          <w:highlight w:val="none"/>
        </w:rPr>
        <w:t>招标文件</w:t>
      </w:r>
      <w:bookmarkEnd w:id="200"/>
      <w:bookmarkEnd w:id="201"/>
      <w:bookmarkEnd w:id="202"/>
      <w:bookmarkEnd w:id="203"/>
      <w:bookmarkEnd w:id="204"/>
      <w:bookmarkEnd w:id="205"/>
    </w:p>
    <w:p w14:paraId="5715D484">
      <w:pPr>
        <w:pStyle w:val="4"/>
        <w:spacing w:before="156"/>
        <w:rPr>
          <w:color w:val="auto"/>
          <w:highlight w:val="none"/>
        </w:rPr>
      </w:pPr>
      <w:bookmarkStart w:id="206" w:name="_Toc9322"/>
      <w:bookmarkStart w:id="207" w:name="_Toc3817"/>
      <w:bookmarkStart w:id="208" w:name="_Toc11650"/>
      <w:bookmarkStart w:id="209" w:name="_Toc27175"/>
      <w:r>
        <w:rPr>
          <w:rFonts w:hint="eastAsia"/>
          <w:color w:val="auto"/>
          <w:highlight w:val="none"/>
        </w:rPr>
        <w:t>2.1 招标文件的组成</w:t>
      </w:r>
      <w:bookmarkEnd w:id="206"/>
      <w:bookmarkEnd w:id="207"/>
      <w:bookmarkEnd w:id="208"/>
      <w:bookmarkEnd w:id="209"/>
    </w:p>
    <w:p w14:paraId="01F36B7E">
      <w:pPr>
        <w:kinsoku/>
        <w:autoSpaceDE/>
        <w:autoSpaceDN/>
        <w:adjustRightInd/>
        <w:snapToGrid/>
        <w:spacing w:line="360" w:lineRule="auto"/>
        <w:ind w:firstLine="359" w:firstLineChars="171"/>
        <w:textAlignment w:val="auto"/>
        <w:rPr>
          <w:rFonts w:ascii="宋体" w:hAnsi="宋体" w:eastAsia="宋体" w:cs="宋体"/>
          <w:color w:val="auto"/>
          <w:highlight w:val="none"/>
        </w:rPr>
      </w:pPr>
      <w:r>
        <w:rPr>
          <w:rFonts w:hint="eastAsia" w:ascii="宋体" w:hAnsi="宋体" w:eastAsia="宋体" w:cs="宋体"/>
          <w:color w:val="auto"/>
          <w:highlight w:val="none"/>
        </w:rPr>
        <w:t>本招标文件包括：</w:t>
      </w:r>
    </w:p>
    <w:p w14:paraId="34B6682F">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（1）招标公告；</w:t>
      </w:r>
    </w:p>
    <w:p w14:paraId="60B1B714">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（2）投标人须知；</w:t>
      </w:r>
    </w:p>
    <w:p w14:paraId="47CA00D5">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（3）评标办法；</w:t>
      </w:r>
    </w:p>
    <w:p w14:paraId="3377AD34">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（4）合同条款及格式；</w:t>
      </w:r>
    </w:p>
    <w:p w14:paraId="00C9E699">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 xml:space="preserve">（5）发包人要求； </w:t>
      </w:r>
    </w:p>
    <w:p w14:paraId="1F092C57">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（6）投标文件格式；</w:t>
      </w:r>
    </w:p>
    <w:p w14:paraId="738EA057">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（7）投标人须知前附表规定的其他材料。</w:t>
      </w:r>
    </w:p>
    <w:p w14:paraId="62441191">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根据本章第 2.2 款和第 2.3 款对招标文件所作的澄清、修改，构成招标文件的组</w:t>
      </w:r>
      <w:bookmarkStart w:id="210" w:name="_bookmark35"/>
      <w:bookmarkEnd w:id="210"/>
      <w:r>
        <w:rPr>
          <w:rFonts w:hint="eastAsia" w:ascii="宋体" w:hAnsi="宋体" w:eastAsia="宋体" w:cs="宋体"/>
          <w:snapToGrid/>
          <w:color w:val="auto"/>
          <w:kern w:val="2"/>
          <w:highlight w:val="none"/>
        </w:rPr>
        <w:t>成部分。</w:t>
      </w:r>
    </w:p>
    <w:p w14:paraId="35F8FACF">
      <w:pPr>
        <w:pStyle w:val="4"/>
        <w:spacing w:before="156"/>
        <w:rPr>
          <w:color w:val="auto"/>
          <w:highlight w:val="none"/>
        </w:rPr>
      </w:pPr>
      <w:bookmarkStart w:id="211" w:name="_Toc6519"/>
      <w:bookmarkStart w:id="212" w:name="_Toc9059"/>
      <w:bookmarkStart w:id="213" w:name="_Toc6713"/>
      <w:bookmarkStart w:id="214" w:name="_Toc4750"/>
      <w:r>
        <w:rPr>
          <w:rFonts w:hint="eastAsia"/>
          <w:color w:val="auto"/>
          <w:highlight w:val="none"/>
        </w:rPr>
        <w:t>2.2 招标文件的澄清</w:t>
      </w:r>
      <w:bookmarkEnd w:id="211"/>
      <w:bookmarkEnd w:id="212"/>
      <w:bookmarkEnd w:id="213"/>
      <w:bookmarkEnd w:id="214"/>
    </w:p>
    <w:p w14:paraId="24187045">
      <w:pPr>
        <w:widowControl w:val="0"/>
        <w:kinsoku/>
        <w:adjustRightInd/>
        <w:snapToGrid/>
        <w:spacing w:line="360" w:lineRule="auto"/>
        <w:ind w:firstLine="42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2.2.1 投标人应仔细阅读和检查招标文件的全部内容。如发现缺页或附件不全，应及时向招标人提出，以便补齐。如有疑问，应在投标人须知前附表规定的时间前在相应法定网站提问，要求招标人对招标文件予以澄清。</w:t>
      </w:r>
    </w:p>
    <w:p w14:paraId="2F127DA2">
      <w:pPr>
        <w:widowControl w:val="0"/>
        <w:kinsoku/>
        <w:adjustRightInd/>
        <w:snapToGrid/>
        <w:spacing w:line="360" w:lineRule="auto"/>
        <w:ind w:firstLine="42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2.2.2 招标文件的澄清将在投标人须知前附表规定的时间在相应法定网站发布，但不指明澄清问题的来源。</w:t>
      </w:r>
    </w:p>
    <w:p w14:paraId="2F73BF99">
      <w:pPr>
        <w:widowControl w:val="0"/>
        <w:kinsoku/>
        <w:adjustRightInd/>
        <w:snapToGrid/>
        <w:spacing w:line="360" w:lineRule="auto"/>
        <w:ind w:firstLine="42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2.2.3 招标人对招标文件的修改内容可能影响投标文件编制的，须在投标截止时间15日前发布，发布时间至投标截止时间不足15日的，须相应延后投标截止时间。</w:t>
      </w:r>
    </w:p>
    <w:p w14:paraId="0D7D5157">
      <w:pPr>
        <w:widowControl w:val="0"/>
        <w:kinsoku/>
        <w:adjustRightInd/>
        <w:snapToGrid/>
        <w:spacing w:line="360" w:lineRule="auto"/>
        <w:ind w:firstLine="42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2.2.4 投标人对招标文件和澄清修改仍有异议的，可于投标截止时间10日前，通过重庆市公共资源交易网提出。招标人应将答复以修改的形式在相应法定网站发布。修改内容可能影响投标文件编制的，须在投标截止时间15日前发布，发布时间至投标截止时间不足15日的，须相应延后投标截止时间。</w:t>
      </w:r>
    </w:p>
    <w:p w14:paraId="36A78381">
      <w:pPr>
        <w:pStyle w:val="4"/>
        <w:spacing w:before="156"/>
        <w:rPr>
          <w:color w:val="auto"/>
          <w:highlight w:val="none"/>
        </w:rPr>
      </w:pPr>
      <w:bookmarkStart w:id="215" w:name="_Toc7138"/>
      <w:bookmarkStart w:id="216" w:name="_Toc31451"/>
      <w:bookmarkStart w:id="217" w:name="_Toc3921"/>
      <w:bookmarkStart w:id="218" w:name="_Toc5365"/>
      <w:r>
        <w:rPr>
          <w:rFonts w:hint="eastAsia"/>
          <w:color w:val="auto"/>
          <w:highlight w:val="none"/>
        </w:rPr>
        <w:t>2.3 招标文件的修改</w:t>
      </w:r>
      <w:bookmarkEnd w:id="215"/>
      <w:bookmarkEnd w:id="216"/>
      <w:bookmarkEnd w:id="217"/>
      <w:bookmarkEnd w:id="218"/>
    </w:p>
    <w:p w14:paraId="69C1388F">
      <w:pPr>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rPr>
        <w:t>按照本章第2.2款招标文件的澄清相关内容及方式执行。</w:t>
      </w:r>
    </w:p>
    <w:p w14:paraId="737E2FAA">
      <w:pPr>
        <w:pStyle w:val="4"/>
        <w:spacing w:before="156"/>
        <w:rPr>
          <w:color w:val="auto"/>
          <w:highlight w:val="none"/>
        </w:rPr>
      </w:pPr>
      <w:bookmarkStart w:id="219" w:name="_Toc18556"/>
      <w:bookmarkStart w:id="220" w:name="_Toc7088"/>
      <w:bookmarkStart w:id="221" w:name="_Toc23215"/>
      <w:bookmarkStart w:id="222" w:name="_Toc15057"/>
      <w:r>
        <w:rPr>
          <w:rFonts w:hint="eastAsia"/>
          <w:color w:val="auto"/>
          <w:highlight w:val="none"/>
        </w:rPr>
        <w:t>2.4 招标文件的异议</w:t>
      </w:r>
      <w:bookmarkEnd w:id="219"/>
      <w:bookmarkEnd w:id="220"/>
      <w:bookmarkEnd w:id="221"/>
      <w:bookmarkEnd w:id="222"/>
    </w:p>
    <w:p w14:paraId="4D8C6051">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投标人或者其他利害关系人对招标文件有异议的，应当在投标截止时间10日前以书面形式提出。招标人将在收到异议之日起3日内作出答复；作出答复前，将暂停招标投标活动。</w:t>
      </w:r>
    </w:p>
    <w:p w14:paraId="277EBA92">
      <w:pPr>
        <w:pStyle w:val="3"/>
        <w:numPr>
          <w:ilvl w:val="0"/>
          <w:numId w:val="2"/>
        </w:numPr>
        <w:spacing w:before="156"/>
        <w:rPr>
          <w:color w:val="auto"/>
          <w:highlight w:val="none"/>
        </w:rPr>
      </w:pPr>
      <w:bookmarkStart w:id="223" w:name="_bookmark39"/>
      <w:bookmarkEnd w:id="223"/>
      <w:bookmarkStart w:id="224" w:name="_bookmark38"/>
      <w:bookmarkEnd w:id="224"/>
      <w:bookmarkStart w:id="225" w:name="_Toc2009"/>
      <w:bookmarkStart w:id="226" w:name="_Toc31706"/>
      <w:bookmarkStart w:id="227" w:name="_Toc27422"/>
      <w:bookmarkStart w:id="228" w:name="_Toc12273"/>
      <w:bookmarkStart w:id="229" w:name="_Toc16733"/>
      <w:bookmarkStart w:id="230" w:name="_Toc28299"/>
      <w:r>
        <w:rPr>
          <w:rFonts w:hint="eastAsia"/>
          <w:color w:val="auto"/>
          <w:highlight w:val="none"/>
        </w:rPr>
        <w:t>投标文件</w:t>
      </w:r>
      <w:bookmarkEnd w:id="225"/>
      <w:bookmarkEnd w:id="226"/>
      <w:bookmarkEnd w:id="227"/>
      <w:bookmarkEnd w:id="228"/>
      <w:bookmarkEnd w:id="229"/>
      <w:bookmarkEnd w:id="230"/>
    </w:p>
    <w:p w14:paraId="0E2FF40E">
      <w:pPr>
        <w:pStyle w:val="4"/>
        <w:spacing w:before="156"/>
        <w:rPr>
          <w:color w:val="auto"/>
          <w:highlight w:val="none"/>
        </w:rPr>
      </w:pPr>
      <w:bookmarkStart w:id="231" w:name="_Toc6338"/>
      <w:bookmarkStart w:id="232" w:name="_Toc3613"/>
      <w:bookmarkStart w:id="233" w:name="_Toc7355"/>
      <w:bookmarkStart w:id="234" w:name="_Toc10811"/>
      <w:r>
        <w:rPr>
          <w:rFonts w:hint="eastAsia"/>
          <w:color w:val="auto"/>
          <w:highlight w:val="none"/>
        </w:rPr>
        <w:t>3.1 投标文件的组成</w:t>
      </w:r>
      <w:bookmarkEnd w:id="231"/>
      <w:bookmarkEnd w:id="232"/>
      <w:bookmarkEnd w:id="233"/>
      <w:bookmarkEnd w:id="234"/>
    </w:p>
    <w:p w14:paraId="6C1B0523">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3.1.1  投标文件应包括下列内容：</w:t>
      </w:r>
    </w:p>
    <w:p w14:paraId="0B5250B8">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（1）投标函</w:t>
      </w:r>
    </w:p>
    <w:p w14:paraId="65AA3976">
      <w:pPr>
        <w:spacing w:line="360" w:lineRule="auto"/>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（2）法定代表人身份证明或授权委托书；</w:t>
      </w:r>
    </w:p>
    <w:p w14:paraId="7493F759">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商务部分；</w:t>
      </w:r>
    </w:p>
    <w:p w14:paraId="2CC6A0D0">
      <w:pPr>
        <w:spacing w:line="360" w:lineRule="auto"/>
        <w:ind w:firstLine="359" w:firstLineChars="171"/>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（4）技术</w:t>
      </w:r>
      <w:r>
        <w:rPr>
          <w:rFonts w:hint="eastAsia" w:ascii="宋体" w:hAnsi="宋体" w:eastAsia="宋体" w:cs="宋体"/>
          <w:color w:val="auto"/>
          <w:highlight w:val="none"/>
          <w:lang w:val="en-US" w:eastAsia="zh-CN"/>
        </w:rPr>
        <w:t>部分；</w:t>
      </w:r>
    </w:p>
    <w:p w14:paraId="74B1CBB0">
      <w:pPr>
        <w:spacing w:line="360" w:lineRule="auto"/>
        <w:ind w:firstLine="359" w:firstLineChars="171"/>
        <w:rPr>
          <w:rFonts w:hint="eastAsia" w:ascii="宋体" w:hAnsi="宋体" w:eastAsia="宋体" w:cs="宋体"/>
          <w:color w:val="auto"/>
          <w:highlight w:val="none"/>
          <w:lang w:eastAsia="zh-CN"/>
        </w:rPr>
      </w:pPr>
      <w:r>
        <w:rPr>
          <w:rFonts w:hint="eastAsia" w:ascii="宋体" w:hAnsi="宋体" w:eastAsia="宋体" w:cs="宋体"/>
          <w:color w:val="auto"/>
          <w:highlight w:val="none"/>
        </w:rPr>
        <w:t>（5）资格审查资料</w:t>
      </w:r>
      <w:r>
        <w:rPr>
          <w:rFonts w:hint="eastAsia" w:ascii="宋体" w:hAnsi="宋体" w:eastAsia="宋体" w:cs="宋体"/>
          <w:color w:val="auto"/>
          <w:highlight w:val="none"/>
          <w:lang w:eastAsia="zh-CN"/>
        </w:rPr>
        <w:t>；</w:t>
      </w:r>
    </w:p>
    <w:p w14:paraId="4F1E7ADB">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）开标一览表</w:t>
      </w:r>
      <w:r>
        <w:rPr>
          <w:rFonts w:hint="eastAsia" w:ascii="宋体" w:hAnsi="宋体" w:eastAsia="宋体" w:cs="宋体"/>
          <w:color w:val="auto"/>
          <w:highlight w:val="none"/>
        </w:rPr>
        <w:t>；</w:t>
      </w:r>
    </w:p>
    <w:p w14:paraId="3BF4F592">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）投标人须知前附表规定的其他材料。</w:t>
      </w:r>
    </w:p>
    <w:p w14:paraId="1B421EFD">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投标人在评标过程中作出的符合法律法规和招标文件规定的澄清确认，构成投标文件的组成部分。</w:t>
      </w:r>
    </w:p>
    <w:p w14:paraId="204656B4">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3.1.2  投标人须知前附表规定不接受联合体投标的，或投标人没有组成联合体的，投标文件不包括本章第 3.1.1（4） 目所指的联合体协议书。</w:t>
      </w:r>
    </w:p>
    <w:p w14:paraId="147C643C">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3.1.3  投标人须知前附表未要求提交投标保证金的，投标文件不包括本章第 3.1.1 （5）目所</w:t>
      </w:r>
      <w:bookmarkStart w:id="235" w:name="_bookmark40"/>
      <w:bookmarkEnd w:id="235"/>
      <w:r>
        <w:rPr>
          <w:rFonts w:hint="eastAsia" w:ascii="宋体" w:hAnsi="宋体" w:eastAsia="宋体" w:cs="宋体"/>
          <w:snapToGrid/>
          <w:color w:val="auto"/>
          <w:kern w:val="2"/>
          <w:highlight w:val="none"/>
        </w:rPr>
        <w:t>指的投标保证金。</w:t>
      </w:r>
    </w:p>
    <w:p w14:paraId="26E87857">
      <w:pPr>
        <w:pStyle w:val="4"/>
        <w:spacing w:before="156"/>
        <w:rPr>
          <w:color w:val="auto"/>
          <w:highlight w:val="none"/>
        </w:rPr>
      </w:pPr>
      <w:bookmarkStart w:id="236" w:name="_Toc28749"/>
      <w:bookmarkStart w:id="237" w:name="_Toc21044"/>
      <w:bookmarkStart w:id="238" w:name="_Toc28325"/>
      <w:bookmarkStart w:id="239" w:name="_Toc24424"/>
      <w:r>
        <w:rPr>
          <w:rFonts w:hint="eastAsia"/>
          <w:color w:val="auto"/>
          <w:highlight w:val="none"/>
        </w:rPr>
        <w:t>3.2 投标报价</w:t>
      </w:r>
      <w:bookmarkEnd w:id="236"/>
      <w:bookmarkEnd w:id="237"/>
      <w:bookmarkEnd w:id="238"/>
      <w:bookmarkEnd w:id="239"/>
    </w:p>
    <w:p w14:paraId="5C14CFAA">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3.2.1  投标报价应包括国家规定的增值税税金，除投标人须知前附表另有规定外，增值税税金按一般计税方法计算。投标人应按第六章“投标文件格式”的要求在投标函中进行报价，采用费用清单报价的，还应填写费用清单。</w:t>
      </w:r>
    </w:p>
    <w:p w14:paraId="7992F751">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3.2.2  投标人应充分了解该项目的总体情况以及影响投标报价的其他要素。</w:t>
      </w:r>
    </w:p>
    <w:p w14:paraId="6EB9D603">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3.2.3  投标人需修改投标报价的，应在投标截止时间前修改投标函中的投标报价总额。采用费用清单报价的，应同时修改费用清单中的相应报价。此修改须符合本章第 4.3 款的有关要求。</w:t>
      </w:r>
    </w:p>
    <w:p w14:paraId="18AA2047">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3.2.4  本项目的报价方式见投标人须知前附表。招标人设有最高投标限价的，投标人的投标报价不得超过最高投标限价，最高投标限价在投标人须知前附表中载明。</w:t>
      </w:r>
    </w:p>
    <w:p w14:paraId="5FE9FD40">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3.2.5  投标报价的其他要求见投标人须知前附表。</w:t>
      </w:r>
    </w:p>
    <w:p w14:paraId="65DBA05A">
      <w:pPr>
        <w:pStyle w:val="4"/>
        <w:spacing w:before="156"/>
        <w:rPr>
          <w:color w:val="auto"/>
          <w:highlight w:val="none"/>
        </w:rPr>
      </w:pPr>
      <w:bookmarkStart w:id="240" w:name="_Toc300"/>
      <w:bookmarkStart w:id="241" w:name="_Toc31408"/>
      <w:bookmarkStart w:id="242" w:name="_Toc15924"/>
      <w:bookmarkStart w:id="243" w:name="_Toc23923"/>
      <w:r>
        <w:rPr>
          <w:rFonts w:hint="eastAsia"/>
          <w:color w:val="auto"/>
          <w:highlight w:val="none"/>
        </w:rPr>
        <w:t>3.3 投标有效期</w:t>
      </w:r>
      <w:bookmarkEnd w:id="240"/>
      <w:bookmarkEnd w:id="241"/>
      <w:bookmarkEnd w:id="242"/>
      <w:bookmarkEnd w:id="243"/>
    </w:p>
    <w:p w14:paraId="7A40355F">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3.3.1  除投标人须知前附表另有规定外，投标有效期为90天。</w:t>
      </w:r>
    </w:p>
    <w:p w14:paraId="299DA8F1">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3.3.2  在投标有效期内，投标人撤销或修改其投标文件的，应承担招标文件和法律规定的责任。</w:t>
      </w:r>
    </w:p>
    <w:p w14:paraId="286F3487">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142B1E26">
      <w:pPr>
        <w:pStyle w:val="4"/>
        <w:spacing w:before="156"/>
        <w:rPr>
          <w:color w:val="auto"/>
          <w:highlight w:val="none"/>
        </w:rPr>
      </w:pPr>
      <w:bookmarkStart w:id="244" w:name="_Toc2320"/>
      <w:bookmarkStart w:id="245" w:name="_Toc21451"/>
      <w:bookmarkStart w:id="246" w:name="_Toc32098"/>
      <w:bookmarkStart w:id="247" w:name="_Toc5844"/>
      <w:r>
        <w:rPr>
          <w:rFonts w:hint="eastAsia"/>
          <w:color w:val="auto"/>
          <w:highlight w:val="none"/>
        </w:rPr>
        <w:t>3.4 投标保证金</w:t>
      </w:r>
      <w:bookmarkEnd w:id="244"/>
      <w:bookmarkEnd w:id="245"/>
      <w:bookmarkEnd w:id="246"/>
      <w:bookmarkEnd w:id="247"/>
    </w:p>
    <w:p w14:paraId="5540887E">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3.4.1  投标人须知前附表规定递交投标保证金的，投标人在递交投标文件的同时，应按投标人须知前附表规定的金额、形式递交投标保证金，并作为其投标文件的组成部分。联合体投标的，其投标保证金可以由牵头人递交，并应符合投标人须知前附表的规定。</w:t>
      </w:r>
    </w:p>
    <w:p w14:paraId="7DB3AAAF">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3.4.2  投标人不按本章第 3.4.1项要求提交投标保证金的，评标委员会将否决其投标。</w:t>
      </w:r>
    </w:p>
    <w:p w14:paraId="1533CA8D">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3.4.3  投标保证金退还：见投标人须知前附表3.4.1。</w:t>
      </w:r>
    </w:p>
    <w:p w14:paraId="20041159">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3.4.4  有下列情形之一的，投标保证金将不予退还：</w:t>
      </w:r>
    </w:p>
    <w:p w14:paraId="3AC8EB89">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（1）投标人在投标有效期内撤销投标文件；</w:t>
      </w:r>
    </w:p>
    <w:p w14:paraId="05492A84">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（2）中标人在收到中标通知书后，无正当理由不与招标人订立合同，在签订合同时向招标人提出附加条件，或者不按照招标文件要求提交履约保证金；</w:t>
      </w:r>
    </w:p>
    <w:p w14:paraId="0BB829D6">
      <w:pPr>
        <w:keepNext/>
        <w:keepLines/>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bookmarkStart w:id="248" w:name="_bookmark43"/>
      <w:bookmarkEnd w:id="248"/>
      <w:r>
        <w:rPr>
          <w:rFonts w:hint="eastAsia" w:ascii="宋体" w:hAnsi="宋体" w:eastAsia="宋体" w:cs="宋体"/>
          <w:snapToGrid/>
          <w:color w:val="auto"/>
          <w:kern w:val="2"/>
          <w:highlight w:val="none"/>
        </w:rPr>
        <w:t>（3）发生投标人须知前附表规定的其他可以不予退还投标保证金的情形。</w:t>
      </w:r>
    </w:p>
    <w:p w14:paraId="6DB3E9A4">
      <w:pPr>
        <w:pStyle w:val="4"/>
        <w:spacing w:before="156"/>
        <w:rPr>
          <w:color w:val="auto"/>
          <w:highlight w:val="none"/>
        </w:rPr>
      </w:pPr>
      <w:bookmarkStart w:id="249" w:name="_Toc509218734"/>
      <w:bookmarkStart w:id="250" w:name="_Toc2854"/>
      <w:bookmarkStart w:id="251" w:name="_Toc277082576"/>
      <w:bookmarkStart w:id="252" w:name="_Toc200513150"/>
      <w:bookmarkStart w:id="253" w:name="_Toc24725"/>
      <w:bookmarkStart w:id="254" w:name="_Toc29198"/>
      <w:bookmarkStart w:id="255" w:name="_Toc287620709"/>
      <w:bookmarkStart w:id="256" w:name="_Toc287607770"/>
      <w:bookmarkStart w:id="257" w:name="_Toc430530459"/>
      <w:bookmarkStart w:id="258" w:name="_Toc224103341"/>
      <w:bookmarkStart w:id="259" w:name="_Toc16114"/>
      <w:bookmarkStart w:id="260" w:name="_Toc57820584"/>
      <w:r>
        <w:rPr>
          <w:rFonts w:hint="eastAsia"/>
          <w:color w:val="auto"/>
          <w:highlight w:val="none"/>
        </w:rPr>
        <w:t>3.5  资格审查资料</w:t>
      </w:r>
      <w:bookmarkEnd w:id="249"/>
      <w:bookmarkEnd w:id="250"/>
      <w:bookmarkEnd w:id="251"/>
      <w:bookmarkEnd w:id="252"/>
      <w:bookmarkEnd w:id="253"/>
      <w:bookmarkEnd w:id="254"/>
      <w:bookmarkEnd w:id="255"/>
      <w:bookmarkEnd w:id="256"/>
      <w:bookmarkEnd w:id="257"/>
      <w:bookmarkEnd w:id="258"/>
      <w:bookmarkEnd w:id="259"/>
      <w:bookmarkEnd w:id="260"/>
    </w:p>
    <w:p w14:paraId="70E56DBF">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投标人应附投标人须知前附表第1.4.1项中要求的相关证明材料。</w:t>
      </w:r>
    </w:p>
    <w:p w14:paraId="35B264F7">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投标人须知前附表规定接受联合体投标的，详见投标人须知前附表联合体投标相关内容。</w:t>
      </w:r>
    </w:p>
    <w:p w14:paraId="24ABFF6D">
      <w:pPr>
        <w:pStyle w:val="4"/>
        <w:spacing w:before="156"/>
        <w:rPr>
          <w:color w:val="auto"/>
          <w:highlight w:val="none"/>
        </w:rPr>
      </w:pPr>
      <w:bookmarkStart w:id="261" w:name="_Toc27555"/>
      <w:bookmarkStart w:id="262" w:name="_Toc12033"/>
      <w:bookmarkStart w:id="263" w:name="_Toc19172"/>
      <w:bookmarkStart w:id="264" w:name="_Toc1411"/>
      <w:r>
        <w:rPr>
          <w:rFonts w:hint="eastAsia"/>
          <w:color w:val="auto"/>
          <w:highlight w:val="none"/>
        </w:rPr>
        <w:t>3.6 备选投标方案</w:t>
      </w:r>
      <w:bookmarkEnd w:id="261"/>
      <w:bookmarkEnd w:id="262"/>
      <w:bookmarkEnd w:id="263"/>
      <w:bookmarkEnd w:id="264"/>
    </w:p>
    <w:p w14:paraId="099AE0B1">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除投标人须知前附表另有规定外，投标人不得递交备选投标方案。允许投标人递交备选投标方案的，只有中标人所递交的备选投标方案方可予以考虑。评标委员会认为中标人的备 选投标方案优于其按照招标文件要求编制的投标方案的，招标人可以接受该备选投标方案。</w:t>
      </w:r>
    </w:p>
    <w:p w14:paraId="25F1B4F3">
      <w:pPr>
        <w:pStyle w:val="4"/>
        <w:spacing w:before="156"/>
        <w:rPr>
          <w:color w:val="auto"/>
          <w:highlight w:val="none"/>
        </w:rPr>
      </w:pPr>
      <w:bookmarkStart w:id="265" w:name="_Toc26072"/>
      <w:bookmarkStart w:id="266" w:name="_Toc7475"/>
      <w:bookmarkStart w:id="267" w:name="_Toc32084"/>
      <w:bookmarkStart w:id="268" w:name="_Toc3828"/>
      <w:r>
        <w:rPr>
          <w:rFonts w:hint="eastAsia"/>
          <w:color w:val="auto"/>
          <w:highlight w:val="none"/>
        </w:rPr>
        <w:t>3.7 投标文件的编制</w:t>
      </w:r>
      <w:bookmarkEnd w:id="265"/>
      <w:bookmarkEnd w:id="266"/>
      <w:bookmarkEnd w:id="267"/>
      <w:bookmarkEnd w:id="268"/>
    </w:p>
    <w:p w14:paraId="270A37ED">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3.7.1  投标文件应按第六章“投标文件格式”进行编写，如有必要，可以增加附页，作为投标文件的组成部分。</w:t>
      </w:r>
    </w:p>
    <w:p w14:paraId="746A5E53">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3.7.2  投标文件应当对招标文件有关服务期限、投标有效期、发包人要求、招标范围等实质性内容做出响应。</w:t>
      </w:r>
    </w:p>
    <w:p w14:paraId="3D1AD6CD">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3.7.3  投标文件的签名盖章要求：按本章投标人须知前附表第3.7.3项执行。</w:t>
      </w:r>
    </w:p>
    <w:p w14:paraId="429498CB">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3.7.4  投标文件份数：投标人网上提交加密投标文件一份。</w:t>
      </w:r>
    </w:p>
    <w:p w14:paraId="72047C95">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3.7.5  投标文件应按规定格式排版，并编制目录，具体编制要求见投标人须知前附表规定。</w:t>
      </w:r>
    </w:p>
    <w:p w14:paraId="279CCD4A">
      <w:pPr>
        <w:pStyle w:val="3"/>
        <w:numPr>
          <w:ilvl w:val="0"/>
          <w:numId w:val="2"/>
        </w:numPr>
        <w:spacing w:before="156"/>
        <w:rPr>
          <w:color w:val="auto"/>
          <w:highlight w:val="none"/>
        </w:rPr>
      </w:pPr>
      <w:bookmarkStart w:id="269" w:name="_bookmark47"/>
      <w:bookmarkEnd w:id="269"/>
      <w:bookmarkStart w:id="270" w:name="_bookmark48"/>
      <w:bookmarkEnd w:id="270"/>
      <w:bookmarkStart w:id="271" w:name="_Toc6296"/>
      <w:bookmarkStart w:id="272" w:name="_Toc28266"/>
      <w:bookmarkStart w:id="273" w:name="_Toc29182"/>
      <w:bookmarkStart w:id="274" w:name="_Toc17923"/>
      <w:bookmarkStart w:id="275" w:name="_Toc27886"/>
      <w:bookmarkStart w:id="276" w:name="_Toc4344"/>
      <w:r>
        <w:rPr>
          <w:rFonts w:hint="eastAsia"/>
          <w:color w:val="auto"/>
          <w:highlight w:val="none"/>
        </w:rPr>
        <w:t>投标</w:t>
      </w:r>
      <w:bookmarkEnd w:id="271"/>
      <w:bookmarkEnd w:id="272"/>
      <w:bookmarkEnd w:id="273"/>
      <w:bookmarkEnd w:id="274"/>
      <w:bookmarkEnd w:id="275"/>
      <w:bookmarkEnd w:id="276"/>
    </w:p>
    <w:p w14:paraId="083E765B">
      <w:pPr>
        <w:pStyle w:val="4"/>
        <w:spacing w:before="156"/>
        <w:rPr>
          <w:color w:val="auto"/>
          <w:highlight w:val="none"/>
        </w:rPr>
      </w:pPr>
      <w:bookmarkStart w:id="277" w:name="_Toc24327"/>
      <w:bookmarkStart w:id="278" w:name="_Toc10727"/>
      <w:bookmarkStart w:id="279" w:name="_Toc25474"/>
      <w:bookmarkStart w:id="280" w:name="_Toc6930"/>
      <w:r>
        <w:rPr>
          <w:rFonts w:hint="eastAsia"/>
          <w:color w:val="auto"/>
          <w:highlight w:val="none"/>
        </w:rPr>
        <w:t>4.1 投标文件的密封和标记</w:t>
      </w:r>
      <w:bookmarkEnd w:id="277"/>
      <w:bookmarkEnd w:id="278"/>
      <w:bookmarkEnd w:id="279"/>
      <w:bookmarkEnd w:id="280"/>
    </w:p>
    <w:p w14:paraId="619F70F5">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4.1.1 投标文件的密封：见投标人须知前附表。</w:t>
      </w:r>
    </w:p>
    <w:p w14:paraId="7FDCA4FB">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4.1.2  投标文件封套上应写明的内容见投标人须知前附表。</w:t>
      </w:r>
    </w:p>
    <w:p w14:paraId="01214C01">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bookmarkStart w:id="281" w:name="_bookmark49"/>
      <w:bookmarkEnd w:id="281"/>
      <w:r>
        <w:rPr>
          <w:rFonts w:hint="eastAsia" w:ascii="宋体" w:hAnsi="宋体" w:eastAsia="宋体" w:cs="宋体"/>
          <w:snapToGrid/>
          <w:color w:val="auto"/>
          <w:kern w:val="2"/>
          <w:highlight w:val="none"/>
        </w:rPr>
        <w:t>4.1.3  未按本章第 4.1.1 项要求密封的投标文件，招标人将予以拒收。</w:t>
      </w:r>
    </w:p>
    <w:p w14:paraId="3EF9990B">
      <w:pPr>
        <w:pStyle w:val="4"/>
        <w:spacing w:before="156"/>
        <w:rPr>
          <w:color w:val="auto"/>
          <w:highlight w:val="none"/>
        </w:rPr>
      </w:pPr>
      <w:bookmarkStart w:id="282" w:name="_Toc21249"/>
      <w:bookmarkStart w:id="283" w:name="_Toc19599"/>
      <w:bookmarkStart w:id="284" w:name="_Toc5151"/>
      <w:bookmarkStart w:id="285" w:name="_Toc1764"/>
      <w:r>
        <w:rPr>
          <w:rFonts w:hint="eastAsia"/>
          <w:color w:val="auto"/>
          <w:highlight w:val="none"/>
        </w:rPr>
        <w:t>4.2 投标文件的递交</w:t>
      </w:r>
      <w:bookmarkEnd w:id="282"/>
      <w:bookmarkEnd w:id="283"/>
      <w:bookmarkEnd w:id="284"/>
      <w:bookmarkEnd w:id="285"/>
    </w:p>
    <w:p w14:paraId="36AC0CCD">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4.2.1  投标人应在投标人须知前附表规定的投标截止时间前递交投标文件。</w:t>
      </w:r>
    </w:p>
    <w:p w14:paraId="2A469F79">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 xml:space="preserve">4.2.2  </w:t>
      </w:r>
      <w:r>
        <w:rPr>
          <w:rFonts w:hint="eastAsia" w:ascii="宋体" w:hAnsi="宋体" w:eastAsia="宋体" w:cs="宋体"/>
          <w:color w:val="auto"/>
          <w:highlight w:val="none"/>
        </w:rPr>
        <w:t>投标人递交投标文件的地点：见投标人须知前附表。</w:t>
      </w:r>
    </w:p>
    <w:p w14:paraId="7BCB5FB7">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4.2.3  除投标人须知前附表另有规定外，投标人所递交的投标文件不予退还。</w:t>
      </w:r>
    </w:p>
    <w:p w14:paraId="26C7F2DD">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4.2.4  投标人完成电子投标文件上传后，重庆市电子招投标系统即时向投标人发出递交回执通知。递交时间以递交回执通知载明的传输完成时间为准。</w:t>
      </w:r>
    </w:p>
    <w:p w14:paraId="0DCD4B0A">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4.2.5 逾期送达的投标文件，</w:t>
      </w:r>
      <w:r>
        <w:rPr>
          <w:rFonts w:hint="eastAsia" w:ascii="宋体" w:hAnsi="宋体" w:eastAsia="宋体" w:cs="宋体"/>
          <w:color w:val="auto"/>
          <w:highlight w:val="none"/>
        </w:rPr>
        <w:t>重庆市电子招投标系统</w:t>
      </w:r>
      <w:r>
        <w:rPr>
          <w:rFonts w:hint="eastAsia" w:ascii="宋体" w:hAnsi="宋体" w:eastAsia="宋体" w:cs="宋体"/>
          <w:snapToGrid/>
          <w:color w:val="auto"/>
          <w:kern w:val="2"/>
          <w:highlight w:val="none"/>
        </w:rPr>
        <w:t>将予以拒收。</w:t>
      </w:r>
    </w:p>
    <w:p w14:paraId="2EB991AA">
      <w:pPr>
        <w:pStyle w:val="4"/>
        <w:spacing w:before="156"/>
        <w:rPr>
          <w:color w:val="auto"/>
          <w:highlight w:val="none"/>
        </w:rPr>
      </w:pPr>
      <w:bookmarkStart w:id="286" w:name="_bookmark50"/>
      <w:bookmarkEnd w:id="286"/>
      <w:bookmarkStart w:id="287" w:name="_Toc11871"/>
      <w:bookmarkStart w:id="288" w:name="_Toc5175"/>
      <w:bookmarkStart w:id="289" w:name="_Toc18981"/>
      <w:bookmarkStart w:id="290" w:name="_Toc13663"/>
      <w:r>
        <w:rPr>
          <w:rFonts w:hint="eastAsia"/>
          <w:color w:val="auto"/>
          <w:highlight w:val="none"/>
        </w:rPr>
        <w:t>4.3 投标文件的修改与撤回</w:t>
      </w:r>
      <w:bookmarkEnd w:id="287"/>
      <w:bookmarkEnd w:id="288"/>
      <w:bookmarkEnd w:id="289"/>
      <w:bookmarkEnd w:id="290"/>
    </w:p>
    <w:p w14:paraId="10EB4FDB">
      <w:pPr>
        <w:widowControl w:val="0"/>
        <w:kinsoku/>
        <w:autoSpaceDE/>
        <w:autoSpaceDN/>
        <w:adjustRightInd/>
        <w:snapToGrid/>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color w:val="auto"/>
          <w:highlight w:val="none"/>
        </w:rPr>
        <w:t>4.3.1  在投标人须知前附表第4.2.1项规定的投标截止时间前，投标人可以修改或撤回已递交的投标文件。投标人修改投标文件的，应按照本章第 3.7.3 项的要求重新对投标文件进行电子签章，再按照本章第 4.2 款的要求提交。</w:t>
      </w:r>
    </w:p>
    <w:p w14:paraId="096A1D94">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color w:val="auto"/>
          <w:highlight w:val="none"/>
        </w:rPr>
        <w:t>4.3.2  投标人对加密的电子投标文件进行撤回的，在</w:t>
      </w:r>
      <w:r>
        <w:rPr>
          <w:rFonts w:hint="eastAsia" w:ascii="宋体" w:hAnsi="宋体" w:eastAsia="宋体" w:cs="宋体"/>
          <w:snapToGrid/>
          <w:color w:val="auto"/>
          <w:kern w:val="2"/>
          <w:highlight w:val="none"/>
        </w:rPr>
        <w:t>重庆市电子招投标系统</w:t>
      </w:r>
      <w:r>
        <w:rPr>
          <w:rFonts w:hint="eastAsia" w:ascii="宋体" w:hAnsi="宋体" w:eastAsia="宋体" w:cs="宋体"/>
          <w:color w:val="auto"/>
          <w:highlight w:val="none"/>
        </w:rPr>
        <w:t>直接进行撤回操作。</w:t>
      </w:r>
    </w:p>
    <w:p w14:paraId="05B2477C">
      <w:pPr>
        <w:pStyle w:val="3"/>
        <w:numPr>
          <w:ilvl w:val="0"/>
          <w:numId w:val="2"/>
        </w:numPr>
        <w:spacing w:before="156"/>
        <w:rPr>
          <w:color w:val="auto"/>
          <w:highlight w:val="none"/>
        </w:rPr>
      </w:pPr>
      <w:bookmarkStart w:id="291" w:name="_bookmark52"/>
      <w:bookmarkEnd w:id="291"/>
      <w:bookmarkStart w:id="292" w:name="_bookmark51"/>
      <w:bookmarkEnd w:id="292"/>
      <w:bookmarkStart w:id="293" w:name="_Toc835"/>
      <w:bookmarkStart w:id="294" w:name="_Toc7824"/>
      <w:bookmarkStart w:id="295" w:name="_Toc17518"/>
      <w:bookmarkStart w:id="296" w:name="_Toc12551"/>
      <w:bookmarkStart w:id="297" w:name="_Toc7813"/>
      <w:bookmarkStart w:id="298" w:name="_Toc11156"/>
      <w:r>
        <w:rPr>
          <w:rFonts w:hint="eastAsia"/>
          <w:color w:val="auto"/>
          <w:highlight w:val="none"/>
        </w:rPr>
        <w:t>开标</w:t>
      </w:r>
      <w:bookmarkEnd w:id="293"/>
      <w:bookmarkEnd w:id="294"/>
      <w:bookmarkEnd w:id="295"/>
      <w:bookmarkEnd w:id="296"/>
      <w:bookmarkEnd w:id="297"/>
      <w:bookmarkEnd w:id="298"/>
    </w:p>
    <w:p w14:paraId="619EFF83">
      <w:pPr>
        <w:pStyle w:val="4"/>
        <w:spacing w:before="156"/>
        <w:rPr>
          <w:color w:val="auto"/>
          <w:highlight w:val="none"/>
        </w:rPr>
      </w:pPr>
      <w:bookmarkStart w:id="299" w:name="_bookmark53"/>
      <w:bookmarkEnd w:id="299"/>
      <w:bookmarkStart w:id="300" w:name="_Toc20982"/>
      <w:bookmarkStart w:id="301" w:name="_Toc1417"/>
      <w:bookmarkStart w:id="302" w:name="_Toc55"/>
      <w:bookmarkStart w:id="303" w:name="_Toc24254"/>
      <w:r>
        <w:rPr>
          <w:rFonts w:hint="eastAsia"/>
          <w:color w:val="auto"/>
          <w:highlight w:val="none"/>
        </w:rPr>
        <w:t>5.1 开标时间和地点</w:t>
      </w:r>
      <w:bookmarkEnd w:id="300"/>
      <w:bookmarkEnd w:id="301"/>
      <w:bookmarkEnd w:id="302"/>
      <w:bookmarkEnd w:id="303"/>
    </w:p>
    <w:p w14:paraId="4B026BCF">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5.1.1  招标人在投标人须知前附表第 4.2.1 项规定的投标截止时间（开标时间）和投标人须知前附表规定的地点公开开标，并邀请所有投标人的法定代表人或其委托代理人准时参加。</w:t>
      </w:r>
    </w:p>
    <w:p w14:paraId="492A4C50">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5.1.2  投标人在投标人须知前附表第 5.1.2 项规定的解密时间内在线或到开标现场完成投标文件解密工作。</w:t>
      </w:r>
    </w:p>
    <w:p w14:paraId="5F43701F">
      <w:pPr>
        <w:pStyle w:val="4"/>
        <w:spacing w:before="156"/>
        <w:rPr>
          <w:color w:val="auto"/>
          <w:highlight w:val="none"/>
        </w:rPr>
      </w:pPr>
      <w:bookmarkStart w:id="304" w:name="_bookmark54"/>
      <w:bookmarkEnd w:id="304"/>
      <w:bookmarkStart w:id="305" w:name="_Toc15620"/>
      <w:bookmarkStart w:id="306" w:name="_Toc14296"/>
      <w:bookmarkStart w:id="307" w:name="_Toc30693"/>
      <w:bookmarkStart w:id="308" w:name="_Toc22847"/>
      <w:r>
        <w:rPr>
          <w:rFonts w:hint="eastAsia"/>
          <w:color w:val="auto"/>
          <w:highlight w:val="none"/>
        </w:rPr>
        <w:t>5.2 开标程序</w:t>
      </w:r>
      <w:bookmarkEnd w:id="305"/>
      <w:bookmarkEnd w:id="306"/>
      <w:bookmarkEnd w:id="307"/>
      <w:bookmarkEnd w:id="308"/>
    </w:p>
    <w:p w14:paraId="52188E61">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详见投标人须知前附表。</w:t>
      </w:r>
    </w:p>
    <w:p w14:paraId="550857E3">
      <w:pPr>
        <w:pStyle w:val="3"/>
        <w:numPr>
          <w:ilvl w:val="0"/>
          <w:numId w:val="2"/>
        </w:numPr>
        <w:spacing w:before="156"/>
        <w:rPr>
          <w:color w:val="auto"/>
          <w:highlight w:val="none"/>
        </w:rPr>
      </w:pPr>
      <w:bookmarkStart w:id="309" w:name="_bookmark57"/>
      <w:bookmarkEnd w:id="309"/>
      <w:bookmarkStart w:id="310" w:name="_bookmark56"/>
      <w:bookmarkEnd w:id="310"/>
      <w:bookmarkStart w:id="311" w:name="_Toc17445"/>
      <w:bookmarkStart w:id="312" w:name="_Toc19737"/>
      <w:bookmarkStart w:id="313" w:name="_Toc31149"/>
      <w:bookmarkStart w:id="314" w:name="_Toc24209"/>
      <w:bookmarkStart w:id="315" w:name="_Toc5021"/>
      <w:bookmarkStart w:id="316" w:name="_Toc27461"/>
      <w:r>
        <w:rPr>
          <w:rFonts w:hint="eastAsia"/>
          <w:color w:val="auto"/>
          <w:highlight w:val="none"/>
        </w:rPr>
        <w:t>评标</w:t>
      </w:r>
      <w:bookmarkEnd w:id="311"/>
      <w:bookmarkEnd w:id="312"/>
      <w:bookmarkEnd w:id="313"/>
      <w:bookmarkEnd w:id="314"/>
      <w:bookmarkEnd w:id="315"/>
      <w:bookmarkEnd w:id="316"/>
    </w:p>
    <w:p w14:paraId="0A6B711A">
      <w:pPr>
        <w:pStyle w:val="4"/>
        <w:spacing w:before="156"/>
        <w:rPr>
          <w:color w:val="auto"/>
          <w:highlight w:val="none"/>
        </w:rPr>
      </w:pPr>
      <w:bookmarkStart w:id="317" w:name="_Toc15727"/>
      <w:bookmarkStart w:id="318" w:name="_Toc2321"/>
      <w:bookmarkStart w:id="319" w:name="_Toc12519"/>
      <w:bookmarkStart w:id="320" w:name="_Toc4519"/>
      <w:r>
        <w:rPr>
          <w:rFonts w:hint="eastAsia"/>
          <w:color w:val="auto"/>
          <w:highlight w:val="none"/>
        </w:rPr>
        <w:t>6.1 评标委员会</w:t>
      </w:r>
      <w:bookmarkEnd w:id="317"/>
      <w:bookmarkEnd w:id="318"/>
      <w:bookmarkEnd w:id="319"/>
      <w:bookmarkEnd w:id="320"/>
    </w:p>
    <w:p w14:paraId="190EA0A5">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6DCCFF7">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6.1.2  评标委员会成员有下列情形之一的，应当回避：</w:t>
      </w:r>
    </w:p>
    <w:p w14:paraId="4EF8AA97">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（1）投标人或投标人主要负责人的近亲属；</w:t>
      </w:r>
    </w:p>
    <w:p w14:paraId="7605C121">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（2）项目主管部门或者监督部门的人员；</w:t>
      </w:r>
    </w:p>
    <w:p w14:paraId="46881198">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（3）与投标人有经济利益关系，可能影响对投标公正评审的；</w:t>
      </w:r>
    </w:p>
    <w:p w14:paraId="43FB6B46">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（4）曾因在招标、评标以及其他与招标投标有关活动中从事违法行为而受过行政处罚 或刑事处罚的；</w:t>
      </w:r>
    </w:p>
    <w:p w14:paraId="5F4301F7">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（5）与投标人有其他利害关系。</w:t>
      </w:r>
    </w:p>
    <w:p w14:paraId="2F346167">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6.1.3  评标过程中，评标委员会成员有回避事由、擅离职守或者因健康等原因不能继续评标的，招标人有权更换。被更换的评标委员会成员作出的评审结论无效，由更换后的评标委员会</w:t>
      </w:r>
      <w:bookmarkStart w:id="321" w:name="_bookmark58"/>
      <w:bookmarkEnd w:id="321"/>
      <w:r>
        <w:rPr>
          <w:rFonts w:hint="eastAsia" w:ascii="宋体" w:hAnsi="宋体" w:eastAsia="宋体" w:cs="宋体"/>
          <w:snapToGrid/>
          <w:color w:val="auto"/>
          <w:kern w:val="2"/>
          <w:highlight w:val="none"/>
        </w:rPr>
        <w:t>成员重新进行评审。</w:t>
      </w:r>
    </w:p>
    <w:p w14:paraId="40B3200E">
      <w:pPr>
        <w:pStyle w:val="4"/>
        <w:spacing w:before="156"/>
        <w:rPr>
          <w:color w:val="auto"/>
          <w:highlight w:val="none"/>
        </w:rPr>
      </w:pPr>
      <w:bookmarkStart w:id="322" w:name="_Toc28146"/>
      <w:bookmarkStart w:id="323" w:name="_Toc30262"/>
      <w:bookmarkStart w:id="324" w:name="_Toc27956"/>
      <w:bookmarkStart w:id="325" w:name="_Toc17489"/>
      <w:r>
        <w:rPr>
          <w:rFonts w:hint="eastAsia"/>
          <w:color w:val="auto"/>
          <w:highlight w:val="none"/>
        </w:rPr>
        <w:t>6.2 评标原则</w:t>
      </w:r>
      <w:bookmarkEnd w:id="322"/>
      <w:bookmarkEnd w:id="323"/>
      <w:bookmarkEnd w:id="324"/>
      <w:bookmarkEnd w:id="325"/>
    </w:p>
    <w:p w14:paraId="50E33370">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评标活动遵循公平、公正、科学和择优的原则。</w:t>
      </w:r>
    </w:p>
    <w:p w14:paraId="2CABDA5C">
      <w:pPr>
        <w:pStyle w:val="4"/>
        <w:spacing w:before="156"/>
        <w:rPr>
          <w:color w:val="auto"/>
          <w:highlight w:val="none"/>
        </w:rPr>
      </w:pPr>
      <w:bookmarkStart w:id="326" w:name="_bookmark59"/>
      <w:bookmarkEnd w:id="326"/>
      <w:bookmarkStart w:id="327" w:name="_Toc21885"/>
      <w:bookmarkStart w:id="328" w:name="_Toc4172"/>
      <w:bookmarkStart w:id="329" w:name="_Toc12132"/>
      <w:bookmarkStart w:id="330" w:name="_Toc31822"/>
      <w:r>
        <w:rPr>
          <w:rFonts w:hint="eastAsia"/>
          <w:color w:val="auto"/>
          <w:highlight w:val="none"/>
        </w:rPr>
        <w:t>6.3 评标</w:t>
      </w:r>
      <w:bookmarkEnd w:id="327"/>
      <w:bookmarkEnd w:id="328"/>
      <w:bookmarkEnd w:id="329"/>
      <w:bookmarkEnd w:id="330"/>
    </w:p>
    <w:p w14:paraId="3CDB16C6">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评标委员会按照第三章“评标办法”规定的方法、评审因素、标准和程序对投标文件进行评审。第三章“评标办法”没有规定的方法、评审因素和标准，不作为评标依据。</w:t>
      </w:r>
    </w:p>
    <w:p w14:paraId="3E84BDAC">
      <w:pPr>
        <w:pStyle w:val="3"/>
        <w:numPr>
          <w:ilvl w:val="0"/>
          <w:numId w:val="2"/>
        </w:numPr>
        <w:spacing w:before="156"/>
        <w:rPr>
          <w:color w:val="auto"/>
          <w:highlight w:val="none"/>
        </w:rPr>
      </w:pPr>
      <w:bookmarkStart w:id="331" w:name="_Toc30724"/>
      <w:bookmarkStart w:id="332" w:name="_Toc21104"/>
      <w:bookmarkStart w:id="333" w:name="_Toc21408"/>
      <w:bookmarkStart w:id="334" w:name="_Toc19570"/>
      <w:bookmarkStart w:id="335" w:name="_Toc26406"/>
      <w:bookmarkStart w:id="336" w:name="_Toc32274"/>
      <w:r>
        <w:rPr>
          <w:rFonts w:hint="eastAsia"/>
          <w:color w:val="auto"/>
          <w:highlight w:val="none"/>
        </w:rPr>
        <w:t>合同授予</w:t>
      </w:r>
      <w:bookmarkEnd w:id="331"/>
      <w:bookmarkEnd w:id="332"/>
      <w:bookmarkEnd w:id="333"/>
      <w:bookmarkEnd w:id="334"/>
      <w:bookmarkEnd w:id="335"/>
      <w:bookmarkEnd w:id="336"/>
    </w:p>
    <w:p w14:paraId="151073BA">
      <w:pPr>
        <w:pStyle w:val="4"/>
        <w:spacing w:before="156"/>
        <w:rPr>
          <w:color w:val="auto"/>
          <w:highlight w:val="none"/>
        </w:rPr>
      </w:pPr>
      <w:bookmarkStart w:id="337" w:name="_Toc144974535"/>
      <w:bookmarkStart w:id="338" w:name="_Toc246996954"/>
      <w:bookmarkStart w:id="339" w:name="_Toc296602456"/>
      <w:bookmarkStart w:id="340" w:name="_Toc19351"/>
      <w:bookmarkStart w:id="341" w:name="_Toc549"/>
      <w:bookmarkStart w:id="342" w:name="_Toc22070"/>
      <w:bookmarkStart w:id="343" w:name="_Toc179632585"/>
      <w:bookmarkStart w:id="344" w:name="_Toc152045567"/>
      <w:bookmarkStart w:id="345" w:name="_Toc246996211"/>
      <w:bookmarkStart w:id="346" w:name="_Toc152042343"/>
      <w:bookmarkStart w:id="347" w:name="_Toc247085725"/>
      <w:bookmarkStart w:id="348" w:name="_Toc9599"/>
      <w:r>
        <w:rPr>
          <w:rFonts w:hint="eastAsia"/>
          <w:color w:val="auto"/>
          <w:highlight w:val="none"/>
        </w:rPr>
        <w:t>7.1 定标方式</w:t>
      </w:r>
      <w:bookmarkEnd w:id="337"/>
      <w:bookmarkEnd w:id="338"/>
      <w:bookmarkEnd w:id="339"/>
      <w:bookmarkEnd w:id="340"/>
      <w:bookmarkEnd w:id="341"/>
      <w:bookmarkEnd w:id="342"/>
      <w:bookmarkEnd w:id="343"/>
      <w:bookmarkEnd w:id="344"/>
      <w:bookmarkEnd w:id="345"/>
      <w:bookmarkEnd w:id="346"/>
      <w:bookmarkEnd w:id="347"/>
      <w:bookmarkEnd w:id="348"/>
    </w:p>
    <w:p w14:paraId="2459506C">
      <w:pPr>
        <w:spacing w:line="360" w:lineRule="auto"/>
        <w:ind w:firstLine="420" w:firstLineChars="200"/>
        <w:rPr>
          <w:rFonts w:ascii="宋体" w:hAnsi="宋体" w:eastAsia="宋体" w:cs="宋体"/>
          <w:color w:val="auto"/>
          <w:highlight w:val="none"/>
        </w:rPr>
      </w:pPr>
      <w:r>
        <w:rPr>
          <w:rFonts w:hint="eastAsia" w:ascii="宋体" w:hAnsi="宋体" w:eastAsia="宋体" w:cs="宋体"/>
          <w:snapToGrid/>
          <w:color w:val="auto"/>
          <w:kern w:val="2"/>
          <w:highlight w:val="none"/>
        </w:rPr>
        <w:t>除投标人须知前附表规定评标委员会直接确定中标人外，招标人依据评标委员会推荐的中标候选人确定中标人，评标委员会推荐中标候选人的人数见投标人须知前附表。</w:t>
      </w:r>
    </w:p>
    <w:p w14:paraId="3A95CD61">
      <w:pPr>
        <w:pStyle w:val="4"/>
        <w:spacing w:before="156"/>
        <w:rPr>
          <w:color w:val="auto"/>
          <w:highlight w:val="none"/>
        </w:rPr>
      </w:pPr>
      <w:bookmarkStart w:id="349" w:name="_Toc10318"/>
      <w:bookmarkStart w:id="350" w:name="_Toc12266"/>
      <w:bookmarkStart w:id="351" w:name="_Toc868"/>
      <w:bookmarkStart w:id="352" w:name="_Toc17761"/>
      <w:bookmarkStart w:id="353" w:name="_Toc296602457"/>
      <w:r>
        <w:rPr>
          <w:rFonts w:hint="eastAsia"/>
          <w:color w:val="auto"/>
          <w:highlight w:val="none"/>
        </w:rPr>
        <w:t>7.2 中标候选人公示</w:t>
      </w:r>
      <w:bookmarkEnd w:id="349"/>
      <w:bookmarkEnd w:id="350"/>
      <w:bookmarkEnd w:id="351"/>
      <w:bookmarkEnd w:id="352"/>
      <w:bookmarkEnd w:id="353"/>
    </w:p>
    <w:p w14:paraId="215CDD8A">
      <w:pPr>
        <w:spacing w:line="360" w:lineRule="auto"/>
        <w:ind w:firstLine="420" w:firstLineChars="200"/>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招标人在投标人须知前附表规定的媒介公示中标候选人。</w:t>
      </w:r>
    </w:p>
    <w:p w14:paraId="01774F7D">
      <w:pPr>
        <w:pStyle w:val="4"/>
        <w:spacing w:before="156"/>
        <w:rPr>
          <w:color w:val="auto"/>
          <w:highlight w:val="none"/>
        </w:rPr>
      </w:pPr>
      <w:bookmarkStart w:id="354" w:name="_Toc179632586"/>
      <w:bookmarkStart w:id="355" w:name="_Toc296602458"/>
      <w:bookmarkStart w:id="356" w:name="_Toc247085726"/>
      <w:bookmarkStart w:id="357" w:name="_Toc144974536"/>
      <w:bookmarkStart w:id="358" w:name="_Toc246996212"/>
      <w:bookmarkStart w:id="359" w:name="_Toc246996955"/>
      <w:bookmarkStart w:id="360" w:name="_Toc32208"/>
      <w:bookmarkStart w:id="361" w:name="_Toc152042344"/>
      <w:bookmarkStart w:id="362" w:name="_Toc152045568"/>
      <w:bookmarkStart w:id="363" w:name="_Toc24271"/>
      <w:bookmarkStart w:id="364" w:name="_Toc3150"/>
      <w:bookmarkStart w:id="365" w:name="_Toc15676"/>
      <w:r>
        <w:rPr>
          <w:rFonts w:hint="eastAsia"/>
          <w:color w:val="auto"/>
          <w:highlight w:val="none"/>
        </w:rPr>
        <w:t>7.3 中标通知</w:t>
      </w:r>
      <w:bookmarkEnd w:id="354"/>
      <w:bookmarkEnd w:id="355"/>
      <w:bookmarkEnd w:id="356"/>
      <w:bookmarkEnd w:id="357"/>
      <w:bookmarkEnd w:id="358"/>
      <w:bookmarkEnd w:id="359"/>
      <w:bookmarkEnd w:id="360"/>
      <w:bookmarkEnd w:id="361"/>
      <w:bookmarkEnd w:id="362"/>
      <w:bookmarkEnd w:id="363"/>
      <w:bookmarkEnd w:id="364"/>
      <w:bookmarkEnd w:id="365"/>
    </w:p>
    <w:p w14:paraId="0D81C5A9">
      <w:pPr>
        <w:spacing w:line="360" w:lineRule="auto"/>
        <w:ind w:firstLine="420" w:firstLineChars="200"/>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在本章第3.3款规定的投标有效期内，招标人以书面形式向中标人发出中标通知书，同时将中标结果通知未中标的投标人。</w:t>
      </w:r>
    </w:p>
    <w:p w14:paraId="4300CB89">
      <w:pPr>
        <w:pStyle w:val="4"/>
        <w:spacing w:before="156"/>
        <w:rPr>
          <w:color w:val="auto"/>
          <w:highlight w:val="none"/>
        </w:rPr>
      </w:pPr>
      <w:bookmarkStart w:id="366" w:name="_Toc12539"/>
      <w:bookmarkStart w:id="367" w:name="_Toc246996213"/>
      <w:bookmarkStart w:id="368" w:name="_Toc152045569"/>
      <w:bookmarkStart w:id="369" w:name="_Toc144974537"/>
      <w:bookmarkStart w:id="370" w:name="_Toc246996956"/>
      <w:bookmarkStart w:id="371" w:name="_Toc179632587"/>
      <w:bookmarkStart w:id="372" w:name="_Toc7279"/>
      <w:bookmarkStart w:id="373" w:name="_Toc32063"/>
      <w:bookmarkStart w:id="374" w:name="_Toc247085727"/>
      <w:bookmarkStart w:id="375" w:name="_Toc296602459"/>
      <w:bookmarkStart w:id="376" w:name="_Toc22085"/>
      <w:bookmarkStart w:id="377" w:name="_Toc152042345"/>
      <w:r>
        <w:rPr>
          <w:rFonts w:hint="eastAsia"/>
          <w:color w:val="auto"/>
          <w:highlight w:val="none"/>
        </w:rPr>
        <w:t>7.4 履约担保</w:t>
      </w:r>
      <w:bookmarkEnd w:id="366"/>
      <w:bookmarkEnd w:id="367"/>
      <w:bookmarkEnd w:id="368"/>
      <w:bookmarkEnd w:id="369"/>
      <w:bookmarkEnd w:id="370"/>
      <w:bookmarkEnd w:id="371"/>
      <w:bookmarkEnd w:id="372"/>
      <w:bookmarkEnd w:id="373"/>
      <w:bookmarkEnd w:id="374"/>
      <w:bookmarkEnd w:id="375"/>
      <w:bookmarkEnd w:id="376"/>
      <w:bookmarkEnd w:id="377"/>
    </w:p>
    <w:p w14:paraId="5AFD1F36">
      <w:pPr>
        <w:spacing w:line="360" w:lineRule="auto"/>
        <w:ind w:firstLine="420" w:firstLineChars="200"/>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7.4.1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w:t>
      </w:r>
    </w:p>
    <w:p w14:paraId="27D65D39">
      <w:pPr>
        <w:spacing w:line="360" w:lineRule="auto"/>
        <w:ind w:firstLine="420" w:firstLineChars="200"/>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7.4.2 中标人不能按本章第7.4.1项要求提交履约担保的，视为放弃中标，其投标保证金不予退还，给招标人造成的损失超过投标保证金数额的，中标人还应当对超过部分予以赔偿。</w:t>
      </w:r>
    </w:p>
    <w:p w14:paraId="18A98B3B">
      <w:pPr>
        <w:pStyle w:val="4"/>
        <w:spacing w:before="156"/>
        <w:rPr>
          <w:color w:val="auto"/>
          <w:highlight w:val="none"/>
        </w:rPr>
      </w:pPr>
      <w:bookmarkStart w:id="378" w:name="_Toc246996957"/>
      <w:bookmarkStart w:id="379" w:name="_Toc152045570"/>
      <w:bookmarkStart w:id="380" w:name="_Toc246996214"/>
      <w:bookmarkStart w:id="381" w:name="_Toc144974538"/>
      <w:bookmarkStart w:id="382" w:name="_Toc9813"/>
      <w:bookmarkStart w:id="383" w:name="_Toc21398"/>
      <w:bookmarkStart w:id="384" w:name="_Toc8315"/>
      <w:bookmarkStart w:id="385" w:name="_Toc179632588"/>
      <w:bookmarkStart w:id="386" w:name="_Toc247085728"/>
      <w:bookmarkStart w:id="387" w:name="_Toc22348"/>
      <w:bookmarkStart w:id="388" w:name="_Toc296602460"/>
      <w:bookmarkStart w:id="389" w:name="_Toc152042346"/>
      <w:r>
        <w:rPr>
          <w:rFonts w:hint="eastAsia"/>
          <w:color w:val="auto"/>
          <w:highlight w:val="none"/>
        </w:rPr>
        <w:t>7.5 签订合同</w:t>
      </w:r>
      <w:bookmarkEnd w:id="378"/>
      <w:bookmarkEnd w:id="379"/>
      <w:bookmarkEnd w:id="380"/>
      <w:bookmarkEnd w:id="381"/>
      <w:bookmarkEnd w:id="382"/>
      <w:bookmarkEnd w:id="383"/>
      <w:bookmarkEnd w:id="384"/>
      <w:bookmarkEnd w:id="385"/>
      <w:bookmarkEnd w:id="386"/>
      <w:bookmarkEnd w:id="387"/>
      <w:bookmarkEnd w:id="388"/>
      <w:bookmarkEnd w:id="389"/>
    </w:p>
    <w:p w14:paraId="3C1B6F2F">
      <w:pPr>
        <w:widowControl w:val="0"/>
        <w:kinsoku/>
        <w:autoSpaceDE/>
        <w:autoSpaceDN/>
        <w:adjustRightInd/>
        <w:snapToGrid/>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snapToGrid/>
          <w:color w:val="auto"/>
          <w:kern w:val="2"/>
          <w:highlight w:val="none"/>
        </w:rPr>
        <w:t xml:space="preserve">7.5.1 </w:t>
      </w:r>
      <w:r>
        <w:rPr>
          <w:rFonts w:hint="eastAsia" w:ascii="宋体" w:hAnsi="宋体" w:eastAsia="宋体" w:cs="宋体"/>
          <w:color w:val="auto"/>
          <w:highlight w:val="none"/>
        </w:rPr>
        <w:t>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22607BFB">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 xml:space="preserve">7.5.2 </w:t>
      </w:r>
      <w:r>
        <w:rPr>
          <w:rFonts w:hint="eastAsia" w:ascii="宋体" w:hAnsi="宋体" w:eastAsia="宋体" w:cs="宋体"/>
          <w:color w:val="auto"/>
          <w:highlight w:val="none"/>
        </w:rPr>
        <w:t>发出中标通知书后，招标人无正当理由拒签合同的，招标人向中标人退还投标保证金；给中标人造成损失的，还应当赔偿损失。</w:t>
      </w:r>
    </w:p>
    <w:p w14:paraId="2E7B1011">
      <w:pPr>
        <w:pStyle w:val="3"/>
        <w:numPr>
          <w:ilvl w:val="0"/>
          <w:numId w:val="2"/>
        </w:numPr>
        <w:spacing w:before="156"/>
        <w:rPr>
          <w:color w:val="auto"/>
          <w:highlight w:val="none"/>
        </w:rPr>
      </w:pPr>
      <w:bookmarkStart w:id="390" w:name="_Toc287620728"/>
      <w:bookmarkStart w:id="391" w:name="_Toc23655"/>
      <w:bookmarkStart w:id="392" w:name="_Toc12959"/>
      <w:bookmarkStart w:id="393" w:name="_Toc16205"/>
      <w:bookmarkStart w:id="394" w:name="_Toc287607789"/>
      <w:bookmarkStart w:id="395" w:name="_Toc200513169"/>
      <w:bookmarkStart w:id="396" w:name="_Toc19907"/>
      <w:bookmarkStart w:id="397" w:name="_Toc57820604"/>
      <w:bookmarkStart w:id="398" w:name="_Toc430530478"/>
      <w:bookmarkStart w:id="399" w:name="_Toc17926"/>
      <w:bookmarkStart w:id="400" w:name="_Toc277082595"/>
      <w:bookmarkStart w:id="401" w:name="_Toc224103360"/>
      <w:bookmarkStart w:id="402" w:name="_Toc509218753"/>
      <w:bookmarkStart w:id="403" w:name="_Toc3773"/>
      <w:r>
        <w:rPr>
          <w:rFonts w:hint="eastAsia"/>
          <w:color w:val="auto"/>
          <w:highlight w:val="none"/>
        </w:rPr>
        <w:t>重新招标和不再招标</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5F306399">
      <w:pPr>
        <w:pStyle w:val="4"/>
        <w:spacing w:before="156"/>
        <w:rPr>
          <w:color w:val="auto"/>
          <w:highlight w:val="none"/>
        </w:rPr>
      </w:pPr>
      <w:bookmarkStart w:id="404" w:name="_Toc287607790"/>
      <w:bookmarkStart w:id="405" w:name="_Toc430530479"/>
      <w:bookmarkStart w:id="406" w:name="_Toc277082596"/>
      <w:bookmarkStart w:id="407" w:name="_Toc509218754"/>
      <w:bookmarkStart w:id="408" w:name="_Toc200513170"/>
      <w:bookmarkStart w:id="409" w:name="_Toc224103361"/>
      <w:bookmarkStart w:id="410" w:name="_Toc287620729"/>
      <w:bookmarkStart w:id="411" w:name="_Toc57820605"/>
      <w:bookmarkStart w:id="412" w:name="_Toc15392"/>
      <w:bookmarkStart w:id="413" w:name="_Toc8130"/>
      <w:bookmarkStart w:id="414" w:name="_Toc25047"/>
      <w:bookmarkStart w:id="415" w:name="_Toc12608"/>
      <w:r>
        <w:rPr>
          <w:rFonts w:hint="eastAsia"/>
          <w:color w:val="auto"/>
          <w:highlight w:val="none"/>
        </w:rPr>
        <w:t>8.1  重新招标</w:t>
      </w:r>
      <w:bookmarkEnd w:id="404"/>
      <w:bookmarkEnd w:id="405"/>
      <w:bookmarkEnd w:id="406"/>
      <w:bookmarkEnd w:id="407"/>
      <w:bookmarkEnd w:id="408"/>
      <w:bookmarkEnd w:id="409"/>
      <w:bookmarkEnd w:id="410"/>
      <w:bookmarkEnd w:id="411"/>
      <w:r>
        <w:rPr>
          <w:rFonts w:hint="eastAsia"/>
          <w:color w:val="auto"/>
          <w:highlight w:val="none"/>
        </w:rPr>
        <w:t>的情形</w:t>
      </w:r>
      <w:bookmarkEnd w:id="412"/>
      <w:bookmarkEnd w:id="413"/>
      <w:bookmarkEnd w:id="414"/>
      <w:bookmarkEnd w:id="415"/>
    </w:p>
    <w:p w14:paraId="3BF6D688">
      <w:pPr>
        <w:widowControl w:val="0"/>
        <w:kinsoku/>
        <w:autoSpaceDE/>
        <w:autoSpaceDN/>
        <w:adjustRightInd/>
        <w:snapToGrid/>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color w:val="auto"/>
          <w:highlight w:val="none"/>
        </w:rPr>
        <w:t>有下列情形之一的，招标人将重新招标：</w:t>
      </w:r>
    </w:p>
    <w:p w14:paraId="5100AB78">
      <w:pPr>
        <w:widowControl w:val="0"/>
        <w:kinsoku/>
        <w:autoSpaceDE/>
        <w:autoSpaceDN/>
        <w:adjustRightInd/>
        <w:snapToGrid/>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color w:val="auto"/>
          <w:highlight w:val="none"/>
        </w:rPr>
        <w:t>（1）投标截止时间止，投标人少于 3 个的；</w:t>
      </w:r>
    </w:p>
    <w:p w14:paraId="7B2FB467">
      <w:pPr>
        <w:widowControl w:val="0"/>
        <w:kinsoku/>
        <w:autoSpaceDE/>
        <w:autoSpaceDN/>
        <w:adjustRightInd/>
        <w:snapToGrid/>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color w:val="auto"/>
          <w:highlight w:val="none"/>
        </w:rPr>
        <w:t>（2）经评标委员会评审后否决所有投标的；</w:t>
      </w:r>
    </w:p>
    <w:p w14:paraId="4933D1D6">
      <w:pPr>
        <w:widowControl w:val="0"/>
        <w:kinsoku/>
        <w:autoSpaceDE/>
        <w:autoSpaceDN/>
        <w:adjustRightInd/>
        <w:snapToGrid/>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color w:val="auto"/>
          <w:highlight w:val="none"/>
        </w:rPr>
        <w:t>（3）经评标委员会评审后部分投标被否决，导致有效投标人不足三个，</w:t>
      </w:r>
      <w:r>
        <w:rPr>
          <w:rFonts w:hint="eastAsia" w:ascii="宋体" w:hAnsi="宋体" w:eastAsia="宋体" w:cs="宋体"/>
          <w:color w:val="auto"/>
          <w:highlight w:val="none"/>
          <w:lang w:val="en-US" w:eastAsia="zh-CN"/>
        </w:rPr>
        <w:t>且评标委员会论证后不具有竞争性</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w:t>
      </w:r>
    </w:p>
    <w:p w14:paraId="002B3949">
      <w:pPr>
        <w:widowControl w:val="0"/>
        <w:kinsoku/>
        <w:autoSpaceDE/>
        <w:autoSpaceDN/>
        <w:adjustRightInd/>
        <w:snapToGrid/>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color w:val="auto"/>
          <w:highlight w:val="none"/>
        </w:rPr>
        <w:t>（4）法律法规规定的其他情形。</w:t>
      </w:r>
    </w:p>
    <w:p w14:paraId="51939E1B">
      <w:pPr>
        <w:pStyle w:val="4"/>
        <w:spacing w:before="156"/>
        <w:rPr>
          <w:color w:val="auto"/>
          <w:highlight w:val="none"/>
        </w:rPr>
      </w:pPr>
      <w:bookmarkStart w:id="416" w:name="_Toc509218755"/>
      <w:bookmarkStart w:id="417" w:name="_Toc57820606"/>
      <w:bookmarkStart w:id="418" w:name="_Toc1410"/>
      <w:bookmarkStart w:id="419" w:name="_Toc224103362"/>
      <w:bookmarkStart w:id="420" w:name="_Toc18905"/>
      <w:bookmarkStart w:id="421" w:name="_Toc277082597"/>
      <w:bookmarkStart w:id="422" w:name="_Toc287607791"/>
      <w:bookmarkStart w:id="423" w:name="_Toc430530480"/>
      <w:bookmarkStart w:id="424" w:name="_Toc200513171"/>
      <w:bookmarkStart w:id="425" w:name="_Toc27922"/>
      <w:bookmarkStart w:id="426" w:name="_Toc287620730"/>
      <w:bookmarkStart w:id="427" w:name="_Toc24089"/>
      <w:r>
        <w:rPr>
          <w:rFonts w:hint="eastAsia"/>
          <w:color w:val="auto"/>
          <w:highlight w:val="none"/>
        </w:rPr>
        <w:t>8.2  重新招标和不再招标</w:t>
      </w:r>
      <w:bookmarkEnd w:id="416"/>
      <w:bookmarkEnd w:id="417"/>
      <w:bookmarkEnd w:id="418"/>
      <w:bookmarkEnd w:id="419"/>
      <w:bookmarkEnd w:id="420"/>
      <w:bookmarkEnd w:id="421"/>
      <w:bookmarkEnd w:id="422"/>
      <w:bookmarkEnd w:id="423"/>
      <w:bookmarkEnd w:id="424"/>
      <w:bookmarkEnd w:id="425"/>
      <w:bookmarkEnd w:id="426"/>
      <w:bookmarkEnd w:id="427"/>
    </w:p>
    <w:p w14:paraId="054C6DA2">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p>
    <w:p w14:paraId="6FDAE0BB">
      <w:pPr>
        <w:pStyle w:val="3"/>
        <w:numPr>
          <w:ilvl w:val="0"/>
          <w:numId w:val="2"/>
        </w:numPr>
        <w:spacing w:before="156"/>
        <w:rPr>
          <w:color w:val="auto"/>
          <w:highlight w:val="none"/>
        </w:rPr>
      </w:pPr>
      <w:bookmarkStart w:id="428" w:name="_bookmark68"/>
      <w:bookmarkEnd w:id="428"/>
      <w:bookmarkStart w:id="429" w:name="_bookmark69"/>
      <w:bookmarkEnd w:id="429"/>
      <w:bookmarkStart w:id="430" w:name="_Toc12750"/>
      <w:bookmarkStart w:id="431" w:name="_Toc8994"/>
      <w:bookmarkStart w:id="432" w:name="_Toc16523"/>
      <w:bookmarkStart w:id="433" w:name="_Toc18073"/>
      <w:bookmarkStart w:id="434" w:name="_Toc13102"/>
      <w:bookmarkStart w:id="435" w:name="_Toc1402"/>
      <w:r>
        <w:rPr>
          <w:rFonts w:hint="eastAsia"/>
          <w:color w:val="auto"/>
          <w:highlight w:val="none"/>
        </w:rPr>
        <w:t>纪律和监督</w:t>
      </w:r>
      <w:bookmarkEnd w:id="430"/>
      <w:bookmarkEnd w:id="431"/>
      <w:bookmarkEnd w:id="432"/>
      <w:bookmarkEnd w:id="433"/>
      <w:bookmarkEnd w:id="434"/>
      <w:bookmarkEnd w:id="435"/>
    </w:p>
    <w:p w14:paraId="30397B42">
      <w:pPr>
        <w:pStyle w:val="4"/>
        <w:spacing w:before="156"/>
        <w:rPr>
          <w:color w:val="auto"/>
          <w:highlight w:val="none"/>
        </w:rPr>
      </w:pPr>
      <w:bookmarkStart w:id="436" w:name="_Toc32465"/>
      <w:bookmarkStart w:id="437" w:name="_Toc15878"/>
      <w:bookmarkStart w:id="438" w:name="_Toc27593"/>
      <w:bookmarkStart w:id="439" w:name="_Toc13167"/>
      <w:r>
        <w:rPr>
          <w:rFonts w:hint="eastAsia"/>
          <w:color w:val="auto"/>
          <w:highlight w:val="none"/>
        </w:rPr>
        <w:t>9.1 对招标人的纪律要求</w:t>
      </w:r>
      <w:bookmarkEnd w:id="436"/>
      <w:bookmarkEnd w:id="437"/>
      <w:bookmarkEnd w:id="438"/>
      <w:bookmarkEnd w:id="439"/>
    </w:p>
    <w:p w14:paraId="33507013">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招标人不得泄露招标投标活动中应当保密的情况和资料，不得与投标人串通损害国家利益</w:t>
      </w:r>
      <w:bookmarkStart w:id="440" w:name="_bookmark70"/>
      <w:bookmarkEnd w:id="440"/>
      <w:r>
        <w:rPr>
          <w:rFonts w:hint="eastAsia" w:ascii="宋体" w:hAnsi="宋体" w:eastAsia="宋体" w:cs="宋体"/>
          <w:snapToGrid/>
          <w:color w:val="auto"/>
          <w:kern w:val="2"/>
          <w:highlight w:val="none"/>
        </w:rPr>
        <w:t>、社会公共利益或者他人合法权益。</w:t>
      </w:r>
    </w:p>
    <w:p w14:paraId="0F7E7EA9">
      <w:pPr>
        <w:pStyle w:val="4"/>
        <w:spacing w:before="156"/>
        <w:rPr>
          <w:color w:val="auto"/>
          <w:highlight w:val="none"/>
        </w:rPr>
      </w:pPr>
      <w:bookmarkStart w:id="441" w:name="_Toc8083"/>
      <w:bookmarkStart w:id="442" w:name="_Toc21946"/>
      <w:bookmarkStart w:id="443" w:name="_Toc15105"/>
      <w:bookmarkStart w:id="444" w:name="_Toc10781"/>
      <w:r>
        <w:rPr>
          <w:rFonts w:hint="eastAsia"/>
          <w:color w:val="auto"/>
          <w:highlight w:val="none"/>
        </w:rPr>
        <w:t>9.2 对投标人的纪律要求</w:t>
      </w:r>
      <w:bookmarkEnd w:id="441"/>
      <w:bookmarkEnd w:id="442"/>
      <w:bookmarkEnd w:id="443"/>
      <w:bookmarkEnd w:id="444"/>
    </w:p>
    <w:p w14:paraId="340F604F">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投标人不得相互串通投标或者与招标人串通投标，不得向招标人或者评标委员会成员行贿谋取中标，不得以他人名义投标或者以其他方式弄虚作假骗取中标；投标人不得以任何方式干</w:t>
      </w:r>
      <w:bookmarkStart w:id="445" w:name="_bookmark71"/>
      <w:bookmarkEnd w:id="445"/>
      <w:r>
        <w:rPr>
          <w:rFonts w:hint="eastAsia" w:ascii="宋体" w:hAnsi="宋体" w:eastAsia="宋体" w:cs="宋体"/>
          <w:snapToGrid/>
          <w:color w:val="auto"/>
          <w:kern w:val="2"/>
          <w:highlight w:val="none"/>
        </w:rPr>
        <w:t>扰、影响评标工作。</w:t>
      </w:r>
    </w:p>
    <w:p w14:paraId="14F16B7A">
      <w:pPr>
        <w:pStyle w:val="4"/>
        <w:spacing w:before="156"/>
        <w:rPr>
          <w:color w:val="auto"/>
          <w:highlight w:val="none"/>
        </w:rPr>
      </w:pPr>
      <w:bookmarkStart w:id="446" w:name="_Toc16517"/>
      <w:bookmarkStart w:id="447" w:name="_Toc30015"/>
      <w:bookmarkStart w:id="448" w:name="_Toc6414"/>
      <w:bookmarkStart w:id="449" w:name="_Toc12507"/>
      <w:r>
        <w:rPr>
          <w:rFonts w:hint="eastAsia"/>
          <w:color w:val="auto"/>
          <w:highlight w:val="none"/>
        </w:rPr>
        <w:t>9.3 对评标委员会成员的纪律要求</w:t>
      </w:r>
      <w:bookmarkEnd w:id="446"/>
      <w:bookmarkEnd w:id="447"/>
      <w:bookmarkEnd w:id="448"/>
      <w:bookmarkEnd w:id="449"/>
    </w:p>
    <w:p w14:paraId="08DBEBB1">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450" w:name="_bookmark72"/>
      <w:bookmarkEnd w:id="450"/>
      <w:r>
        <w:rPr>
          <w:rFonts w:hint="eastAsia" w:ascii="宋体" w:hAnsi="宋体" w:eastAsia="宋体" w:cs="宋体"/>
          <w:snapToGrid/>
          <w:color w:val="auto"/>
          <w:kern w:val="2"/>
          <w:highlight w:val="none"/>
        </w:rPr>
        <w:t>三章“评标办法”没有规定的评审因素和标准进行评标。</w:t>
      </w:r>
    </w:p>
    <w:p w14:paraId="75372FE8">
      <w:pPr>
        <w:pStyle w:val="4"/>
        <w:spacing w:before="156"/>
        <w:rPr>
          <w:color w:val="auto"/>
          <w:highlight w:val="none"/>
        </w:rPr>
      </w:pPr>
      <w:bookmarkStart w:id="451" w:name="_Toc20326"/>
      <w:bookmarkStart w:id="452" w:name="_Toc19044"/>
      <w:bookmarkStart w:id="453" w:name="_Toc20401"/>
      <w:bookmarkStart w:id="454" w:name="_Toc29611"/>
      <w:r>
        <w:rPr>
          <w:rFonts w:hint="eastAsia"/>
          <w:color w:val="auto"/>
          <w:highlight w:val="none"/>
        </w:rPr>
        <w:t>9.4 对与评标活动有关的工作人员的纪律要求</w:t>
      </w:r>
      <w:bookmarkEnd w:id="451"/>
      <w:bookmarkEnd w:id="452"/>
      <w:bookmarkEnd w:id="453"/>
      <w:bookmarkEnd w:id="454"/>
    </w:p>
    <w:p w14:paraId="3BAF4C33">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与评标活动有关的工作人员不得收受他人的财物或者其他好处，不得向他人透露对投标文件的评审和比较、中标候选人的推荐情况以及评标有关的其他情况。在评标活动中，与评标活</w:t>
      </w:r>
      <w:bookmarkStart w:id="455" w:name="_bookmark73"/>
      <w:bookmarkEnd w:id="455"/>
      <w:r>
        <w:rPr>
          <w:rFonts w:hint="eastAsia" w:ascii="宋体" w:hAnsi="宋体" w:eastAsia="宋体" w:cs="宋体"/>
          <w:snapToGrid/>
          <w:color w:val="auto"/>
          <w:kern w:val="2"/>
          <w:highlight w:val="none"/>
        </w:rPr>
        <w:t>动有关的工作人员不得擅离职守，影响评标程序正常进行。</w:t>
      </w:r>
    </w:p>
    <w:p w14:paraId="17754468">
      <w:pPr>
        <w:pStyle w:val="4"/>
        <w:spacing w:before="156"/>
        <w:rPr>
          <w:color w:val="auto"/>
          <w:highlight w:val="none"/>
        </w:rPr>
      </w:pPr>
      <w:bookmarkStart w:id="456" w:name="_Toc16311"/>
      <w:bookmarkStart w:id="457" w:name="_Toc28874"/>
      <w:bookmarkStart w:id="458" w:name="_Toc16821"/>
      <w:bookmarkStart w:id="459" w:name="_Toc24590"/>
      <w:r>
        <w:rPr>
          <w:rFonts w:hint="eastAsia"/>
          <w:color w:val="auto"/>
          <w:highlight w:val="none"/>
        </w:rPr>
        <w:t>9.5 投诉</w:t>
      </w:r>
      <w:bookmarkEnd w:id="456"/>
      <w:bookmarkEnd w:id="457"/>
      <w:bookmarkEnd w:id="458"/>
      <w:bookmarkEnd w:id="459"/>
    </w:p>
    <w:p w14:paraId="5F5AC3FB">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投标人和其他利害关系人认为本次招标活动违反法律、法规和规章规定的，有权向有关监督部门投诉。</w:t>
      </w:r>
    </w:p>
    <w:p w14:paraId="5BBF0972">
      <w:pPr>
        <w:pStyle w:val="3"/>
        <w:spacing w:before="156"/>
        <w:rPr>
          <w:color w:val="auto"/>
          <w:highlight w:val="none"/>
        </w:rPr>
      </w:pPr>
      <w:bookmarkStart w:id="460" w:name="_Toc12390"/>
      <w:bookmarkStart w:id="461" w:name="_Toc18674"/>
      <w:bookmarkStart w:id="462" w:name="_Toc32490"/>
      <w:bookmarkStart w:id="463" w:name="_Toc10719"/>
      <w:bookmarkStart w:id="464" w:name="_Toc4439"/>
      <w:bookmarkStart w:id="465" w:name="_Toc23351"/>
      <w:r>
        <w:rPr>
          <w:rFonts w:hint="eastAsia"/>
          <w:color w:val="auto"/>
          <w:highlight w:val="none"/>
        </w:rPr>
        <w:t>10.相关费用</w:t>
      </w:r>
      <w:bookmarkEnd w:id="460"/>
      <w:bookmarkEnd w:id="461"/>
      <w:bookmarkEnd w:id="462"/>
      <w:bookmarkEnd w:id="463"/>
      <w:bookmarkEnd w:id="464"/>
      <w:bookmarkEnd w:id="465"/>
    </w:p>
    <w:p w14:paraId="251E9C31">
      <w:pPr>
        <w:widowControl w:val="0"/>
        <w:kinsoku/>
        <w:autoSpaceDE/>
        <w:autoSpaceDN/>
        <w:adjustRightInd/>
        <w:snapToGrid/>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snapToGrid/>
          <w:color w:val="auto"/>
          <w:kern w:val="2"/>
          <w:highlight w:val="none"/>
        </w:rPr>
        <w:t>相关费用：见投标人须知前附表。</w:t>
      </w:r>
    </w:p>
    <w:p w14:paraId="0327E87F">
      <w:pPr>
        <w:pStyle w:val="3"/>
        <w:spacing w:before="156"/>
        <w:rPr>
          <w:color w:val="auto"/>
          <w:highlight w:val="none"/>
        </w:rPr>
      </w:pPr>
      <w:bookmarkStart w:id="466" w:name="_bookmark75"/>
      <w:bookmarkEnd w:id="466"/>
      <w:bookmarkStart w:id="467" w:name="_bookmark74"/>
      <w:bookmarkEnd w:id="467"/>
      <w:bookmarkStart w:id="468" w:name="_Toc27667"/>
      <w:bookmarkStart w:id="469" w:name="_Toc24280"/>
      <w:bookmarkStart w:id="470" w:name="_Toc11982"/>
      <w:bookmarkStart w:id="471" w:name="_Toc12553"/>
      <w:bookmarkStart w:id="472" w:name="_Toc24685"/>
      <w:bookmarkStart w:id="473" w:name="_Toc20376"/>
      <w:r>
        <w:rPr>
          <w:rFonts w:hint="eastAsia"/>
          <w:color w:val="auto"/>
          <w:highlight w:val="none"/>
        </w:rPr>
        <w:t>11.需要补充的其他内容</w:t>
      </w:r>
      <w:bookmarkEnd w:id="468"/>
      <w:bookmarkEnd w:id="469"/>
      <w:bookmarkEnd w:id="470"/>
      <w:bookmarkEnd w:id="471"/>
      <w:bookmarkEnd w:id="472"/>
      <w:bookmarkEnd w:id="473"/>
    </w:p>
    <w:p w14:paraId="678FF390">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需要补充的其他内容：见投标人须知前附表。</w:t>
      </w:r>
    </w:p>
    <w:p w14:paraId="6FB1AF86">
      <w:pPr>
        <w:spacing w:line="360" w:lineRule="auto"/>
        <w:ind w:firstLine="210" w:firstLineChars="100"/>
        <w:rPr>
          <w:rFonts w:ascii="宋体" w:hAnsi="宋体" w:eastAsia="宋体" w:cs="宋体"/>
          <w:color w:val="auto"/>
          <w:highlight w:val="none"/>
        </w:rPr>
      </w:pPr>
      <w:bookmarkStart w:id="474" w:name="_Toc492300620"/>
      <w:bookmarkStart w:id="475" w:name="_Toc30270"/>
      <w:r>
        <w:rPr>
          <w:rFonts w:hint="eastAsia" w:ascii="宋体" w:hAnsi="宋体" w:eastAsia="宋体" w:cs="宋体"/>
          <w:color w:val="auto"/>
          <w:highlight w:val="none"/>
        </w:rPr>
        <w:br w:type="page"/>
      </w:r>
    </w:p>
    <w:p w14:paraId="5B587C77">
      <w:pPr>
        <w:pStyle w:val="4"/>
        <w:spacing w:before="156"/>
        <w:ind w:firstLine="211" w:firstLineChars="100"/>
        <w:rPr>
          <w:rFonts w:ascii="宋体" w:hAnsi="宋体" w:cs="宋体"/>
          <w:color w:val="auto"/>
          <w:sz w:val="21"/>
          <w:szCs w:val="21"/>
          <w:highlight w:val="none"/>
        </w:rPr>
      </w:pPr>
      <w:bookmarkStart w:id="476" w:name="_Toc20670"/>
      <w:bookmarkStart w:id="477" w:name="_Toc12941"/>
      <w:bookmarkStart w:id="478" w:name="_Toc15597"/>
      <w:bookmarkStart w:id="479" w:name="_Toc17443"/>
      <w:r>
        <w:rPr>
          <w:rFonts w:hint="eastAsia" w:ascii="宋体" w:hAnsi="宋体" w:cs="宋体"/>
          <w:color w:val="auto"/>
          <w:sz w:val="21"/>
          <w:szCs w:val="21"/>
          <w:highlight w:val="none"/>
        </w:rPr>
        <w:t>附件一：开标记录表</w:t>
      </w:r>
      <w:bookmarkEnd w:id="474"/>
      <w:bookmarkEnd w:id="475"/>
      <w:bookmarkEnd w:id="476"/>
      <w:bookmarkEnd w:id="477"/>
      <w:bookmarkEnd w:id="478"/>
      <w:bookmarkEnd w:id="479"/>
    </w:p>
    <w:p w14:paraId="251FA6F4">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u w:val="single"/>
        </w:rPr>
        <w:t xml:space="preserve">          （项目名称）</w:t>
      </w:r>
      <w:r>
        <w:rPr>
          <w:rFonts w:hint="eastAsia" w:ascii="宋体" w:hAnsi="宋体" w:eastAsia="宋体" w:cs="宋体"/>
          <w:color w:val="auto"/>
          <w:highlight w:val="none"/>
        </w:rPr>
        <w:t>开标记录表</w:t>
      </w:r>
    </w:p>
    <w:p w14:paraId="14BCF4B2">
      <w:pPr>
        <w:spacing w:beforeLines="50" w:afterLines="50" w:line="400" w:lineRule="exact"/>
        <w:ind w:right="420"/>
        <w:jc w:val="center"/>
        <w:rPr>
          <w:rFonts w:ascii="宋体" w:hAnsi="宋体" w:eastAsia="宋体" w:cs="宋体"/>
          <w:color w:val="auto"/>
          <w:highlight w:val="none"/>
        </w:rPr>
      </w:pPr>
      <w:r>
        <w:rPr>
          <w:rFonts w:hint="eastAsia" w:ascii="宋体" w:hAnsi="宋体" w:eastAsia="宋体" w:cs="宋体"/>
          <w:color w:val="auto"/>
          <w:highlight w:val="none"/>
        </w:rPr>
        <w:t>开标时间：年</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分</w:t>
      </w:r>
    </w:p>
    <w:tbl>
      <w:tblPr>
        <w:tblStyle w:val="25"/>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698"/>
        <w:gridCol w:w="2805"/>
        <w:gridCol w:w="2265"/>
      </w:tblGrid>
      <w:tr w14:paraId="3792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2C8F756F">
            <w:pPr>
              <w:widowControl w:val="0"/>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2698" w:type="dxa"/>
          </w:tcPr>
          <w:p w14:paraId="6816F45F">
            <w:pPr>
              <w:widowControl w:val="0"/>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投标人</w:t>
            </w:r>
          </w:p>
        </w:tc>
        <w:tc>
          <w:tcPr>
            <w:tcW w:w="2805" w:type="dxa"/>
          </w:tcPr>
          <w:p w14:paraId="16166E0A">
            <w:pPr>
              <w:widowControl w:val="0"/>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投标报价</w:t>
            </w:r>
          </w:p>
        </w:tc>
        <w:tc>
          <w:tcPr>
            <w:tcW w:w="2265" w:type="dxa"/>
          </w:tcPr>
          <w:p w14:paraId="71A53FE2">
            <w:pPr>
              <w:widowControl w:val="0"/>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备注</w:t>
            </w:r>
          </w:p>
        </w:tc>
      </w:tr>
      <w:tr w14:paraId="042B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6EDD872A">
            <w:pPr>
              <w:widowControl w:val="0"/>
              <w:spacing w:line="440" w:lineRule="exact"/>
              <w:jc w:val="both"/>
              <w:rPr>
                <w:rFonts w:ascii="宋体" w:hAnsi="宋体" w:eastAsia="宋体" w:cs="宋体"/>
                <w:color w:val="auto"/>
                <w:highlight w:val="none"/>
              </w:rPr>
            </w:pPr>
          </w:p>
        </w:tc>
        <w:tc>
          <w:tcPr>
            <w:tcW w:w="2698" w:type="dxa"/>
          </w:tcPr>
          <w:p w14:paraId="1E0929AF">
            <w:pPr>
              <w:widowControl w:val="0"/>
              <w:spacing w:line="440" w:lineRule="exact"/>
              <w:jc w:val="both"/>
              <w:rPr>
                <w:rFonts w:ascii="宋体" w:hAnsi="宋体" w:eastAsia="宋体" w:cs="宋体"/>
                <w:color w:val="auto"/>
                <w:highlight w:val="none"/>
              </w:rPr>
            </w:pPr>
          </w:p>
        </w:tc>
        <w:tc>
          <w:tcPr>
            <w:tcW w:w="2805" w:type="dxa"/>
          </w:tcPr>
          <w:p w14:paraId="398820D2">
            <w:pPr>
              <w:widowControl w:val="0"/>
              <w:spacing w:line="440" w:lineRule="exact"/>
              <w:jc w:val="both"/>
              <w:rPr>
                <w:rFonts w:ascii="宋体" w:hAnsi="宋体" w:eastAsia="宋体" w:cs="宋体"/>
                <w:color w:val="auto"/>
                <w:highlight w:val="none"/>
              </w:rPr>
            </w:pPr>
          </w:p>
        </w:tc>
        <w:tc>
          <w:tcPr>
            <w:tcW w:w="2265" w:type="dxa"/>
          </w:tcPr>
          <w:p w14:paraId="027C82AC">
            <w:pPr>
              <w:widowControl w:val="0"/>
              <w:spacing w:line="440" w:lineRule="exact"/>
              <w:jc w:val="both"/>
              <w:rPr>
                <w:rFonts w:ascii="宋体" w:hAnsi="宋体" w:eastAsia="宋体" w:cs="宋体"/>
                <w:color w:val="auto"/>
                <w:highlight w:val="none"/>
              </w:rPr>
            </w:pPr>
          </w:p>
        </w:tc>
      </w:tr>
      <w:tr w14:paraId="34EC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7371E1B6">
            <w:pPr>
              <w:widowControl w:val="0"/>
              <w:spacing w:line="440" w:lineRule="exact"/>
              <w:jc w:val="both"/>
              <w:rPr>
                <w:rFonts w:ascii="宋体" w:hAnsi="宋体" w:eastAsia="宋体" w:cs="宋体"/>
                <w:color w:val="auto"/>
                <w:highlight w:val="none"/>
              </w:rPr>
            </w:pPr>
          </w:p>
        </w:tc>
        <w:tc>
          <w:tcPr>
            <w:tcW w:w="2698" w:type="dxa"/>
          </w:tcPr>
          <w:p w14:paraId="622F664E">
            <w:pPr>
              <w:widowControl w:val="0"/>
              <w:spacing w:line="440" w:lineRule="exact"/>
              <w:jc w:val="both"/>
              <w:rPr>
                <w:rFonts w:ascii="宋体" w:hAnsi="宋体" w:eastAsia="宋体" w:cs="宋体"/>
                <w:color w:val="auto"/>
                <w:highlight w:val="none"/>
              </w:rPr>
            </w:pPr>
          </w:p>
        </w:tc>
        <w:tc>
          <w:tcPr>
            <w:tcW w:w="2805" w:type="dxa"/>
          </w:tcPr>
          <w:p w14:paraId="46721696">
            <w:pPr>
              <w:widowControl w:val="0"/>
              <w:spacing w:line="440" w:lineRule="exact"/>
              <w:jc w:val="both"/>
              <w:rPr>
                <w:rFonts w:ascii="宋体" w:hAnsi="宋体" w:eastAsia="宋体" w:cs="宋体"/>
                <w:color w:val="auto"/>
                <w:highlight w:val="none"/>
              </w:rPr>
            </w:pPr>
          </w:p>
        </w:tc>
        <w:tc>
          <w:tcPr>
            <w:tcW w:w="2265" w:type="dxa"/>
          </w:tcPr>
          <w:p w14:paraId="68AE0D00">
            <w:pPr>
              <w:widowControl w:val="0"/>
              <w:spacing w:line="440" w:lineRule="exact"/>
              <w:jc w:val="both"/>
              <w:rPr>
                <w:rFonts w:ascii="宋体" w:hAnsi="宋体" w:eastAsia="宋体" w:cs="宋体"/>
                <w:color w:val="auto"/>
                <w:highlight w:val="none"/>
              </w:rPr>
            </w:pPr>
          </w:p>
        </w:tc>
      </w:tr>
      <w:tr w14:paraId="4CD9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0215E5F8">
            <w:pPr>
              <w:widowControl w:val="0"/>
              <w:spacing w:line="440" w:lineRule="exact"/>
              <w:jc w:val="both"/>
              <w:rPr>
                <w:rFonts w:ascii="宋体" w:hAnsi="宋体" w:eastAsia="宋体" w:cs="宋体"/>
                <w:color w:val="auto"/>
                <w:highlight w:val="none"/>
              </w:rPr>
            </w:pPr>
          </w:p>
        </w:tc>
        <w:tc>
          <w:tcPr>
            <w:tcW w:w="2698" w:type="dxa"/>
          </w:tcPr>
          <w:p w14:paraId="525C8FBF">
            <w:pPr>
              <w:widowControl w:val="0"/>
              <w:spacing w:line="440" w:lineRule="exact"/>
              <w:jc w:val="both"/>
              <w:rPr>
                <w:rFonts w:ascii="宋体" w:hAnsi="宋体" w:eastAsia="宋体" w:cs="宋体"/>
                <w:color w:val="auto"/>
                <w:highlight w:val="none"/>
              </w:rPr>
            </w:pPr>
          </w:p>
        </w:tc>
        <w:tc>
          <w:tcPr>
            <w:tcW w:w="2805" w:type="dxa"/>
          </w:tcPr>
          <w:p w14:paraId="16CD7C37">
            <w:pPr>
              <w:widowControl w:val="0"/>
              <w:spacing w:line="440" w:lineRule="exact"/>
              <w:jc w:val="both"/>
              <w:rPr>
                <w:rFonts w:ascii="宋体" w:hAnsi="宋体" w:eastAsia="宋体" w:cs="宋体"/>
                <w:color w:val="auto"/>
                <w:highlight w:val="none"/>
              </w:rPr>
            </w:pPr>
          </w:p>
        </w:tc>
        <w:tc>
          <w:tcPr>
            <w:tcW w:w="2265" w:type="dxa"/>
          </w:tcPr>
          <w:p w14:paraId="2851C232">
            <w:pPr>
              <w:widowControl w:val="0"/>
              <w:spacing w:line="440" w:lineRule="exact"/>
              <w:jc w:val="both"/>
              <w:rPr>
                <w:rFonts w:ascii="宋体" w:hAnsi="宋体" w:eastAsia="宋体" w:cs="宋体"/>
                <w:color w:val="auto"/>
                <w:highlight w:val="none"/>
              </w:rPr>
            </w:pPr>
          </w:p>
        </w:tc>
      </w:tr>
      <w:tr w14:paraId="52AB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415B59CA">
            <w:pPr>
              <w:widowControl w:val="0"/>
              <w:spacing w:line="440" w:lineRule="exact"/>
              <w:jc w:val="both"/>
              <w:rPr>
                <w:rFonts w:ascii="宋体" w:hAnsi="宋体" w:eastAsia="宋体" w:cs="宋体"/>
                <w:color w:val="auto"/>
                <w:highlight w:val="none"/>
              </w:rPr>
            </w:pPr>
          </w:p>
        </w:tc>
        <w:tc>
          <w:tcPr>
            <w:tcW w:w="2698" w:type="dxa"/>
          </w:tcPr>
          <w:p w14:paraId="6A7B0D7D">
            <w:pPr>
              <w:widowControl w:val="0"/>
              <w:spacing w:line="440" w:lineRule="exact"/>
              <w:jc w:val="both"/>
              <w:rPr>
                <w:rFonts w:ascii="宋体" w:hAnsi="宋体" w:eastAsia="宋体" w:cs="宋体"/>
                <w:color w:val="auto"/>
                <w:highlight w:val="none"/>
              </w:rPr>
            </w:pPr>
          </w:p>
        </w:tc>
        <w:tc>
          <w:tcPr>
            <w:tcW w:w="2805" w:type="dxa"/>
          </w:tcPr>
          <w:p w14:paraId="3ABA235E">
            <w:pPr>
              <w:widowControl w:val="0"/>
              <w:spacing w:line="440" w:lineRule="exact"/>
              <w:jc w:val="both"/>
              <w:rPr>
                <w:rFonts w:ascii="宋体" w:hAnsi="宋体" w:eastAsia="宋体" w:cs="宋体"/>
                <w:color w:val="auto"/>
                <w:highlight w:val="none"/>
              </w:rPr>
            </w:pPr>
          </w:p>
        </w:tc>
        <w:tc>
          <w:tcPr>
            <w:tcW w:w="2265" w:type="dxa"/>
          </w:tcPr>
          <w:p w14:paraId="08849639">
            <w:pPr>
              <w:widowControl w:val="0"/>
              <w:spacing w:line="440" w:lineRule="exact"/>
              <w:jc w:val="both"/>
              <w:rPr>
                <w:rFonts w:ascii="宋体" w:hAnsi="宋体" w:eastAsia="宋体" w:cs="宋体"/>
                <w:color w:val="auto"/>
                <w:highlight w:val="none"/>
              </w:rPr>
            </w:pPr>
          </w:p>
        </w:tc>
      </w:tr>
      <w:tr w14:paraId="75A2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064575EC">
            <w:pPr>
              <w:widowControl w:val="0"/>
              <w:spacing w:line="440" w:lineRule="exact"/>
              <w:jc w:val="both"/>
              <w:rPr>
                <w:rFonts w:ascii="宋体" w:hAnsi="宋体" w:eastAsia="宋体" w:cs="宋体"/>
                <w:color w:val="auto"/>
                <w:highlight w:val="none"/>
              </w:rPr>
            </w:pPr>
          </w:p>
        </w:tc>
        <w:tc>
          <w:tcPr>
            <w:tcW w:w="2698" w:type="dxa"/>
          </w:tcPr>
          <w:p w14:paraId="6C9A8DAA">
            <w:pPr>
              <w:widowControl w:val="0"/>
              <w:spacing w:line="440" w:lineRule="exact"/>
              <w:jc w:val="both"/>
              <w:rPr>
                <w:rFonts w:ascii="宋体" w:hAnsi="宋体" w:eastAsia="宋体" w:cs="宋体"/>
                <w:color w:val="auto"/>
                <w:highlight w:val="none"/>
              </w:rPr>
            </w:pPr>
          </w:p>
        </w:tc>
        <w:tc>
          <w:tcPr>
            <w:tcW w:w="2805" w:type="dxa"/>
          </w:tcPr>
          <w:p w14:paraId="49554E30">
            <w:pPr>
              <w:widowControl w:val="0"/>
              <w:spacing w:line="440" w:lineRule="exact"/>
              <w:jc w:val="both"/>
              <w:rPr>
                <w:rFonts w:ascii="宋体" w:hAnsi="宋体" w:eastAsia="宋体" w:cs="宋体"/>
                <w:color w:val="auto"/>
                <w:highlight w:val="none"/>
              </w:rPr>
            </w:pPr>
          </w:p>
        </w:tc>
        <w:tc>
          <w:tcPr>
            <w:tcW w:w="2265" w:type="dxa"/>
          </w:tcPr>
          <w:p w14:paraId="1B7B0C6E">
            <w:pPr>
              <w:widowControl w:val="0"/>
              <w:spacing w:line="440" w:lineRule="exact"/>
              <w:jc w:val="both"/>
              <w:rPr>
                <w:rFonts w:ascii="宋体" w:hAnsi="宋体" w:eastAsia="宋体" w:cs="宋体"/>
                <w:color w:val="auto"/>
                <w:highlight w:val="none"/>
              </w:rPr>
            </w:pPr>
          </w:p>
        </w:tc>
      </w:tr>
      <w:tr w14:paraId="5B6E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304374F8">
            <w:pPr>
              <w:widowControl w:val="0"/>
              <w:spacing w:line="440" w:lineRule="exact"/>
              <w:jc w:val="both"/>
              <w:rPr>
                <w:rFonts w:ascii="宋体" w:hAnsi="宋体" w:eastAsia="宋体" w:cs="宋体"/>
                <w:color w:val="auto"/>
                <w:highlight w:val="none"/>
              </w:rPr>
            </w:pPr>
          </w:p>
        </w:tc>
        <w:tc>
          <w:tcPr>
            <w:tcW w:w="2698" w:type="dxa"/>
          </w:tcPr>
          <w:p w14:paraId="01F43B1F">
            <w:pPr>
              <w:widowControl w:val="0"/>
              <w:spacing w:line="440" w:lineRule="exact"/>
              <w:jc w:val="both"/>
              <w:rPr>
                <w:rFonts w:ascii="宋体" w:hAnsi="宋体" w:eastAsia="宋体" w:cs="宋体"/>
                <w:color w:val="auto"/>
                <w:highlight w:val="none"/>
              </w:rPr>
            </w:pPr>
          </w:p>
        </w:tc>
        <w:tc>
          <w:tcPr>
            <w:tcW w:w="2805" w:type="dxa"/>
          </w:tcPr>
          <w:p w14:paraId="683AA425">
            <w:pPr>
              <w:widowControl w:val="0"/>
              <w:spacing w:line="440" w:lineRule="exact"/>
              <w:jc w:val="both"/>
              <w:rPr>
                <w:rFonts w:ascii="宋体" w:hAnsi="宋体" w:eastAsia="宋体" w:cs="宋体"/>
                <w:color w:val="auto"/>
                <w:highlight w:val="none"/>
              </w:rPr>
            </w:pPr>
          </w:p>
        </w:tc>
        <w:tc>
          <w:tcPr>
            <w:tcW w:w="2265" w:type="dxa"/>
          </w:tcPr>
          <w:p w14:paraId="282EEB5A">
            <w:pPr>
              <w:widowControl w:val="0"/>
              <w:spacing w:line="440" w:lineRule="exact"/>
              <w:jc w:val="both"/>
              <w:rPr>
                <w:rFonts w:ascii="宋体" w:hAnsi="宋体" w:eastAsia="宋体" w:cs="宋体"/>
                <w:color w:val="auto"/>
                <w:highlight w:val="none"/>
              </w:rPr>
            </w:pPr>
          </w:p>
        </w:tc>
      </w:tr>
      <w:tr w14:paraId="375A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0C4E6C2B">
            <w:pPr>
              <w:widowControl w:val="0"/>
              <w:spacing w:line="440" w:lineRule="exact"/>
              <w:jc w:val="both"/>
              <w:rPr>
                <w:rFonts w:ascii="宋体" w:hAnsi="宋体" w:eastAsia="宋体" w:cs="宋体"/>
                <w:color w:val="auto"/>
                <w:highlight w:val="none"/>
              </w:rPr>
            </w:pPr>
          </w:p>
        </w:tc>
        <w:tc>
          <w:tcPr>
            <w:tcW w:w="2698" w:type="dxa"/>
          </w:tcPr>
          <w:p w14:paraId="300BDBD0">
            <w:pPr>
              <w:widowControl w:val="0"/>
              <w:spacing w:line="440" w:lineRule="exact"/>
              <w:jc w:val="both"/>
              <w:rPr>
                <w:rFonts w:ascii="宋体" w:hAnsi="宋体" w:eastAsia="宋体" w:cs="宋体"/>
                <w:color w:val="auto"/>
                <w:highlight w:val="none"/>
              </w:rPr>
            </w:pPr>
          </w:p>
        </w:tc>
        <w:tc>
          <w:tcPr>
            <w:tcW w:w="2805" w:type="dxa"/>
          </w:tcPr>
          <w:p w14:paraId="422405BA">
            <w:pPr>
              <w:widowControl w:val="0"/>
              <w:spacing w:line="440" w:lineRule="exact"/>
              <w:jc w:val="both"/>
              <w:rPr>
                <w:rFonts w:ascii="宋体" w:hAnsi="宋体" w:eastAsia="宋体" w:cs="宋体"/>
                <w:color w:val="auto"/>
                <w:highlight w:val="none"/>
              </w:rPr>
            </w:pPr>
          </w:p>
        </w:tc>
        <w:tc>
          <w:tcPr>
            <w:tcW w:w="2265" w:type="dxa"/>
          </w:tcPr>
          <w:p w14:paraId="7587E66A">
            <w:pPr>
              <w:widowControl w:val="0"/>
              <w:spacing w:line="440" w:lineRule="exact"/>
              <w:jc w:val="both"/>
              <w:rPr>
                <w:rFonts w:ascii="宋体" w:hAnsi="宋体" w:eastAsia="宋体" w:cs="宋体"/>
                <w:color w:val="auto"/>
                <w:highlight w:val="none"/>
              </w:rPr>
            </w:pPr>
          </w:p>
        </w:tc>
      </w:tr>
      <w:tr w14:paraId="0774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57D858A5">
            <w:pPr>
              <w:widowControl w:val="0"/>
              <w:spacing w:line="440" w:lineRule="exact"/>
              <w:jc w:val="both"/>
              <w:rPr>
                <w:rFonts w:ascii="宋体" w:hAnsi="宋体" w:eastAsia="宋体" w:cs="宋体"/>
                <w:color w:val="auto"/>
                <w:highlight w:val="none"/>
              </w:rPr>
            </w:pPr>
          </w:p>
        </w:tc>
        <w:tc>
          <w:tcPr>
            <w:tcW w:w="2698" w:type="dxa"/>
          </w:tcPr>
          <w:p w14:paraId="36530F00">
            <w:pPr>
              <w:widowControl w:val="0"/>
              <w:spacing w:line="440" w:lineRule="exact"/>
              <w:jc w:val="both"/>
              <w:rPr>
                <w:rFonts w:ascii="宋体" w:hAnsi="宋体" w:eastAsia="宋体" w:cs="宋体"/>
                <w:color w:val="auto"/>
                <w:highlight w:val="none"/>
              </w:rPr>
            </w:pPr>
          </w:p>
        </w:tc>
        <w:tc>
          <w:tcPr>
            <w:tcW w:w="2805" w:type="dxa"/>
          </w:tcPr>
          <w:p w14:paraId="44CE833C">
            <w:pPr>
              <w:widowControl w:val="0"/>
              <w:spacing w:line="440" w:lineRule="exact"/>
              <w:jc w:val="both"/>
              <w:rPr>
                <w:rFonts w:ascii="宋体" w:hAnsi="宋体" w:eastAsia="宋体" w:cs="宋体"/>
                <w:color w:val="auto"/>
                <w:highlight w:val="none"/>
              </w:rPr>
            </w:pPr>
          </w:p>
        </w:tc>
        <w:tc>
          <w:tcPr>
            <w:tcW w:w="2265" w:type="dxa"/>
          </w:tcPr>
          <w:p w14:paraId="3770D98A">
            <w:pPr>
              <w:widowControl w:val="0"/>
              <w:spacing w:line="440" w:lineRule="exact"/>
              <w:jc w:val="both"/>
              <w:rPr>
                <w:rFonts w:ascii="宋体" w:hAnsi="宋体" w:eastAsia="宋体" w:cs="宋体"/>
                <w:color w:val="auto"/>
                <w:highlight w:val="none"/>
              </w:rPr>
            </w:pPr>
          </w:p>
        </w:tc>
      </w:tr>
      <w:tr w14:paraId="48C1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6BBBC754">
            <w:pPr>
              <w:widowControl w:val="0"/>
              <w:spacing w:line="440" w:lineRule="exact"/>
              <w:jc w:val="both"/>
              <w:rPr>
                <w:rFonts w:ascii="宋体" w:hAnsi="宋体" w:eastAsia="宋体" w:cs="宋体"/>
                <w:color w:val="auto"/>
                <w:highlight w:val="none"/>
              </w:rPr>
            </w:pPr>
          </w:p>
        </w:tc>
        <w:tc>
          <w:tcPr>
            <w:tcW w:w="2698" w:type="dxa"/>
          </w:tcPr>
          <w:p w14:paraId="6BB11F64">
            <w:pPr>
              <w:widowControl w:val="0"/>
              <w:spacing w:line="440" w:lineRule="exact"/>
              <w:jc w:val="both"/>
              <w:rPr>
                <w:rFonts w:ascii="宋体" w:hAnsi="宋体" w:eastAsia="宋体" w:cs="宋体"/>
                <w:color w:val="auto"/>
                <w:highlight w:val="none"/>
              </w:rPr>
            </w:pPr>
          </w:p>
        </w:tc>
        <w:tc>
          <w:tcPr>
            <w:tcW w:w="2805" w:type="dxa"/>
          </w:tcPr>
          <w:p w14:paraId="71977F36">
            <w:pPr>
              <w:widowControl w:val="0"/>
              <w:spacing w:line="440" w:lineRule="exact"/>
              <w:jc w:val="both"/>
              <w:rPr>
                <w:rFonts w:ascii="宋体" w:hAnsi="宋体" w:eastAsia="宋体" w:cs="宋体"/>
                <w:color w:val="auto"/>
                <w:highlight w:val="none"/>
              </w:rPr>
            </w:pPr>
          </w:p>
        </w:tc>
        <w:tc>
          <w:tcPr>
            <w:tcW w:w="2265" w:type="dxa"/>
          </w:tcPr>
          <w:p w14:paraId="4E6FB1C9">
            <w:pPr>
              <w:widowControl w:val="0"/>
              <w:spacing w:line="440" w:lineRule="exact"/>
              <w:jc w:val="both"/>
              <w:rPr>
                <w:rFonts w:ascii="宋体" w:hAnsi="宋体" w:eastAsia="宋体" w:cs="宋体"/>
                <w:color w:val="auto"/>
                <w:highlight w:val="none"/>
              </w:rPr>
            </w:pPr>
          </w:p>
        </w:tc>
      </w:tr>
    </w:tbl>
    <w:p w14:paraId="6E959774">
      <w:pPr>
        <w:spacing w:line="620" w:lineRule="exact"/>
        <w:rPr>
          <w:rFonts w:ascii="宋体" w:hAnsi="宋体" w:eastAsia="宋体" w:cs="宋体"/>
          <w:color w:val="auto"/>
          <w:highlight w:val="none"/>
        </w:rPr>
      </w:pPr>
    </w:p>
    <w:p w14:paraId="4FA45287">
      <w:pPr>
        <w:kinsoku/>
        <w:spacing w:line="400" w:lineRule="exact"/>
        <w:rPr>
          <w:rFonts w:ascii="宋体" w:hAnsi="宋体" w:eastAsia="宋体" w:cs="宋体"/>
          <w:color w:val="auto"/>
          <w:highlight w:val="none"/>
          <w:u w:val="single"/>
        </w:rPr>
      </w:pPr>
      <w:r>
        <w:rPr>
          <w:rFonts w:hint="eastAsia" w:ascii="宋体" w:hAnsi="宋体" w:eastAsia="宋体" w:cs="宋体"/>
          <w:color w:val="auto"/>
          <w:highlight w:val="none"/>
        </w:rPr>
        <w:t>招标人代表：</w:t>
      </w:r>
    </w:p>
    <w:p w14:paraId="61F50EE5">
      <w:pPr>
        <w:kinsoku/>
        <w:spacing w:line="400" w:lineRule="exact"/>
        <w:rPr>
          <w:rFonts w:ascii="宋体" w:hAnsi="宋体" w:eastAsia="宋体" w:cs="宋体"/>
          <w:color w:val="auto"/>
          <w:highlight w:val="none"/>
          <w:u w:val="single"/>
        </w:rPr>
      </w:pPr>
      <w:r>
        <w:rPr>
          <w:rFonts w:hint="eastAsia" w:ascii="宋体" w:hAnsi="宋体" w:eastAsia="宋体" w:cs="宋体"/>
          <w:color w:val="auto"/>
          <w:highlight w:val="none"/>
        </w:rPr>
        <w:t>记录人：</w:t>
      </w:r>
    </w:p>
    <w:p w14:paraId="1F2ACF72">
      <w:pPr>
        <w:kinsoku/>
        <w:spacing w:line="400" w:lineRule="exact"/>
        <w:rPr>
          <w:rFonts w:ascii="宋体" w:hAnsi="宋体" w:eastAsia="宋体" w:cs="宋体"/>
          <w:color w:val="auto"/>
          <w:highlight w:val="none"/>
          <w:u w:val="single"/>
        </w:rPr>
      </w:pPr>
      <w:r>
        <w:rPr>
          <w:rFonts w:hint="eastAsia" w:ascii="宋体" w:hAnsi="宋体" w:eastAsia="宋体" w:cs="宋体"/>
          <w:color w:val="auto"/>
          <w:highlight w:val="none"/>
        </w:rPr>
        <w:t>监督人员：</w:t>
      </w:r>
    </w:p>
    <w:p w14:paraId="1316A0CC">
      <w:pPr>
        <w:pStyle w:val="12"/>
        <w:rPr>
          <w:rFonts w:ascii="宋体" w:hAnsi="宋体" w:eastAsia="宋体" w:cs="宋体"/>
          <w:color w:val="auto"/>
          <w:szCs w:val="21"/>
          <w:highlight w:val="none"/>
        </w:rPr>
      </w:pPr>
    </w:p>
    <w:p w14:paraId="3C181787">
      <w:pPr>
        <w:rPr>
          <w:rFonts w:ascii="宋体" w:hAnsi="宋体" w:eastAsia="宋体" w:cs="宋体"/>
          <w:color w:val="auto"/>
          <w:highlight w:val="none"/>
        </w:rPr>
      </w:pPr>
    </w:p>
    <w:p w14:paraId="5670BD54">
      <w:pPr>
        <w:pStyle w:val="12"/>
        <w:rPr>
          <w:rFonts w:ascii="宋体" w:hAnsi="宋体" w:eastAsia="宋体" w:cs="宋体"/>
          <w:color w:val="auto"/>
          <w:szCs w:val="21"/>
          <w:highlight w:val="none"/>
        </w:rPr>
      </w:pPr>
    </w:p>
    <w:p w14:paraId="6FA69C2C">
      <w:pPr>
        <w:rPr>
          <w:rFonts w:ascii="宋体" w:hAnsi="宋体" w:eastAsia="宋体" w:cs="宋体"/>
          <w:color w:val="auto"/>
          <w:highlight w:val="none"/>
        </w:rPr>
      </w:pPr>
    </w:p>
    <w:p w14:paraId="76A75A70">
      <w:pPr>
        <w:pStyle w:val="12"/>
        <w:rPr>
          <w:rFonts w:ascii="宋体" w:hAnsi="宋体" w:eastAsia="宋体" w:cs="宋体"/>
          <w:color w:val="auto"/>
          <w:szCs w:val="21"/>
          <w:highlight w:val="none"/>
        </w:rPr>
      </w:pPr>
    </w:p>
    <w:p w14:paraId="3AED1690">
      <w:pPr>
        <w:rPr>
          <w:rFonts w:ascii="宋体" w:hAnsi="宋体" w:eastAsia="宋体" w:cs="宋体"/>
          <w:color w:val="auto"/>
          <w:highlight w:val="none"/>
        </w:rPr>
      </w:pPr>
    </w:p>
    <w:p w14:paraId="3EE77003">
      <w:pPr>
        <w:pStyle w:val="12"/>
        <w:rPr>
          <w:rFonts w:ascii="宋体" w:hAnsi="宋体" w:eastAsia="宋体" w:cs="宋体"/>
          <w:color w:val="auto"/>
          <w:szCs w:val="21"/>
          <w:highlight w:val="none"/>
        </w:rPr>
      </w:pPr>
    </w:p>
    <w:p w14:paraId="7D48BBB2">
      <w:pPr>
        <w:rPr>
          <w:rFonts w:ascii="宋体" w:hAnsi="宋体" w:eastAsia="宋体" w:cs="宋体"/>
          <w:color w:val="auto"/>
          <w:highlight w:val="none"/>
        </w:rPr>
      </w:pPr>
    </w:p>
    <w:p w14:paraId="5EA608CF">
      <w:pPr>
        <w:pStyle w:val="12"/>
        <w:rPr>
          <w:rFonts w:ascii="宋体" w:hAnsi="宋体" w:eastAsia="宋体" w:cs="宋体"/>
          <w:color w:val="auto"/>
          <w:szCs w:val="21"/>
          <w:highlight w:val="none"/>
        </w:rPr>
      </w:pPr>
    </w:p>
    <w:p w14:paraId="7F02F9CC">
      <w:pPr>
        <w:rPr>
          <w:rFonts w:ascii="宋体" w:hAnsi="宋体" w:eastAsia="宋体" w:cs="宋体"/>
          <w:color w:val="auto"/>
          <w:highlight w:val="none"/>
        </w:rPr>
      </w:pPr>
      <w:r>
        <w:rPr>
          <w:rFonts w:hint="eastAsia" w:ascii="宋体" w:hAnsi="宋体" w:eastAsia="宋体" w:cs="宋体"/>
          <w:color w:val="auto"/>
          <w:highlight w:val="none"/>
        </w:rPr>
        <w:br w:type="page"/>
      </w:r>
    </w:p>
    <w:p w14:paraId="186F973D">
      <w:pPr>
        <w:pStyle w:val="4"/>
        <w:spacing w:before="156"/>
        <w:ind w:firstLine="0"/>
        <w:rPr>
          <w:rFonts w:ascii="宋体" w:hAnsi="宋体" w:cs="宋体"/>
          <w:color w:val="auto"/>
          <w:sz w:val="21"/>
          <w:szCs w:val="21"/>
          <w:highlight w:val="none"/>
        </w:rPr>
      </w:pPr>
      <w:bookmarkStart w:id="480" w:name="_Toc11271"/>
      <w:bookmarkStart w:id="481" w:name="_Toc492300621"/>
      <w:bookmarkStart w:id="482" w:name="_Toc14964"/>
      <w:bookmarkStart w:id="483" w:name="_Toc18756"/>
      <w:bookmarkStart w:id="484" w:name="_Toc3796"/>
      <w:bookmarkStart w:id="485" w:name="_Toc12191"/>
      <w:r>
        <w:rPr>
          <w:rFonts w:hint="eastAsia" w:ascii="宋体" w:hAnsi="宋体" w:cs="宋体"/>
          <w:color w:val="auto"/>
          <w:sz w:val="21"/>
          <w:szCs w:val="21"/>
          <w:highlight w:val="none"/>
        </w:rPr>
        <w:t>附件二：问题澄清通知</w:t>
      </w:r>
      <w:bookmarkEnd w:id="480"/>
      <w:bookmarkEnd w:id="481"/>
      <w:bookmarkEnd w:id="482"/>
      <w:bookmarkEnd w:id="483"/>
      <w:bookmarkEnd w:id="484"/>
      <w:bookmarkEnd w:id="485"/>
    </w:p>
    <w:p w14:paraId="730A1D9D">
      <w:pPr>
        <w:spacing w:line="360" w:lineRule="auto"/>
        <w:jc w:val="center"/>
        <w:rPr>
          <w:rFonts w:ascii="宋体" w:hAnsi="宋体" w:eastAsia="宋体" w:cs="宋体"/>
          <w:color w:val="auto"/>
          <w:highlight w:val="none"/>
        </w:rPr>
      </w:pPr>
    </w:p>
    <w:p w14:paraId="2CA96944">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问题澄清通知</w:t>
      </w:r>
    </w:p>
    <w:p w14:paraId="6E9F092D">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（编号：）</w:t>
      </w:r>
    </w:p>
    <w:p w14:paraId="3BE5E431">
      <w:pPr>
        <w:spacing w:line="360" w:lineRule="auto"/>
        <w:rPr>
          <w:rFonts w:ascii="宋体" w:hAnsi="宋体" w:eastAsia="宋体" w:cs="宋体"/>
          <w:color w:val="auto"/>
          <w:highlight w:val="none"/>
        </w:rPr>
      </w:pPr>
    </w:p>
    <w:p w14:paraId="21E05924">
      <w:pPr>
        <w:spacing w:line="360" w:lineRule="auto"/>
        <w:rPr>
          <w:rFonts w:ascii="宋体" w:hAnsi="宋体" w:eastAsia="宋体" w:cs="宋体"/>
          <w:color w:val="auto"/>
          <w:highlight w:val="none"/>
        </w:rPr>
      </w:pPr>
      <w:r>
        <w:rPr>
          <w:rFonts w:hint="eastAsia" w:ascii="宋体" w:hAnsi="宋体" w:eastAsia="宋体" w:cs="宋体"/>
          <w:color w:val="auto"/>
          <w:highlight w:val="none"/>
          <w:u w:val="single"/>
        </w:rPr>
        <w:t xml:space="preserve">                     （投标人名称）</w:t>
      </w:r>
      <w:r>
        <w:rPr>
          <w:rFonts w:hint="eastAsia" w:ascii="宋体" w:hAnsi="宋体" w:eastAsia="宋体" w:cs="宋体"/>
          <w:color w:val="auto"/>
          <w:highlight w:val="none"/>
        </w:rPr>
        <w:t>：</w:t>
      </w:r>
    </w:p>
    <w:p w14:paraId="272FAECA">
      <w:pPr>
        <w:spacing w:line="360" w:lineRule="auto"/>
        <w:rPr>
          <w:rFonts w:ascii="宋体" w:hAnsi="宋体" w:eastAsia="宋体" w:cs="宋体"/>
          <w:color w:val="auto"/>
          <w:highlight w:val="none"/>
        </w:rPr>
      </w:pPr>
    </w:p>
    <w:p w14:paraId="7041E584">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评标委员会对你方的投标文件进行了仔细的审查，现需你方对下列问题以书</w:t>
      </w:r>
      <w:bookmarkStart w:id="486" w:name="_Toc361508634"/>
      <w:bookmarkStart w:id="487" w:name="_Toc300834996"/>
      <w:bookmarkStart w:id="488" w:name="_Toc384308260"/>
      <w:bookmarkStart w:id="489" w:name="_Toc23050"/>
      <w:bookmarkStart w:id="490" w:name="_Toc152042352"/>
      <w:bookmarkStart w:id="491" w:name="_Toc369531565"/>
      <w:bookmarkStart w:id="492" w:name="_Toc247514000"/>
      <w:bookmarkStart w:id="493" w:name="_Toc152045576"/>
      <w:bookmarkStart w:id="494" w:name="_Toc144974544"/>
      <w:bookmarkStart w:id="495" w:name="_Toc352691521"/>
      <w:bookmarkStart w:id="496" w:name="_Toc247527601"/>
      <w:r>
        <w:rPr>
          <w:rFonts w:hint="eastAsia" w:ascii="宋体" w:hAnsi="宋体" w:eastAsia="宋体" w:cs="宋体"/>
          <w:color w:val="auto"/>
          <w:highlight w:val="none"/>
        </w:rPr>
        <w:t>面形式予以澄清、说明或补正：</w:t>
      </w:r>
    </w:p>
    <w:bookmarkEnd w:id="486"/>
    <w:bookmarkEnd w:id="487"/>
    <w:bookmarkEnd w:id="488"/>
    <w:bookmarkEnd w:id="489"/>
    <w:bookmarkEnd w:id="490"/>
    <w:bookmarkEnd w:id="491"/>
    <w:bookmarkEnd w:id="492"/>
    <w:bookmarkEnd w:id="493"/>
    <w:bookmarkEnd w:id="494"/>
    <w:bookmarkEnd w:id="495"/>
    <w:bookmarkEnd w:id="496"/>
    <w:p w14:paraId="7F868C4F">
      <w:pPr>
        <w:spacing w:line="360" w:lineRule="auto"/>
        <w:ind w:firstLine="420" w:firstLineChars="200"/>
        <w:rPr>
          <w:rFonts w:ascii="宋体" w:hAnsi="宋体" w:eastAsia="宋体" w:cs="宋体"/>
          <w:color w:val="auto"/>
          <w:highlight w:val="none"/>
        </w:rPr>
      </w:pPr>
      <w:bookmarkStart w:id="497" w:name="_Toc369531567"/>
      <w:bookmarkStart w:id="498" w:name="_Toc352691523"/>
      <w:bookmarkStart w:id="499" w:name="_Toc247514002"/>
      <w:bookmarkStart w:id="500" w:name="_Toc384308262"/>
      <w:bookmarkStart w:id="501" w:name="_Toc152045578"/>
      <w:bookmarkStart w:id="502" w:name="_Toc300834998"/>
      <w:bookmarkStart w:id="503" w:name="_Toc361508636"/>
      <w:bookmarkStart w:id="504" w:name="_Toc6580"/>
      <w:bookmarkStart w:id="505" w:name="_Toc152042354"/>
      <w:bookmarkStart w:id="506" w:name="_Toc247527603"/>
      <w:bookmarkStart w:id="507" w:name="_Toc144974546"/>
      <w:r>
        <w:rPr>
          <w:rFonts w:hint="eastAsia" w:ascii="宋体" w:hAnsi="宋体" w:eastAsia="宋体" w:cs="宋体"/>
          <w:color w:val="auto"/>
          <w:highlight w:val="none"/>
        </w:rPr>
        <w:t>1.</w:t>
      </w:r>
    </w:p>
    <w:p w14:paraId="7EB3382E">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w:t>
      </w:r>
    </w:p>
    <w:p w14:paraId="483A5BB4">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w:t>
      </w:r>
    </w:p>
    <w:p w14:paraId="11FCFABB">
      <w:pPr>
        <w:spacing w:line="360" w:lineRule="auto"/>
        <w:ind w:firstLine="420" w:firstLineChars="200"/>
        <w:rPr>
          <w:rFonts w:ascii="宋体" w:hAnsi="宋体" w:eastAsia="宋体" w:cs="宋体"/>
          <w:color w:val="auto"/>
          <w:highlight w:val="none"/>
        </w:rPr>
      </w:pPr>
    </w:p>
    <w:p w14:paraId="2B9C05E8">
      <w:pPr>
        <w:spacing w:line="360" w:lineRule="auto"/>
        <w:ind w:firstLine="420" w:firstLineChars="200"/>
        <w:rPr>
          <w:rFonts w:ascii="宋体" w:hAnsi="宋体" w:eastAsia="宋体" w:cs="宋体"/>
          <w:color w:val="auto"/>
          <w:highlight w:val="none"/>
        </w:rPr>
      </w:pPr>
    </w:p>
    <w:p w14:paraId="4D2DA21E">
      <w:pPr>
        <w:spacing w:line="360" w:lineRule="auto"/>
        <w:ind w:firstLine="420" w:firstLineChars="200"/>
        <w:rPr>
          <w:rFonts w:ascii="宋体" w:hAnsi="宋体" w:eastAsia="宋体" w:cs="宋体"/>
          <w:color w:val="auto"/>
          <w:highlight w:val="none"/>
        </w:rPr>
      </w:pPr>
    </w:p>
    <w:p w14:paraId="408BFCE8">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请将上述问题的澄清于年月日时前通过</w:t>
      </w:r>
      <w:r>
        <w:rPr>
          <w:rFonts w:hint="eastAsia" w:ascii="宋体" w:hAnsi="宋体" w:eastAsia="宋体" w:cs="宋体"/>
          <w:snapToGrid/>
          <w:color w:val="auto"/>
          <w:kern w:val="2"/>
          <w:highlight w:val="none"/>
        </w:rPr>
        <w:t>重庆市电子招投标系统</w:t>
      </w:r>
      <w:r>
        <w:rPr>
          <w:rFonts w:hint="eastAsia" w:ascii="宋体" w:hAnsi="宋体" w:eastAsia="宋体" w:cs="宋体"/>
          <w:color w:val="auto"/>
          <w:highlight w:val="none"/>
        </w:rPr>
        <w:t>提交。</w:t>
      </w:r>
    </w:p>
    <w:p w14:paraId="7931E4D5">
      <w:pPr>
        <w:spacing w:line="360" w:lineRule="auto"/>
        <w:ind w:firstLine="420" w:firstLineChars="200"/>
        <w:rPr>
          <w:rFonts w:ascii="宋体" w:hAnsi="宋体" w:eastAsia="宋体" w:cs="宋体"/>
          <w:color w:val="auto"/>
          <w:highlight w:val="none"/>
        </w:rPr>
      </w:pPr>
    </w:p>
    <w:p w14:paraId="6E89C7F5">
      <w:pPr>
        <w:tabs>
          <w:tab w:val="left" w:pos="6400"/>
        </w:tabs>
        <w:spacing w:line="360" w:lineRule="auto"/>
        <w:jc w:val="right"/>
        <w:rPr>
          <w:rFonts w:ascii="宋体" w:hAnsi="宋体" w:eastAsia="宋体" w:cs="宋体"/>
          <w:color w:val="auto"/>
          <w:highlight w:val="none"/>
        </w:rPr>
      </w:pPr>
      <w:r>
        <w:rPr>
          <w:rFonts w:hint="eastAsia" w:ascii="宋体" w:hAnsi="宋体" w:eastAsia="宋体" w:cs="宋体"/>
          <w:color w:val="auto"/>
          <w:highlight w:val="none"/>
        </w:rPr>
        <w:t>评标委员会</w:t>
      </w:r>
      <w:r>
        <w:rPr>
          <w:rFonts w:hint="eastAsia" w:ascii="宋体" w:hAnsi="宋体" w:eastAsia="宋体" w:cs="宋体"/>
          <w:color w:val="auto"/>
          <w:highlight w:val="none"/>
          <w:lang w:val="en-US" w:eastAsia="zh-CN"/>
        </w:rPr>
        <w:t>组长</w:t>
      </w:r>
      <w:r>
        <w:rPr>
          <w:rFonts w:hint="eastAsia" w:ascii="宋体" w:hAnsi="宋体" w:eastAsia="宋体" w:cs="宋体"/>
          <w:color w:val="auto"/>
          <w:highlight w:val="none"/>
        </w:rPr>
        <w:t>：（签名）</w:t>
      </w:r>
    </w:p>
    <w:bookmarkEnd w:id="497"/>
    <w:bookmarkEnd w:id="498"/>
    <w:bookmarkEnd w:id="499"/>
    <w:bookmarkEnd w:id="500"/>
    <w:bookmarkEnd w:id="501"/>
    <w:bookmarkEnd w:id="502"/>
    <w:bookmarkEnd w:id="503"/>
    <w:bookmarkEnd w:id="504"/>
    <w:bookmarkEnd w:id="505"/>
    <w:bookmarkEnd w:id="506"/>
    <w:p w14:paraId="1A153680">
      <w:pPr>
        <w:spacing w:line="360" w:lineRule="auto"/>
        <w:rPr>
          <w:rFonts w:ascii="宋体" w:hAnsi="宋体" w:eastAsia="宋体" w:cs="宋体"/>
          <w:color w:val="auto"/>
          <w:highlight w:val="none"/>
        </w:rPr>
      </w:pPr>
      <w:bookmarkStart w:id="508" w:name="_Toc152042355"/>
    </w:p>
    <w:p w14:paraId="14D03648">
      <w:pPr>
        <w:spacing w:line="360" w:lineRule="auto"/>
        <w:ind w:right="1680"/>
        <w:jc w:val="right"/>
        <w:rPr>
          <w:rFonts w:ascii="宋体" w:hAnsi="宋体" w:eastAsia="宋体" w:cs="宋体"/>
          <w:color w:val="auto"/>
          <w:highlight w:val="none"/>
        </w:rPr>
      </w:pP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w:t>
      </w:r>
    </w:p>
    <w:p w14:paraId="0B06A7C9">
      <w:pPr>
        <w:spacing w:line="360" w:lineRule="auto"/>
        <w:rPr>
          <w:rFonts w:ascii="宋体" w:hAnsi="宋体" w:eastAsia="宋体" w:cs="宋体"/>
          <w:color w:val="auto"/>
          <w:highlight w:val="none"/>
        </w:rPr>
      </w:pPr>
    </w:p>
    <w:p w14:paraId="5A47454F">
      <w:pPr>
        <w:spacing w:line="400" w:lineRule="exact"/>
        <w:rPr>
          <w:rFonts w:ascii="宋体" w:hAnsi="宋体" w:eastAsia="宋体" w:cs="宋体"/>
          <w:color w:val="auto"/>
          <w:highlight w:val="none"/>
        </w:rPr>
      </w:pPr>
      <w:r>
        <w:rPr>
          <w:rFonts w:hint="eastAsia" w:ascii="宋体" w:hAnsi="宋体" w:eastAsia="宋体" w:cs="宋体"/>
          <w:color w:val="auto"/>
          <w:highlight w:val="none"/>
        </w:rPr>
        <w:br w:type="page"/>
      </w:r>
    </w:p>
    <w:p w14:paraId="35B17CF1">
      <w:pPr>
        <w:pStyle w:val="4"/>
        <w:spacing w:before="156"/>
        <w:ind w:firstLine="103"/>
        <w:rPr>
          <w:rFonts w:ascii="宋体" w:hAnsi="宋体" w:cs="宋体"/>
          <w:color w:val="auto"/>
          <w:sz w:val="21"/>
          <w:szCs w:val="21"/>
          <w:highlight w:val="none"/>
        </w:rPr>
      </w:pPr>
      <w:bookmarkStart w:id="509" w:name="_Toc492300622"/>
      <w:bookmarkStart w:id="510" w:name="_Toc14014"/>
      <w:bookmarkStart w:id="511" w:name="_Toc23819"/>
      <w:bookmarkStart w:id="512" w:name="_Toc5013"/>
      <w:bookmarkStart w:id="513" w:name="_Toc21135"/>
      <w:bookmarkStart w:id="514" w:name="_Toc27008"/>
      <w:r>
        <w:rPr>
          <w:rFonts w:hint="eastAsia" w:ascii="宋体" w:hAnsi="宋体" w:cs="宋体"/>
          <w:color w:val="auto"/>
          <w:sz w:val="21"/>
          <w:szCs w:val="21"/>
          <w:highlight w:val="none"/>
        </w:rPr>
        <w:t>附件三：问题的澄清</w:t>
      </w:r>
      <w:bookmarkEnd w:id="509"/>
      <w:bookmarkEnd w:id="510"/>
      <w:bookmarkEnd w:id="511"/>
      <w:bookmarkEnd w:id="512"/>
      <w:bookmarkEnd w:id="513"/>
      <w:bookmarkEnd w:id="514"/>
    </w:p>
    <w:p w14:paraId="6324413D">
      <w:pPr>
        <w:spacing w:line="360" w:lineRule="auto"/>
        <w:jc w:val="center"/>
        <w:rPr>
          <w:rFonts w:ascii="宋体" w:hAnsi="宋体" w:eastAsia="宋体" w:cs="宋体"/>
          <w:color w:val="auto"/>
          <w:highlight w:val="none"/>
        </w:rPr>
      </w:pPr>
    </w:p>
    <w:p w14:paraId="26B9D0DD">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问</w:t>
      </w:r>
      <w:bookmarkEnd w:id="508"/>
      <w:r>
        <w:rPr>
          <w:rFonts w:hint="eastAsia" w:ascii="宋体" w:hAnsi="宋体" w:eastAsia="宋体" w:cs="宋体"/>
          <w:color w:val="auto"/>
          <w:highlight w:val="none"/>
        </w:rPr>
        <w:t>题</w:t>
      </w:r>
      <w:bookmarkStart w:id="515" w:name="_Toc152045579"/>
      <w:bookmarkStart w:id="516" w:name="_Toc352691524"/>
      <w:bookmarkStart w:id="517" w:name="_Toc152042356"/>
      <w:bookmarkStart w:id="518" w:name="_Toc247514003"/>
      <w:bookmarkStart w:id="519" w:name="_Toc3622"/>
      <w:bookmarkStart w:id="520" w:name="_Toc300834999"/>
      <w:bookmarkStart w:id="521" w:name="_Toc361508637"/>
      <w:bookmarkStart w:id="522" w:name="_Toc369531568"/>
      <w:bookmarkStart w:id="523" w:name="_Toc247527604"/>
      <w:bookmarkStart w:id="524" w:name="_Toc384308263"/>
      <w:r>
        <w:rPr>
          <w:rFonts w:hint="eastAsia" w:ascii="宋体" w:hAnsi="宋体" w:eastAsia="宋体" w:cs="宋体"/>
          <w:color w:val="auto"/>
          <w:highlight w:val="none"/>
        </w:rPr>
        <w:t>的澄清</w:t>
      </w:r>
    </w:p>
    <w:p w14:paraId="5B944DBD">
      <w:pPr>
        <w:spacing w:line="360" w:lineRule="auto"/>
        <w:ind w:firstLine="3465" w:firstLineChars="1650"/>
        <w:rPr>
          <w:rFonts w:ascii="宋体" w:hAnsi="宋体" w:eastAsia="宋体" w:cs="宋体"/>
          <w:color w:val="auto"/>
          <w:highlight w:val="none"/>
        </w:rPr>
      </w:pPr>
      <w:r>
        <w:rPr>
          <w:rFonts w:hint="eastAsia" w:ascii="宋体" w:hAnsi="宋体" w:eastAsia="宋体" w:cs="宋体"/>
          <w:color w:val="auto"/>
          <w:highlight w:val="none"/>
        </w:rPr>
        <w:t>（编号</w:t>
      </w:r>
      <w:bookmarkEnd w:id="507"/>
      <w:bookmarkEnd w:id="515"/>
      <w:bookmarkEnd w:id="516"/>
      <w:bookmarkEnd w:id="517"/>
      <w:bookmarkEnd w:id="518"/>
      <w:bookmarkEnd w:id="519"/>
      <w:bookmarkEnd w:id="520"/>
      <w:bookmarkEnd w:id="521"/>
      <w:bookmarkEnd w:id="522"/>
      <w:bookmarkEnd w:id="523"/>
      <w:bookmarkEnd w:id="524"/>
      <w:r>
        <w:rPr>
          <w:rFonts w:hint="eastAsia" w:ascii="宋体" w:hAnsi="宋体" w:eastAsia="宋体" w:cs="宋体"/>
          <w:color w:val="auto"/>
          <w:highlight w:val="none"/>
        </w:rPr>
        <w:t>：）</w:t>
      </w:r>
    </w:p>
    <w:p w14:paraId="1391C8BA">
      <w:pPr>
        <w:spacing w:line="360" w:lineRule="auto"/>
        <w:rPr>
          <w:rFonts w:ascii="宋体" w:hAnsi="宋体" w:eastAsia="宋体" w:cs="宋体"/>
          <w:color w:val="auto"/>
          <w:highlight w:val="none"/>
        </w:rPr>
      </w:pPr>
    </w:p>
    <w:p w14:paraId="348EF975">
      <w:pPr>
        <w:spacing w:line="360" w:lineRule="auto"/>
        <w:rPr>
          <w:rFonts w:ascii="宋体" w:hAnsi="宋体" w:eastAsia="宋体" w:cs="宋体"/>
          <w:color w:val="auto"/>
          <w:highlight w:val="none"/>
        </w:rPr>
      </w:pPr>
      <w:r>
        <w:rPr>
          <w:rFonts w:hint="eastAsia" w:ascii="宋体" w:hAnsi="宋体" w:eastAsia="宋体" w:cs="宋体"/>
          <w:color w:val="auto"/>
          <w:highlight w:val="none"/>
        </w:rPr>
        <w:t>评标委员会：</w:t>
      </w:r>
    </w:p>
    <w:p w14:paraId="15A29B01">
      <w:pPr>
        <w:spacing w:line="360" w:lineRule="auto"/>
        <w:rPr>
          <w:rFonts w:ascii="宋体" w:hAnsi="宋体" w:eastAsia="宋体" w:cs="宋体"/>
          <w:color w:val="auto"/>
          <w:highlight w:val="none"/>
        </w:rPr>
      </w:pPr>
    </w:p>
    <w:p w14:paraId="2578900A">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问题澄清通知（编号：）已收悉，现澄清、说明或补正如下：</w:t>
      </w:r>
    </w:p>
    <w:p w14:paraId="7A3CC741">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w:t>
      </w:r>
    </w:p>
    <w:p w14:paraId="38C5B179">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w:t>
      </w:r>
    </w:p>
    <w:p w14:paraId="2BABBADE">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w:t>
      </w:r>
    </w:p>
    <w:p w14:paraId="558A2412">
      <w:pPr>
        <w:spacing w:line="360" w:lineRule="auto"/>
        <w:ind w:firstLine="420" w:firstLineChars="200"/>
        <w:rPr>
          <w:rFonts w:ascii="宋体" w:hAnsi="宋体" w:eastAsia="宋体" w:cs="宋体"/>
          <w:color w:val="auto"/>
          <w:highlight w:val="none"/>
        </w:rPr>
      </w:pPr>
    </w:p>
    <w:p w14:paraId="405C16E4">
      <w:pPr>
        <w:spacing w:line="360" w:lineRule="auto"/>
        <w:ind w:firstLine="420" w:firstLineChars="200"/>
        <w:rPr>
          <w:rFonts w:ascii="宋体" w:hAnsi="宋体" w:eastAsia="宋体" w:cs="宋体"/>
          <w:color w:val="auto"/>
          <w:highlight w:val="none"/>
        </w:rPr>
      </w:pPr>
    </w:p>
    <w:p w14:paraId="14719853">
      <w:pPr>
        <w:spacing w:line="360" w:lineRule="auto"/>
        <w:ind w:firstLine="420" w:firstLineChars="200"/>
        <w:rPr>
          <w:rFonts w:ascii="宋体" w:hAnsi="宋体" w:eastAsia="宋体" w:cs="宋体"/>
          <w:color w:val="auto"/>
          <w:highlight w:val="none"/>
        </w:rPr>
      </w:pPr>
    </w:p>
    <w:p w14:paraId="4B9FD847">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上述问题澄清、说明或补正，不改变我方投标文件的实质性内容，构成我方投标文件的组成部分。</w:t>
      </w:r>
    </w:p>
    <w:p w14:paraId="675116D0">
      <w:pPr>
        <w:spacing w:line="360" w:lineRule="auto"/>
        <w:ind w:firstLine="420" w:firstLineChars="200"/>
        <w:rPr>
          <w:rFonts w:ascii="宋体" w:hAnsi="宋体" w:eastAsia="宋体" w:cs="宋体"/>
          <w:color w:val="auto"/>
          <w:highlight w:val="none"/>
        </w:rPr>
      </w:pPr>
    </w:p>
    <w:p w14:paraId="0F8E8946">
      <w:pPr>
        <w:spacing w:line="360" w:lineRule="auto"/>
        <w:ind w:firstLine="420" w:firstLineChars="200"/>
        <w:rPr>
          <w:rFonts w:ascii="宋体" w:hAnsi="宋体" w:eastAsia="宋体" w:cs="宋体"/>
          <w:color w:val="auto"/>
          <w:highlight w:val="none"/>
        </w:rPr>
      </w:pPr>
    </w:p>
    <w:p w14:paraId="7B57FCD8">
      <w:pPr>
        <w:tabs>
          <w:tab w:val="left" w:pos="7035"/>
        </w:tabs>
        <w:spacing w:line="480" w:lineRule="auto"/>
        <w:ind w:firstLine="2551" w:firstLineChars="1215"/>
        <w:jc w:val="right"/>
        <w:rPr>
          <w:rFonts w:ascii="宋体" w:hAnsi="宋体" w:eastAsia="宋体" w:cs="宋体"/>
          <w:color w:val="auto"/>
          <w:highlight w:val="none"/>
        </w:rPr>
      </w:pPr>
      <w:bookmarkStart w:id="525" w:name="_Toc361508640"/>
      <w:bookmarkStart w:id="526" w:name="_Toc15139"/>
      <w:bookmarkStart w:id="527" w:name="_Toc352691527"/>
      <w:bookmarkStart w:id="528" w:name="_Toc384308266"/>
      <w:bookmarkStart w:id="529" w:name="_Toc144974548"/>
      <w:bookmarkStart w:id="530" w:name="_Toc247514005"/>
      <w:bookmarkStart w:id="531" w:name="_Toc369531571"/>
      <w:bookmarkStart w:id="532" w:name="_Toc300835002"/>
      <w:bookmarkStart w:id="533" w:name="_Toc247527606"/>
      <w:bookmarkStart w:id="534" w:name="_Toc152045581"/>
      <w:bookmarkStart w:id="535" w:name="_Toc152042358"/>
      <w:r>
        <w:rPr>
          <w:rFonts w:hint="eastAsia" w:ascii="宋体" w:hAnsi="宋体" w:eastAsia="宋体" w:cs="宋体"/>
          <w:color w:val="auto"/>
          <w:highlight w:val="none"/>
        </w:rPr>
        <w:t>　　　　投标人：（</w:t>
      </w:r>
      <w:r>
        <w:rPr>
          <w:rFonts w:hint="eastAsia" w:ascii="宋体" w:hAnsi="宋体" w:eastAsia="宋体" w:cs="宋体"/>
          <w:color w:val="auto"/>
          <w:highlight w:val="none"/>
          <w:lang w:eastAsia="zh-CN"/>
        </w:rPr>
        <w:t>盖单位公章</w:t>
      </w:r>
      <w:r>
        <w:rPr>
          <w:rFonts w:hint="eastAsia" w:ascii="宋体" w:hAnsi="宋体" w:eastAsia="宋体" w:cs="宋体"/>
          <w:color w:val="auto"/>
          <w:highlight w:val="none"/>
        </w:rPr>
        <w:t xml:space="preserve">） </w:t>
      </w:r>
    </w:p>
    <w:p w14:paraId="0DCF1E3A">
      <w:pPr>
        <w:spacing w:line="360" w:lineRule="auto"/>
        <w:ind w:right="1260"/>
        <w:jc w:val="right"/>
        <w:rPr>
          <w:rFonts w:ascii="宋体" w:hAnsi="宋体" w:eastAsia="宋体" w:cs="宋体"/>
          <w:color w:val="auto"/>
          <w:highlight w:val="none"/>
        </w:rPr>
      </w:pP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w:t>
      </w:r>
    </w:p>
    <w:bookmarkEnd w:id="525"/>
    <w:bookmarkEnd w:id="526"/>
    <w:bookmarkEnd w:id="527"/>
    <w:bookmarkEnd w:id="528"/>
    <w:bookmarkEnd w:id="529"/>
    <w:bookmarkEnd w:id="530"/>
    <w:bookmarkEnd w:id="531"/>
    <w:bookmarkEnd w:id="532"/>
    <w:bookmarkEnd w:id="533"/>
    <w:bookmarkEnd w:id="534"/>
    <w:bookmarkEnd w:id="535"/>
    <w:p w14:paraId="6DBF14EE">
      <w:pPr>
        <w:spacing w:line="400" w:lineRule="exact"/>
        <w:rPr>
          <w:rFonts w:ascii="宋体" w:hAnsi="宋体" w:eastAsia="宋体" w:cs="宋体"/>
          <w:color w:val="auto"/>
          <w:highlight w:val="none"/>
        </w:rPr>
      </w:pPr>
    </w:p>
    <w:p w14:paraId="5A5E923D">
      <w:pPr>
        <w:spacing w:line="400" w:lineRule="exact"/>
        <w:rPr>
          <w:rFonts w:ascii="宋体" w:hAnsi="宋体" w:eastAsia="宋体" w:cs="宋体"/>
          <w:color w:val="auto"/>
          <w:highlight w:val="none"/>
        </w:rPr>
      </w:pPr>
      <w:r>
        <w:rPr>
          <w:rFonts w:hint="eastAsia" w:ascii="宋体" w:hAnsi="宋体" w:eastAsia="宋体" w:cs="宋体"/>
          <w:color w:val="auto"/>
          <w:highlight w:val="none"/>
        </w:rPr>
        <w:br w:type="page"/>
      </w:r>
    </w:p>
    <w:p w14:paraId="73197F01">
      <w:pPr>
        <w:spacing w:line="360" w:lineRule="auto"/>
        <w:rPr>
          <w:rFonts w:ascii="宋体" w:hAnsi="宋体" w:eastAsia="宋体" w:cs="宋体"/>
          <w:b/>
          <w:bCs/>
          <w:color w:val="auto"/>
          <w:highlight w:val="none"/>
        </w:rPr>
      </w:pPr>
      <w:r>
        <w:rPr>
          <w:rFonts w:hint="eastAsia" w:ascii="宋体" w:hAnsi="宋体" w:eastAsia="宋体" w:cs="宋体"/>
          <w:b/>
          <w:bCs/>
          <w:color w:val="auto"/>
          <w:highlight w:val="none"/>
        </w:rPr>
        <w:t>附件四：中标通知书</w:t>
      </w:r>
    </w:p>
    <w:p w14:paraId="10348B33">
      <w:pPr>
        <w:pStyle w:val="12"/>
        <w:rPr>
          <w:rFonts w:ascii="宋体" w:hAnsi="宋体" w:eastAsia="宋体" w:cs="宋体"/>
          <w:color w:val="auto"/>
          <w:szCs w:val="21"/>
          <w:highlight w:val="none"/>
        </w:rPr>
      </w:pPr>
    </w:p>
    <w:p w14:paraId="6210A988">
      <w:pPr>
        <w:pStyle w:val="12"/>
        <w:rPr>
          <w:rFonts w:ascii="宋体" w:hAnsi="宋体" w:eastAsia="宋体" w:cs="宋体"/>
          <w:color w:val="auto"/>
          <w:szCs w:val="21"/>
          <w:highlight w:val="none"/>
        </w:rPr>
      </w:pPr>
    </w:p>
    <w:p w14:paraId="6D5155D7">
      <w:pPr>
        <w:widowControl w:val="0"/>
        <w:kinsoku/>
        <w:autoSpaceDE/>
        <w:autoSpaceDN/>
        <w:adjustRightInd/>
        <w:snapToGrid/>
        <w:spacing w:line="360" w:lineRule="auto"/>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中标通知书</w:t>
      </w:r>
    </w:p>
    <w:p w14:paraId="430F7AFC">
      <w:pPr>
        <w:pStyle w:val="12"/>
        <w:rPr>
          <w:rFonts w:ascii="宋体" w:hAnsi="宋体" w:eastAsia="宋体" w:cs="宋体"/>
          <w:color w:val="auto"/>
          <w:szCs w:val="21"/>
          <w:highlight w:val="none"/>
        </w:rPr>
      </w:pPr>
    </w:p>
    <w:p w14:paraId="1421D68B">
      <w:pPr>
        <w:spacing w:line="440" w:lineRule="exact"/>
        <w:rPr>
          <w:rFonts w:ascii="宋体" w:hAnsi="宋体" w:eastAsia="宋体" w:cs="宋体"/>
          <w:color w:val="auto"/>
          <w:highlight w:val="none"/>
        </w:rPr>
      </w:pPr>
      <w:r>
        <w:rPr>
          <w:rFonts w:hint="eastAsia" w:ascii="宋体" w:hAnsi="宋体" w:eastAsia="宋体" w:cs="宋体"/>
          <w:color w:val="auto"/>
          <w:highlight w:val="none"/>
        </w:rPr>
        <w:t>（中标人名称）：</w:t>
      </w:r>
    </w:p>
    <w:p w14:paraId="028550B7">
      <w:pPr>
        <w:spacing w:line="440" w:lineRule="exact"/>
        <w:rPr>
          <w:rFonts w:ascii="宋体" w:hAnsi="宋体" w:eastAsia="宋体" w:cs="宋体"/>
          <w:color w:val="auto"/>
          <w:highlight w:val="none"/>
        </w:rPr>
      </w:pPr>
    </w:p>
    <w:p w14:paraId="095F12EB">
      <w:pPr>
        <w:spacing w:line="440" w:lineRule="exact"/>
        <w:rPr>
          <w:rFonts w:ascii="宋体" w:hAnsi="宋体" w:eastAsia="宋体" w:cs="宋体"/>
          <w:color w:val="auto"/>
          <w:highlight w:val="none"/>
        </w:rPr>
      </w:pPr>
      <w:r>
        <w:rPr>
          <w:rFonts w:hint="eastAsia" w:ascii="宋体" w:hAnsi="宋体" w:eastAsia="宋体" w:cs="宋体"/>
          <w:color w:val="auto"/>
          <w:highlight w:val="none"/>
        </w:rPr>
        <w:t>　　你方于（投标日期）所递交的（项目名称）投标文件已被我方接受，被确定为中标人。</w:t>
      </w:r>
    </w:p>
    <w:p w14:paraId="05753169">
      <w:pPr>
        <w:spacing w:line="440" w:lineRule="exact"/>
        <w:rPr>
          <w:rFonts w:ascii="宋体" w:hAnsi="宋体" w:eastAsia="宋体" w:cs="宋体"/>
          <w:color w:val="auto"/>
          <w:highlight w:val="none"/>
        </w:rPr>
      </w:pPr>
      <w:r>
        <w:rPr>
          <w:rFonts w:hint="eastAsia" w:ascii="宋体" w:hAnsi="宋体" w:eastAsia="宋体" w:cs="宋体"/>
          <w:color w:val="auto"/>
          <w:highlight w:val="none"/>
        </w:rPr>
        <w:t>　　中标价：</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w:t>
      </w:r>
    </w:p>
    <w:p w14:paraId="75C47181">
      <w:pPr>
        <w:spacing w:line="440" w:lineRule="exact"/>
        <w:ind w:firstLine="420"/>
        <w:rPr>
          <w:rFonts w:ascii="宋体" w:hAnsi="宋体" w:eastAsia="宋体" w:cs="宋体"/>
          <w:color w:val="auto"/>
          <w:highlight w:val="none"/>
        </w:rPr>
      </w:pPr>
      <w:r>
        <w:rPr>
          <w:rFonts w:hint="eastAsia" w:ascii="宋体" w:hAnsi="宋体" w:eastAsia="宋体" w:cs="宋体"/>
          <w:color w:val="auto"/>
          <w:highlight w:val="none"/>
        </w:rPr>
        <w:t>请你方在接到本通知书后的日内到（指定地点）与我方签订合同，在此之前按招标文件第二章“投标人须知”第7.4款规定向我方提交履约担保。</w:t>
      </w:r>
    </w:p>
    <w:p w14:paraId="62A1364C">
      <w:pPr>
        <w:spacing w:line="440" w:lineRule="exact"/>
        <w:rPr>
          <w:rFonts w:ascii="宋体" w:hAnsi="宋体" w:eastAsia="宋体" w:cs="宋体"/>
          <w:color w:val="auto"/>
          <w:highlight w:val="none"/>
        </w:rPr>
      </w:pPr>
      <w:r>
        <w:rPr>
          <w:rFonts w:hint="eastAsia" w:ascii="宋体" w:hAnsi="宋体" w:eastAsia="宋体" w:cs="宋体"/>
          <w:color w:val="auto"/>
          <w:highlight w:val="none"/>
        </w:rPr>
        <w:t>　　特此通知。</w:t>
      </w:r>
    </w:p>
    <w:p w14:paraId="70478E30">
      <w:pPr>
        <w:spacing w:line="440" w:lineRule="exact"/>
        <w:rPr>
          <w:rFonts w:ascii="宋体" w:hAnsi="宋体" w:eastAsia="宋体" w:cs="宋体"/>
          <w:color w:val="auto"/>
          <w:highlight w:val="none"/>
        </w:rPr>
      </w:pPr>
    </w:p>
    <w:p w14:paraId="34C6DBBD">
      <w:pPr>
        <w:spacing w:line="440" w:lineRule="exact"/>
        <w:rPr>
          <w:rFonts w:ascii="宋体" w:hAnsi="宋体" w:eastAsia="宋体" w:cs="宋体"/>
          <w:color w:val="auto"/>
          <w:highlight w:val="none"/>
        </w:rPr>
      </w:pPr>
    </w:p>
    <w:p w14:paraId="4F2E35D1">
      <w:pPr>
        <w:spacing w:line="440" w:lineRule="exact"/>
        <w:rPr>
          <w:rFonts w:ascii="宋体" w:hAnsi="宋体" w:eastAsia="宋体" w:cs="宋体"/>
          <w:color w:val="auto"/>
          <w:highlight w:val="none"/>
        </w:rPr>
      </w:pPr>
    </w:p>
    <w:p w14:paraId="78BCEBD0">
      <w:pPr>
        <w:spacing w:line="540" w:lineRule="exact"/>
        <w:ind w:firstLine="3238" w:firstLineChars="1542"/>
        <w:jc w:val="right"/>
        <w:rPr>
          <w:rFonts w:ascii="宋体" w:hAnsi="宋体" w:eastAsia="宋体" w:cs="宋体"/>
          <w:color w:val="auto"/>
          <w:highlight w:val="none"/>
        </w:rPr>
      </w:pPr>
      <w:r>
        <w:rPr>
          <w:rFonts w:hint="eastAsia" w:ascii="宋体" w:hAnsi="宋体" w:eastAsia="宋体" w:cs="宋体"/>
          <w:color w:val="auto"/>
          <w:highlight w:val="none"/>
        </w:rPr>
        <w:t>招标人：（</w:t>
      </w:r>
      <w:r>
        <w:rPr>
          <w:rFonts w:hint="eastAsia" w:ascii="宋体" w:hAnsi="宋体" w:eastAsia="宋体" w:cs="宋体"/>
          <w:color w:val="auto"/>
          <w:highlight w:val="none"/>
          <w:lang w:eastAsia="zh-CN"/>
        </w:rPr>
        <w:t>盖单位公章</w:t>
      </w:r>
      <w:r>
        <w:rPr>
          <w:rFonts w:hint="eastAsia" w:ascii="宋体" w:hAnsi="宋体" w:eastAsia="宋体" w:cs="宋体"/>
          <w:color w:val="auto"/>
          <w:highlight w:val="none"/>
        </w:rPr>
        <w:t>）</w:t>
      </w:r>
    </w:p>
    <w:p w14:paraId="13BFE7A8">
      <w:pPr>
        <w:spacing w:line="540" w:lineRule="exact"/>
        <w:ind w:firstLine="3548" w:firstLineChars="1690"/>
        <w:jc w:val="right"/>
        <w:rPr>
          <w:rFonts w:ascii="宋体" w:hAnsi="宋体" w:eastAsia="宋体" w:cs="宋体"/>
          <w:color w:val="auto"/>
          <w:highlight w:val="none"/>
        </w:rPr>
      </w:pP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w:t>
      </w:r>
    </w:p>
    <w:p w14:paraId="00F763F5">
      <w:pPr>
        <w:pStyle w:val="12"/>
        <w:spacing w:line="360" w:lineRule="auto"/>
        <w:jc w:val="right"/>
        <w:rPr>
          <w:rFonts w:ascii="宋体" w:hAnsi="宋体" w:eastAsia="宋体" w:cs="宋体"/>
          <w:color w:val="auto"/>
          <w:szCs w:val="21"/>
          <w:highlight w:val="none"/>
        </w:rPr>
      </w:pPr>
      <w:bookmarkStart w:id="536" w:name="_bookmark80"/>
      <w:bookmarkEnd w:id="536"/>
      <w:bookmarkStart w:id="537" w:name="_bookmark81"/>
      <w:bookmarkEnd w:id="537"/>
    </w:p>
    <w:p w14:paraId="7D088BC8">
      <w:pPr>
        <w:rPr>
          <w:rFonts w:ascii="宋体" w:hAnsi="宋体" w:eastAsia="宋体" w:cs="宋体"/>
          <w:color w:val="auto"/>
          <w:highlight w:val="none"/>
        </w:rPr>
      </w:pPr>
    </w:p>
    <w:p w14:paraId="7181CDBB">
      <w:pPr>
        <w:pStyle w:val="12"/>
        <w:rPr>
          <w:rFonts w:ascii="宋体" w:hAnsi="宋体" w:eastAsia="宋体" w:cs="宋体"/>
          <w:color w:val="auto"/>
          <w:szCs w:val="21"/>
          <w:highlight w:val="none"/>
        </w:rPr>
      </w:pPr>
    </w:p>
    <w:p w14:paraId="47A134C3">
      <w:pPr>
        <w:rPr>
          <w:rFonts w:ascii="宋体" w:hAnsi="宋体" w:eastAsia="宋体" w:cs="宋体"/>
          <w:color w:val="auto"/>
          <w:highlight w:val="none"/>
        </w:rPr>
      </w:pPr>
    </w:p>
    <w:p w14:paraId="3E75A4DF">
      <w:pPr>
        <w:pStyle w:val="12"/>
        <w:rPr>
          <w:rFonts w:ascii="宋体" w:hAnsi="宋体" w:eastAsia="宋体" w:cs="宋体"/>
          <w:color w:val="auto"/>
          <w:szCs w:val="21"/>
          <w:highlight w:val="none"/>
        </w:rPr>
      </w:pPr>
    </w:p>
    <w:p w14:paraId="460E73C1">
      <w:pPr>
        <w:rPr>
          <w:rFonts w:ascii="宋体" w:hAnsi="宋体" w:eastAsia="宋体" w:cs="宋体"/>
          <w:color w:val="auto"/>
          <w:highlight w:val="none"/>
        </w:rPr>
      </w:pPr>
    </w:p>
    <w:p w14:paraId="21B3558C">
      <w:pPr>
        <w:pStyle w:val="12"/>
        <w:rPr>
          <w:rFonts w:ascii="宋体" w:hAnsi="宋体" w:eastAsia="宋体" w:cs="宋体"/>
          <w:color w:val="auto"/>
          <w:szCs w:val="21"/>
          <w:highlight w:val="none"/>
        </w:rPr>
      </w:pPr>
    </w:p>
    <w:p w14:paraId="3EC5378D">
      <w:pPr>
        <w:pStyle w:val="12"/>
        <w:rPr>
          <w:rFonts w:ascii="宋体" w:hAnsi="宋体" w:eastAsia="宋体" w:cs="宋体"/>
          <w:color w:val="auto"/>
          <w:szCs w:val="21"/>
          <w:highlight w:val="none"/>
        </w:rPr>
      </w:pPr>
    </w:p>
    <w:p w14:paraId="255D2EE9">
      <w:pPr>
        <w:rPr>
          <w:rFonts w:ascii="宋体" w:hAnsi="宋体" w:eastAsia="宋体" w:cs="宋体"/>
          <w:color w:val="auto"/>
          <w:highlight w:val="none"/>
        </w:rPr>
      </w:pPr>
    </w:p>
    <w:p w14:paraId="43DC94DD">
      <w:pPr>
        <w:pStyle w:val="12"/>
        <w:rPr>
          <w:rFonts w:ascii="宋体" w:hAnsi="宋体" w:eastAsia="宋体" w:cs="宋体"/>
          <w:color w:val="auto"/>
          <w:szCs w:val="21"/>
          <w:highlight w:val="none"/>
        </w:rPr>
      </w:pPr>
    </w:p>
    <w:p w14:paraId="3FE37733">
      <w:pPr>
        <w:rPr>
          <w:rFonts w:hint="eastAsia"/>
          <w:color w:val="auto"/>
          <w:highlight w:val="none"/>
        </w:rPr>
      </w:pPr>
      <w:bookmarkStart w:id="538" w:name="_Toc509218774"/>
      <w:bookmarkStart w:id="539" w:name="_Toc57820625"/>
      <w:bookmarkStart w:id="540" w:name="_Toc15706"/>
      <w:bookmarkStart w:id="541" w:name="_Toc23643"/>
      <w:bookmarkStart w:id="542" w:name="_Toc330213998"/>
      <w:bookmarkStart w:id="543" w:name="_Toc152045600"/>
      <w:bookmarkStart w:id="544" w:name="_Toc152042377"/>
      <w:bookmarkStart w:id="545" w:name="_Toc379581361"/>
      <w:bookmarkStart w:id="546" w:name="_Toc144974567"/>
      <w:r>
        <w:rPr>
          <w:rFonts w:hint="eastAsia"/>
          <w:color w:val="auto"/>
          <w:highlight w:val="none"/>
        </w:rPr>
        <w:br w:type="page"/>
      </w:r>
    </w:p>
    <w:bookmarkEnd w:id="538"/>
    <w:bookmarkEnd w:id="539"/>
    <w:bookmarkEnd w:id="540"/>
    <w:bookmarkEnd w:id="541"/>
    <w:p w14:paraId="5D2AF7BF">
      <w:pPr>
        <w:pStyle w:val="2"/>
        <w:jc w:val="center"/>
        <w:rPr>
          <w:color w:val="auto"/>
          <w:highlight w:val="none"/>
        </w:rPr>
      </w:pPr>
      <w:bookmarkStart w:id="547" w:name="_Toc28208"/>
      <w:bookmarkStart w:id="548" w:name="_Toc10253"/>
      <w:bookmarkStart w:id="549" w:name="_Toc25902"/>
      <w:bookmarkStart w:id="550" w:name="_Toc12365"/>
      <w:bookmarkStart w:id="551" w:name="_Toc21904"/>
      <w:bookmarkStart w:id="552" w:name="_Toc26455"/>
      <w:bookmarkStart w:id="553" w:name="_Toc49247698"/>
      <w:r>
        <w:rPr>
          <w:rFonts w:hint="eastAsia"/>
          <w:color w:val="auto"/>
          <w:highlight w:val="none"/>
        </w:rPr>
        <w:t>第三章评标办法（综合评估法）</w:t>
      </w:r>
      <w:bookmarkEnd w:id="547"/>
      <w:bookmarkEnd w:id="548"/>
      <w:bookmarkEnd w:id="549"/>
      <w:bookmarkEnd w:id="550"/>
      <w:bookmarkEnd w:id="551"/>
      <w:bookmarkEnd w:id="552"/>
      <w:bookmarkStart w:id="554" w:name="_Toc277082617"/>
      <w:bookmarkStart w:id="555" w:name="_Toc287607811"/>
      <w:bookmarkStart w:id="556" w:name="_Toc287620750"/>
      <w:bookmarkStart w:id="557" w:name="_Toc430530499"/>
      <w:bookmarkStart w:id="558" w:name="_Toc224103383"/>
    </w:p>
    <w:p w14:paraId="009E1BD9">
      <w:pPr>
        <w:pStyle w:val="3"/>
        <w:spacing w:before="156"/>
        <w:jc w:val="center"/>
        <w:rPr>
          <w:color w:val="auto"/>
          <w:highlight w:val="none"/>
        </w:rPr>
      </w:pPr>
      <w:bookmarkStart w:id="559" w:name="_Toc9062"/>
      <w:bookmarkStart w:id="560" w:name="_Toc16708"/>
      <w:bookmarkStart w:id="561" w:name="_Toc12467"/>
      <w:bookmarkStart w:id="562" w:name="_Toc8676"/>
      <w:bookmarkStart w:id="563" w:name="_Toc1736"/>
      <w:bookmarkStart w:id="564" w:name="_Toc22321"/>
      <w:bookmarkStart w:id="565" w:name="_Toc57820626"/>
      <w:bookmarkStart w:id="566" w:name="_Toc509218775"/>
      <w:bookmarkStart w:id="567" w:name="_Toc17504"/>
      <w:bookmarkStart w:id="568" w:name="_Toc99"/>
      <w:r>
        <w:rPr>
          <w:rFonts w:hint="eastAsia"/>
          <w:color w:val="auto"/>
          <w:highlight w:val="none"/>
        </w:rPr>
        <w:t>评标办法前附表</w:t>
      </w:r>
      <w:bookmarkEnd w:id="559"/>
      <w:bookmarkEnd w:id="560"/>
      <w:bookmarkEnd w:id="561"/>
      <w:bookmarkEnd w:id="562"/>
      <w:bookmarkEnd w:id="563"/>
      <w:bookmarkEnd w:id="564"/>
      <w:bookmarkEnd w:id="565"/>
      <w:bookmarkEnd w:id="566"/>
      <w:bookmarkEnd w:id="567"/>
      <w:bookmarkEnd w:id="568"/>
    </w:p>
    <w:bookmarkEnd w:id="554"/>
    <w:bookmarkEnd w:id="555"/>
    <w:bookmarkEnd w:id="556"/>
    <w:bookmarkEnd w:id="557"/>
    <w:bookmarkEnd w:id="558"/>
    <w:p w14:paraId="5BBBBFD5">
      <w:pPr>
        <w:rPr>
          <w:rFonts w:hint="eastAsia" w:ascii="宋体" w:hAnsi="宋体" w:eastAsia="宋体" w:cs="宋体"/>
          <w:snapToGrid/>
          <w:color w:val="auto"/>
          <w:kern w:val="2"/>
          <w:highlight w:val="none"/>
        </w:rPr>
      </w:pPr>
      <w:r>
        <w:rPr>
          <w:rFonts w:hint="eastAsia" w:ascii="宋体" w:hAnsi="宋体" w:eastAsia="宋体" w:cs="宋体"/>
          <w:snapToGrid/>
          <w:color w:val="auto"/>
          <w:kern w:val="2"/>
          <w:highlight w:val="none"/>
        </w:rPr>
        <w:t>评标办法中的评审内容必须和投标人须知中的对应内容一致，若投标人须知中未作要求的内容，不得列入评标办法作为评定依据。</w:t>
      </w:r>
    </w:p>
    <w:tbl>
      <w:tblPr>
        <w:tblStyle w:val="30"/>
        <w:tblpPr w:leftFromText="180" w:rightFromText="180" w:vertAnchor="text" w:horzAnchor="page" w:tblpX="1500" w:tblpY="117"/>
        <w:tblOverlap w:val="never"/>
        <w:tblW w:w="86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123"/>
        <w:gridCol w:w="2180"/>
        <w:gridCol w:w="4455"/>
      </w:tblGrid>
      <w:tr w14:paraId="6CB9F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27" w:type="dxa"/>
            <w:gridSpan w:val="2"/>
          </w:tcPr>
          <w:p w14:paraId="4153D6A0">
            <w:pPr>
              <w:widowControl w:val="0"/>
              <w:kinsoku/>
              <w:autoSpaceDE/>
              <w:autoSpaceDN/>
              <w:adjustRightInd/>
              <w:snapToGrid/>
              <w:spacing w:line="400" w:lineRule="exact"/>
              <w:jc w:val="center"/>
              <w:textAlignment w:val="auto"/>
              <w:rPr>
                <w:rFonts w:ascii="宋体" w:hAnsi="宋体" w:eastAsia="宋体" w:cs="宋体"/>
                <w:b/>
                <w:snapToGrid/>
                <w:color w:val="auto"/>
                <w:kern w:val="2"/>
                <w:highlight w:val="none"/>
              </w:rPr>
            </w:pPr>
            <w:r>
              <w:rPr>
                <w:rFonts w:hint="eastAsia" w:ascii="宋体" w:hAnsi="宋体" w:eastAsia="宋体" w:cs="宋体"/>
                <w:b/>
                <w:snapToGrid/>
                <w:color w:val="auto"/>
                <w:kern w:val="2"/>
                <w:highlight w:val="none"/>
              </w:rPr>
              <w:t>条款号</w:t>
            </w:r>
          </w:p>
        </w:tc>
        <w:tc>
          <w:tcPr>
            <w:tcW w:w="2180" w:type="dxa"/>
          </w:tcPr>
          <w:p w14:paraId="0E724ECD">
            <w:pPr>
              <w:widowControl w:val="0"/>
              <w:kinsoku/>
              <w:autoSpaceDE/>
              <w:autoSpaceDN/>
              <w:adjustRightInd/>
              <w:snapToGrid/>
              <w:spacing w:line="400" w:lineRule="exact"/>
              <w:jc w:val="center"/>
              <w:textAlignment w:val="auto"/>
              <w:rPr>
                <w:rFonts w:ascii="宋体" w:hAnsi="宋体" w:eastAsia="宋体" w:cs="宋体"/>
                <w:b/>
                <w:snapToGrid/>
                <w:color w:val="auto"/>
                <w:kern w:val="2"/>
                <w:highlight w:val="none"/>
              </w:rPr>
            </w:pPr>
            <w:r>
              <w:rPr>
                <w:rFonts w:hint="eastAsia" w:ascii="宋体" w:hAnsi="宋体" w:eastAsia="宋体" w:cs="宋体"/>
                <w:b/>
                <w:snapToGrid/>
                <w:color w:val="auto"/>
                <w:kern w:val="2"/>
                <w:highlight w:val="none"/>
              </w:rPr>
              <w:t>评审因素</w:t>
            </w:r>
          </w:p>
        </w:tc>
        <w:tc>
          <w:tcPr>
            <w:tcW w:w="4455" w:type="dxa"/>
          </w:tcPr>
          <w:p w14:paraId="645A19DE">
            <w:pPr>
              <w:widowControl w:val="0"/>
              <w:kinsoku/>
              <w:autoSpaceDE/>
              <w:autoSpaceDN/>
              <w:adjustRightInd/>
              <w:snapToGrid/>
              <w:spacing w:line="400" w:lineRule="exact"/>
              <w:jc w:val="center"/>
              <w:textAlignment w:val="auto"/>
              <w:rPr>
                <w:rFonts w:ascii="宋体" w:hAnsi="宋体" w:eastAsia="宋体" w:cs="宋体"/>
                <w:b/>
                <w:snapToGrid/>
                <w:color w:val="auto"/>
                <w:kern w:val="2"/>
                <w:highlight w:val="none"/>
              </w:rPr>
            </w:pPr>
            <w:r>
              <w:rPr>
                <w:rFonts w:hint="eastAsia" w:ascii="宋体" w:hAnsi="宋体" w:eastAsia="宋体" w:cs="宋体"/>
                <w:b/>
                <w:snapToGrid/>
                <w:color w:val="auto"/>
                <w:kern w:val="2"/>
                <w:highlight w:val="none"/>
              </w:rPr>
              <w:t>评审标准</w:t>
            </w:r>
          </w:p>
        </w:tc>
      </w:tr>
      <w:tr w14:paraId="13C99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04" w:type="dxa"/>
            <w:tcBorders>
              <w:bottom w:val="single" w:color="auto" w:sz="4" w:space="0"/>
            </w:tcBorders>
            <w:vAlign w:val="center"/>
          </w:tcPr>
          <w:p w14:paraId="38C3CC4D">
            <w:pPr>
              <w:spacing w:before="243" w:line="180" w:lineRule="auto"/>
              <w:ind w:firstLine="420"/>
              <w:jc w:val="both"/>
              <w:rPr>
                <w:rFonts w:ascii="宋体" w:hAnsi="宋体" w:eastAsia="宋体" w:cs="宋体"/>
                <w:color w:val="auto"/>
                <w:highlight w:val="none"/>
              </w:rPr>
            </w:pPr>
            <w:r>
              <w:rPr>
                <w:rFonts w:hint="eastAsia" w:ascii="宋体" w:hAnsi="宋体" w:eastAsia="宋体" w:cs="宋体"/>
                <w:color w:val="auto"/>
                <w:highlight w:val="none"/>
              </w:rPr>
              <w:t>1</w:t>
            </w:r>
          </w:p>
        </w:tc>
        <w:tc>
          <w:tcPr>
            <w:tcW w:w="1123" w:type="dxa"/>
            <w:tcBorders>
              <w:bottom w:val="single" w:color="auto" w:sz="4" w:space="0"/>
            </w:tcBorders>
            <w:vAlign w:val="center"/>
          </w:tcPr>
          <w:p w14:paraId="33A2C2F5">
            <w:pPr>
              <w:spacing w:before="204" w:line="186" w:lineRule="auto"/>
              <w:ind w:firstLine="144"/>
              <w:jc w:val="center"/>
              <w:rPr>
                <w:rFonts w:ascii="宋体" w:hAnsi="宋体" w:eastAsia="宋体" w:cs="宋体"/>
                <w:color w:val="auto"/>
                <w:highlight w:val="none"/>
              </w:rPr>
            </w:pPr>
            <w:r>
              <w:rPr>
                <w:rFonts w:hint="eastAsia" w:ascii="宋体" w:hAnsi="宋体" w:eastAsia="宋体" w:cs="宋体"/>
                <w:color w:val="auto"/>
                <w:spacing w:val="-1"/>
                <w:highlight w:val="none"/>
              </w:rPr>
              <w:t>评标方法</w:t>
            </w:r>
          </w:p>
        </w:tc>
        <w:tc>
          <w:tcPr>
            <w:tcW w:w="2180" w:type="dxa"/>
            <w:vAlign w:val="center"/>
          </w:tcPr>
          <w:p w14:paraId="7FB2121C">
            <w:pPr>
              <w:spacing w:before="204" w:line="186" w:lineRule="auto"/>
              <w:ind w:firstLine="317"/>
              <w:jc w:val="center"/>
              <w:rPr>
                <w:rFonts w:ascii="宋体" w:hAnsi="宋体" w:eastAsia="宋体" w:cs="宋体"/>
                <w:color w:val="auto"/>
                <w:highlight w:val="none"/>
              </w:rPr>
            </w:pPr>
            <w:r>
              <w:rPr>
                <w:rFonts w:hint="eastAsia" w:ascii="宋体" w:hAnsi="宋体" w:eastAsia="宋体" w:cs="宋体"/>
                <w:color w:val="auto"/>
                <w:spacing w:val="-3"/>
                <w:highlight w:val="none"/>
              </w:rPr>
              <w:t>中标候选人排序方法</w:t>
            </w:r>
          </w:p>
        </w:tc>
        <w:tc>
          <w:tcPr>
            <w:tcW w:w="4455" w:type="dxa"/>
          </w:tcPr>
          <w:p w14:paraId="6E4D39FF">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本次评标采用综合评估法。评标委员会按照本章第 2.2 款规定的评分标准进行评分，按得分由高到低顺序推荐中标候选人，或根据招标人授权直接确定中标人。综合评分相等时，以投标报价低的优先；投标报价相等的，由评标委员会按照</w:t>
            </w:r>
            <w:r>
              <w:rPr>
                <w:rFonts w:hint="eastAsia" w:ascii="宋体" w:hAnsi="宋体" w:eastAsia="宋体" w:cs="宋体"/>
                <w:color w:val="auto"/>
                <w:highlight w:val="none"/>
                <w:u w:val="single"/>
                <w:lang w:val="en-US" w:eastAsia="zh-CN"/>
              </w:rPr>
              <w:t>投票</w:t>
            </w:r>
            <w:r>
              <w:rPr>
                <w:rFonts w:hint="eastAsia" w:ascii="宋体" w:hAnsi="宋体" w:eastAsia="宋体" w:cs="宋体"/>
                <w:color w:val="auto"/>
                <w:highlight w:val="none"/>
              </w:rPr>
              <w:t>原则排序。</w:t>
            </w:r>
          </w:p>
        </w:tc>
      </w:tr>
      <w:tr w14:paraId="2AAAC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restart"/>
            <w:tcBorders>
              <w:top w:val="single" w:color="auto" w:sz="4" w:space="0"/>
              <w:left w:val="single" w:color="auto" w:sz="4" w:space="0"/>
              <w:bottom w:val="single" w:color="auto" w:sz="4" w:space="0"/>
            </w:tcBorders>
            <w:vAlign w:val="center"/>
          </w:tcPr>
          <w:p w14:paraId="51108ACD">
            <w:pPr>
              <w:spacing w:before="61" w:line="180" w:lineRule="auto"/>
              <w:jc w:val="center"/>
              <w:rPr>
                <w:rFonts w:ascii="宋体" w:hAnsi="宋体" w:eastAsia="宋体" w:cs="宋体"/>
                <w:color w:val="auto"/>
                <w:highlight w:val="none"/>
              </w:rPr>
            </w:pPr>
            <w:r>
              <w:rPr>
                <w:rFonts w:hint="eastAsia" w:ascii="宋体" w:hAnsi="宋体" w:eastAsia="宋体" w:cs="宋体"/>
                <w:color w:val="auto"/>
                <w:spacing w:val="-1"/>
                <w:highlight w:val="none"/>
              </w:rPr>
              <w:t>2.1.1</w:t>
            </w:r>
          </w:p>
        </w:tc>
        <w:tc>
          <w:tcPr>
            <w:tcW w:w="1123" w:type="dxa"/>
            <w:vMerge w:val="restart"/>
            <w:tcBorders>
              <w:top w:val="single" w:color="auto" w:sz="4" w:space="0"/>
              <w:bottom w:val="single" w:color="auto" w:sz="4" w:space="0"/>
              <w:right w:val="single" w:color="auto" w:sz="4" w:space="0"/>
            </w:tcBorders>
            <w:vAlign w:val="center"/>
          </w:tcPr>
          <w:p w14:paraId="4E91875B">
            <w:pPr>
              <w:spacing w:before="68" w:line="388" w:lineRule="auto"/>
              <w:ind w:right="138"/>
              <w:jc w:val="center"/>
              <w:rPr>
                <w:rFonts w:ascii="宋体" w:hAnsi="宋体" w:eastAsia="宋体" w:cs="宋体"/>
                <w:color w:val="auto"/>
                <w:highlight w:val="none"/>
              </w:rPr>
            </w:pPr>
            <w:r>
              <w:rPr>
                <w:rFonts w:hint="eastAsia" w:ascii="宋体" w:hAnsi="宋体" w:eastAsia="宋体" w:cs="宋体"/>
                <w:color w:val="auto"/>
                <w:spacing w:val="-3"/>
                <w:highlight w:val="none"/>
              </w:rPr>
              <w:t>形式评审</w:t>
            </w:r>
            <w:r>
              <w:rPr>
                <w:rFonts w:hint="eastAsia" w:ascii="宋体" w:hAnsi="宋体" w:eastAsia="宋体" w:cs="宋体"/>
                <w:color w:val="auto"/>
                <w:spacing w:val="-2"/>
                <w:highlight w:val="none"/>
              </w:rPr>
              <w:t>标准</w:t>
            </w:r>
          </w:p>
        </w:tc>
        <w:tc>
          <w:tcPr>
            <w:tcW w:w="2180" w:type="dxa"/>
            <w:tcBorders>
              <w:left w:val="single" w:color="auto" w:sz="4" w:space="0"/>
            </w:tcBorders>
            <w:vAlign w:val="center"/>
          </w:tcPr>
          <w:p w14:paraId="51BBA07C">
            <w:pPr>
              <w:spacing w:before="173" w:line="186" w:lineRule="auto"/>
              <w:jc w:val="center"/>
              <w:rPr>
                <w:rFonts w:ascii="宋体" w:hAnsi="宋体" w:eastAsia="宋体" w:cs="宋体"/>
                <w:color w:val="auto"/>
                <w:highlight w:val="none"/>
              </w:rPr>
            </w:pPr>
            <w:r>
              <w:rPr>
                <w:rFonts w:hint="eastAsia" w:ascii="宋体" w:hAnsi="宋体" w:eastAsia="宋体" w:cs="宋体"/>
                <w:color w:val="auto"/>
                <w:spacing w:val="-2"/>
                <w:highlight w:val="none"/>
              </w:rPr>
              <w:t>投标人名称</w:t>
            </w:r>
          </w:p>
        </w:tc>
        <w:tc>
          <w:tcPr>
            <w:tcW w:w="4455" w:type="dxa"/>
          </w:tcPr>
          <w:p w14:paraId="06658BE0">
            <w:pPr>
              <w:spacing w:line="400" w:lineRule="exact"/>
              <w:ind w:firstLine="436" w:firstLineChars="200"/>
              <w:rPr>
                <w:rFonts w:ascii="宋体" w:hAnsi="宋体" w:eastAsia="宋体" w:cs="宋体"/>
                <w:color w:val="auto"/>
                <w:highlight w:val="none"/>
              </w:rPr>
            </w:pPr>
            <w:r>
              <w:rPr>
                <w:rFonts w:hint="eastAsia" w:ascii="宋体" w:hAnsi="宋体" w:eastAsia="宋体" w:cs="宋体"/>
                <w:snapToGrid/>
                <w:color w:val="auto"/>
                <w:spacing w:val="4"/>
                <w:highlight w:val="none"/>
              </w:rPr>
              <w:t>与营业执照一致</w:t>
            </w:r>
          </w:p>
        </w:tc>
      </w:tr>
      <w:tr w14:paraId="13834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single" w:color="auto" w:sz="4" w:space="0"/>
              <w:left w:val="single" w:color="auto" w:sz="4" w:space="0"/>
              <w:bottom w:val="single" w:color="auto" w:sz="4" w:space="0"/>
            </w:tcBorders>
          </w:tcPr>
          <w:p w14:paraId="06BDDC3A">
            <w:pPr>
              <w:rPr>
                <w:rFonts w:ascii="宋体" w:hAnsi="宋体" w:eastAsia="宋体" w:cs="宋体"/>
                <w:color w:val="auto"/>
                <w:highlight w:val="none"/>
              </w:rPr>
            </w:pPr>
          </w:p>
        </w:tc>
        <w:tc>
          <w:tcPr>
            <w:tcW w:w="1123" w:type="dxa"/>
            <w:vMerge w:val="continue"/>
            <w:tcBorders>
              <w:top w:val="single" w:color="auto" w:sz="4" w:space="0"/>
              <w:bottom w:val="single" w:color="auto" w:sz="4" w:space="0"/>
              <w:right w:val="single" w:color="auto" w:sz="4" w:space="0"/>
            </w:tcBorders>
          </w:tcPr>
          <w:p w14:paraId="2A7D1103">
            <w:pPr>
              <w:rPr>
                <w:rFonts w:ascii="宋体" w:hAnsi="宋体" w:eastAsia="宋体" w:cs="宋体"/>
                <w:color w:val="auto"/>
                <w:highlight w:val="none"/>
              </w:rPr>
            </w:pPr>
          </w:p>
        </w:tc>
        <w:tc>
          <w:tcPr>
            <w:tcW w:w="2180" w:type="dxa"/>
            <w:tcBorders>
              <w:left w:val="single" w:color="auto" w:sz="4" w:space="0"/>
            </w:tcBorders>
          </w:tcPr>
          <w:p w14:paraId="49256A5E">
            <w:pPr>
              <w:spacing w:before="172" w:line="186" w:lineRule="auto"/>
              <w:ind w:firstLine="614"/>
              <w:rPr>
                <w:rFonts w:ascii="宋体" w:hAnsi="宋体" w:eastAsia="宋体" w:cs="宋体"/>
                <w:color w:val="auto"/>
                <w:highlight w:val="none"/>
              </w:rPr>
            </w:pPr>
            <w:r>
              <w:rPr>
                <w:rFonts w:hint="eastAsia" w:ascii="宋体" w:hAnsi="宋体" w:eastAsia="宋体" w:cs="宋体"/>
                <w:color w:val="auto"/>
                <w:spacing w:val="-2"/>
                <w:highlight w:val="none"/>
              </w:rPr>
              <w:t>投标文件格式</w:t>
            </w:r>
          </w:p>
        </w:tc>
        <w:tc>
          <w:tcPr>
            <w:tcW w:w="4455" w:type="dxa"/>
          </w:tcPr>
          <w:p w14:paraId="53417C00">
            <w:pPr>
              <w:spacing w:line="400" w:lineRule="exact"/>
              <w:ind w:firstLine="436" w:firstLineChars="200"/>
              <w:rPr>
                <w:rFonts w:ascii="宋体" w:hAnsi="宋体" w:eastAsia="宋体" w:cs="宋体"/>
                <w:snapToGrid/>
                <w:color w:val="auto"/>
                <w:spacing w:val="4"/>
                <w:highlight w:val="none"/>
              </w:rPr>
            </w:pPr>
            <w:r>
              <w:rPr>
                <w:rFonts w:hint="eastAsia" w:ascii="宋体" w:hAnsi="宋体" w:eastAsia="宋体" w:cs="宋体"/>
                <w:snapToGrid/>
                <w:color w:val="auto"/>
                <w:spacing w:val="4"/>
                <w:highlight w:val="none"/>
              </w:rPr>
              <w:t>符合第六章“投标文件格式”的规定</w:t>
            </w:r>
          </w:p>
        </w:tc>
      </w:tr>
      <w:tr w14:paraId="4424A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904" w:type="dxa"/>
            <w:vMerge w:val="restart"/>
            <w:tcBorders>
              <w:top w:val="single" w:color="auto" w:sz="4" w:space="0"/>
            </w:tcBorders>
            <w:vAlign w:val="center"/>
          </w:tcPr>
          <w:p w14:paraId="04A529B8">
            <w:pPr>
              <w:spacing w:before="60" w:line="180" w:lineRule="auto"/>
              <w:ind w:firstLine="208" w:firstLineChars="100"/>
              <w:jc w:val="both"/>
              <w:rPr>
                <w:rFonts w:ascii="宋体" w:hAnsi="宋体" w:eastAsia="宋体" w:cs="宋体"/>
                <w:color w:val="auto"/>
                <w:highlight w:val="none"/>
              </w:rPr>
            </w:pPr>
            <w:r>
              <w:rPr>
                <w:rFonts w:hint="eastAsia" w:ascii="宋体" w:hAnsi="宋体" w:eastAsia="宋体" w:cs="宋体"/>
                <w:color w:val="auto"/>
                <w:spacing w:val="-1"/>
                <w:highlight w:val="none"/>
              </w:rPr>
              <w:t>2.1.2</w:t>
            </w:r>
          </w:p>
        </w:tc>
        <w:tc>
          <w:tcPr>
            <w:tcW w:w="1123" w:type="dxa"/>
            <w:vMerge w:val="restart"/>
            <w:tcBorders>
              <w:top w:val="single" w:color="auto" w:sz="4" w:space="0"/>
            </w:tcBorders>
            <w:vAlign w:val="center"/>
          </w:tcPr>
          <w:p w14:paraId="22179BE2">
            <w:pPr>
              <w:spacing w:before="68" w:line="386" w:lineRule="auto"/>
              <w:ind w:right="138"/>
              <w:jc w:val="center"/>
              <w:rPr>
                <w:rFonts w:ascii="宋体" w:hAnsi="宋体" w:eastAsia="宋体" w:cs="宋体"/>
                <w:color w:val="auto"/>
                <w:highlight w:val="none"/>
              </w:rPr>
            </w:pPr>
            <w:r>
              <w:rPr>
                <w:rFonts w:hint="eastAsia" w:ascii="宋体" w:hAnsi="宋体" w:eastAsia="宋体" w:cs="宋体"/>
                <w:color w:val="auto"/>
                <w:spacing w:val="-4"/>
                <w:highlight w:val="none"/>
              </w:rPr>
              <w:t>资格评审</w:t>
            </w:r>
            <w:r>
              <w:rPr>
                <w:rFonts w:hint="eastAsia" w:ascii="宋体" w:hAnsi="宋体" w:eastAsia="宋体" w:cs="宋体"/>
                <w:color w:val="auto"/>
                <w:spacing w:val="-2"/>
                <w:highlight w:val="none"/>
              </w:rPr>
              <w:t>标准</w:t>
            </w:r>
          </w:p>
        </w:tc>
        <w:tc>
          <w:tcPr>
            <w:tcW w:w="2180" w:type="dxa"/>
            <w:vAlign w:val="center"/>
          </w:tcPr>
          <w:p w14:paraId="13DB991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color w:val="auto"/>
                <w:spacing w:val="-2"/>
                <w:highlight w:val="none"/>
              </w:rPr>
            </w:pPr>
            <w:r>
              <w:rPr>
                <w:rFonts w:hint="eastAsia" w:ascii="宋体" w:hAnsi="宋体" w:eastAsia="宋体" w:cs="宋体"/>
                <w:color w:val="auto"/>
                <w:spacing w:val="-2"/>
                <w:sz w:val="21"/>
                <w:szCs w:val="21"/>
                <w:highlight w:val="none"/>
              </w:rPr>
              <w:t>营业执照</w:t>
            </w:r>
          </w:p>
        </w:tc>
        <w:tc>
          <w:tcPr>
            <w:tcW w:w="4455" w:type="dxa"/>
            <w:tcBorders/>
            <w:vAlign w:val="top"/>
          </w:tcPr>
          <w:p w14:paraId="1A3B8251">
            <w:pPr>
              <w:keepNext w:val="0"/>
              <w:keepLines w:val="0"/>
              <w:pageBreakBefore w:val="0"/>
              <w:widowControl/>
              <w:kinsoku w:val="0"/>
              <w:wordWrap/>
              <w:overflowPunct/>
              <w:topLinePunct w:val="0"/>
              <w:autoSpaceDE w:val="0"/>
              <w:autoSpaceDN w:val="0"/>
              <w:bidi w:val="0"/>
              <w:adjustRightInd w:val="0"/>
              <w:snapToGrid w:val="0"/>
              <w:spacing w:line="400" w:lineRule="exact"/>
              <w:ind w:firstLine="436" w:firstLineChars="200"/>
              <w:textAlignment w:val="baseline"/>
              <w:rPr>
                <w:rFonts w:ascii="宋体" w:hAnsi="宋体" w:eastAsia="宋体" w:cs="宋体"/>
                <w:color w:val="auto"/>
                <w:highlight w:val="none"/>
              </w:rPr>
            </w:pPr>
            <w:r>
              <w:rPr>
                <w:rFonts w:hint="eastAsia" w:ascii="宋体" w:hAnsi="宋体" w:eastAsia="宋体" w:cs="宋体"/>
                <w:snapToGrid/>
                <w:color w:val="auto"/>
                <w:spacing w:val="4"/>
                <w:kern w:val="0"/>
                <w:sz w:val="21"/>
                <w:szCs w:val="21"/>
                <w:highlight w:val="none"/>
                <w:lang w:val="en-US" w:eastAsia="zh-CN" w:bidi="ar-SA"/>
              </w:rPr>
              <w:t>具备有效的</w:t>
            </w:r>
            <w:r>
              <w:rPr>
                <w:rFonts w:hint="eastAsia" w:ascii="宋体" w:hAnsi="宋体" w:eastAsia="宋体" w:cs="宋体"/>
                <w:color w:val="auto"/>
                <w:spacing w:val="-2"/>
                <w:sz w:val="21"/>
                <w:szCs w:val="21"/>
                <w:highlight w:val="none"/>
              </w:rPr>
              <w:t>营业执照</w:t>
            </w:r>
            <w:bookmarkStart w:id="861" w:name="_GoBack"/>
            <w:bookmarkEnd w:id="861"/>
          </w:p>
        </w:tc>
      </w:tr>
      <w:tr w14:paraId="1EDF3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04" w:type="dxa"/>
            <w:vMerge w:val="restart"/>
            <w:tcBorders>
              <w:top w:val="single" w:color="auto" w:sz="4" w:space="0"/>
              <w:bottom w:val="single" w:color="auto" w:sz="4" w:space="0"/>
            </w:tcBorders>
            <w:vAlign w:val="center"/>
          </w:tcPr>
          <w:p w14:paraId="1D59CC91">
            <w:pPr>
              <w:spacing w:line="400" w:lineRule="exact"/>
              <w:jc w:val="center"/>
              <w:rPr>
                <w:rFonts w:ascii="宋体" w:hAnsi="宋体" w:eastAsia="宋体" w:cs="宋体"/>
                <w:color w:val="auto"/>
                <w:highlight w:val="none"/>
              </w:rPr>
            </w:pPr>
            <w:r>
              <w:rPr>
                <w:rFonts w:hint="eastAsia" w:ascii="宋体" w:hAnsi="宋体" w:eastAsia="宋体" w:cs="宋体"/>
                <w:color w:val="auto"/>
                <w:spacing w:val="-1"/>
                <w:highlight w:val="none"/>
              </w:rPr>
              <w:t>2.1.3</w:t>
            </w:r>
          </w:p>
        </w:tc>
        <w:tc>
          <w:tcPr>
            <w:tcW w:w="1123" w:type="dxa"/>
            <w:vMerge w:val="restart"/>
            <w:tcBorders>
              <w:top w:val="single" w:color="auto" w:sz="4" w:space="0"/>
              <w:bottom w:val="single" w:color="auto" w:sz="4" w:space="0"/>
            </w:tcBorders>
            <w:vAlign w:val="center"/>
          </w:tcPr>
          <w:p w14:paraId="22C7C655">
            <w:pPr>
              <w:spacing w:line="400" w:lineRule="exact"/>
              <w:jc w:val="center"/>
              <w:rPr>
                <w:rFonts w:ascii="宋体" w:hAnsi="宋体" w:eastAsia="宋体" w:cs="宋体"/>
                <w:color w:val="auto"/>
                <w:highlight w:val="none"/>
              </w:rPr>
            </w:pPr>
            <w:r>
              <w:rPr>
                <w:rFonts w:hint="eastAsia" w:ascii="宋体" w:hAnsi="宋体" w:eastAsia="宋体" w:cs="宋体"/>
                <w:color w:val="auto"/>
                <w:spacing w:val="-3"/>
                <w:highlight w:val="none"/>
              </w:rPr>
              <w:t>响应性评审 标准</w:t>
            </w:r>
          </w:p>
        </w:tc>
        <w:tc>
          <w:tcPr>
            <w:tcW w:w="2180" w:type="dxa"/>
            <w:vAlign w:val="top"/>
          </w:tcPr>
          <w:p w14:paraId="2D018AB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ascii="宋体" w:hAnsi="宋体" w:eastAsia="宋体" w:cs="宋体"/>
                <w:color w:val="auto"/>
                <w:spacing w:val="-2"/>
                <w:highlight w:val="none"/>
              </w:rPr>
            </w:pPr>
            <w:r>
              <w:rPr>
                <w:rFonts w:hint="eastAsia" w:ascii="宋体" w:hAnsi="宋体" w:eastAsia="宋体" w:cs="宋体"/>
                <w:color w:val="auto"/>
                <w:spacing w:val="-2"/>
                <w:sz w:val="21"/>
                <w:szCs w:val="21"/>
                <w:highlight w:val="none"/>
                <w:lang w:val="en-US" w:eastAsia="zh-CN"/>
              </w:rPr>
              <w:t>投标报价</w:t>
            </w:r>
          </w:p>
        </w:tc>
        <w:tc>
          <w:tcPr>
            <w:tcW w:w="4455" w:type="dxa"/>
            <w:vAlign w:val="top"/>
          </w:tcPr>
          <w:p w14:paraId="21BAAE3D">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textAlignment w:val="baseline"/>
              <w:rPr>
                <w:rFonts w:ascii="宋体" w:hAnsi="宋体" w:eastAsia="宋体" w:cs="宋体"/>
                <w:color w:val="auto"/>
                <w:highlight w:val="none"/>
              </w:rPr>
            </w:pPr>
            <w:r>
              <w:rPr>
                <w:rFonts w:hint="eastAsia" w:ascii="宋体" w:hAnsi="宋体" w:eastAsia="宋体" w:cs="宋体"/>
                <w:color w:val="auto"/>
                <w:spacing w:val="-2"/>
                <w:sz w:val="21"/>
                <w:szCs w:val="21"/>
                <w:highlight w:val="none"/>
              </w:rPr>
              <w:t>符合第二章“投标人须知”第</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2"/>
                <w:sz w:val="21"/>
                <w:szCs w:val="21"/>
                <w:highlight w:val="none"/>
              </w:rPr>
              <w:t>3.2款规定</w:t>
            </w:r>
          </w:p>
        </w:tc>
      </w:tr>
      <w:tr w14:paraId="17BA9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single" w:color="auto" w:sz="4" w:space="0"/>
              <w:bottom w:val="single" w:color="auto" w:sz="4" w:space="0"/>
            </w:tcBorders>
            <w:vAlign w:val="center"/>
          </w:tcPr>
          <w:p w14:paraId="2EDB7D83">
            <w:pPr>
              <w:spacing w:line="400" w:lineRule="exact"/>
              <w:jc w:val="center"/>
              <w:rPr>
                <w:rFonts w:ascii="宋体" w:hAnsi="宋体" w:eastAsia="宋体" w:cs="宋体"/>
                <w:color w:val="auto"/>
                <w:highlight w:val="none"/>
              </w:rPr>
            </w:pPr>
          </w:p>
        </w:tc>
        <w:tc>
          <w:tcPr>
            <w:tcW w:w="1123" w:type="dxa"/>
            <w:vMerge w:val="continue"/>
            <w:tcBorders>
              <w:top w:val="single" w:color="auto" w:sz="4" w:space="0"/>
              <w:bottom w:val="single" w:color="auto" w:sz="4" w:space="0"/>
            </w:tcBorders>
            <w:vAlign w:val="center"/>
          </w:tcPr>
          <w:p w14:paraId="35FAA3B2">
            <w:pPr>
              <w:spacing w:line="400" w:lineRule="exact"/>
              <w:jc w:val="center"/>
              <w:rPr>
                <w:rFonts w:ascii="宋体" w:hAnsi="宋体" w:eastAsia="宋体" w:cs="宋体"/>
                <w:color w:val="auto"/>
                <w:highlight w:val="none"/>
              </w:rPr>
            </w:pPr>
          </w:p>
        </w:tc>
        <w:tc>
          <w:tcPr>
            <w:tcW w:w="2180" w:type="dxa"/>
            <w:vAlign w:val="top"/>
          </w:tcPr>
          <w:p w14:paraId="71A7B818">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spacing w:val="-2"/>
                <w:highlight w:val="none"/>
              </w:rPr>
            </w:pPr>
            <w:r>
              <w:rPr>
                <w:rFonts w:hint="eastAsia" w:ascii="宋体" w:hAnsi="宋体" w:eastAsia="宋体" w:cs="宋体"/>
                <w:color w:val="auto"/>
                <w:spacing w:val="-2"/>
                <w:sz w:val="21"/>
                <w:szCs w:val="21"/>
                <w:highlight w:val="none"/>
              </w:rPr>
              <w:t>投标内容</w:t>
            </w:r>
          </w:p>
        </w:tc>
        <w:tc>
          <w:tcPr>
            <w:tcW w:w="4455" w:type="dxa"/>
            <w:vAlign w:val="top"/>
          </w:tcPr>
          <w:p w14:paraId="2E362BB2">
            <w:pPr>
              <w:keepNext w:val="0"/>
              <w:keepLines w:val="0"/>
              <w:pageBreakBefore w:val="0"/>
              <w:widowControl/>
              <w:kinsoku w:val="0"/>
              <w:wordWrap/>
              <w:overflowPunct/>
              <w:topLinePunct w:val="0"/>
              <w:autoSpaceDE w:val="0"/>
              <w:autoSpaceDN w:val="0"/>
              <w:bidi w:val="0"/>
              <w:adjustRightInd w:val="0"/>
              <w:snapToGrid w:val="0"/>
              <w:spacing w:line="400" w:lineRule="exact"/>
              <w:ind w:firstLine="408" w:firstLineChars="200"/>
              <w:textAlignment w:val="baseline"/>
              <w:rPr>
                <w:rFonts w:hint="eastAsia" w:ascii="宋体" w:hAnsi="宋体" w:eastAsia="宋体" w:cs="宋体"/>
                <w:color w:val="auto"/>
                <w:spacing w:val="-3"/>
                <w:highlight w:val="none"/>
              </w:rPr>
            </w:pPr>
            <w:r>
              <w:rPr>
                <w:rFonts w:hint="eastAsia" w:ascii="宋体" w:hAnsi="宋体" w:eastAsia="宋体" w:cs="宋体"/>
                <w:color w:val="auto"/>
                <w:spacing w:val="-3"/>
                <w:sz w:val="21"/>
                <w:szCs w:val="21"/>
                <w:highlight w:val="none"/>
              </w:rPr>
              <w:t>符合第二章“投标人须知”第1.3.1项规定</w:t>
            </w:r>
          </w:p>
        </w:tc>
      </w:tr>
      <w:tr w14:paraId="1AF0B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single" w:color="auto" w:sz="4" w:space="0"/>
              <w:bottom w:val="single" w:color="auto" w:sz="4" w:space="0"/>
            </w:tcBorders>
            <w:vAlign w:val="center"/>
          </w:tcPr>
          <w:p w14:paraId="2C6800AE">
            <w:pPr>
              <w:spacing w:line="400" w:lineRule="exact"/>
              <w:jc w:val="center"/>
              <w:rPr>
                <w:rFonts w:ascii="宋体" w:hAnsi="宋体" w:eastAsia="宋体" w:cs="宋体"/>
                <w:color w:val="auto"/>
                <w:highlight w:val="none"/>
              </w:rPr>
            </w:pPr>
          </w:p>
        </w:tc>
        <w:tc>
          <w:tcPr>
            <w:tcW w:w="1123" w:type="dxa"/>
            <w:vMerge w:val="continue"/>
            <w:tcBorders>
              <w:top w:val="single" w:color="auto" w:sz="4" w:space="0"/>
              <w:bottom w:val="single" w:color="auto" w:sz="4" w:space="0"/>
            </w:tcBorders>
            <w:vAlign w:val="center"/>
          </w:tcPr>
          <w:p w14:paraId="5D241B59">
            <w:pPr>
              <w:spacing w:line="400" w:lineRule="exact"/>
              <w:jc w:val="center"/>
              <w:rPr>
                <w:rFonts w:ascii="宋体" w:hAnsi="宋体" w:eastAsia="宋体" w:cs="宋体"/>
                <w:color w:val="auto"/>
                <w:highlight w:val="none"/>
              </w:rPr>
            </w:pPr>
          </w:p>
        </w:tc>
        <w:tc>
          <w:tcPr>
            <w:tcW w:w="2180" w:type="dxa"/>
            <w:vAlign w:val="top"/>
          </w:tcPr>
          <w:p w14:paraId="1BA7177A">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spacing w:val="-2"/>
                <w:highlight w:val="none"/>
              </w:rPr>
            </w:pPr>
            <w:r>
              <w:rPr>
                <w:rFonts w:hint="eastAsia" w:ascii="宋体" w:hAnsi="宋体" w:eastAsia="宋体" w:cs="宋体"/>
                <w:color w:val="auto"/>
                <w:spacing w:val="-2"/>
                <w:sz w:val="21"/>
                <w:szCs w:val="21"/>
                <w:highlight w:val="none"/>
                <w:lang w:val="en-US" w:eastAsia="zh-CN"/>
              </w:rPr>
              <w:t>服务期限</w:t>
            </w:r>
          </w:p>
        </w:tc>
        <w:tc>
          <w:tcPr>
            <w:tcW w:w="4455" w:type="dxa"/>
            <w:vAlign w:val="top"/>
          </w:tcPr>
          <w:p w14:paraId="240B9030">
            <w:pPr>
              <w:keepNext w:val="0"/>
              <w:keepLines w:val="0"/>
              <w:pageBreakBefore w:val="0"/>
              <w:widowControl/>
              <w:kinsoku w:val="0"/>
              <w:wordWrap/>
              <w:overflowPunct/>
              <w:topLinePunct w:val="0"/>
              <w:autoSpaceDE w:val="0"/>
              <w:autoSpaceDN w:val="0"/>
              <w:bidi w:val="0"/>
              <w:adjustRightInd w:val="0"/>
              <w:snapToGrid w:val="0"/>
              <w:spacing w:line="400" w:lineRule="exact"/>
              <w:ind w:firstLine="408" w:firstLineChars="200"/>
              <w:textAlignment w:val="baseline"/>
              <w:rPr>
                <w:rFonts w:hint="eastAsia" w:ascii="宋体" w:hAnsi="宋体" w:eastAsia="宋体" w:cs="宋体"/>
                <w:color w:val="auto"/>
                <w:spacing w:val="-3"/>
                <w:highlight w:val="none"/>
              </w:rPr>
            </w:pPr>
            <w:r>
              <w:rPr>
                <w:rFonts w:hint="eastAsia" w:ascii="宋体" w:hAnsi="宋体" w:eastAsia="宋体" w:cs="宋体"/>
                <w:color w:val="auto"/>
                <w:spacing w:val="-3"/>
                <w:sz w:val="21"/>
                <w:szCs w:val="21"/>
                <w:highlight w:val="none"/>
              </w:rPr>
              <w:t>符合第二章“投标人须知”第1.3.2项规定</w:t>
            </w:r>
          </w:p>
        </w:tc>
      </w:tr>
      <w:tr w14:paraId="3F947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tcBorders>
              <w:top w:val="single" w:color="auto" w:sz="4" w:space="0"/>
              <w:bottom w:val="single" w:color="auto" w:sz="4" w:space="0"/>
            </w:tcBorders>
            <w:vAlign w:val="center"/>
          </w:tcPr>
          <w:p w14:paraId="0AE79F62">
            <w:pPr>
              <w:spacing w:line="400" w:lineRule="exact"/>
              <w:jc w:val="center"/>
              <w:rPr>
                <w:rFonts w:ascii="宋体" w:hAnsi="宋体" w:eastAsia="宋体" w:cs="宋体"/>
                <w:color w:val="auto"/>
                <w:highlight w:val="none"/>
              </w:rPr>
            </w:pPr>
          </w:p>
        </w:tc>
        <w:tc>
          <w:tcPr>
            <w:tcW w:w="1123" w:type="dxa"/>
            <w:vMerge w:val="continue"/>
            <w:tcBorders>
              <w:top w:val="single" w:color="auto" w:sz="4" w:space="0"/>
              <w:bottom w:val="single" w:color="auto" w:sz="4" w:space="0"/>
            </w:tcBorders>
            <w:vAlign w:val="center"/>
          </w:tcPr>
          <w:p w14:paraId="43133737">
            <w:pPr>
              <w:spacing w:line="400" w:lineRule="exact"/>
              <w:jc w:val="center"/>
              <w:rPr>
                <w:rFonts w:ascii="宋体" w:hAnsi="宋体" w:eastAsia="宋体" w:cs="宋体"/>
                <w:color w:val="auto"/>
                <w:highlight w:val="none"/>
              </w:rPr>
            </w:pPr>
          </w:p>
        </w:tc>
        <w:tc>
          <w:tcPr>
            <w:tcW w:w="2180" w:type="dxa"/>
            <w:vAlign w:val="center"/>
          </w:tcPr>
          <w:p w14:paraId="6CEB7848">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ascii="宋体" w:hAnsi="宋体" w:eastAsia="宋体" w:cs="宋体"/>
                <w:color w:val="auto"/>
                <w:spacing w:val="-2"/>
                <w:highlight w:val="none"/>
              </w:rPr>
            </w:pPr>
            <w:r>
              <w:rPr>
                <w:rFonts w:hint="eastAsia" w:ascii="宋体" w:hAnsi="宋体" w:eastAsia="宋体" w:cs="宋体"/>
                <w:color w:val="auto"/>
                <w:spacing w:val="-2"/>
                <w:sz w:val="21"/>
                <w:szCs w:val="21"/>
                <w:highlight w:val="none"/>
              </w:rPr>
              <w:t>投标保证金</w:t>
            </w:r>
          </w:p>
        </w:tc>
        <w:tc>
          <w:tcPr>
            <w:tcW w:w="4455" w:type="dxa"/>
            <w:vAlign w:val="top"/>
          </w:tcPr>
          <w:p w14:paraId="36154DA6">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textAlignment w:val="baseline"/>
              <w:rPr>
                <w:rFonts w:ascii="宋体" w:hAnsi="宋体" w:eastAsia="宋体" w:cs="宋体"/>
                <w:snapToGrid/>
                <w:color w:val="auto"/>
                <w:spacing w:val="4"/>
                <w:highlight w:val="none"/>
              </w:rPr>
            </w:pPr>
            <w:r>
              <w:rPr>
                <w:rFonts w:hint="eastAsia" w:ascii="宋体" w:hAnsi="宋体" w:eastAsia="宋体" w:cs="宋体"/>
                <w:color w:val="auto"/>
                <w:spacing w:val="-2"/>
                <w:sz w:val="21"/>
                <w:szCs w:val="21"/>
                <w:highlight w:val="none"/>
              </w:rPr>
              <w:t>符合第二章“投标人须知”第3.4.1项规定</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rPr>
              <w:t>投标保证金以重庆市公共资源交易中心开标现场</w:t>
            </w:r>
            <w:r>
              <w:rPr>
                <w:rFonts w:hint="eastAsia" w:ascii="宋体" w:hAnsi="宋体" w:eastAsia="宋体" w:cs="宋体"/>
                <w:color w:val="auto"/>
                <w:spacing w:val="-2"/>
                <w:highlight w:val="none"/>
                <w:lang w:eastAsia="zh-CN"/>
              </w:rPr>
              <w:t>获取</w:t>
            </w:r>
            <w:r>
              <w:rPr>
                <w:rFonts w:hint="eastAsia" w:ascii="宋体" w:hAnsi="宋体" w:eastAsia="宋体" w:cs="宋体"/>
                <w:color w:val="auto"/>
                <w:spacing w:val="-2"/>
                <w:highlight w:val="none"/>
              </w:rPr>
              <w:t>的保证金交纳情况为准</w:t>
            </w:r>
            <w:r>
              <w:rPr>
                <w:rFonts w:hint="eastAsia" w:ascii="宋体" w:hAnsi="宋体" w:eastAsia="宋体" w:cs="宋体"/>
                <w:color w:val="auto"/>
                <w:spacing w:val="-2"/>
                <w:highlight w:val="none"/>
                <w:lang w:eastAsia="zh-CN"/>
              </w:rPr>
              <w:t>）</w:t>
            </w:r>
          </w:p>
        </w:tc>
      </w:tr>
    </w:tbl>
    <w:tbl>
      <w:tblPr>
        <w:tblStyle w:val="25"/>
        <w:tblpPr w:leftFromText="180" w:rightFromText="180" w:vertAnchor="text" w:horzAnchor="page" w:tblpX="1592" w:tblpY="1223"/>
        <w:tblOverlap w:val="never"/>
        <w:tblW w:w="8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2472"/>
        <w:gridCol w:w="4162"/>
      </w:tblGrid>
      <w:tr w14:paraId="35A7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27" w:type="dxa"/>
            <w:vAlign w:val="center"/>
          </w:tcPr>
          <w:p w14:paraId="080C2EBB">
            <w:pPr>
              <w:widowControl w:val="0"/>
              <w:spacing w:line="400" w:lineRule="exact"/>
              <w:jc w:val="center"/>
              <w:rPr>
                <w:rFonts w:hint="eastAsia" w:ascii="宋体" w:hAnsi="宋体" w:eastAsia="宋体" w:cs="宋体"/>
                <w:color w:val="auto"/>
                <w:spacing w:val="-2"/>
                <w:sz w:val="21"/>
                <w:szCs w:val="21"/>
                <w:highlight w:val="none"/>
              </w:rPr>
            </w:pPr>
            <w:r>
              <w:rPr>
                <w:rFonts w:hint="eastAsia" w:ascii="宋体" w:hAnsi="宋体" w:eastAsia="宋体" w:cs="宋体"/>
                <w:b/>
                <w:color w:val="auto"/>
                <w:sz w:val="21"/>
                <w:szCs w:val="21"/>
                <w:highlight w:val="none"/>
              </w:rPr>
              <w:t>条款号</w:t>
            </w:r>
          </w:p>
        </w:tc>
        <w:tc>
          <w:tcPr>
            <w:tcW w:w="2472" w:type="dxa"/>
            <w:vAlign w:val="center"/>
          </w:tcPr>
          <w:p w14:paraId="358BB61A">
            <w:pPr>
              <w:widowControl w:val="0"/>
              <w:spacing w:line="400" w:lineRule="exact"/>
              <w:jc w:val="center"/>
              <w:rPr>
                <w:rFonts w:hint="eastAsia" w:ascii="宋体" w:hAnsi="宋体" w:eastAsia="宋体" w:cs="宋体"/>
                <w:color w:val="auto"/>
                <w:spacing w:val="-2"/>
                <w:sz w:val="21"/>
                <w:szCs w:val="21"/>
                <w:highlight w:val="none"/>
              </w:rPr>
            </w:pPr>
            <w:r>
              <w:rPr>
                <w:rFonts w:hint="eastAsia" w:ascii="宋体" w:hAnsi="宋体" w:eastAsia="宋体" w:cs="宋体"/>
                <w:b/>
                <w:color w:val="auto"/>
                <w:sz w:val="21"/>
                <w:szCs w:val="21"/>
                <w:highlight w:val="none"/>
              </w:rPr>
              <w:t>条款名称</w:t>
            </w:r>
          </w:p>
        </w:tc>
        <w:tc>
          <w:tcPr>
            <w:tcW w:w="4162" w:type="dxa"/>
            <w:vAlign w:val="center"/>
          </w:tcPr>
          <w:p w14:paraId="4979F4DA">
            <w:pPr>
              <w:widowControl w:val="0"/>
              <w:spacing w:line="400" w:lineRule="exact"/>
              <w:jc w:val="center"/>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b/>
                <w:color w:val="auto"/>
                <w:sz w:val="21"/>
                <w:szCs w:val="21"/>
                <w:highlight w:val="none"/>
              </w:rPr>
              <w:t>编列内容</w:t>
            </w:r>
          </w:p>
        </w:tc>
      </w:tr>
      <w:tr w14:paraId="3A17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27" w:type="dxa"/>
            <w:vAlign w:val="center"/>
          </w:tcPr>
          <w:p w14:paraId="63C8BD4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pacing w:val="-1"/>
                <w:sz w:val="21"/>
                <w:szCs w:val="21"/>
                <w:highlight w:val="none"/>
              </w:rPr>
              <w:t>2.2.1</w:t>
            </w:r>
          </w:p>
        </w:tc>
        <w:tc>
          <w:tcPr>
            <w:tcW w:w="2472" w:type="dxa"/>
            <w:vAlign w:val="center"/>
          </w:tcPr>
          <w:p w14:paraId="46724E54">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center"/>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分值构成</w:t>
            </w:r>
          </w:p>
          <w:p w14:paraId="2933154D">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center"/>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rPr>
              <w:t>(总分 100 分)</w:t>
            </w:r>
          </w:p>
        </w:tc>
        <w:tc>
          <w:tcPr>
            <w:tcW w:w="4162" w:type="dxa"/>
            <w:vAlign w:val="top"/>
          </w:tcPr>
          <w:p w14:paraId="63928A48">
            <w:pPr>
              <w:keepNext w:val="0"/>
              <w:keepLines w:val="0"/>
              <w:pageBreakBefore w:val="0"/>
              <w:widowControl/>
              <w:kinsoku w:val="0"/>
              <w:wordWrap/>
              <w:overflowPunct/>
              <w:topLinePunct w:val="0"/>
              <w:autoSpaceDE w:val="0"/>
              <w:autoSpaceDN w:val="0"/>
              <w:bidi w:val="0"/>
              <w:adjustRightInd w:val="0"/>
              <w:snapToGrid w:val="0"/>
              <w:spacing w:line="400" w:lineRule="exact"/>
              <w:ind w:firstLine="416" w:firstLineChars="200"/>
              <w:jc w:val="both"/>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商务部分</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25</w:t>
            </w:r>
            <w:r>
              <w:rPr>
                <w:rFonts w:hint="eastAsia" w:ascii="宋体" w:hAnsi="宋体" w:eastAsia="宋体" w:cs="宋体"/>
                <w:color w:val="auto"/>
                <w:spacing w:val="-1"/>
                <w:sz w:val="21"/>
                <w:szCs w:val="21"/>
                <w:highlight w:val="none"/>
              </w:rPr>
              <w:t>分</w:t>
            </w:r>
          </w:p>
          <w:p w14:paraId="0053D2AE">
            <w:pPr>
              <w:keepNext w:val="0"/>
              <w:keepLines w:val="0"/>
              <w:pageBreakBefore w:val="0"/>
              <w:widowControl/>
              <w:kinsoku w:val="0"/>
              <w:wordWrap/>
              <w:overflowPunct/>
              <w:topLinePunct w:val="0"/>
              <w:autoSpaceDE w:val="0"/>
              <w:autoSpaceDN w:val="0"/>
              <w:bidi w:val="0"/>
              <w:adjustRightInd w:val="0"/>
              <w:snapToGrid w:val="0"/>
              <w:spacing w:line="400" w:lineRule="exact"/>
              <w:ind w:firstLine="416" w:firstLineChars="200"/>
              <w:jc w:val="both"/>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技术部分</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45</w:t>
            </w:r>
            <w:r>
              <w:rPr>
                <w:rFonts w:hint="eastAsia" w:ascii="宋体" w:hAnsi="宋体" w:eastAsia="宋体" w:cs="宋体"/>
                <w:color w:val="auto"/>
                <w:spacing w:val="-1"/>
                <w:sz w:val="21"/>
                <w:szCs w:val="21"/>
                <w:highlight w:val="none"/>
              </w:rPr>
              <w:t>分</w:t>
            </w:r>
          </w:p>
          <w:p w14:paraId="0E815845">
            <w:pPr>
              <w:keepNext w:val="0"/>
              <w:keepLines w:val="0"/>
              <w:pageBreakBefore w:val="0"/>
              <w:widowControl/>
              <w:kinsoku w:val="0"/>
              <w:wordWrap/>
              <w:overflowPunct/>
              <w:topLinePunct w:val="0"/>
              <w:autoSpaceDE w:val="0"/>
              <w:autoSpaceDN w:val="0"/>
              <w:bidi w:val="0"/>
              <w:adjustRightInd w:val="0"/>
              <w:snapToGrid w:val="0"/>
              <w:spacing w:line="400" w:lineRule="exact"/>
              <w:ind w:firstLine="416" w:firstLineChars="200"/>
              <w:jc w:val="both"/>
              <w:textAlignment w:val="baseline"/>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color w:val="auto"/>
                <w:spacing w:val="-1"/>
                <w:sz w:val="21"/>
                <w:szCs w:val="21"/>
                <w:highlight w:val="none"/>
              </w:rPr>
              <w:t>投标报价</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30</w:t>
            </w:r>
            <w:r>
              <w:rPr>
                <w:rFonts w:hint="eastAsia" w:ascii="宋体" w:hAnsi="宋体" w:eastAsia="宋体" w:cs="宋体"/>
                <w:color w:val="auto"/>
                <w:spacing w:val="-1"/>
                <w:sz w:val="21"/>
                <w:szCs w:val="21"/>
                <w:highlight w:val="none"/>
              </w:rPr>
              <w:t>分</w:t>
            </w:r>
          </w:p>
        </w:tc>
      </w:tr>
    </w:tbl>
    <w:p w14:paraId="6D1564FD">
      <w:pPr>
        <w:widowControl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tbl>
      <w:tblPr>
        <w:tblStyle w:val="30"/>
        <w:tblpPr w:leftFromText="180" w:rightFromText="180" w:vertAnchor="text" w:horzAnchor="page" w:tblpX="1500" w:tblpY="117"/>
        <w:tblOverlap w:val="never"/>
        <w:tblW w:w="86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014"/>
        <w:gridCol w:w="2465"/>
        <w:gridCol w:w="4170"/>
      </w:tblGrid>
      <w:tr w14:paraId="78418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27" w:type="dxa"/>
            <w:gridSpan w:val="2"/>
            <w:vAlign w:val="center"/>
          </w:tcPr>
          <w:p w14:paraId="5649EDFF">
            <w:pPr>
              <w:widowControl/>
              <w:kinsoku/>
              <w:autoSpaceDE/>
              <w:autoSpaceDN/>
              <w:adjustRightInd/>
              <w:snapToGrid/>
              <w:spacing w:line="240" w:lineRule="auto"/>
              <w:jc w:val="center"/>
              <w:textAlignment w:val="auto"/>
              <w:rPr>
                <w:rFonts w:hint="eastAsia" w:ascii="宋体" w:hAnsi="宋体" w:eastAsia="宋体" w:cs="宋体"/>
                <w:b/>
                <w:snapToGrid/>
                <w:color w:val="auto"/>
                <w:kern w:val="2"/>
                <w:sz w:val="21"/>
                <w:szCs w:val="21"/>
                <w:highlight w:val="none"/>
                <w:lang w:val="en-US" w:eastAsia="zh-CN" w:bidi="ar-SA"/>
              </w:rPr>
            </w:pPr>
            <w:r>
              <w:rPr>
                <w:rFonts w:hint="eastAsia" w:ascii="宋体" w:hAnsi="宋体" w:eastAsia="宋体" w:cs="宋体"/>
                <w:b/>
                <w:snapToGrid/>
                <w:color w:val="auto"/>
                <w:kern w:val="2"/>
                <w:sz w:val="21"/>
                <w:szCs w:val="21"/>
                <w:highlight w:val="none"/>
                <w:lang w:val="en-US" w:eastAsia="zh-CN" w:bidi="ar-SA"/>
              </w:rPr>
              <w:t>条款号</w:t>
            </w:r>
          </w:p>
        </w:tc>
        <w:tc>
          <w:tcPr>
            <w:tcW w:w="2465" w:type="dxa"/>
            <w:vAlign w:val="center"/>
          </w:tcPr>
          <w:p w14:paraId="1E3462FD">
            <w:pPr>
              <w:widowControl/>
              <w:kinsoku/>
              <w:autoSpaceDE/>
              <w:autoSpaceDN/>
              <w:adjustRightInd/>
              <w:snapToGrid/>
              <w:spacing w:line="240" w:lineRule="auto"/>
              <w:jc w:val="center"/>
              <w:textAlignment w:val="auto"/>
              <w:rPr>
                <w:rFonts w:hint="eastAsia" w:ascii="宋体" w:hAnsi="宋体" w:eastAsia="宋体" w:cs="宋体"/>
                <w:b/>
                <w:snapToGrid/>
                <w:color w:val="auto"/>
                <w:kern w:val="2"/>
                <w:sz w:val="21"/>
                <w:szCs w:val="21"/>
                <w:highlight w:val="none"/>
                <w:lang w:val="en-US" w:eastAsia="zh-CN" w:bidi="ar-SA"/>
              </w:rPr>
            </w:pPr>
            <w:r>
              <w:rPr>
                <w:rFonts w:hint="eastAsia" w:ascii="宋体" w:hAnsi="宋体" w:eastAsia="宋体" w:cs="宋体"/>
                <w:b/>
                <w:snapToGrid/>
                <w:color w:val="auto"/>
                <w:kern w:val="2"/>
                <w:sz w:val="21"/>
                <w:szCs w:val="21"/>
                <w:highlight w:val="none"/>
                <w:lang w:val="en-US" w:eastAsia="zh-CN" w:bidi="ar-SA"/>
              </w:rPr>
              <w:t>评审因素</w:t>
            </w:r>
          </w:p>
        </w:tc>
        <w:tc>
          <w:tcPr>
            <w:tcW w:w="4170" w:type="dxa"/>
            <w:vAlign w:val="center"/>
          </w:tcPr>
          <w:p w14:paraId="026450ED">
            <w:pPr>
              <w:widowControl/>
              <w:kinsoku/>
              <w:autoSpaceDE/>
              <w:autoSpaceDN/>
              <w:adjustRightInd/>
              <w:snapToGrid/>
              <w:spacing w:line="240" w:lineRule="auto"/>
              <w:jc w:val="center"/>
              <w:textAlignment w:val="auto"/>
              <w:rPr>
                <w:rFonts w:hint="eastAsia" w:ascii="宋体" w:hAnsi="宋体" w:eastAsia="宋体" w:cs="宋体"/>
                <w:b/>
                <w:snapToGrid/>
                <w:color w:val="auto"/>
                <w:kern w:val="2"/>
                <w:sz w:val="21"/>
                <w:szCs w:val="21"/>
                <w:highlight w:val="none"/>
                <w:lang w:val="en-US" w:eastAsia="zh-CN" w:bidi="ar-SA"/>
              </w:rPr>
            </w:pPr>
            <w:r>
              <w:rPr>
                <w:rFonts w:hint="eastAsia" w:ascii="宋体" w:hAnsi="宋体" w:eastAsia="宋体" w:cs="宋体"/>
                <w:b/>
                <w:snapToGrid/>
                <w:color w:val="auto"/>
                <w:kern w:val="2"/>
                <w:sz w:val="21"/>
                <w:szCs w:val="21"/>
                <w:highlight w:val="none"/>
                <w:lang w:val="en-US" w:eastAsia="zh-CN" w:bidi="ar-SA"/>
              </w:rPr>
              <w:t>评审标准</w:t>
            </w:r>
          </w:p>
        </w:tc>
      </w:tr>
      <w:tr w14:paraId="20D01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3" w:type="dxa"/>
            <w:vMerge w:val="restart"/>
            <w:vAlign w:val="center"/>
          </w:tcPr>
          <w:p w14:paraId="61687F13">
            <w:pPr>
              <w:spacing w:before="61" w:line="401" w:lineRule="exact"/>
              <w:jc w:val="center"/>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rPr>
              <w:t>2.2.</w:t>
            </w:r>
            <w:r>
              <w:rPr>
                <w:rFonts w:hint="eastAsia" w:ascii="宋体" w:hAnsi="宋体" w:eastAsia="宋体" w:cs="宋体"/>
                <w:color w:val="auto"/>
                <w:spacing w:val="-1"/>
                <w:sz w:val="21"/>
                <w:szCs w:val="21"/>
                <w:highlight w:val="none"/>
                <w:lang w:val="en-US" w:eastAsia="zh-CN"/>
              </w:rPr>
              <w:t>2</w:t>
            </w:r>
          </w:p>
          <w:p w14:paraId="47DC8482">
            <w:pPr>
              <w:spacing w:before="61" w:line="401" w:lineRule="exact"/>
              <w:jc w:val="center"/>
              <w:rPr>
                <w:rFonts w:hint="eastAsia" w:ascii="宋体" w:hAnsi="宋体" w:eastAsia="宋体" w:cs="宋体"/>
                <w:b/>
                <w:snapToGrid/>
                <w:color w:val="auto"/>
                <w:kern w:val="2"/>
                <w:sz w:val="21"/>
                <w:szCs w:val="21"/>
                <w:highlight w:val="none"/>
                <w:lang w:val="en-US" w:eastAsia="zh-CN" w:bidi="ar-SA"/>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lang w:val="en-US" w:eastAsia="zh-CN"/>
              </w:rPr>
              <w:t>1</w:t>
            </w:r>
            <w:r>
              <w:rPr>
                <w:rFonts w:hint="eastAsia" w:ascii="宋体" w:hAnsi="宋体" w:eastAsia="宋体" w:cs="宋体"/>
                <w:color w:val="auto"/>
                <w:spacing w:val="-1"/>
                <w:sz w:val="21"/>
                <w:szCs w:val="21"/>
                <w:highlight w:val="none"/>
              </w:rPr>
              <w:t>）</w:t>
            </w:r>
          </w:p>
        </w:tc>
        <w:tc>
          <w:tcPr>
            <w:tcW w:w="1014" w:type="dxa"/>
            <w:vMerge w:val="restart"/>
            <w:vAlign w:val="center"/>
          </w:tcPr>
          <w:p w14:paraId="6C501FAA">
            <w:pPr>
              <w:spacing w:before="61" w:line="401" w:lineRule="exact"/>
              <w:jc w:val="center"/>
              <w:rPr>
                <w:rFonts w:hint="eastAsia" w:ascii="宋体" w:hAnsi="宋体" w:eastAsia="宋体" w:cs="宋体"/>
                <w:b/>
                <w:snapToGrid/>
                <w:color w:val="auto"/>
                <w:kern w:val="2"/>
                <w:sz w:val="21"/>
                <w:szCs w:val="21"/>
                <w:highlight w:val="none"/>
                <w:lang w:val="en-US" w:eastAsia="zh-CN" w:bidi="ar-SA"/>
              </w:rPr>
            </w:pPr>
            <w:r>
              <w:rPr>
                <w:rFonts w:hint="eastAsia" w:ascii="宋体" w:hAnsi="宋体" w:eastAsia="宋体" w:cs="宋体"/>
                <w:color w:val="auto"/>
                <w:spacing w:val="-3"/>
                <w:sz w:val="21"/>
                <w:szCs w:val="21"/>
                <w:highlight w:val="none"/>
              </w:rPr>
              <w:t>商务评分</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2"/>
                <w:sz w:val="21"/>
                <w:szCs w:val="21"/>
                <w:highlight w:val="none"/>
              </w:rPr>
              <w:t>标准</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A</w:t>
            </w:r>
            <w:r>
              <w:rPr>
                <w:rFonts w:hint="eastAsia" w:ascii="宋体" w:hAnsi="宋体" w:eastAsia="宋体" w:cs="宋体"/>
                <w:color w:val="auto"/>
                <w:spacing w:val="-2"/>
                <w:sz w:val="21"/>
                <w:szCs w:val="21"/>
                <w:highlight w:val="none"/>
                <w:lang w:eastAsia="zh-CN"/>
              </w:rPr>
              <w:t>）</w:t>
            </w:r>
          </w:p>
        </w:tc>
        <w:tc>
          <w:tcPr>
            <w:tcW w:w="2465" w:type="dxa"/>
            <w:vAlign w:val="top"/>
          </w:tcPr>
          <w:p w14:paraId="2CA6C187">
            <w:pPr>
              <w:spacing w:line="440" w:lineRule="exact"/>
              <w:jc w:val="center"/>
              <w:rPr>
                <w:rFonts w:hint="eastAsia" w:ascii="宋体" w:hAnsi="宋体" w:eastAsia="宋体" w:cs="宋体"/>
                <w:b/>
                <w:snapToGrid/>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信誉（12分）</w:t>
            </w:r>
          </w:p>
        </w:tc>
        <w:tc>
          <w:tcPr>
            <w:tcW w:w="4170" w:type="dxa"/>
            <w:vAlign w:val="top"/>
          </w:tcPr>
          <w:p w14:paraId="6F9C889E">
            <w:pPr>
              <w:widowControl w:val="0"/>
              <w:kinsoku/>
              <w:autoSpaceDE/>
              <w:autoSpaceDN/>
              <w:adjustRightInd/>
              <w:snapToGrid/>
              <w:spacing w:line="400" w:lineRule="exact"/>
              <w:ind w:firstLine="420" w:firstLineChars="200"/>
              <w:jc w:val="both"/>
              <w:textAlignment w:val="auto"/>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2020年1月1日至投标截止时间承办过中国田协认证的马拉松赛事项目中，由中央电视台直播得8分；省级卫视直播得3分；网络及其它平台直播得1分。可叠加，本项目最高可得12分。（投标文件中提供合同复印件和直播截图并加盖投标人公章。）</w:t>
            </w:r>
          </w:p>
        </w:tc>
      </w:tr>
      <w:tr w14:paraId="073C8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9" w:hRule="atLeast"/>
        </w:trPr>
        <w:tc>
          <w:tcPr>
            <w:tcW w:w="1013" w:type="dxa"/>
            <w:vMerge w:val="continue"/>
            <w:vAlign w:val="top"/>
          </w:tcPr>
          <w:p w14:paraId="06F2BC6A">
            <w:pPr>
              <w:widowControl w:val="0"/>
              <w:kinsoku/>
              <w:autoSpaceDE/>
              <w:autoSpaceDN/>
              <w:adjustRightInd/>
              <w:snapToGrid/>
              <w:spacing w:line="400" w:lineRule="exact"/>
              <w:jc w:val="center"/>
              <w:textAlignment w:val="auto"/>
              <w:rPr>
                <w:rFonts w:hint="eastAsia" w:ascii="宋体" w:hAnsi="宋体" w:eastAsia="宋体" w:cs="宋体"/>
                <w:b/>
                <w:snapToGrid/>
                <w:color w:val="auto"/>
                <w:kern w:val="2"/>
                <w:sz w:val="21"/>
                <w:szCs w:val="21"/>
                <w:highlight w:val="none"/>
                <w:lang w:val="en-US" w:eastAsia="zh-CN" w:bidi="ar-SA"/>
              </w:rPr>
            </w:pPr>
          </w:p>
        </w:tc>
        <w:tc>
          <w:tcPr>
            <w:tcW w:w="1014" w:type="dxa"/>
            <w:vMerge w:val="continue"/>
            <w:vAlign w:val="top"/>
          </w:tcPr>
          <w:p w14:paraId="0775292E">
            <w:pPr>
              <w:widowControl w:val="0"/>
              <w:kinsoku/>
              <w:autoSpaceDE/>
              <w:autoSpaceDN/>
              <w:adjustRightInd/>
              <w:snapToGrid/>
              <w:spacing w:line="400" w:lineRule="exact"/>
              <w:jc w:val="center"/>
              <w:textAlignment w:val="auto"/>
              <w:rPr>
                <w:rFonts w:hint="eastAsia" w:ascii="宋体" w:hAnsi="宋体" w:eastAsia="宋体" w:cs="宋体"/>
                <w:b/>
                <w:snapToGrid/>
                <w:color w:val="auto"/>
                <w:kern w:val="2"/>
                <w:sz w:val="21"/>
                <w:szCs w:val="21"/>
                <w:highlight w:val="none"/>
                <w:lang w:val="en-US" w:eastAsia="zh-CN" w:bidi="ar-SA"/>
              </w:rPr>
            </w:pPr>
          </w:p>
        </w:tc>
        <w:tc>
          <w:tcPr>
            <w:tcW w:w="2465" w:type="dxa"/>
            <w:vAlign w:val="top"/>
          </w:tcPr>
          <w:p w14:paraId="719C4DAD">
            <w:pPr>
              <w:spacing w:line="440" w:lineRule="exact"/>
              <w:jc w:val="center"/>
              <w:rPr>
                <w:rFonts w:hint="eastAsia" w:ascii="宋体" w:hAnsi="宋体" w:eastAsia="宋体" w:cs="宋体"/>
                <w:b/>
                <w:snapToGrid/>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类似项目</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13分</w:t>
            </w:r>
            <w:r>
              <w:rPr>
                <w:rFonts w:hint="eastAsia" w:ascii="宋体" w:hAnsi="宋体" w:eastAsia="宋体" w:cs="宋体"/>
                <w:color w:val="auto"/>
                <w:sz w:val="21"/>
                <w:szCs w:val="21"/>
                <w:highlight w:val="none"/>
                <w:lang w:eastAsia="zh-CN"/>
              </w:rPr>
              <w:t>）</w:t>
            </w:r>
          </w:p>
        </w:tc>
        <w:tc>
          <w:tcPr>
            <w:tcW w:w="4170" w:type="dxa"/>
            <w:vAlign w:val="top"/>
          </w:tcPr>
          <w:p w14:paraId="070606F6">
            <w:pPr>
              <w:widowControl w:val="0"/>
              <w:kinsoku/>
              <w:autoSpaceDE/>
              <w:autoSpaceDN/>
              <w:adjustRightInd/>
              <w:snapToGrid/>
              <w:spacing w:line="400" w:lineRule="exact"/>
              <w:ind w:firstLine="420" w:firstLineChars="200"/>
              <w:jc w:val="both"/>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1、2020年1月1日至投标截止时间承办过由中国田协认证的全程马拉松或半程马拉松赛事项目认证A类赛事的业绩证明，有一项得1分。本项最高得7分。（投标文件中提供合同复印件</w:t>
            </w:r>
            <w:r>
              <w:rPr>
                <w:rFonts w:hint="eastAsia" w:asciiTheme="minorEastAsia" w:hAnsiTheme="minorEastAsia" w:eastAsiaTheme="minorEastAsia" w:cstheme="minorEastAsia"/>
                <w:b w:val="0"/>
                <w:bCs w:val="0"/>
                <w:color w:val="auto"/>
                <w:sz w:val="21"/>
                <w:szCs w:val="21"/>
                <w:highlight w:val="none"/>
                <w:lang w:val="en-US" w:eastAsia="zh-CN"/>
              </w:rPr>
              <w:t>及中国马拉松官方网站（https://www.runchina.org.cn/）该合同对应赛事为A类的截图</w:t>
            </w:r>
            <w:r>
              <w:rPr>
                <w:rFonts w:hint="eastAsia" w:ascii="微软雅黑" w:hAnsi="微软雅黑" w:eastAsia="微软雅黑" w:cs="微软雅黑"/>
                <w:color w:val="auto"/>
                <w:sz w:val="21"/>
                <w:szCs w:val="21"/>
                <w:highlight w:val="none"/>
                <w:lang w:val="en-US" w:eastAsia="zh-CN"/>
              </w:rPr>
              <w:t>并加盖投标人公章。）</w:t>
            </w:r>
          </w:p>
          <w:p w14:paraId="0B42F3C5">
            <w:pPr>
              <w:widowControl w:val="0"/>
              <w:numPr>
                <w:ilvl w:val="0"/>
                <w:numId w:val="3"/>
              </w:numPr>
              <w:kinsoku/>
              <w:autoSpaceDE/>
              <w:autoSpaceDN/>
              <w:adjustRightInd/>
              <w:snapToGrid/>
              <w:spacing w:line="400" w:lineRule="exact"/>
              <w:ind w:firstLine="420" w:firstLineChars="200"/>
              <w:jc w:val="both"/>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因供应商需要运营公司有足够本地跑团支撑，供应商提供2020年1月1日至投标截止时间在重庆市范围内承办过全程马拉松或半程马拉松赛事，每有一个得1分，本项最高得6分。（投标文件中提供合同复印件并加盖投标人公章）</w:t>
            </w:r>
          </w:p>
          <w:p w14:paraId="016CF5A2">
            <w:pPr>
              <w:widowControl w:val="0"/>
              <w:numPr>
                <w:ilvl w:val="0"/>
                <w:numId w:val="0"/>
              </w:numPr>
              <w:kinsoku/>
              <w:autoSpaceDE/>
              <w:autoSpaceDN/>
              <w:adjustRightInd/>
              <w:snapToGrid/>
              <w:spacing w:line="400" w:lineRule="exact"/>
              <w:ind w:firstLine="210" w:firstLineChars="100"/>
              <w:jc w:val="both"/>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注：若同一个赛事以上两项均满足则可以重复计分。</w:t>
            </w:r>
          </w:p>
        </w:tc>
      </w:tr>
      <w:tr w14:paraId="505FF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3" w:type="dxa"/>
            <w:vMerge w:val="restart"/>
            <w:vAlign w:val="center"/>
          </w:tcPr>
          <w:p w14:paraId="5DE2EAB4">
            <w:pPr>
              <w:spacing w:before="61" w:line="401" w:lineRule="exact"/>
              <w:jc w:val="center"/>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rPr>
              <w:t>2.2.</w:t>
            </w:r>
            <w:r>
              <w:rPr>
                <w:rFonts w:hint="eastAsia" w:ascii="宋体" w:hAnsi="宋体" w:eastAsia="宋体" w:cs="宋体"/>
                <w:color w:val="auto"/>
                <w:spacing w:val="-3"/>
                <w:sz w:val="21"/>
                <w:szCs w:val="21"/>
                <w:highlight w:val="none"/>
                <w:lang w:val="en-US" w:eastAsia="zh-CN"/>
              </w:rPr>
              <w:t>2</w:t>
            </w:r>
          </w:p>
          <w:p w14:paraId="46091A24">
            <w:pPr>
              <w:widowControl/>
              <w:kinsoku/>
              <w:autoSpaceDE/>
              <w:autoSpaceDN/>
              <w:adjustRightInd/>
              <w:snapToGrid/>
              <w:spacing w:before="61" w:line="401" w:lineRule="exact"/>
              <w:jc w:val="center"/>
              <w:textAlignment w:val="auto"/>
              <w:rPr>
                <w:rFonts w:hint="eastAsia" w:ascii="宋体" w:hAnsi="宋体" w:eastAsia="宋体" w:cs="宋体"/>
                <w:b w:val="0"/>
                <w:snapToGrid w:val="0"/>
                <w:color w:val="auto"/>
                <w:spacing w:val="-3"/>
                <w:kern w:val="0"/>
                <w:sz w:val="21"/>
                <w:szCs w:val="21"/>
                <w:highlight w:val="none"/>
                <w:lang w:val="en-US" w:eastAsia="zh-CN" w:bidi="ar-SA"/>
              </w:rPr>
            </w:pP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rPr>
              <w:t>）</w:t>
            </w:r>
          </w:p>
        </w:tc>
        <w:tc>
          <w:tcPr>
            <w:tcW w:w="1014" w:type="dxa"/>
            <w:vMerge w:val="restart"/>
            <w:vAlign w:val="center"/>
          </w:tcPr>
          <w:p w14:paraId="780A1A17">
            <w:pPr>
              <w:spacing w:before="61" w:line="401" w:lineRule="exact"/>
              <w:jc w:val="center"/>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技术</w:t>
            </w:r>
            <w:r>
              <w:rPr>
                <w:rFonts w:hint="eastAsia" w:ascii="宋体" w:hAnsi="宋体" w:eastAsia="宋体" w:cs="宋体"/>
                <w:color w:val="auto"/>
                <w:spacing w:val="-3"/>
                <w:sz w:val="21"/>
                <w:szCs w:val="21"/>
                <w:highlight w:val="none"/>
              </w:rPr>
              <w:t>评分</w:t>
            </w:r>
            <w:r>
              <w:rPr>
                <w:rFonts w:hint="eastAsia" w:ascii="宋体" w:hAnsi="宋体" w:eastAsia="宋体" w:cs="宋体"/>
                <w:color w:val="auto"/>
                <w:spacing w:val="-2"/>
                <w:sz w:val="21"/>
                <w:szCs w:val="21"/>
                <w:highlight w:val="none"/>
              </w:rPr>
              <w:t>标准</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B</w:t>
            </w:r>
            <w:r>
              <w:rPr>
                <w:rFonts w:hint="eastAsia" w:ascii="宋体" w:hAnsi="宋体" w:eastAsia="宋体" w:cs="宋体"/>
                <w:color w:val="auto"/>
                <w:spacing w:val="-2"/>
                <w:sz w:val="21"/>
                <w:szCs w:val="21"/>
                <w:highlight w:val="none"/>
                <w:lang w:eastAsia="zh-CN"/>
              </w:rPr>
              <w:t>）</w:t>
            </w:r>
          </w:p>
        </w:tc>
        <w:tc>
          <w:tcPr>
            <w:tcW w:w="2465" w:type="dxa"/>
            <w:vAlign w:val="center"/>
          </w:tcPr>
          <w:p w14:paraId="1DC77610">
            <w:pPr>
              <w:spacing w:line="320" w:lineRule="exact"/>
              <w:ind w:firstLine="210" w:firstLineChars="100"/>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总体策划</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8分）</w:t>
            </w:r>
          </w:p>
        </w:tc>
        <w:tc>
          <w:tcPr>
            <w:tcW w:w="4170" w:type="dxa"/>
            <w:vAlign w:val="center"/>
          </w:tcPr>
          <w:p w14:paraId="3062D856">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投标人所提供的赛事整体策划活动方案具有整体性和完善性，充分理解活动需求，思路清晰，策划内容有好的亮点和创新。</w:t>
            </w:r>
          </w:p>
          <w:p w14:paraId="0C1121E2">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内容不存在瑕疵的得8分；</w:t>
            </w:r>
          </w:p>
          <w:p w14:paraId="64D4C099">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内容存在1处瑕疵得4分；</w:t>
            </w:r>
          </w:p>
          <w:p w14:paraId="77B5379D">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内容存在2处瑕疵得1分；</w:t>
            </w:r>
          </w:p>
          <w:p w14:paraId="59604AF6">
            <w:pPr>
              <w:spacing w:line="320" w:lineRule="exact"/>
              <w:ind w:firstLine="420" w:firstLineChars="200"/>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内容存在3处及以上瑕疵或未提供得0分。</w:t>
            </w:r>
          </w:p>
        </w:tc>
      </w:tr>
      <w:tr w14:paraId="01798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3" w:type="dxa"/>
            <w:vMerge w:val="continue"/>
            <w:vAlign w:val="top"/>
          </w:tcPr>
          <w:p w14:paraId="3AE324EF">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1014" w:type="dxa"/>
            <w:vMerge w:val="continue"/>
            <w:vAlign w:val="top"/>
          </w:tcPr>
          <w:p w14:paraId="13685F64">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2465" w:type="dxa"/>
            <w:vAlign w:val="center"/>
          </w:tcPr>
          <w:p w14:paraId="58BB6E24">
            <w:pPr>
              <w:spacing w:line="320" w:lineRule="exact"/>
              <w:ind w:firstLine="210" w:firstLineChars="100"/>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竞赛组织方案（8分）</w:t>
            </w:r>
          </w:p>
        </w:tc>
        <w:tc>
          <w:tcPr>
            <w:tcW w:w="4170" w:type="dxa"/>
            <w:vAlign w:val="center"/>
          </w:tcPr>
          <w:p w14:paraId="5D0DCFA7">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投标人所提供的竞赛组织方案（含活动后勤保障方案、志愿者工作方案、裁判工作方案）整体思路和技术架构切合活动考虑符合实际，且专业周密严谨。</w:t>
            </w:r>
          </w:p>
          <w:p w14:paraId="3CEF9A82">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内容不存在瑕疵的得8分；</w:t>
            </w:r>
          </w:p>
          <w:p w14:paraId="7A47C252">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内容存在1处瑕疵得4分；</w:t>
            </w:r>
          </w:p>
          <w:p w14:paraId="5ECFF60D">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内容存在2处瑕疵得1分；</w:t>
            </w:r>
          </w:p>
          <w:p w14:paraId="728743B1">
            <w:pPr>
              <w:spacing w:line="320" w:lineRule="exact"/>
              <w:ind w:firstLine="420" w:firstLineChars="200"/>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内容存在3处及以上瑕疵或未提供得0分。</w:t>
            </w:r>
          </w:p>
        </w:tc>
      </w:tr>
      <w:tr w14:paraId="00DD2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3" w:type="dxa"/>
            <w:vMerge w:val="continue"/>
            <w:vAlign w:val="top"/>
          </w:tcPr>
          <w:p w14:paraId="0130FA32">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1014" w:type="dxa"/>
            <w:vMerge w:val="continue"/>
            <w:vAlign w:val="top"/>
          </w:tcPr>
          <w:p w14:paraId="1221FF93">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2465" w:type="dxa"/>
            <w:vAlign w:val="center"/>
          </w:tcPr>
          <w:p w14:paraId="5ADD0A1F">
            <w:pPr>
              <w:spacing w:line="320" w:lineRule="exact"/>
              <w:ind w:firstLine="420" w:firstLineChars="200"/>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安全风险方案（4分）</w:t>
            </w:r>
          </w:p>
        </w:tc>
        <w:tc>
          <w:tcPr>
            <w:tcW w:w="4170" w:type="dxa"/>
            <w:vAlign w:val="center"/>
          </w:tcPr>
          <w:p w14:paraId="5AB617EB">
            <w:pPr>
              <w:spacing w:line="32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投标人所提供的安全风险方案（含安全风险类型，保障体系及目标、安全保障措施、安保人员数量及设置点位等）整体思路和技术架构切合活动考虑符合实际，且专业周密严谨。</w:t>
            </w:r>
          </w:p>
          <w:p w14:paraId="2267D0E7">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内容不存在瑕疵的得4分；</w:t>
            </w:r>
          </w:p>
          <w:p w14:paraId="5F18C5FC">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内容存在1处瑕疵得2分；</w:t>
            </w:r>
          </w:p>
          <w:p w14:paraId="56BE3658">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内容存在2处瑕疵得1分；</w:t>
            </w:r>
          </w:p>
          <w:p w14:paraId="7120B70A">
            <w:pPr>
              <w:spacing w:line="320" w:lineRule="exact"/>
              <w:ind w:firstLine="420" w:firstLineChars="200"/>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内容存在3处及以上瑕疵或未提供得0分。</w:t>
            </w:r>
          </w:p>
        </w:tc>
      </w:tr>
      <w:tr w14:paraId="4F924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3" w:type="dxa"/>
            <w:vMerge w:val="continue"/>
            <w:vAlign w:val="top"/>
          </w:tcPr>
          <w:p w14:paraId="00D6572C">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1014" w:type="dxa"/>
            <w:vMerge w:val="continue"/>
            <w:vAlign w:val="top"/>
          </w:tcPr>
          <w:p w14:paraId="0262BF84">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2465" w:type="dxa"/>
            <w:vAlign w:val="center"/>
          </w:tcPr>
          <w:p w14:paraId="14470605">
            <w:pPr>
              <w:spacing w:line="320" w:lineRule="exact"/>
              <w:ind w:firstLine="210" w:firstLineChars="100"/>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医疗保障方案（4分）</w:t>
            </w:r>
          </w:p>
        </w:tc>
        <w:tc>
          <w:tcPr>
            <w:tcW w:w="4170" w:type="dxa"/>
            <w:vAlign w:val="center"/>
          </w:tcPr>
          <w:p w14:paraId="1C2AE98A">
            <w:pPr>
              <w:spacing w:line="32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投标人所提供的医疗保障法难（含赛事医疗救援方案、保障组织架构及目标、保障措施、医疗保障人员数量及设置点位等）整体思路和技术架构切合活动考虑符合实际，且专业周密严谨。</w:t>
            </w:r>
          </w:p>
          <w:p w14:paraId="2C37784C">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内容不存在瑕疵的得4分；</w:t>
            </w:r>
          </w:p>
          <w:p w14:paraId="233188E7">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内容存在1处瑕疵得2分；</w:t>
            </w:r>
          </w:p>
          <w:p w14:paraId="7F26D369">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内容存在2处瑕疵得1分；</w:t>
            </w:r>
          </w:p>
          <w:p w14:paraId="195BD3DE">
            <w:pPr>
              <w:spacing w:line="320" w:lineRule="exact"/>
              <w:ind w:firstLine="420" w:firstLineChars="200"/>
              <w:rPr>
                <w:rFonts w:hint="eastAsia" w:ascii="宋体" w:hAnsi="宋体" w:eastAsia="宋体" w:cs="宋体"/>
                <w:color w:val="auto"/>
                <w:sz w:val="21"/>
                <w:szCs w:val="21"/>
                <w:highlight w:val="none"/>
              </w:rPr>
            </w:pPr>
            <w:r>
              <w:rPr>
                <w:rFonts w:hint="eastAsia" w:ascii="微软雅黑" w:hAnsi="微软雅黑" w:eastAsia="微软雅黑" w:cs="微软雅黑"/>
                <w:color w:val="auto"/>
                <w:sz w:val="21"/>
                <w:szCs w:val="21"/>
                <w:highlight w:val="none"/>
                <w:lang w:val="en-US" w:eastAsia="zh-CN"/>
              </w:rPr>
              <w:t>内容存在3处及以上瑕疵或未提供得0分。</w:t>
            </w:r>
          </w:p>
        </w:tc>
      </w:tr>
      <w:tr w14:paraId="2AB4C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3" w:type="dxa"/>
            <w:vMerge w:val="continue"/>
            <w:vAlign w:val="top"/>
          </w:tcPr>
          <w:p w14:paraId="3A10A800">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1014" w:type="dxa"/>
            <w:vMerge w:val="continue"/>
            <w:vAlign w:val="top"/>
          </w:tcPr>
          <w:p w14:paraId="4C66AA05">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2465" w:type="dxa"/>
            <w:vAlign w:val="center"/>
          </w:tcPr>
          <w:p w14:paraId="61AC7615">
            <w:pPr>
              <w:spacing w:line="320" w:lineRule="exact"/>
              <w:ind w:firstLine="210" w:firstLineChars="100"/>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应急方案（4分）</w:t>
            </w:r>
          </w:p>
        </w:tc>
        <w:tc>
          <w:tcPr>
            <w:tcW w:w="4170" w:type="dxa"/>
            <w:vAlign w:val="center"/>
          </w:tcPr>
          <w:p w14:paraId="6DD676B0">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投标人提供的突发事件应急预案（包括突发事项、应急处置原则、应急处置程序、应急处置方法、气象、交通、人员疏导等风险管控措施等），投标人所提供的赛事应急处理方案整体思路和技术架构切合活动考虑符合实际，且专业周密严谨。</w:t>
            </w:r>
          </w:p>
          <w:p w14:paraId="19CB16BD">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内容不存在瑕疵的得4分；</w:t>
            </w:r>
          </w:p>
          <w:p w14:paraId="00DAF93E">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内容存在1处瑕疵得2分；</w:t>
            </w:r>
          </w:p>
          <w:p w14:paraId="0BEB99D3">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内容存在2处瑕疵得1分；</w:t>
            </w:r>
          </w:p>
          <w:p w14:paraId="2DA4B0D6">
            <w:pPr>
              <w:spacing w:line="320" w:lineRule="exact"/>
              <w:ind w:firstLine="243" w:firstLineChars="116"/>
              <w:rPr>
                <w:rFonts w:hint="eastAsia" w:ascii="宋体" w:hAnsi="宋体" w:eastAsia="宋体" w:cs="宋体"/>
                <w:color w:val="auto"/>
                <w:sz w:val="21"/>
                <w:szCs w:val="21"/>
                <w:highlight w:val="none"/>
              </w:rPr>
            </w:pPr>
            <w:r>
              <w:rPr>
                <w:rFonts w:hint="eastAsia" w:ascii="微软雅黑" w:hAnsi="微软雅黑" w:eastAsia="微软雅黑" w:cs="微软雅黑"/>
                <w:color w:val="auto"/>
                <w:sz w:val="21"/>
                <w:szCs w:val="21"/>
                <w:highlight w:val="none"/>
                <w:lang w:val="en-US" w:eastAsia="zh-CN"/>
              </w:rPr>
              <w:t>内容存在3处及以上瑕疵或未提供得0分。</w:t>
            </w:r>
          </w:p>
        </w:tc>
      </w:tr>
      <w:tr w14:paraId="53B70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0" w:hRule="atLeast"/>
        </w:trPr>
        <w:tc>
          <w:tcPr>
            <w:tcW w:w="1013" w:type="dxa"/>
            <w:vMerge w:val="continue"/>
            <w:vAlign w:val="top"/>
          </w:tcPr>
          <w:p w14:paraId="0DD2CF95">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1014" w:type="dxa"/>
            <w:vMerge w:val="continue"/>
            <w:vAlign w:val="top"/>
          </w:tcPr>
          <w:p w14:paraId="02FD95C8">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2465" w:type="dxa"/>
            <w:vAlign w:val="center"/>
          </w:tcPr>
          <w:p w14:paraId="02B4CBAB">
            <w:pPr>
              <w:spacing w:line="320" w:lineRule="exact"/>
              <w:ind w:firstLine="210" w:firstLineChars="100"/>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设计物料样品（12分）</w:t>
            </w:r>
          </w:p>
        </w:tc>
        <w:tc>
          <w:tcPr>
            <w:tcW w:w="4170" w:type="dxa"/>
            <w:vAlign w:val="center"/>
          </w:tcPr>
          <w:p w14:paraId="18EC6CCD">
            <w:pPr>
              <w:spacing w:line="32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投标人</w:t>
            </w:r>
            <w:r>
              <w:rPr>
                <w:rFonts w:hint="eastAsia" w:asciiTheme="minorEastAsia" w:hAnsiTheme="minorEastAsia" w:eastAsiaTheme="minorEastAsia" w:cstheme="minorEastAsia"/>
                <w:b w:val="0"/>
                <w:bCs w:val="0"/>
                <w:color w:val="auto"/>
                <w:sz w:val="21"/>
                <w:szCs w:val="21"/>
                <w:highlight w:val="none"/>
                <w:lang w:val="en-US" w:eastAsia="zh-CN"/>
              </w:rPr>
              <w:t>根据重庆市大渡口区文化和旅游发展委员会（体育局）微信公众号2026年1月20日发布的“奖牌物料</w:t>
            </w:r>
            <w:r>
              <w:rPr>
                <w:rFonts w:hint="eastAsia" w:ascii="宋体" w:hAnsi="宋体" w:eastAsia="宋体" w:cs="宋体"/>
                <w:b w:val="0"/>
                <w:bCs w:val="0"/>
                <w:color w:val="auto"/>
                <w:sz w:val="21"/>
                <w:szCs w:val="21"/>
                <w:highlight w:val="none"/>
                <w:lang w:val="en-US" w:eastAsia="zh-CN"/>
              </w:rPr>
              <w:t>∣2026大渡口半程马拉松装备物料抢先看</w:t>
            </w:r>
            <w:r>
              <w:rPr>
                <w:rFonts w:hint="eastAsia" w:asciiTheme="minorEastAsia" w:hAnsiTheme="minorEastAsia" w:eastAsiaTheme="minorEastAsia" w:cstheme="minorEastAsia"/>
                <w:b w:val="0"/>
                <w:bCs w:val="0"/>
                <w:color w:val="auto"/>
                <w:sz w:val="21"/>
                <w:szCs w:val="21"/>
                <w:highlight w:val="none"/>
                <w:lang w:val="en-US" w:eastAsia="zh-CN"/>
              </w:rPr>
              <w:t>”提供物料样品</w:t>
            </w:r>
            <w:r>
              <w:rPr>
                <w:rFonts w:hint="eastAsia" w:ascii="微软雅黑" w:hAnsi="微软雅黑" w:eastAsia="微软雅黑" w:cs="微软雅黑"/>
                <w:b w:val="0"/>
                <w:bCs w:val="0"/>
                <w:color w:val="auto"/>
                <w:sz w:val="21"/>
                <w:szCs w:val="21"/>
                <w:highlight w:val="none"/>
                <w:lang w:val="en-US" w:eastAsia="zh-CN"/>
              </w:rPr>
              <w:t>，</w:t>
            </w:r>
            <w:r>
              <w:rPr>
                <w:rFonts w:hint="eastAsia" w:ascii="微软雅黑" w:hAnsi="微软雅黑" w:eastAsia="微软雅黑" w:cs="微软雅黑"/>
                <w:color w:val="auto"/>
                <w:sz w:val="21"/>
                <w:szCs w:val="21"/>
                <w:highlight w:val="none"/>
                <w:lang w:val="en-US" w:eastAsia="zh-CN"/>
              </w:rPr>
              <w:t>包含奖牌（1个）、参赛服（1件）、参赛包（1个）、完赛毛巾（1条）。</w:t>
            </w:r>
          </w:p>
          <w:p w14:paraId="1D853360">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按样品优劣层次，完全满足的12分；</w:t>
            </w:r>
          </w:p>
          <w:p w14:paraId="036CC7F2">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有一处瑕疵得8分；</w:t>
            </w:r>
          </w:p>
          <w:p w14:paraId="3467567B">
            <w:pPr>
              <w:spacing w:line="320" w:lineRule="exact"/>
              <w:ind w:firstLine="420" w:firstLineChars="200"/>
              <w:rPr>
                <w:rFonts w:hint="eastAsia"/>
                <w:color w:val="auto"/>
                <w:highlight w:val="none"/>
                <w:lang w:val="en-US" w:eastAsia="zh-CN"/>
              </w:rPr>
            </w:pPr>
            <w:r>
              <w:rPr>
                <w:rFonts w:hint="eastAsia" w:ascii="微软雅黑" w:hAnsi="微软雅黑" w:eastAsia="微软雅黑" w:cs="微软雅黑"/>
                <w:color w:val="auto"/>
                <w:sz w:val="21"/>
                <w:szCs w:val="21"/>
                <w:highlight w:val="none"/>
                <w:lang w:val="en-US" w:eastAsia="zh-CN"/>
              </w:rPr>
              <w:t>有二处瑕疵得5分；</w:t>
            </w:r>
          </w:p>
          <w:p w14:paraId="1CEA0CBF">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有三处瑕疵得2分；</w:t>
            </w:r>
          </w:p>
          <w:p w14:paraId="0E5CF490">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不满足要求的0分；</w:t>
            </w:r>
          </w:p>
          <w:p w14:paraId="35F092A5">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未提供得0分。</w:t>
            </w:r>
          </w:p>
          <w:p w14:paraId="5DDEEBF0">
            <w:pPr>
              <w:pStyle w:val="12"/>
              <w:ind w:firstLine="420" w:firstLineChars="200"/>
              <w:rPr>
                <w:rFonts w:hint="eastAsia"/>
                <w:color w:val="auto"/>
                <w:highlight w:val="none"/>
              </w:rPr>
            </w:pPr>
            <w:r>
              <w:rPr>
                <w:rFonts w:hint="eastAsia" w:ascii="微软雅黑" w:hAnsi="微软雅黑" w:eastAsia="微软雅黑" w:cs="微软雅黑"/>
                <w:color w:val="auto"/>
                <w:sz w:val="21"/>
                <w:szCs w:val="21"/>
                <w:highlight w:val="none"/>
                <w:lang w:val="en-US" w:eastAsia="zh-CN"/>
              </w:rPr>
              <w:t>注：投标人可于</w:t>
            </w:r>
            <w:r>
              <w:rPr>
                <w:rFonts w:hint="eastAsia" w:asciiTheme="minorEastAsia" w:hAnsiTheme="minorEastAsia" w:eastAsiaTheme="minorEastAsia" w:cstheme="minorEastAsia"/>
                <w:b w:val="0"/>
                <w:bCs w:val="0"/>
                <w:color w:val="auto"/>
                <w:sz w:val="21"/>
                <w:szCs w:val="21"/>
                <w:highlight w:val="none"/>
                <w:lang w:val="en-US" w:eastAsia="zh-CN"/>
              </w:rPr>
              <w:t>开标当天</w:t>
            </w:r>
            <w:r>
              <w:rPr>
                <w:rFonts w:hint="eastAsia" w:asciiTheme="minorEastAsia" w:hAnsiTheme="minorEastAsia" w:eastAsiaTheme="minorEastAsia" w:cstheme="minorEastAsia"/>
                <w:b w:val="0"/>
                <w:bCs w:val="0"/>
                <w:color w:val="auto"/>
                <w:sz w:val="21"/>
                <w:szCs w:val="21"/>
                <w:highlight w:val="none"/>
                <w:u w:val="single"/>
                <w:lang w:val="en-US" w:eastAsia="zh-CN"/>
              </w:rPr>
              <w:t>投标截止时间前30分钟至投标截止时间</w:t>
            </w:r>
            <w:r>
              <w:rPr>
                <w:rFonts w:hint="eastAsia" w:asciiTheme="minorEastAsia" w:hAnsiTheme="minorEastAsia" w:eastAsiaTheme="minorEastAsia" w:cstheme="minorEastAsia"/>
                <w:b w:val="0"/>
                <w:bCs w:val="0"/>
                <w:color w:val="auto"/>
                <w:sz w:val="21"/>
                <w:szCs w:val="21"/>
                <w:highlight w:val="none"/>
                <w:lang w:val="en-US" w:eastAsia="zh-CN"/>
              </w:rPr>
              <w:t>期间内，在重庆市公共资源交易中心本项目开标厅进行递交，递交的所有样品</w:t>
            </w:r>
            <w:r>
              <w:rPr>
                <w:rFonts w:hint="eastAsia" w:ascii="宋体" w:hAnsi="宋体" w:eastAsia="宋体" w:cs="宋体"/>
                <w:color w:val="auto"/>
                <w:sz w:val="21"/>
                <w:szCs w:val="21"/>
                <w:highlight w:val="none"/>
              </w:rPr>
              <w:t>应用袋</w:t>
            </w:r>
            <w:r>
              <w:rPr>
                <w:rFonts w:hint="eastAsia" w:ascii="宋体" w:hAnsi="宋体" w:eastAsia="宋体" w:cs="宋体"/>
                <w:color w:val="auto"/>
                <w:sz w:val="21"/>
                <w:szCs w:val="21"/>
                <w:highlight w:val="none"/>
                <w:lang w:eastAsia="zh-CN"/>
              </w:rPr>
              <w:t>或箱</w:t>
            </w:r>
            <w:r>
              <w:rPr>
                <w:rFonts w:hint="eastAsia" w:ascii="宋体" w:hAnsi="宋体" w:eastAsia="宋体" w:cs="宋体"/>
                <w:color w:val="auto"/>
                <w:sz w:val="21"/>
                <w:szCs w:val="21"/>
                <w:highlight w:val="none"/>
              </w:rPr>
              <w:t>单独封装，并在封口处加盖投标人单位法人章，</w:t>
            </w:r>
            <w:r>
              <w:rPr>
                <w:rFonts w:hint="eastAsia" w:asciiTheme="minorEastAsia" w:hAnsiTheme="minorEastAsia" w:eastAsiaTheme="minorEastAsia" w:cstheme="minorEastAsia"/>
                <w:b w:val="0"/>
                <w:bCs w:val="0"/>
                <w:color w:val="auto"/>
                <w:sz w:val="21"/>
                <w:szCs w:val="21"/>
                <w:highlight w:val="none"/>
                <w:lang w:val="en-US" w:eastAsia="zh-CN"/>
              </w:rPr>
              <w:t>本次投标人递交的样品作为评审依据均不予退还。</w:t>
            </w:r>
          </w:p>
        </w:tc>
      </w:tr>
      <w:tr w14:paraId="7CAB0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3" w:type="dxa"/>
            <w:vMerge w:val="continue"/>
            <w:vAlign w:val="top"/>
          </w:tcPr>
          <w:p w14:paraId="1BA99889">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1014" w:type="dxa"/>
            <w:vMerge w:val="continue"/>
            <w:vAlign w:val="top"/>
          </w:tcPr>
          <w:p w14:paraId="3BE03B2A">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2465" w:type="dxa"/>
            <w:vAlign w:val="center"/>
          </w:tcPr>
          <w:p w14:paraId="3A28E76A">
            <w:pPr>
              <w:spacing w:line="320" w:lineRule="exact"/>
              <w:ind w:firstLine="210" w:firstLineChars="100"/>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宣传方案（2分）</w:t>
            </w:r>
          </w:p>
        </w:tc>
        <w:tc>
          <w:tcPr>
            <w:tcW w:w="4170" w:type="dxa"/>
            <w:vAlign w:val="center"/>
          </w:tcPr>
          <w:p w14:paraId="7A2C54A0">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投标人提供赛事宣传方案（包含赛前、赛时和赛后三个阶段的媒体宣传推广流程、方法、要求等），所提供的宣传方案（含直播）充分发挥媒体宣传资源优势，体现媒体资源推广能力，邀请媒体数量满足服务质量要求。</w:t>
            </w:r>
          </w:p>
          <w:p w14:paraId="1794C109">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内容不存在瑕疵的得2分；</w:t>
            </w:r>
          </w:p>
          <w:p w14:paraId="0FC5ABD2">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内容存在1处瑕疵得1分；</w:t>
            </w:r>
          </w:p>
          <w:p w14:paraId="2799B84C">
            <w:pPr>
              <w:spacing w:line="320" w:lineRule="exact"/>
              <w:ind w:firstLine="420" w:firstLineChars="200"/>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内容存在2处及以上瑕疵或未提供得0分。</w:t>
            </w:r>
          </w:p>
        </w:tc>
      </w:tr>
      <w:tr w14:paraId="37A93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3" w:type="dxa"/>
            <w:vMerge w:val="continue"/>
            <w:vAlign w:val="top"/>
          </w:tcPr>
          <w:p w14:paraId="0C241561">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1014" w:type="dxa"/>
            <w:vMerge w:val="continue"/>
            <w:vAlign w:val="top"/>
          </w:tcPr>
          <w:p w14:paraId="324C6A82">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2465" w:type="dxa"/>
            <w:shd w:val="clear" w:color="auto" w:fill="auto"/>
            <w:vAlign w:val="center"/>
          </w:tcPr>
          <w:p w14:paraId="3AE334B8">
            <w:pPr>
              <w:spacing w:line="320" w:lineRule="exact"/>
              <w:ind w:firstLine="210" w:firstLineChars="100"/>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招商方案（3分）</w:t>
            </w:r>
          </w:p>
        </w:tc>
        <w:tc>
          <w:tcPr>
            <w:tcW w:w="4170" w:type="dxa"/>
            <w:shd w:val="clear" w:color="auto" w:fill="auto"/>
            <w:vAlign w:val="center"/>
          </w:tcPr>
          <w:p w14:paraId="7A10873B">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投标人所提供的招商方案充分发挥商业运作及营销资源优势，招商方案具有可操作性、全面性、合理性。</w:t>
            </w:r>
          </w:p>
          <w:p w14:paraId="09CF4759">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内容不存在瑕疵的得3分；</w:t>
            </w:r>
          </w:p>
          <w:p w14:paraId="2C763851">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内容存在1处瑕疵得1分；</w:t>
            </w:r>
          </w:p>
          <w:p w14:paraId="4F420A28">
            <w:pPr>
              <w:spacing w:line="320" w:lineRule="exact"/>
              <w:ind w:firstLine="420" w:firstLineChars="200"/>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内容存在2处及以上瑕疵或未提供得0分。</w:t>
            </w:r>
          </w:p>
        </w:tc>
      </w:tr>
      <w:tr w14:paraId="4606C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3" w:hRule="atLeast"/>
        </w:trPr>
        <w:tc>
          <w:tcPr>
            <w:tcW w:w="1013" w:type="dxa"/>
            <w:vMerge w:val="continue"/>
            <w:vAlign w:val="top"/>
          </w:tcPr>
          <w:p w14:paraId="2D5C87CB">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1014" w:type="dxa"/>
            <w:vMerge w:val="continue"/>
            <w:vAlign w:val="top"/>
          </w:tcPr>
          <w:p w14:paraId="14EFE70E">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6635" w:type="dxa"/>
            <w:gridSpan w:val="2"/>
            <w:vAlign w:val="center"/>
          </w:tcPr>
          <w:p w14:paraId="22D8DCE6">
            <w:pPr>
              <w:spacing w:line="320" w:lineRule="exact"/>
              <w:rPr>
                <w:rFonts w:hint="eastAsia" w:ascii="微软雅黑" w:hAnsi="微软雅黑" w:eastAsia="微软雅黑" w:cs="微软雅黑"/>
                <w:b/>
                <w:bCs w:val="0"/>
                <w:color w:val="auto"/>
                <w:sz w:val="22"/>
                <w:szCs w:val="22"/>
                <w:highlight w:val="none"/>
              </w:rPr>
            </w:pPr>
            <w:r>
              <w:rPr>
                <w:rFonts w:hint="eastAsia" w:ascii="宋体" w:hAnsi="宋体" w:eastAsia="宋体" w:cs="宋体"/>
                <w:b/>
                <w:bCs w:val="0"/>
                <w:snapToGrid/>
                <w:color w:val="auto"/>
                <w:kern w:val="2"/>
                <w:sz w:val="22"/>
                <w:szCs w:val="22"/>
                <w:highlight w:val="none"/>
                <w:lang w:val="en-US" w:eastAsia="zh-CN" w:bidi="ar-SA"/>
              </w:rPr>
              <w:t>注：</w:t>
            </w:r>
            <w:r>
              <w:rPr>
                <w:rFonts w:hint="eastAsia" w:ascii="微软雅黑" w:hAnsi="微软雅黑" w:eastAsia="微软雅黑" w:cs="微软雅黑"/>
                <w:b/>
                <w:bCs w:val="0"/>
                <w:color w:val="auto"/>
                <w:sz w:val="22"/>
                <w:szCs w:val="22"/>
                <w:highlight w:val="none"/>
              </w:rPr>
              <w:t>1.提供</w:t>
            </w:r>
            <w:r>
              <w:rPr>
                <w:rFonts w:hint="eastAsia" w:ascii="微软雅黑" w:hAnsi="微软雅黑" w:eastAsia="微软雅黑" w:cs="微软雅黑"/>
                <w:b/>
                <w:bCs w:val="0"/>
                <w:color w:val="auto"/>
                <w:sz w:val="22"/>
                <w:szCs w:val="22"/>
                <w:highlight w:val="none"/>
                <w:lang w:val="en-US" w:eastAsia="zh-CN"/>
              </w:rPr>
              <w:t>相关</w:t>
            </w:r>
            <w:r>
              <w:rPr>
                <w:rFonts w:hint="eastAsia" w:ascii="微软雅黑" w:hAnsi="微软雅黑" w:eastAsia="微软雅黑" w:cs="微软雅黑"/>
                <w:b/>
                <w:bCs w:val="0"/>
                <w:color w:val="auto"/>
                <w:sz w:val="22"/>
                <w:szCs w:val="22"/>
                <w:highlight w:val="none"/>
              </w:rPr>
              <w:t>方案（格式自定）</w:t>
            </w:r>
          </w:p>
          <w:p w14:paraId="5C95CBBD">
            <w:pPr>
              <w:spacing w:line="320" w:lineRule="exact"/>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b/>
                <w:bCs w:val="0"/>
                <w:color w:val="auto"/>
                <w:sz w:val="22"/>
                <w:szCs w:val="22"/>
                <w:highlight w:val="none"/>
              </w:rPr>
              <w:t>2.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70061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013" w:type="dxa"/>
            <w:vAlign w:val="center"/>
          </w:tcPr>
          <w:p w14:paraId="2CA41740">
            <w:pPr>
              <w:spacing w:before="61" w:line="401" w:lineRule="exact"/>
              <w:jc w:val="center"/>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rPr>
              <w:t>2.2.</w:t>
            </w:r>
            <w:r>
              <w:rPr>
                <w:rFonts w:hint="eastAsia" w:ascii="宋体" w:hAnsi="宋体" w:eastAsia="宋体" w:cs="宋体"/>
                <w:color w:val="auto"/>
                <w:spacing w:val="-1"/>
                <w:sz w:val="21"/>
                <w:szCs w:val="21"/>
                <w:highlight w:val="none"/>
                <w:lang w:val="en-US" w:eastAsia="zh-CN"/>
              </w:rPr>
              <w:t>2</w:t>
            </w:r>
          </w:p>
          <w:p w14:paraId="62B94DD9">
            <w:pPr>
              <w:spacing w:before="61" w:line="401" w:lineRule="exact"/>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lang w:val="en-US" w:eastAsia="zh-CN"/>
              </w:rPr>
              <w:t>3</w:t>
            </w:r>
            <w:r>
              <w:rPr>
                <w:rFonts w:hint="eastAsia" w:ascii="宋体" w:hAnsi="宋体" w:eastAsia="宋体" w:cs="宋体"/>
                <w:color w:val="auto"/>
                <w:spacing w:val="-1"/>
                <w:sz w:val="21"/>
                <w:szCs w:val="21"/>
                <w:highlight w:val="none"/>
              </w:rPr>
              <w:t>）</w:t>
            </w:r>
          </w:p>
        </w:tc>
        <w:tc>
          <w:tcPr>
            <w:tcW w:w="1014" w:type="dxa"/>
            <w:vAlign w:val="center"/>
          </w:tcPr>
          <w:p w14:paraId="048284F2">
            <w:pPr>
              <w:spacing w:before="61" w:line="401" w:lineRule="exact"/>
              <w:jc w:val="center"/>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val="en-US" w:eastAsia="zh-CN"/>
              </w:rPr>
              <w:t>报价</w:t>
            </w:r>
            <w:r>
              <w:rPr>
                <w:rFonts w:hint="eastAsia" w:ascii="宋体" w:hAnsi="宋体" w:eastAsia="宋体" w:cs="宋体"/>
                <w:color w:val="auto"/>
                <w:spacing w:val="-3"/>
                <w:sz w:val="21"/>
                <w:szCs w:val="21"/>
                <w:highlight w:val="none"/>
              </w:rPr>
              <w:t>评分 标准</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C</w:t>
            </w:r>
            <w:r>
              <w:rPr>
                <w:rFonts w:hint="eastAsia" w:ascii="宋体" w:hAnsi="宋体" w:eastAsia="宋体" w:cs="宋体"/>
                <w:color w:val="auto"/>
                <w:spacing w:val="-3"/>
                <w:sz w:val="21"/>
                <w:szCs w:val="21"/>
                <w:highlight w:val="none"/>
                <w:lang w:eastAsia="zh-CN"/>
              </w:rPr>
              <w:t>）</w:t>
            </w:r>
          </w:p>
        </w:tc>
        <w:tc>
          <w:tcPr>
            <w:tcW w:w="2465" w:type="dxa"/>
            <w:vAlign w:val="center"/>
          </w:tcPr>
          <w:p w14:paraId="3B6A7141">
            <w:pPr>
              <w:spacing w:before="204" w:line="186" w:lineRule="auto"/>
              <w:ind w:firstLine="317" w:firstLineChars="0"/>
              <w:jc w:val="center"/>
              <w:rPr>
                <w:rFonts w:hint="default" w:ascii="宋体" w:hAnsi="宋体" w:eastAsia="宋体" w:cs="宋体"/>
                <w:color w:val="auto"/>
                <w:sz w:val="21"/>
                <w:szCs w:val="21"/>
                <w:highlight w:val="none"/>
                <w:lang w:val="en-US"/>
              </w:rPr>
            </w:pPr>
            <w:r>
              <w:rPr>
                <w:rFonts w:hint="eastAsia" w:ascii="宋体" w:hAnsi="宋体" w:eastAsia="宋体" w:cs="宋体"/>
                <w:b w:val="0"/>
                <w:bCs/>
                <w:snapToGrid/>
                <w:color w:val="auto"/>
                <w:kern w:val="2"/>
                <w:sz w:val="21"/>
                <w:szCs w:val="21"/>
                <w:highlight w:val="none"/>
                <w:lang w:val="en-US" w:eastAsia="zh-CN" w:bidi="ar-SA"/>
              </w:rPr>
              <w:t>投标报价得分（30分）</w:t>
            </w:r>
          </w:p>
        </w:tc>
        <w:tc>
          <w:tcPr>
            <w:tcW w:w="4170" w:type="dxa"/>
            <w:vAlign w:val="center"/>
          </w:tcPr>
          <w:p w14:paraId="6713417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color w:val="auto"/>
                <w:highlight w:val="none"/>
                <w:lang w:val="en-US" w:eastAsia="zh-CN"/>
              </w:rPr>
            </w:pPr>
            <w:r>
              <w:rPr>
                <w:rFonts w:hint="eastAsia"/>
                <w:color w:val="auto"/>
                <w:highlight w:val="none"/>
                <w:lang w:val="en-US" w:eastAsia="zh-CN"/>
              </w:rPr>
              <w:t>1、评标基准价计算方式：</w:t>
            </w:r>
          </w:p>
          <w:p w14:paraId="4B6EA08D">
            <w:pPr>
              <w:pStyle w:val="12"/>
              <w:spacing w:after="0" w:line="360" w:lineRule="auto"/>
              <w:ind w:firstLine="422" w:firstLineChars="200"/>
              <w:rPr>
                <w:rFonts w:hint="eastAsia"/>
                <w:color w:val="auto"/>
                <w:highlight w:val="none"/>
                <w:lang w:val="en-US" w:eastAsia="zh-CN"/>
              </w:rPr>
            </w:pPr>
            <w:r>
              <w:rPr>
                <w:rFonts w:hint="eastAsia" w:ascii="宋体" w:hAnsi="宋体" w:eastAsia="宋体" w:cs="宋体"/>
                <w:b/>
                <w:snapToGrid/>
                <w:color w:val="auto"/>
                <w:kern w:val="2"/>
                <w:sz w:val="21"/>
                <w:szCs w:val="21"/>
                <w:highlight w:val="none"/>
                <w:lang w:val="en-US" w:eastAsia="zh-CN" w:bidi="ar-SA"/>
              </w:rPr>
              <w:t>☑</w:t>
            </w:r>
            <w:r>
              <w:rPr>
                <w:rFonts w:hint="eastAsia"/>
                <w:color w:val="auto"/>
                <w:highlight w:val="none"/>
                <w:lang w:val="en-US" w:eastAsia="zh-CN"/>
              </w:rPr>
              <w:t>方式一：所有通过初步评审的投标人的投标报价的算术平均值，即为本项目的投标报价的评标基准价。</w:t>
            </w:r>
          </w:p>
          <w:p w14:paraId="526C6306">
            <w:pPr>
              <w:pStyle w:val="12"/>
              <w:spacing w:after="0" w:line="360" w:lineRule="auto"/>
              <w:ind w:firstLine="420" w:firstLineChars="200"/>
              <w:rPr>
                <w:rFonts w:hint="eastAsia"/>
                <w:color w:val="auto"/>
                <w:highlight w:val="none"/>
                <w:lang w:val="en-US" w:eastAsia="zh-CN"/>
              </w:rPr>
            </w:pPr>
            <w:r>
              <w:rPr>
                <w:rFonts w:hint="eastAsia"/>
                <w:color w:val="auto"/>
                <w:highlight w:val="none"/>
                <w:lang w:val="en-US" w:eastAsia="zh-CN"/>
              </w:rPr>
              <w:t>评标基准价计算的最终结果取小数点后两位，第三位四舍五入。</w:t>
            </w:r>
          </w:p>
          <w:p w14:paraId="5121A35F">
            <w:pPr>
              <w:pStyle w:val="12"/>
              <w:spacing w:after="0" w:line="360" w:lineRule="auto"/>
              <w:ind w:firstLine="420" w:firstLineChars="200"/>
              <w:rPr>
                <w:rFonts w:hint="eastAsia"/>
                <w:color w:val="auto"/>
                <w:highlight w:val="none"/>
                <w:lang w:val="en-US" w:eastAsia="zh-CN"/>
              </w:rPr>
            </w:pPr>
            <w:r>
              <w:rPr>
                <w:rFonts w:hint="eastAsia"/>
                <w:color w:val="auto"/>
                <w:highlight w:val="none"/>
                <w:lang w:val="en-US" w:eastAsia="zh-CN"/>
              </w:rPr>
              <w:t>在评标基准价计算完成后（除计算错误外），在后续的评审中不得再对其做出调整。</w:t>
            </w:r>
          </w:p>
          <w:p w14:paraId="3579CDC2">
            <w:pPr>
              <w:pStyle w:val="12"/>
              <w:spacing w:after="0" w:line="360" w:lineRule="auto"/>
              <w:ind w:firstLine="420" w:firstLineChars="200"/>
              <w:rPr>
                <w:rFonts w:hint="eastAsia"/>
                <w:color w:val="auto"/>
                <w:highlight w:val="none"/>
                <w:lang w:val="en-US" w:eastAsia="zh-CN"/>
              </w:rPr>
            </w:pPr>
            <w:r>
              <w:rPr>
                <w:rFonts w:hint="eastAsia"/>
                <w:color w:val="auto"/>
                <w:highlight w:val="none"/>
                <w:lang w:val="en-US" w:eastAsia="zh-CN"/>
              </w:rPr>
              <w:t>2、偏差率计算方式：</w:t>
            </w:r>
          </w:p>
          <w:p w14:paraId="0605F27C">
            <w:pPr>
              <w:spacing w:line="360" w:lineRule="auto"/>
              <w:ind w:firstLine="420" w:firstLineChars="200"/>
              <w:rPr>
                <w:rFonts w:hint="eastAsia"/>
                <w:color w:val="auto"/>
                <w:highlight w:val="none"/>
              </w:rPr>
            </w:pPr>
            <w:r>
              <w:rPr>
                <w:rFonts w:hint="eastAsia"/>
                <w:color w:val="auto"/>
                <w:highlight w:val="none"/>
              </w:rPr>
              <w:t>偏差率=100％×（投标人报价一评标基准价）／评标基准价</w:t>
            </w:r>
          </w:p>
          <w:p w14:paraId="6C874256">
            <w:pPr>
              <w:spacing w:line="360" w:lineRule="auto"/>
              <w:ind w:firstLine="420" w:firstLineChars="200"/>
              <w:rPr>
                <w:rFonts w:hint="default"/>
                <w:color w:val="auto"/>
                <w:highlight w:val="none"/>
                <w:lang w:val="en-US" w:eastAsia="zh-CN"/>
              </w:rPr>
            </w:pPr>
            <w:r>
              <w:rPr>
                <w:rFonts w:ascii="宋体" w:hAnsi="宋体"/>
                <w:color w:val="auto"/>
                <w:kern w:val="0"/>
                <w:highlight w:val="none"/>
              </w:rPr>
              <w:t>偏差率</w:t>
            </w:r>
            <w:r>
              <w:rPr>
                <w:rFonts w:ascii="宋体" w:hAnsi="宋体"/>
                <w:color w:val="auto"/>
                <w:kern w:val="0"/>
                <w:szCs w:val="21"/>
                <w:highlight w:val="none"/>
              </w:rPr>
              <w:t>计算的最终结果</w:t>
            </w:r>
            <w:r>
              <w:rPr>
                <w:rFonts w:hint="eastAsia" w:ascii="宋体" w:hAnsi="宋体"/>
                <w:color w:val="auto"/>
                <w:kern w:val="0"/>
                <w:szCs w:val="21"/>
                <w:highlight w:val="none"/>
              </w:rPr>
              <w:t>取</w:t>
            </w:r>
            <w:r>
              <w:rPr>
                <w:rFonts w:ascii="宋体" w:hAnsi="宋体"/>
                <w:color w:val="auto"/>
                <w:kern w:val="0"/>
                <w:szCs w:val="21"/>
                <w:highlight w:val="none"/>
              </w:rPr>
              <w:t>小数点后两位，小数点后第三位“四舍五入”。</w:t>
            </w:r>
          </w:p>
          <w:p w14:paraId="0DCD3A6A">
            <w:pPr>
              <w:pStyle w:val="12"/>
              <w:spacing w:after="0" w:line="360" w:lineRule="auto"/>
              <w:ind w:firstLine="420" w:firstLineChars="200"/>
              <w:rPr>
                <w:rFonts w:hint="eastAsia"/>
                <w:color w:val="auto"/>
                <w:highlight w:val="none"/>
                <w:lang w:val="en-US" w:eastAsia="zh-CN"/>
              </w:rPr>
            </w:pPr>
            <w:r>
              <w:rPr>
                <w:rFonts w:hint="eastAsia"/>
                <w:color w:val="auto"/>
                <w:highlight w:val="none"/>
                <w:lang w:val="en-US" w:eastAsia="zh-CN"/>
              </w:rPr>
              <w:t>3、投标报价得分计算方式：</w:t>
            </w:r>
          </w:p>
          <w:p w14:paraId="69D55CF9">
            <w:pPr>
              <w:spacing w:line="360" w:lineRule="auto"/>
              <w:ind w:firstLine="422" w:firstLineChars="200"/>
              <w:rPr>
                <w:rFonts w:hint="eastAsia" w:eastAsia="宋体"/>
                <w:color w:val="auto"/>
                <w:highlight w:val="none"/>
                <w:lang w:val="en-US" w:eastAsia="zh-CN"/>
              </w:rPr>
            </w:pPr>
            <w:r>
              <w:rPr>
                <w:rFonts w:hint="eastAsia" w:ascii="宋体" w:hAnsi="宋体" w:eastAsia="宋体" w:cs="宋体"/>
                <w:b/>
                <w:snapToGrid/>
                <w:color w:val="auto"/>
                <w:kern w:val="2"/>
                <w:sz w:val="21"/>
                <w:szCs w:val="21"/>
                <w:highlight w:val="none"/>
                <w:lang w:val="en-US" w:eastAsia="zh-CN" w:bidi="ar-SA"/>
              </w:rPr>
              <w:t>☑</w:t>
            </w:r>
            <w:r>
              <w:rPr>
                <w:rFonts w:hint="eastAsia" w:eastAsia="宋体"/>
                <w:color w:val="auto"/>
                <w:highlight w:val="none"/>
                <w:lang w:val="en-US" w:eastAsia="zh-CN"/>
              </w:rPr>
              <w:t>方式一：所有通过初步评审的投标人，投标报价等于评标基准价的得满分30分。在此基础上，投标报价与评标基准价相比，每减少1%扣</w:t>
            </w:r>
            <w:r>
              <w:rPr>
                <w:rFonts w:hint="eastAsia" w:eastAsia="宋体"/>
                <w:color w:val="auto"/>
                <w:highlight w:val="none"/>
                <w:u w:val="single"/>
                <w:lang w:val="en-US" w:eastAsia="zh-CN"/>
              </w:rPr>
              <w:t>0.5</w:t>
            </w:r>
            <w:r>
              <w:rPr>
                <w:rFonts w:hint="eastAsia" w:eastAsia="宋体"/>
                <w:color w:val="auto"/>
                <w:highlight w:val="none"/>
                <w:lang w:val="en-US" w:eastAsia="zh-CN"/>
              </w:rPr>
              <w:t>分，</w:t>
            </w:r>
            <w:r>
              <w:rPr>
                <w:rFonts w:hint="eastAsia" w:eastAsia="宋体"/>
                <w:color w:val="auto"/>
                <w:highlight w:val="none"/>
              </w:rPr>
              <w:t>每增加1%扣</w:t>
            </w:r>
            <w:r>
              <w:rPr>
                <w:rFonts w:hint="eastAsia" w:eastAsia="宋体"/>
                <w:color w:val="auto"/>
                <w:highlight w:val="none"/>
                <w:u w:val="single"/>
                <w:lang w:val="en-US" w:eastAsia="zh-CN"/>
              </w:rPr>
              <w:t>0.25</w:t>
            </w:r>
            <w:r>
              <w:rPr>
                <w:rFonts w:hint="eastAsia" w:eastAsia="宋体"/>
                <w:color w:val="auto"/>
                <w:highlight w:val="none"/>
              </w:rPr>
              <w:t>分</w:t>
            </w:r>
            <w:r>
              <w:rPr>
                <w:rFonts w:hint="eastAsia" w:eastAsia="宋体"/>
                <w:color w:val="auto"/>
                <w:highlight w:val="none"/>
                <w:lang w:eastAsia="zh-CN"/>
              </w:rPr>
              <w:t>，</w:t>
            </w:r>
            <w:r>
              <w:rPr>
                <w:rFonts w:hint="eastAsia" w:eastAsia="宋体"/>
                <w:color w:val="auto"/>
                <w:highlight w:val="none"/>
                <w:lang w:val="en-US" w:eastAsia="zh-CN"/>
              </w:rPr>
              <w:t>扣完为止。</w:t>
            </w:r>
          </w:p>
          <w:p w14:paraId="4E42F5E3">
            <w:pPr>
              <w:spacing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按插入法计算得分。</w:t>
            </w:r>
          </w:p>
          <w:p w14:paraId="15ACE2DD">
            <w:pPr>
              <w:spacing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未参与评标基准价计算的投标报价，仍应参加计算相应分值。</w:t>
            </w:r>
          </w:p>
          <w:p w14:paraId="3CC92A6B">
            <w:pPr>
              <w:spacing w:line="360" w:lineRule="auto"/>
              <w:ind w:firstLine="420" w:firstLineChars="200"/>
              <w:rPr>
                <w:rFonts w:hint="eastAsia" w:ascii="宋体" w:hAnsi="宋体" w:eastAsia="宋体" w:cs="宋体"/>
                <w:b w:val="0"/>
                <w:bCs/>
                <w:color w:val="auto"/>
                <w:sz w:val="21"/>
                <w:szCs w:val="21"/>
                <w:highlight w:val="none"/>
              </w:rPr>
            </w:pPr>
            <w:r>
              <w:rPr>
                <w:rFonts w:hint="eastAsia" w:eastAsia="宋体"/>
                <w:color w:val="auto"/>
                <w:highlight w:val="none"/>
                <w:lang w:val="en-US" w:eastAsia="zh-CN"/>
              </w:rPr>
              <w:t>投标报价得分最终结果取小数点后两位，第三位四舍五入。</w:t>
            </w:r>
          </w:p>
        </w:tc>
      </w:tr>
      <w:tr w14:paraId="042A4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13" w:type="dxa"/>
            <w:vAlign w:val="center"/>
          </w:tcPr>
          <w:p w14:paraId="455F1CE4">
            <w:pPr>
              <w:keepNext w:val="0"/>
              <w:keepLines w:val="0"/>
              <w:pageBreakBefore w:val="0"/>
              <w:wordWrap/>
              <w:overflowPunct/>
              <w:topLinePunct w:val="0"/>
              <w:bidi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3.2.3</w:t>
            </w:r>
          </w:p>
        </w:tc>
        <w:tc>
          <w:tcPr>
            <w:tcW w:w="3479" w:type="dxa"/>
            <w:gridSpan w:val="2"/>
            <w:vAlign w:val="center"/>
          </w:tcPr>
          <w:p w14:paraId="2F72EDF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lang w:val="en-US" w:eastAsia="zh-CN"/>
              </w:rPr>
              <w:t>投标人得分</w:t>
            </w:r>
          </w:p>
        </w:tc>
        <w:tc>
          <w:tcPr>
            <w:tcW w:w="4170" w:type="dxa"/>
            <w:vAlign w:val="center"/>
          </w:tcPr>
          <w:p w14:paraId="5962DB7C">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center"/>
              <w:textAlignment w:val="baseline"/>
              <w:rPr>
                <w:rFonts w:hint="eastAsia" w:ascii="宋体" w:hAnsi="宋体" w:eastAsia="宋体" w:cs="宋体"/>
                <w:b w:val="0"/>
                <w:bCs/>
                <w:snapToGrid/>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投标人得分=A+B+C</w:t>
            </w:r>
          </w:p>
        </w:tc>
      </w:tr>
    </w:tbl>
    <w:p w14:paraId="52270FD4">
      <w:pPr>
        <w:rPr>
          <w:color w:val="auto"/>
          <w:highlight w:val="none"/>
        </w:rPr>
      </w:pPr>
      <w:r>
        <w:rPr>
          <w:color w:val="auto"/>
          <w:highlight w:val="none"/>
        </w:rPr>
        <w:br w:type="page"/>
      </w:r>
    </w:p>
    <w:p w14:paraId="2C766FBB">
      <w:pPr>
        <w:rPr>
          <w:rFonts w:hint="eastAsia" w:ascii="宋体" w:hAnsi="宋体" w:eastAsia="宋体" w:cs="宋体"/>
          <w:snapToGrid/>
          <w:color w:val="auto"/>
          <w:kern w:val="2"/>
          <w:highlight w:val="none"/>
        </w:rPr>
      </w:pPr>
    </w:p>
    <w:p w14:paraId="6BC2A769">
      <w:pPr>
        <w:pStyle w:val="3"/>
        <w:spacing w:before="156"/>
        <w:rPr>
          <w:color w:val="auto"/>
          <w:highlight w:val="none"/>
        </w:rPr>
      </w:pPr>
      <w:bookmarkStart w:id="569" w:name="_Toc10493"/>
      <w:bookmarkStart w:id="570" w:name="_Toc14121"/>
      <w:bookmarkStart w:id="571" w:name="_Toc57795929"/>
      <w:bookmarkStart w:id="572" w:name="_Toc25591"/>
      <w:bookmarkStart w:id="573" w:name="_Toc25892"/>
      <w:bookmarkStart w:id="574" w:name="_Toc29104"/>
      <w:bookmarkStart w:id="575" w:name="_Toc202"/>
      <w:bookmarkStart w:id="576" w:name="_Toc22316"/>
      <w:bookmarkStart w:id="577" w:name="_Toc6042"/>
      <w:r>
        <w:rPr>
          <w:rFonts w:hint="eastAsia"/>
          <w:color w:val="auto"/>
          <w:highlight w:val="none"/>
        </w:rPr>
        <w:t>1. 评标方法</w:t>
      </w:r>
      <w:bookmarkEnd w:id="569"/>
      <w:bookmarkEnd w:id="570"/>
      <w:bookmarkEnd w:id="571"/>
      <w:bookmarkEnd w:id="572"/>
      <w:bookmarkEnd w:id="573"/>
      <w:bookmarkEnd w:id="574"/>
      <w:bookmarkEnd w:id="575"/>
      <w:bookmarkEnd w:id="576"/>
      <w:bookmarkEnd w:id="577"/>
    </w:p>
    <w:p w14:paraId="3DED0366">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本次评标采用综合评估法。评标委员会按照本章第 2.2 款规定的评分标准进行评分，按得分由高到低顺序推荐中标候选人，或根据招标人授权直接确定中标人。综合评分相等时，以投标报价低的优先；投标报价相等的，</w:t>
      </w:r>
      <w:r>
        <w:rPr>
          <w:rFonts w:hint="eastAsia" w:ascii="宋体" w:hAnsi="宋体"/>
          <w:color w:val="auto"/>
          <w:highlight w:val="none"/>
        </w:rPr>
        <w:t>以评标办法前附表约定的原则确定排序</w:t>
      </w:r>
      <w:r>
        <w:rPr>
          <w:rFonts w:hint="eastAsia" w:ascii="宋体" w:hAnsi="宋体" w:eastAsia="宋体" w:cs="宋体"/>
          <w:color w:val="auto"/>
          <w:highlight w:val="none"/>
        </w:rPr>
        <w:t>。</w:t>
      </w:r>
    </w:p>
    <w:p w14:paraId="73B40DD1">
      <w:pPr>
        <w:pStyle w:val="3"/>
        <w:spacing w:before="156"/>
        <w:rPr>
          <w:color w:val="auto"/>
          <w:highlight w:val="none"/>
        </w:rPr>
      </w:pPr>
      <w:bookmarkStart w:id="578" w:name="_Toc430530501"/>
      <w:bookmarkStart w:id="579" w:name="_Toc17697"/>
      <w:bookmarkStart w:id="580" w:name="_Toc287607813"/>
      <w:bookmarkStart w:id="581" w:name="_Toc10064"/>
      <w:bookmarkStart w:id="582" w:name="_Toc33106453"/>
      <w:bookmarkStart w:id="583" w:name="_Toc200513199"/>
      <w:bookmarkStart w:id="584" w:name="_Toc7504"/>
      <w:bookmarkStart w:id="585" w:name="_Toc509218777"/>
      <w:bookmarkStart w:id="586" w:name="_Toc6363"/>
      <w:bookmarkStart w:id="587" w:name="_Toc287620752"/>
      <w:bookmarkStart w:id="588" w:name="_Toc224103385"/>
      <w:bookmarkStart w:id="589" w:name="_Toc14494"/>
      <w:bookmarkStart w:id="590" w:name="_Toc277082619"/>
      <w:bookmarkStart w:id="591" w:name="_Toc14083"/>
      <w:bookmarkStart w:id="592" w:name="_Toc25528"/>
      <w:bookmarkStart w:id="593" w:name="_Toc57795930"/>
      <w:bookmarkStart w:id="594" w:name="_Toc24915"/>
      <w:r>
        <w:rPr>
          <w:rFonts w:hint="eastAsia"/>
          <w:color w:val="auto"/>
          <w:highlight w:val="none"/>
        </w:rPr>
        <w:t>2. 评审标准</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7F62F8CC">
      <w:pPr>
        <w:pStyle w:val="4"/>
        <w:spacing w:before="156"/>
        <w:rPr>
          <w:color w:val="auto"/>
          <w:highlight w:val="none"/>
        </w:rPr>
      </w:pPr>
      <w:bookmarkStart w:id="595" w:name="_Toc287620753"/>
      <w:bookmarkStart w:id="596" w:name="_Toc224103386"/>
      <w:bookmarkStart w:id="597" w:name="_Toc430530502"/>
      <w:bookmarkStart w:id="598" w:name="_Toc26184"/>
      <w:bookmarkStart w:id="599" w:name="_Toc32324"/>
      <w:bookmarkStart w:id="600" w:name="_Toc13195"/>
      <w:bookmarkStart w:id="601" w:name="_Toc287607814"/>
      <w:bookmarkStart w:id="602" w:name="_Toc200513200"/>
      <w:bookmarkStart w:id="603" w:name="_Toc509218778"/>
      <w:bookmarkStart w:id="604" w:name="_Toc33106454"/>
      <w:bookmarkStart w:id="605" w:name="_Toc277082620"/>
      <w:bookmarkStart w:id="606" w:name="_Toc57795931"/>
      <w:bookmarkStart w:id="607" w:name="_Toc20370"/>
      <w:bookmarkStart w:id="608" w:name="_Toc4857"/>
      <w:r>
        <w:rPr>
          <w:rFonts w:hint="eastAsia"/>
          <w:color w:val="auto"/>
          <w:highlight w:val="none"/>
        </w:rPr>
        <w:t>2.1 初步评审标准</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0C46B5C6">
      <w:pPr>
        <w:widowControl w:val="0"/>
        <w:kinsoku/>
        <w:spacing w:line="360" w:lineRule="auto"/>
        <w:ind w:firstLine="420" w:firstLineChars="200"/>
        <w:jc w:val="both"/>
        <w:textAlignment w:val="auto"/>
        <w:rPr>
          <w:rFonts w:ascii="宋体" w:hAnsi="宋体" w:eastAsia="宋体" w:cs="宋体"/>
          <w:snapToGrid/>
          <w:color w:val="auto"/>
          <w:highlight w:val="none"/>
        </w:rPr>
      </w:pPr>
      <w:r>
        <w:rPr>
          <w:rFonts w:hint="eastAsia" w:ascii="宋体" w:hAnsi="宋体" w:eastAsia="宋体" w:cs="宋体"/>
          <w:snapToGrid/>
          <w:color w:val="auto"/>
          <w:highlight w:val="none"/>
        </w:rPr>
        <w:t>2.1.1  形式评审标准：见评标办法前附表。</w:t>
      </w:r>
    </w:p>
    <w:p w14:paraId="348F39F2">
      <w:pPr>
        <w:widowControl w:val="0"/>
        <w:kinsoku/>
        <w:spacing w:line="360" w:lineRule="auto"/>
        <w:ind w:firstLine="420" w:firstLineChars="200"/>
        <w:jc w:val="both"/>
        <w:textAlignment w:val="auto"/>
        <w:rPr>
          <w:rFonts w:ascii="宋体" w:hAnsi="宋体" w:eastAsia="宋体" w:cs="宋体"/>
          <w:snapToGrid/>
          <w:color w:val="auto"/>
          <w:highlight w:val="none"/>
        </w:rPr>
      </w:pPr>
      <w:r>
        <w:rPr>
          <w:rFonts w:hint="eastAsia" w:ascii="宋体" w:hAnsi="宋体" w:eastAsia="宋体" w:cs="宋体"/>
          <w:snapToGrid/>
          <w:color w:val="auto"/>
          <w:highlight w:val="none"/>
        </w:rPr>
        <w:t xml:space="preserve">2.1.2 </w:t>
      </w:r>
      <w:r>
        <w:rPr>
          <w:rFonts w:hint="eastAsia" w:ascii="宋体" w:hAnsi="宋体" w:eastAsia="宋体" w:cs="宋体"/>
          <w:snapToGrid/>
          <w:color w:val="auto"/>
          <w:highlight w:val="none"/>
          <w:lang w:val="en-US" w:eastAsia="zh-CN"/>
        </w:rPr>
        <w:t xml:space="preserve"> </w:t>
      </w:r>
      <w:r>
        <w:rPr>
          <w:rFonts w:hint="eastAsia" w:ascii="宋体" w:hAnsi="宋体" w:eastAsia="宋体" w:cs="宋体"/>
          <w:snapToGrid/>
          <w:color w:val="auto"/>
          <w:highlight w:val="none"/>
        </w:rPr>
        <w:t>资格评审标准：见评标办法前附表</w:t>
      </w:r>
      <w:r>
        <w:rPr>
          <w:rFonts w:hint="eastAsia" w:ascii="宋体" w:hAnsi="宋体" w:eastAsia="宋体" w:cs="宋体"/>
          <w:snapToGrid/>
          <w:color w:val="auto"/>
          <w:highlight w:val="none"/>
          <w:lang w:eastAsia="zh-CN"/>
        </w:rPr>
        <w:t>。</w:t>
      </w:r>
    </w:p>
    <w:p w14:paraId="6C61B20A">
      <w:pPr>
        <w:widowControl w:val="0"/>
        <w:kinsoku/>
        <w:spacing w:line="360" w:lineRule="auto"/>
        <w:ind w:firstLine="420" w:firstLineChars="200"/>
        <w:jc w:val="both"/>
        <w:textAlignment w:val="auto"/>
        <w:rPr>
          <w:rFonts w:ascii="宋体" w:hAnsi="宋体" w:eastAsia="宋体" w:cs="宋体"/>
          <w:snapToGrid/>
          <w:color w:val="auto"/>
          <w:highlight w:val="none"/>
        </w:rPr>
      </w:pPr>
      <w:bookmarkStart w:id="609" w:name="_bookmark87"/>
      <w:bookmarkEnd w:id="609"/>
      <w:r>
        <w:rPr>
          <w:rFonts w:hint="eastAsia" w:ascii="宋体" w:hAnsi="宋体" w:eastAsia="宋体" w:cs="宋体"/>
          <w:snapToGrid/>
          <w:color w:val="auto"/>
          <w:highlight w:val="none"/>
        </w:rPr>
        <w:t>2.1.3  响应性评审标准：见评标办法前附表。</w:t>
      </w:r>
    </w:p>
    <w:p w14:paraId="11C613E8">
      <w:pPr>
        <w:pStyle w:val="4"/>
        <w:spacing w:before="156"/>
        <w:rPr>
          <w:color w:val="auto"/>
          <w:highlight w:val="none"/>
        </w:rPr>
      </w:pPr>
      <w:bookmarkStart w:id="610" w:name="_Toc8433"/>
      <w:bookmarkStart w:id="611" w:name="_Toc287607815"/>
      <w:bookmarkStart w:id="612" w:name="_Toc200513201"/>
      <w:bookmarkStart w:id="613" w:name="_Toc509218779"/>
      <w:bookmarkStart w:id="614" w:name="_Toc23134"/>
      <w:bookmarkStart w:id="615" w:name="_Toc224103387"/>
      <w:bookmarkStart w:id="616" w:name="_Toc25106"/>
      <w:bookmarkStart w:id="617" w:name="_Toc277082621"/>
      <w:bookmarkStart w:id="618" w:name="_Toc33106455"/>
      <w:bookmarkStart w:id="619" w:name="_Toc57795932"/>
      <w:bookmarkStart w:id="620" w:name="_Toc430530503"/>
      <w:bookmarkStart w:id="621" w:name="_Toc7917"/>
      <w:bookmarkStart w:id="622" w:name="_Toc287620754"/>
      <w:bookmarkStart w:id="623" w:name="_Toc1715"/>
      <w:r>
        <w:rPr>
          <w:rFonts w:hint="eastAsia"/>
          <w:color w:val="auto"/>
          <w:highlight w:val="none"/>
        </w:rPr>
        <w:t>2.2 分值构成与评分标准</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4BCDBB25">
      <w:pPr>
        <w:widowControl w:val="0"/>
        <w:kinsoku/>
        <w:autoSpaceDE w:val="0"/>
        <w:autoSpaceDN w:val="0"/>
        <w:adjustRightInd w:val="0"/>
        <w:snapToGrid w:val="0"/>
        <w:spacing w:line="360" w:lineRule="auto"/>
        <w:ind w:firstLine="420" w:firstLineChars="200"/>
        <w:jc w:val="both"/>
        <w:textAlignment w:val="auto"/>
        <w:rPr>
          <w:rFonts w:hint="default" w:ascii="宋体" w:hAnsi="宋体" w:eastAsia="宋体" w:cs="宋体"/>
          <w:snapToGrid/>
          <w:color w:val="auto"/>
          <w:kern w:val="0"/>
          <w:szCs w:val="21"/>
          <w:highlight w:val="none"/>
          <w:lang w:val="en-US" w:eastAsia="zh-CN" w:bidi="ar-SA"/>
        </w:rPr>
      </w:pPr>
      <w:bookmarkStart w:id="624" w:name="_Toc287607816"/>
      <w:bookmarkStart w:id="625" w:name="_Toc27118"/>
      <w:bookmarkStart w:id="626" w:name="_Toc7351"/>
      <w:bookmarkStart w:id="627" w:name="_Toc33106456"/>
      <w:bookmarkStart w:id="628" w:name="_Toc200513202"/>
      <w:bookmarkStart w:id="629" w:name="_Toc224103388"/>
      <w:bookmarkStart w:id="630" w:name="_Toc430530504"/>
      <w:bookmarkStart w:id="631" w:name="_Toc509218780"/>
      <w:bookmarkStart w:id="632" w:name="_Toc21601"/>
      <w:bookmarkStart w:id="633" w:name="_Toc57795933"/>
      <w:bookmarkStart w:id="634" w:name="_Toc277082622"/>
      <w:bookmarkStart w:id="635" w:name="_Toc32479"/>
      <w:bookmarkStart w:id="636" w:name="_Toc287620755"/>
      <w:r>
        <w:rPr>
          <w:rFonts w:hint="eastAsia" w:ascii="宋体" w:hAnsi="宋体" w:eastAsia="宋体" w:cs="宋体"/>
          <w:snapToGrid/>
          <w:color w:val="auto"/>
          <w:kern w:val="0"/>
          <w:szCs w:val="21"/>
          <w:highlight w:val="none"/>
          <w:lang w:val="en-US" w:eastAsia="zh-CN" w:bidi="ar-SA"/>
        </w:rPr>
        <w:t>2.2.1 分值构成</w:t>
      </w:r>
    </w:p>
    <w:p w14:paraId="738E7C23">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Cs w:val="21"/>
          <w:highlight w:val="none"/>
          <w:lang w:val="en-US" w:eastAsia="zh-CN" w:bidi="ar-SA"/>
        </w:rPr>
      </w:pPr>
      <w:r>
        <w:rPr>
          <w:rFonts w:hint="eastAsia" w:ascii="宋体" w:hAnsi="宋体" w:eastAsia="宋体" w:cs="宋体"/>
          <w:snapToGrid/>
          <w:color w:val="auto"/>
          <w:kern w:val="0"/>
          <w:szCs w:val="21"/>
          <w:highlight w:val="none"/>
          <w:lang w:val="en-US" w:eastAsia="zh-CN" w:bidi="ar-SA"/>
        </w:rPr>
        <w:t>（1）商务部分：见评标办法前附表；</w:t>
      </w:r>
    </w:p>
    <w:p w14:paraId="49E6E153">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Cs w:val="21"/>
          <w:highlight w:val="none"/>
          <w:lang w:val="en-US" w:eastAsia="zh-CN" w:bidi="ar-SA"/>
        </w:rPr>
      </w:pPr>
      <w:r>
        <w:rPr>
          <w:rFonts w:hint="eastAsia" w:ascii="宋体" w:hAnsi="宋体" w:eastAsia="宋体" w:cs="宋体"/>
          <w:snapToGrid/>
          <w:color w:val="auto"/>
          <w:kern w:val="0"/>
          <w:szCs w:val="21"/>
          <w:highlight w:val="none"/>
          <w:lang w:val="en-US" w:eastAsia="zh-CN" w:bidi="ar-SA"/>
        </w:rPr>
        <w:t>（2）技术部分：见评标办法前附表；</w:t>
      </w:r>
    </w:p>
    <w:p w14:paraId="1A0E7777">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Cs w:val="21"/>
          <w:highlight w:val="none"/>
          <w:lang w:val="en-US" w:eastAsia="zh-CN" w:bidi="ar-SA"/>
        </w:rPr>
      </w:pPr>
      <w:r>
        <w:rPr>
          <w:rFonts w:hint="eastAsia" w:ascii="宋体" w:hAnsi="宋体" w:eastAsia="宋体" w:cs="宋体"/>
          <w:snapToGrid/>
          <w:color w:val="auto"/>
          <w:kern w:val="0"/>
          <w:szCs w:val="21"/>
          <w:highlight w:val="none"/>
          <w:lang w:val="en-US" w:eastAsia="zh-CN" w:bidi="ar-SA"/>
        </w:rPr>
        <w:t>（3）投标报价：见评标办法前附表；</w:t>
      </w:r>
    </w:p>
    <w:p w14:paraId="60DB0AE4">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Cs w:val="21"/>
          <w:highlight w:val="none"/>
          <w:lang w:val="en-US" w:eastAsia="zh-CN" w:bidi="ar-SA"/>
        </w:rPr>
      </w:pPr>
      <w:r>
        <w:rPr>
          <w:rFonts w:hint="eastAsia" w:ascii="宋体" w:hAnsi="宋体" w:eastAsia="宋体" w:cs="宋体"/>
          <w:snapToGrid/>
          <w:color w:val="auto"/>
          <w:kern w:val="0"/>
          <w:szCs w:val="21"/>
          <w:highlight w:val="none"/>
          <w:lang w:val="en-US" w:eastAsia="zh-CN" w:bidi="ar-SA"/>
        </w:rPr>
        <w:t>2.2.2  评分标准</w:t>
      </w:r>
    </w:p>
    <w:p w14:paraId="5C1433A1">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Cs w:val="21"/>
          <w:highlight w:val="none"/>
          <w:lang w:val="en-US" w:eastAsia="zh-CN" w:bidi="ar-SA"/>
        </w:rPr>
      </w:pPr>
      <w:r>
        <w:rPr>
          <w:rFonts w:hint="eastAsia" w:ascii="宋体" w:hAnsi="宋体" w:eastAsia="宋体" w:cs="宋体"/>
          <w:snapToGrid/>
          <w:color w:val="auto"/>
          <w:kern w:val="0"/>
          <w:szCs w:val="21"/>
          <w:highlight w:val="none"/>
          <w:lang w:val="en-US" w:eastAsia="zh-CN" w:bidi="ar-SA"/>
        </w:rPr>
        <w:t>（1）商务评分标准：见评标办法前附表；</w:t>
      </w:r>
    </w:p>
    <w:p w14:paraId="663B6EEE">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Cs w:val="21"/>
          <w:highlight w:val="none"/>
          <w:lang w:val="en-US" w:eastAsia="zh-CN" w:bidi="ar-SA"/>
        </w:rPr>
      </w:pPr>
      <w:r>
        <w:rPr>
          <w:rFonts w:hint="eastAsia" w:ascii="宋体" w:hAnsi="宋体" w:eastAsia="宋体" w:cs="宋体"/>
          <w:snapToGrid/>
          <w:color w:val="auto"/>
          <w:kern w:val="0"/>
          <w:szCs w:val="21"/>
          <w:highlight w:val="none"/>
          <w:lang w:val="en-US" w:eastAsia="zh-CN" w:bidi="ar-SA"/>
        </w:rPr>
        <w:t>（2）技术评分标准：见评标办法前附表；</w:t>
      </w:r>
    </w:p>
    <w:p w14:paraId="6EA34FF0">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Cs w:val="21"/>
          <w:highlight w:val="none"/>
          <w:lang w:val="en-US" w:eastAsia="zh-CN" w:bidi="ar-SA"/>
        </w:rPr>
      </w:pPr>
      <w:r>
        <w:rPr>
          <w:rFonts w:hint="eastAsia" w:ascii="宋体" w:hAnsi="宋体" w:eastAsia="宋体" w:cs="宋体"/>
          <w:snapToGrid/>
          <w:color w:val="auto"/>
          <w:kern w:val="0"/>
          <w:szCs w:val="21"/>
          <w:highlight w:val="none"/>
          <w:lang w:val="en-US" w:eastAsia="zh-CN" w:bidi="ar-SA"/>
        </w:rPr>
        <w:t>（3）投标报价评分标准：见评标办法前附表；</w:t>
      </w:r>
    </w:p>
    <w:p w14:paraId="2CB4A4AC">
      <w:pPr>
        <w:pStyle w:val="3"/>
        <w:spacing w:before="156"/>
        <w:rPr>
          <w:color w:val="auto"/>
          <w:highlight w:val="none"/>
        </w:rPr>
      </w:pPr>
      <w:bookmarkStart w:id="637" w:name="_Toc28822"/>
      <w:bookmarkStart w:id="638" w:name="_Toc14840"/>
      <w:bookmarkStart w:id="639" w:name="_Toc8293"/>
      <w:bookmarkStart w:id="640" w:name="_Toc29371"/>
      <w:r>
        <w:rPr>
          <w:rFonts w:hint="eastAsia"/>
          <w:color w:val="auto"/>
          <w:highlight w:val="none"/>
        </w:rPr>
        <w:t>3. 评标程序</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48BF5CEA">
      <w:pPr>
        <w:pStyle w:val="4"/>
        <w:spacing w:before="156"/>
        <w:rPr>
          <w:color w:val="auto"/>
          <w:highlight w:val="none"/>
        </w:rPr>
      </w:pPr>
      <w:bookmarkStart w:id="641" w:name="_Toc277082623"/>
      <w:bookmarkStart w:id="642" w:name="_Toc14558"/>
      <w:bookmarkStart w:id="643" w:name="_Toc430530505"/>
      <w:bookmarkStart w:id="644" w:name="_Toc10455"/>
      <w:bookmarkStart w:id="645" w:name="_Toc57795934"/>
      <w:bookmarkStart w:id="646" w:name="_Toc287620756"/>
      <w:bookmarkStart w:id="647" w:name="_Toc8407"/>
      <w:bookmarkStart w:id="648" w:name="_Toc33106457"/>
      <w:bookmarkStart w:id="649" w:name="_Toc287607817"/>
      <w:bookmarkStart w:id="650" w:name="_Toc26584"/>
      <w:bookmarkStart w:id="651" w:name="_Toc224103389"/>
      <w:bookmarkStart w:id="652" w:name="_Toc200513203"/>
      <w:bookmarkStart w:id="653" w:name="_Toc12468"/>
      <w:bookmarkStart w:id="654" w:name="_Toc509218781"/>
      <w:r>
        <w:rPr>
          <w:rFonts w:hint="eastAsia"/>
          <w:color w:val="auto"/>
          <w:highlight w:val="none"/>
        </w:rPr>
        <w:t>3.1 初步评审</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557D25A0">
      <w:pPr>
        <w:widowControl w:val="0"/>
        <w:kinsoku/>
        <w:spacing w:line="360" w:lineRule="auto"/>
        <w:ind w:firstLine="420" w:firstLineChars="200"/>
        <w:jc w:val="both"/>
        <w:textAlignment w:val="auto"/>
        <w:rPr>
          <w:rFonts w:ascii="宋体" w:hAnsi="宋体" w:eastAsia="宋体" w:cs="宋体"/>
          <w:snapToGrid/>
          <w:color w:val="auto"/>
          <w:highlight w:val="none"/>
        </w:rPr>
      </w:pPr>
      <w:r>
        <w:rPr>
          <w:rFonts w:hint="eastAsia" w:ascii="宋体" w:hAnsi="宋体" w:eastAsia="宋体" w:cs="宋体"/>
          <w:snapToGrid/>
          <w:color w:val="auto"/>
          <w:highlight w:val="none"/>
        </w:rPr>
        <w:t>3.1.1  评标委员会依据本章第2.1款规定的标准对投标文件进行初步评审。有一项不符合评审标准的，评标委员会应当否决其投标。</w:t>
      </w:r>
    </w:p>
    <w:p w14:paraId="4755627A">
      <w:pPr>
        <w:widowControl w:val="0"/>
        <w:kinsoku/>
        <w:spacing w:line="360" w:lineRule="auto"/>
        <w:ind w:firstLine="420" w:firstLineChars="200"/>
        <w:jc w:val="both"/>
        <w:textAlignment w:val="auto"/>
        <w:rPr>
          <w:rFonts w:ascii="宋体" w:hAnsi="宋体" w:eastAsia="宋体" w:cs="宋体"/>
          <w:snapToGrid/>
          <w:color w:val="auto"/>
          <w:highlight w:val="none"/>
        </w:rPr>
      </w:pPr>
      <w:r>
        <w:rPr>
          <w:rFonts w:hint="eastAsia" w:ascii="宋体" w:hAnsi="宋体" w:eastAsia="宋体" w:cs="宋体"/>
          <w:snapToGrid/>
          <w:color w:val="auto"/>
          <w:highlight w:val="none"/>
        </w:rPr>
        <w:t>3.1.2  投标人有以下情形之一的，评标委员会应当否决其投标：</w:t>
      </w:r>
    </w:p>
    <w:p w14:paraId="4E522663">
      <w:pPr>
        <w:spacing w:line="360" w:lineRule="auto"/>
        <w:ind w:firstLine="718" w:firstLineChars="342"/>
        <w:rPr>
          <w:rFonts w:ascii="宋体" w:hAnsi="宋体" w:eastAsia="宋体" w:cs="宋体"/>
          <w:color w:val="auto"/>
          <w:highlight w:val="none"/>
        </w:rPr>
      </w:pPr>
      <w:r>
        <w:rPr>
          <w:rFonts w:hint="eastAsia" w:ascii="宋体" w:hAnsi="宋体" w:eastAsia="宋体" w:cs="宋体"/>
          <w:color w:val="auto"/>
          <w:highlight w:val="none"/>
        </w:rPr>
        <w:t>（1）第二章“投标人须知”第1.4.3项规定的任何一种情形的；</w:t>
      </w:r>
    </w:p>
    <w:p w14:paraId="1EB15233">
      <w:pPr>
        <w:spacing w:line="360" w:lineRule="auto"/>
        <w:ind w:firstLine="718" w:firstLineChars="342"/>
        <w:rPr>
          <w:rFonts w:ascii="宋体" w:hAnsi="宋体" w:eastAsia="宋体" w:cs="宋体"/>
          <w:color w:val="auto"/>
          <w:highlight w:val="none"/>
        </w:rPr>
      </w:pPr>
      <w:r>
        <w:rPr>
          <w:rFonts w:hint="eastAsia" w:ascii="宋体" w:hAnsi="宋体" w:eastAsia="宋体" w:cs="宋体"/>
          <w:color w:val="auto"/>
          <w:highlight w:val="none"/>
        </w:rPr>
        <w:t>（2）串通投标或弄虚作假或有其他违法行为的；</w:t>
      </w:r>
    </w:p>
    <w:p w14:paraId="59387EEB">
      <w:pPr>
        <w:spacing w:line="360" w:lineRule="auto"/>
        <w:ind w:firstLine="718" w:firstLineChars="342"/>
        <w:rPr>
          <w:rFonts w:ascii="宋体" w:hAnsi="宋体" w:eastAsia="宋体" w:cs="宋体"/>
          <w:color w:val="auto"/>
          <w:highlight w:val="none"/>
        </w:rPr>
      </w:pPr>
      <w:r>
        <w:rPr>
          <w:rFonts w:hint="eastAsia" w:ascii="宋体" w:hAnsi="宋体" w:eastAsia="宋体" w:cs="宋体"/>
          <w:color w:val="auto"/>
          <w:highlight w:val="none"/>
        </w:rPr>
        <w:t>（3）不按评标委员会要求澄清、说明或补正的。</w:t>
      </w:r>
    </w:p>
    <w:p w14:paraId="06DDC460">
      <w:pPr>
        <w:widowControl w:val="0"/>
        <w:kinsoku/>
        <w:spacing w:line="360" w:lineRule="auto"/>
        <w:ind w:firstLine="420" w:firstLineChars="200"/>
        <w:jc w:val="both"/>
        <w:textAlignment w:val="auto"/>
        <w:rPr>
          <w:rFonts w:ascii="宋体" w:hAnsi="宋体" w:eastAsia="宋体" w:cs="宋体"/>
          <w:snapToGrid/>
          <w:color w:val="auto"/>
          <w:highlight w:val="none"/>
        </w:rPr>
      </w:pPr>
      <w:r>
        <w:rPr>
          <w:rFonts w:hint="eastAsia" w:ascii="宋体" w:hAnsi="宋体" w:eastAsia="宋体" w:cs="宋体"/>
          <w:snapToGrid/>
          <w:color w:val="auto"/>
          <w:highlight w:val="none"/>
        </w:rPr>
        <w:t>3.1.3  投标报价有算术错误及其他错误的，评标委员会按以下原则要求投标人对投标报价进行修正，并要求投标人书面澄清确认。投标人拒不澄清确认的，评标委员会应当否决其投标：</w:t>
      </w:r>
    </w:p>
    <w:p w14:paraId="795CF02C">
      <w:pPr>
        <w:spacing w:line="360" w:lineRule="auto"/>
        <w:ind w:firstLine="718" w:firstLineChars="342"/>
        <w:rPr>
          <w:rFonts w:ascii="宋体" w:hAnsi="宋体" w:eastAsia="宋体" w:cs="宋体"/>
          <w:color w:val="auto"/>
          <w:highlight w:val="none"/>
        </w:rPr>
      </w:pPr>
      <w:r>
        <w:rPr>
          <w:rFonts w:hint="eastAsia" w:ascii="宋体" w:hAnsi="宋体" w:eastAsia="宋体" w:cs="宋体"/>
          <w:color w:val="auto"/>
          <w:highlight w:val="none"/>
        </w:rPr>
        <w:t>（1）投标文件中的大写金额与小写金额不一致的，以大写金额为准；</w:t>
      </w:r>
    </w:p>
    <w:p w14:paraId="6FDB9728">
      <w:pPr>
        <w:spacing w:line="360" w:lineRule="auto"/>
        <w:ind w:firstLine="718" w:firstLineChars="342"/>
        <w:rPr>
          <w:rFonts w:hint="eastAsia" w:ascii="宋体" w:hAnsi="宋体" w:eastAsia="宋体" w:cs="宋体"/>
          <w:color w:val="auto"/>
          <w:highlight w:val="none"/>
        </w:rPr>
      </w:pPr>
      <w:r>
        <w:rPr>
          <w:rFonts w:hint="eastAsia" w:ascii="宋体" w:hAnsi="宋体" w:eastAsia="宋体" w:cs="宋体"/>
          <w:color w:val="auto"/>
          <w:highlight w:val="none"/>
        </w:rPr>
        <w:t>（2）总价金额与依据单价计算出的结果不一致的，以单价金额为准修正总价，但单价金额小数点有明显错误的除外。</w:t>
      </w:r>
    </w:p>
    <w:p w14:paraId="5DDD385F">
      <w:pPr>
        <w:pStyle w:val="12"/>
        <w:ind w:firstLine="840" w:firstLineChars="4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投标文件中投标函与开标一览表不一致的，以投标函为准。</w:t>
      </w:r>
    </w:p>
    <w:p w14:paraId="485B25E9">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3.1.4  有效投标人不足三个的，评标委员会应当对有效投标人是否仍具有竞争性进行论证。评标委员会认为有效投标人的经济、技术等指标仍然具有市场竞争力，能够满足招标文件要求的，可以继续评标并确定中标候选人；评标委员会认为有效投标人的经济、技术等指标不具有市场竞争力，不能够满足招标文件要求的，评标委员会应出具竞争性论证情况说明并充分阐明不具有市场竞争力的理由。</w:t>
      </w:r>
    </w:p>
    <w:p w14:paraId="32A9E4C4">
      <w:pPr>
        <w:pStyle w:val="4"/>
        <w:spacing w:before="156"/>
        <w:rPr>
          <w:color w:val="auto"/>
          <w:highlight w:val="none"/>
        </w:rPr>
      </w:pPr>
      <w:bookmarkStart w:id="655" w:name="_Toc33106458"/>
      <w:bookmarkStart w:id="656" w:name="_Toc32011"/>
      <w:bookmarkStart w:id="657" w:name="_Toc200513204"/>
      <w:bookmarkStart w:id="658" w:name="_Toc32269"/>
      <w:bookmarkStart w:id="659" w:name="_Toc11264"/>
      <w:bookmarkStart w:id="660" w:name="_Toc287620757"/>
      <w:bookmarkStart w:id="661" w:name="_Toc23454"/>
      <w:bookmarkStart w:id="662" w:name="_Toc287607818"/>
      <w:bookmarkStart w:id="663" w:name="_Toc57795935"/>
      <w:bookmarkStart w:id="664" w:name="_Toc509218782"/>
      <w:bookmarkStart w:id="665" w:name="_Toc277082624"/>
      <w:bookmarkStart w:id="666" w:name="_Toc430530506"/>
      <w:bookmarkStart w:id="667" w:name="_Toc224103390"/>
      <w:bookmarkStart w:id="668" w:name="_Toc3343"/>
      <w:r>
        <w:rPr>
          <w:rFonts w:hint="eastAsia"/>
          <w:color w:val="auto"/>
          <w:highlight w:val="none"/>
        </w:rPr>
        <w:t>3.2 详细评审</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4C02D22E">
      <w:pPr>
        <w:widowControl w:val="0"/>
        <w:kinsoku/>
        <w:spacing w:line="360" w:lineRule="auto"/>
        <w:ind w:firstLine="420" w:firstLineChars="200"/>
        <w:jc w:val="both"/>
        <w:textAlignment w:val="auto"/>
        <w:rPr>
          <w:rFonts w:ascii="宋体" w:hAnsi="宋体" w:eastAsia="宋体" w:cs="宋体"/>
          <w:snapToGrid/>
          <w:color w:val="auto"/>
          <w:highlight w:val="none"/>
        </w:rPr>
      </w:pPr>
      <w:r>
        <w:rPr>
          <w:rFonts w:hint="eastAsia" w:ascii="宋体" w:hAnsi="宋体" w:eastAsia="宋体" w:cs="宋体"/>
          <w:snapToGrid/>
          <w:color w:val="auto"/>
          <w:highlight w:val="none"/>
        </w:rPr>
        <w:t>3.2.1  评标委员会按本章第 2.2 款规定的量化因素和分值进行打分，并计算出综合评估得分。</w:t>
      </w:r>
    </w:p>
    <w:p w14:paraId="08C8710D">
      <w:pPr>
        <w:widowControl w:val="0"/>
        <w:kinsoku/>
        <w:spacing w:line="360" w:lineRule="auto"/>
        <w:ind w:firstLine="420" w:firstLineChars="200"/>
        <w:jc w:val="both"/>
        <w:textAlignment w:val="auto"/>
        <w:rPr>
          <w:rFonts w:ascii="宋体" w:hAnsi="宋体" w:eastAsia="宋体" w:cs="宋体"/>
          <w:snapToGrid/>
          <w:color w:val="auto"/>
          <w:highlight w:val="none"/>
        </w:rPr>
      </w:pPr>
      <w:r>
        <w:rPr>
          <w:rFonts w:hint="eastAsia" w:ascii="宋体" w:hAnsi="宋体" w:eastAsia="宋体" w:cs="宋体"/>
          <w:snapToGrid/>
          <w:color w:val="auto"/>
          <w:highlight w:val="none"/>
        </w:rPr>
        <w:t>3.2.2  评分分值计算保留小数点后两位，小数点后第三位“四舍五入”。</w:t>
      </w:r>
    </w:p>
    <w:p w14:paraId="29190CBD">
      <w:pPr>
        <w:widowControl w:val="0"/>
        <w:kinsoku/>
        <w:spacing w:line="360" w:lineRule="auto"/>
        <w:ind w:firstLine="420" w:firstLineChars="200"/>
        <w:jc w:val="both"/>
        <w:textAlignment w:val="auto"/>
        <w:rPr>
          <w:rFonts w:ascii="宋体" w:hAnsi="宋体" w:eastAsia="宋体" w:cs="宋体"/>
          <w:snapToGrid/>
          <w:color w:val="auto"/>
          <w:highlight w:val="none"/>
        </w:rPr>
      </w:pPr>
      <w:r>
        <w:rPr>
          <w:rFonts w:hint="eastAsia" w:ascii="宋体" w:hAnsi="宋体" w:eastAsia="宋体" w:cs="宋体"/>
          <w:snapToGrid/>
          <w:color w:val="auto"/>
          <w:highlight w:val="none"/>
        </w:rPr>
        <w:t>3.2.3  投标人得分=A+B+C。</w:t>
      </w:r>
    </w:p>
    <w:p w14:paraId="0AFD24AB">
      <w:pPr>
        <w:pStyle w:val="4"/>
        <w:spacing w:before="156"/>
        <w:rPr>
          <w:color w:val="auto"/>
          <w:highlight w:val="none"/>
        </w:rPr>
      </w:pPr>
      <w:bookmarkStart w:id="669" w:name="_Toc31191"/>
      <w:bookmarkStart w:id="670" w:name="_Toc24570"/>
      <w:bookmarkStart w:id="671" w:name="_Toc27191"/>
      <w:bookmarkStart w:id="672" w:name="_Toc19247"/>
      <w:r>
        <w:rPr>
          <w:rFonts w:hint="eastAsia"/>
          <w:color w:val="auto"/>
          <w:highlight w:val="none"/>
        </w:rPr>
        <w:t>3.3 投标文件的澄清和补正</w:t>
      </w:r>
      <w:bookmarkEnd w:id="669"/>
      <w:bookmarkEnd w:id="670"/>
      <w:bookmarkEnd w:id="671"/>
      <w:bookmarkEnd w:id="672"/>
    </w:p>
    <w:p w14:paraId="146F2C7B">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3.3.1在评标过程中，评标委员会可以书面形式要求投标人对所提交投标文件中不明确的内容进行书面澄清或说明，或者对细微偏差进行补正。评标委员会不接受投标人主动提出的澄清、说明或补正。</w:t>
      </w:r>
    </w:p>
    <w:p w14:paraId="4F54E37B">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3.3.2 澄清、说明和补正不得改变投标文件的实质性内容。投标人的书面澄清、说明和补正属于投标文件的组成部分。</w:t>
      </w:r>
    </w:p>
    <w:p w14:paraId="0E3A2248">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3.3.3 评标委员会对投标人提交的澄清、说明或补正有疑问的，可以要求投标人进一步澄清、说明或补正，直至满足评标委员会的要求。</w:t>
      </w:r>
    </w:p>
    <w:p w14:paraId="061D7267">
      <w:pPr>
        <w:pStyle w:val="4"/>
        <w:spacing w:before="156"/>
        <w:rPr>
          <w:color w:val="auto"/>
          <w:highlight w:val="none"/>
        </w:rPr>
      </w:pPr>
      <w:bookmarkStart w:id="673" w:name="_Toc33106460"/>
      <w:bookmarkStart w:id="674" w:name="_Toc28455"/>
      <w:bookmarkStart w:id="675" w:name="_Toc430530508"/>
      <w:bookmarkStart w:id="676" w:name="_Toc287620759"/>
      <w:bookmarkStart w:id="677" w:name="_Toc31387"/>
      <w:bookmarkStart w:id="678" w:name="_Toc22020"/>
      <w:bookmarkStart w:id="679" w:name="_Toc277082626"/>
      <w:bookmarkStart w:id="680" w:name="_Toc7074"/>
      <w:bookmarkStart w:id="681" w:name="_Toc22267"/>
      <w:bookmarkStart w:id="682" w:name="_Toc287607820"/>
      <w:bookmarkStart w:id="683" w:name="_Toc200513206"/>
      <w:bookmarkStart w:id="684" w:name="_Toc57795937"/>
      <w:bookmarkStart w:id="685" w:name="_Toc509218784"/>
      <w:bookmarkStart w:id="686" w:name="_Toc224103392"/>
      <w:r>
        <w:rPr>
          <w:rFonts w:hint="eastAsia"/>
          <w:color w:val="auto"/>
          <w:highlight w:val="none"/>
        </w:rPr>
        <w:t>3.4 评标结果</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2DDA2480">
      <w:pPr>
        <w:widowControl w:val="0"/>
        <w:kinsoku/>
        <w:spacing w:line="360" w:lineRule="auto"/>
        <w:ind w:firstLine="420" w:firstLineChars="200"/>
        <w:jc w:val="both"/>
        <w:textAlignment w:val="auto"/>
        <w:rPr>
          <w:rFonts w:ascii="宋体" w:hAnsi="宋体" w:eastAsia="宋体" w:cs="宋体"/>
          <w:snapToGrid/>
          <w:color w:val="auto"/>
          <w:highlight w:val="none"/>
        </w:rPr>
      </w:pPr>
      <w:r>
        <w:rPr>
          <w:rFonts w:hint="eastAsia" w:ascii="宋体" w:hAnsi="宋体" w:eastAsia="宋体" w:cs="宋体"/>
          <w:snapToGrid/>
          <w:color w:val="auto"/>
          <w:highlight w:val="none"/>
        </w:rPr>
        <w:t>3.4.1  除第二章“投标人须知”前附表授权直接确定中标人外，评标委员会按照得分由高到低的顺序推荐中标候选人。</w:t>
      </w:r>
    </w:p>
    <w:p w14:paraId="73A4EC6E">
      <w:pPr>
        <w:widowControl w:val="0"/>
        <w:kinsoku/>
        <w:spacing w:line="360" w:lineRule="auto"/>
        <w:ind w:firstLine="420" w:firstLineChars="200"/>
        <w:jc w:val="both"/>
        <w:textAlignment w:val="auto"/>
        <w:rPr>
          <w:rFonts w:ascii="宋体" w:hAnsi="宋体" w:eastAsia="宋体" w:cs="宋体"/>
          <w:snapToGrid/>
          <w:color w:val="auto"/>
          <w:highlight w:val="none"/>
        </w:rPr>
      </w:pPr>
      <w:r>
        <w:rPr>
          <w:rFonts w:hint="eastAsia" w:ascii="宋体" w:hAnsi="宋体" w:eastAsia="宋体" w:cs="宋体"/>
          <w:snapToGrid/>
          <w:color w:val="auto"/>
          <w:highlight w:val="none"/>
        </w:rPr>
        <w:t>3.4.2  评标委员会完成评标后，应当向招标人提交书面评标报告。</w:t>
      </w:r>
    </w:p>
    <w:p w14:paraId="1796C26C">
      <w:pPr>
        <w:kinsoku/>
        <w:autoSpaceDE/>
        <w:autoSpaceDN/>
        <w:adjustRightInd/>
        <w:snapToGrid/>
        <w:textAlignment w:val="auto"/>
        <w:rPr>
          <w:rFonts w:hint="eastAsia" w:ascii="宋体" w:hAnsi="宋体" w:eastAsia="宋体" w:cs="宋体"/>
          <w:snapToGrid/>
          <w:color w:val="auto"/>
          <w:highlight w:val="none"/>
        </w:rPr>
      </w:pPr>
      <w:r>
        <w:rPr>
          <w:rFonts w:hint="eastAsia" w:ascii="宋体" w:hAnsi="宋体" w:eastAsia="宋体" w:cs="宋体"/>
          <w:snapToGrid/>
          <w:color w:val="auto"/>
          <w:highlight w:val="none"/>
        </w:rPr>
        <w:br w:type="page"/>
      </w:r>
    </w:p>
    <w:p w14:paraId="1BEE88A1">
      <w:pPr>
        <w:kinsoku/>
        <w:autoSpaceDE/>
        <w:autoSpaceDN/>
        <w:adjustRightInd/>
        <w:snapToGrid/>
        <w:textAlignment w:val="auto"/>
        <w:rPr>
          <w:rFonts w:hint="eastAsia" w:ascii="宋体" w:hAnsi="宋体" w:eastAsia="宋体" w:cs="宋体"/>
          <w:snapToGrid/>
          <w:color w:val="auto"/>
          <w:highlight w:val="none"/>
        </w:rPr>
      </w:pPr>
    </w:p>
    <w:bookmarkEnd w:id="542"/>
    <w:bookmarkEnd w:id="543"/>
    <w:bookmarkEnd w:id="544"/>
    <w:bookmarkEnd w:id="545"/>
    <w:bookmarkEnd w:id="546"/>
    <w:bookmarkEnd w:id="553"/>
    <w:p w14:paraId="244BBB19">
      <w:pPr>
        <w:keepNext/>
        <w:keepLines/>
        <w:pageBreakBefore w:val="0"/>
        <w:widowControl w:val="0"/>
        <w:kinsoku/>
        <w:wordWrap/>
        <w:overflowPunct/>
        <w:topLinePunct w:val="0"/>
        <w:bidi w:val="0"/>
        <w:spacing w:line="360" w:lineRule="auto"/>
        <w:jc w:val="center"/>
        <w:textAlignment w:val="auto"/>
        <w:outlineLvl w:val="1"/>
        <w:rPr>
          <w:rFonts w:hint="eastAsia" w:ascii="宋体" w:hAnsi="宋体" w:eastAsia="宋体" w:cs="宋体"/>
          <w:b/>
          <w:color w:val="auto"/>
          <w:kern w:val="0"/>
          <w:sz w:val="28"/>
          <w:szCs w:val="28"/>
          <w:highlight w:val="none"/>
        </w:rPr>
      </w:pPr>
      <w:bookmarkStart w:id="687" w:name="_Toc23742"/>
      <w:bookmarkStart w:id="688" w:name="_Toc17630"/>
      <w:bookmarkStart w:id="689" w:name="_Toc430530509"/>
      <w:bookmarkStart w:id="690" w:name="_Toc57820636"/>
      <w:bookmarkStart w:id="691" w:name="_Toc2952"/>
      <w:bookmarkStart w:id="692" w:name="_Toc509218785"/>
      <w:bookmarkStart w:id="693" w:name="_Toc12914"/>
      <w:r>
        <w:rPr>
          <w:rFonts w:hint="eastAsia" w:ascii="宋体" w:hAnsi="宋体" w:eastAsia="宋体" w:cs="宋体"/>
          <w:b/>
          <w:color w:val="auto"/>
          <w:sz w:val="28"/>
          <w:szCs w:val="28"/>
          <w:highlight w:val="none"/>
        </w:rPr>
        <w:t>附件：综合评估法否决投标情况一览表</w:t>
      </w:r>
      <w:bookmarkEnd w:id="687"/>
    </w:p>
    <w:p w14:paraId="38F23822">
      <w:pPr>
        <w:widowControl/>
        <w:spacing w:line="360" w:lineRule="auto"/>
        <w:ind w:firstLine="420" w:firstLineChars="200"/>
        <w:rPr>
          <w:rFonts w:ascii="宋体" w:hAnsi="宋体"/>
          <w:color w:val="auto"/>
          <w:kern w:val="0"/>
          <w:szCs w:val="21"/>
          <w:highlight w:val="none"/>
        </w:rPr>
      </w:pPr>
      <w:r>
        <w:rPr>
          <w:rFonts w:hint="eastAsia" w:ascii="宋体" w:hAnsi="宋体" w:eastAsia="宋体" w:cs="宋体"/>
          <w:color w:val="auto"/>
          <w:kern w:val="0"/>
          <w:szCs w:val="21"/>
          <w:highlight w:val="none"/>
        </w:rPr>
        <w:t>投标文件存在本一览表下列情形之一的，投标文件视为重大偏差并作否决投标处理，否则，评标委员会不得视为重大偏差而否决投标人的投标文件。</w:t>
      </w:r>
    </w:p>
    <w:tbl>
      <w:tblPr>
        <w:tblStyle w:val="24"/>
        <w:tblW w:w="899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515"/>
        <w:gridCol w:w="7478"/>
      </w:tblGrid>
      <w:tr w14:paraId="1BFC99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Align w:val="center"/>
          </w:tcPr>
          <w:p w14:paraId="3777CDCA">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7478" w:type="dxa"/>
            <w:vAlign w:val="center"/>
          </w:tcPr>
          <w:p w14:paraId="73D775EB">
            <w:pPr>
              <w:spacing w:line="400" w:lineRule="exact"/>
              <w:jc w:val="center"/>
              <w:rPr>
                <w:rFonts w:ascii="宋体" w:hAnsi="宋体"/>
                <w:b/>
                <w:color w:val="auto"/>
                <w:szCs w:val="21"/>
                <w:highlight w:val="none"/>
              </w:rPr>
            </w:pPr>
            <w:r>
              <w:rPr>
                <w:rFonts w:ascii="宋体" w:hAnsi="宋体"/>
                <w:b/>
                <w:color w:val="auto"/>
                <w:szCs w:val="21"/>
                <w:highlight w:val="none"/>
              </w:rPr>
              <w:t>否决投标条件</w:t>
            </w:r>
          </w:p>
        </w:tc>
      </w:tr>
      <w:tr w14:paraId="1F7E7D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15" w:type="dxa"/>
            <w:vMerge w:val="restart"/>
            <w:tcBorders>
              <w:top w:val="single" w:color="auto" w:sz="4" w:space="0"/>
            </w:tcBorders>
            <w:vAlign w:val="center"/>
          </w:tcPr>
          <w:p w14:paraId="798FE21E">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7478" w:type="dxa"/>
            <w:vAlign w:val="center"/>
          </w:tcPr>
          <w:p w14:paraId="4AAC7E7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w:t>
            </w:r>
            <w:r>
              <w:rPr>
                <w:rFonts w:hint="eastAsia" w:ascii="宋体" w:hAnsi="宋体"/>
                <w:color w:val="auto"/>
                <w:szCs w:val="21"/>
                <w:highlight w:val="none"/>
              </w:rPr>
              <w:t>投标人的资质条件及营业执照须满足投标人须知前附表第1.4.1项的要求，否则由评标委员会作否决投标处理。</w:t>
            </w:r>
          </w:p>
        </w:tc>
      </w:tr>
      <w:tr w14:paraId="334B1A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15" w:type="dxa"/>
            <w:vMerge w:val="continue"/>
            <w:vAlign w:val="center"/>
          </w:tcPr>
          <w:p w14:paraId="4996B930">
            <w:pPr>
              <w:spacing w:line="400" w:lineRule="exact"/>
              <w:jc w:val="center"/>
              <w:rPr>
                <w:rFonts w:ascii="宋体" w:hAnsi="宋体"/>
                <w:color w:val="auto"/>
                <w:szCs w:val="21"/>
                <w:highlight w:val="none"/>
              </w:rPr>
            </w:pPr>
          </w:p>
        </w:tc>
        <w:tc>
          <w:tcPr>
            <w:tcW w:w="7478" w:type="dxa"/>
            <w:vAlign w:val="center"/>
          </w:tcPr>
          <w:p w14:paraId="6A127178">
            <w:pPr>
              <w:spacing w:line="400" w:lineRule="exact"/>
              <w:ind w:firstLine="420" w:firstLineChars="200"/>
              <w:rPr>
                <w:rFonts w:ascii="宋体" w:hAnsi="宋体"/>
                <w:color w:val="auto"/>
                <w:szCs w:val="21"/>
                <w:highlight w:val="none"/>
              </w:rPr>
            </w:pPr>
            <w:r>
              <w:rPr>
                <w:rFonts w:hint="eastAsia" w:ascii="宋体" w:hAnsi="宋体" w:cs="宋体"/>
                <w:color w:val="auto"/>
                <w:kern w:val="0"/>
                <w:szCs w:val="22"/>
                <w:highlight w:val="none"/>
              </w:rPr>
              <w:t>A-</w:t>
            </w:r>
            <w:r>
              <w:rPr>
                <w:rFonts w:hint="eastAsia" w:ascii="宋体" w:hAnsi="宋体" w:cs="宋体"/>
                <w:color w:val="auto"/>
                <w:kern w:val="0"/>
                <w:szCs w:val="22"/>
                <w:highlight w:val="none"/>
                <w:lang w:val="en-US" w:eastAsia="zh-CN"/>
              </w:rPr>
              <w:t>2</w:t>
            </w:r>
            <w:r>
              <w:rPr>
                <w:rFonts w:hint="eastAsia" w:ascii="宋体" w:hAnsi="宋体" w:cs="宋体"/>
                <w:color w:val="auto"/>
                <w:kern w:val="0"/>
                <w:szCs w:val="22"/>
                <w:highlight w:val="none"/>
              </w:rPr>
              <w:t>投标人</w:t>
            </w:r>
            <w:r>
              <w:rPr>
                <w:rFonts w:ascii="宋体" w:hAnsi="宋体" w:cs="宋体"/>
                <w:color w:val="auto"/>
                <w:kern w:val="0"/>
                <w:szCs w:val="22"/>
                <w:highlight w:val="none"/>
              </w:rPr>
              <w:t>不</w:t>
            </w:r>
            <w:r>
              <w:rPr>
                <w:rFonts w:hint="eastAsia" w:ascii="宋体" w:hAnsi="宋体" w:cs="宋体"/>
                <w:color w:val="auto"/>
                <w:kern w:val="0"/>
                <w:szCs w:val="22"/>
                <w:highlight w:val="none"/>
              </w:rPr>
              <w:t>得</w:t>
            </w:r>
            <w:r>
              <w:rPr>
                <w:rFonts w:ascii="宋体" w:hAnsi="宋体" w:cs="宋体"/>
                <w:color w:val="auto"/>
                <w:kern w:val="0"/>
                <w:szCs w:val="22"/>
                <w:highlight w:val="none"/>
              </w:rPr>
              <w:t>存在第二章“投标人须知”第 1.4.3 项规定的任何一种情形</w:t>
            </w:r>
            <w:r>
              <w:rPr>
                <w:rFonts w:hint="eastAsia" w:ascii="宋体" w:hAnsi="宋体" w:cs="宋体"/>
                <w:color w:val="auto"/>
                <w:kern w:val="0"/>
                <w:szCs w:val="22"/>
                <w:highlight w:val="none"/>
              </w:rPr>
              <w:t>，</w:t>
            </w:r>
            <w:r>
              <w:rPr>
                <w:rFonts w:hint="eastAsia" w:ascii="宋体" w:hAnsi="宋体"/>
                <w:color w:val="auto"/>
                <w:szCs w:val="21"/>
                <w:highlight w:val="none"/>
              </w:rPr>
              <w:t>否则由评标委员会作否决投标处理。</w:t>
            </w:r>
          </w:p>
        </w:tc>
      </w:tr>
      <w:tr w14:paraId="031772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restart"/>
            <w:vAlign w:val="center"/>
          </w:tcPr>
          <w:p w14:paraId="7A44C660">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7478" w:type="dxa"/>
          </w:tcPr>
          <w:p w14:paraId="7C89C2B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3</w:t>
            </w:r>
            <w:r>
              <w:rPr>
                <w:rFonts w:hint="eastAsia" w:ascii="宋体" w:hAnsi="宋体"/>
                <w:color w:val="auto"/>
                <w:szCs w:val="21"/>
                <w:highlight w:val="none"/>
              </w:rPr>
              <w:t>投标人名称必须与营业执照、</w:t>
            </w:r>
            <w:r>
              <w:rPr>
                <w:rFonts w:hint="eastAsia" w:ascii="宋体" w:hAnsi="宋体"/>
                <w:color w:val="auto"/>
                <w:szCs w:val="21"/>
                <w:highlight w:val="none"/>
                <w:lang w:eastAsia="zh-CN"/>
              </w:rPr>
              <w:t>资格</w:t>
            </w:r>
            <w:r>
              <w:rPr>
                <w:rFonts w:hint="eastAsia" w:ascii="宋体" w:hAnsi="宋体"/>
                <w:color w:val="auto"/>
                <w:szCs w:val="21"/>
                <w:highlight w:val="none"/>
              </w:rPr>
              <w:t>证书一致，依法变更名称的应提交相应证明材料，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14:paraId="4CBCD9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980" w:hRule="atLeast"/>
          <w:jc w:val="center"/>
        </w:trPr>
        <w:tc>
          <w:tcPr>
            <w:tcW w:w="1515" w:type="dxa"/>
            <w:vMerge w:val="continue"/>
            <w:vAlign w:val="center"/>
          </w:tcPr>
          <w:p w14:paraId="66019094">
            <w:pPr>
              <w:spacing w:line="400" w:lineRule="exact"/>
              <w:jc w:val="center"/>
              <w:rPr>
                <w:rFonts w:ascii="宋体" w:hAnsi="宋体"/>
                <w:color w:val="auto"/>
                <w:szCs w:val="21"/>
                <w:highlight w:val="none"/>
              </w:rPr>
            </w:pPr>
          </w:p>
        </w:tc>
        <w:tc>
          <w:tcPr>
            <w:tcW w:w="7478" w:type="dxa"/>
          </w:tcPr>
          <w:p w14:paraId="5A864E6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4</w:t>
            </w:r>
            <w:r>
              <w:rPr>
                <w:rFonts w:hint="eastAsia" w:ascii="宋体" w:hAnsi="宋体"/>
                <w:color w:val="auto"/>
                <w:szCs w:val="21"/>
                <w:highlight w:val="none"/>
              </w:rPr>
              <w:t>投标文件格式（不含投标函部分）符合第二章“投标人须知”第3.7款的要求，否则由评标委员会作否决投标处理。</w:t>
            </w:r>
          </w:p>
          <w:p w14:paraId="542B60B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编制投标文件时不得对第六章“投标文件格式”的相应要素作实质性修改，否则视为重大偏差，由评标委员会作否决投标处理。</w:t>
            </w:r>
          </w:p>
        </w:tc>
      </w:tr>
      <w:tr w14:paraId="4330B4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082F546F">
            <w:pPr>
              <w:spacing w:line="400" w:lineRule="exact"/>
              <w:jc w:val="center"/>
              <w:rPr>
                <w:rFonts w:ascii="宋体" w:hAnsi="宋体"/>
                <w:color w:val="auto"/>
                <w:szCs w:val="21"/>
                <w:highlight w:val="none"/>
              </w:rPr>
            </w:pPr>
          </w:p>
        </w:tc>
        <w:tc>
          <w:tcPr>
            <w:tcW w:w="7478" w:type="dxa"/>
          </w:tcPr>
          <w:p w14:paraId="1914AE1E">
            <w:pPr>
              <w:spacing w:line="400" w:lineRule="exact"/>
              <w:ind w:firstLine="420" w:firstLineChars="200"/>
              <w:rPr>
                <w:rFonts w:ascii="宋体" w:hAnsi="宋体" w:cs="宋体"/>
                <w:color w:val="auto"/>
                <w:kern w:val="0"/>
                <w:highlight w:val="none"/>
              </w:rPr>
            </w:pPr>
            <w:r>
              <w:rPr>
                <w:rFonts w:ascii="宋体" w:hAnsi="宋体" w:cs="宋体"/>
                <w:color w:val="auto"/>
                <w:kern w:val="0"/>
                <w:highlight w:val="none"/>
              </w:rPr>
              <w:t>A-</w:t>
            </w:r>
            <w:r>
              <w:rPr>
                <w:rFonts w:hint="eastAsia" w:ascii="宋体" w:hAnsi="宋体" w:cs="宋体"/>
                <w:color w:val="auto"/>
                <w:kern w:val="0"/>
                <w:highlight w:val="none"/>
                <w:lang w:val="en-US" w:eastAsia="zh-CN"/>
              </w:rPr>
              <w:t>5</w:t>
            </w:r>
            <w:r>
              <w:rPr>
                <w:rFonts w:hint="eastAsia" w:ascii="宋体" w:hAnsi="宋体" w:cs="宋体"/>
                <w:color w:val="auto"/>
                <w:kern w:val="0"/>
                <w:highlight w:val="none"/>
              </w:rPr>
              <w:t>第六章 投标文件格式（不含投标函部分）要求法定代表人或其委托代理人签名（或盖章）的须齐全，</w:t>
            </w:r>
            <w:r>
              <w:rPr>
                <w:rFonts w:hint="eastAsia" w:ascii="宋体" w:hAnsi="宋体"/>
                <w:color w:val="auto"/>
                <w:szCs w:val="21"/>
                <w:highlight w:val="none"/>
                <w:lang w:val="en-US" w:eastAsia="zh-CN"/>
              </w:rPr>
              <w:t>要求签名的，</w:t>
            </w:r>
            <w:r>
              <w:rPr>
                <w:rFonts w:hint="eastAsia" w:ascii="宋体" w:hAnsi="宋体"/>
                <w:color w:val="auto"/>
                <w:szCs w:val="21"/>
                <w:highlight w:val="none"/>
              </w:rPr>
              <w:t>签名采用手写签名</w:t>
            </w:r>
            <w:r>
              <w:rPr>
                <w:rFonts w:hint="eastAsia" w:ascii="宋体" w:hAnsi="宋体"/>
                <w:color w:val="auto"/>
                <w:szCs w:val="21"/>
                <w:highlight w:val="none"/>
                <w:lang w:val="en-US" w:eastAsia="zh-CN"/>
              </w:rPr>
              <w:t>或签章</w:t>
            </w:r>
            <w:r>
              <w:rPr>
                <w:rFonts w:hint="eastAsia" w:ascii="宋体" w:hAnsi="宋体"/>
                <w:color w:val="auto"/>
                <w:szCs w:val="21"/>
                <w:highlight w:val="none"/>
              </w:rPr>
              <w:t>或加盖CA数字证书均可</w:t>
            </w:r>
            <w:r>
              <w:rPr>
                <w:rFonts w:hint="eastAsia" w:ascii="宋体" w:hAnsi="宋体"/>
                <w:color w:val="auto"/>
                <w:szCs w:val="21"/>
                <w:highlight w:val="none"/>
                <w:lang w:eastAsia="zh-CN"/>
              </w:rPr>
              <w:t>，</w:t>
            </w:r>
            <w:r>
              <w:rPr>
                <w:rFonts w:hint="eastAsia" w:ascii="宋体" w:hAnsi="宋体" w:cs="宋体"/>
                <w:color w:val="auto"/>
                <w:kern w:val="0"/>
                <w:highlight w:val="none"/>
              </w:rPr>
              <w:t>否则由评标委员会作否决投标处理。</w:t>
            </w:r>
          </w:p>
          <w:p w14:paraId="004D42DC">
            <w:pPr>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第六章 投标文件格式（不含投标函部分）要求加盖单位法人章的，应使用 CA 数字证书加盖投标人的单位电子印章，否则由评标委员会作否决投标处理。</w:t>
            </w:r>
          </w:p>
        </w:tc>
      </w:tr>
      <w:tr w14:paraId="4E8708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597AA1AB">
            <w:pPr>
              <w:spacing w:line="400" w:lineRule="exact"/>
              <w:jc w:val="center"/>
              <w:rPr>
                <w:rFonts w:ascii="宋体" w:hAnsi="宋体"/>
                <w:color w:val="auto"/>
                <w:szCs w:val="21"/>
                <w:highlight w:val="none"/>
              </w:rPr>
            </w:pPr>
          </w:p>
        </w:tc>
        <w:tc>
          <w:tcPr>
            <w:tcW w:w="7478" w:type="dxa"/>
          </w:tcPr>
          <w:p w14:paraId="5A71AA3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6</w:t>
            </w:r>
            <w:r>
              <w:rPr>
                <w:rFonts w:hint="eastAsia" w:ascii="宋体" w:hAnsi="宋体"/>
                <w:color w:val="auto"/>
                <w:szCs w:val="21"/>
                <w:highlight w:val="none"/>
              </w:rPr>
              <w:t>投标人法定代表人的委托代理人有法定代表人签署的授权委托书，否则由评标委员会作否决投标处理。</w:t>
            </w:r>
          </w:p>
        </w:tc>
      </w:tr>
      <w:tr w14:paraId="6FF113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4D37B2B9">
            <w:pPr>
              <w:spacing w:line="400" w:lineRule="exact"/>
              <w:jc w:val="center"/>
              <w:rPr>
                <w:rFonts w:ascii="宋体" w:hAnsi="宋体"/>
                <w:color w:val="auto"/>
                <w:szCs w:val="21"/>
                <w:highlight w:val="none"/>
              </w:rPr>
            </w:pPr>
          </w:p>
        </w:tc>
        <w:tc>
          <w:tcPr>
            <w:tcW w:w="7478" w:type="dxa"/>
          </w:tcPr>
          <w:p w14:paraId="04645F7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eastAsia="宋体"/>
                <w:color w:val="auto"/>
                <w:szCs w:val="21"/>
                <w:highlight w:val="none"/>
                <w:lang w:val="en-US" w:eastAsia="zh-CN"/>
              </w:rPr>
              <w:t>7</w:t>
            </w:r>
            <w:r>
              <w:rPr>
                <w:rFonts w:ascii="宋体" w:hAnsi="宋体"/>
                <w:color w:val="auto"/>
                <w:szCs w:val="21"/>
                <w:highlight w:val="none"/>
              </w:rPr>
              <w:t>除招标文件明确允许提交备选投标方案外，投标人不得提交备选投标方案</w:t>
            </w:r>
            <w:r>
              <w:rPr>
                <w:rFonts w:hint="eastAsia" w:ascii="宋体" w:hAnsi="宋体"/>
                <w:color w:val="auto"/>
                <w:szCs w:val="21"/>
                <w:highlight w:val="none"/>
              </w:rPr>
              <w:t>，否则由评标委员会作否决投标处理。</w:t>
            </w:r>
          </w:p>
        </w:tc>
      </w:tr>
      <w:tr w14:paraId="0A40B9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restart"/>
            <w:vAlign w:val="center"/>
          </w:tcPr>
          <w:p w14:paraId="497E84A6">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7478" w:type="dxa"/>
            <w:vAlign w:val="center"/>
          </w:tcPr>
          <w:p w14:paraId="4A24541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eastAsia="宋体"/>
                <w:color w:val="auto"/>
                <w:szCs w:val="21"/>
                <w:highlight w:val="none"/>
                <w:lang w:val="en-US" w:eastAsia="zh-CN"/>
              </w:rPr>
              <w:t>8</w:t>
            </w:r>
            <w:r>
              <w:rPr>
                <w:rFonts w:hint="eastAsia" w:ascii="宋体" w:hAnsi="宋体"/>
                <w:color w:val="auto"/>
                <w:szCs w:val="21"/>
                <w:highlight w:val="none"/>
              </w:rPr>
              <w:t>投标内容符合第二章“投标人须知”第1.3.1项规定，否则由评标委员会作否决投标处理。</w:t>
            </w:r>
          </w:p>
        </w:tc>
      </w:tr>
      <w:tr w14:paraId="7C76E5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45C1326F">
            <w:pPr>
              <w:spacing w:line="400" w:lineRule="exact"/>
              <w:jc w:val="center"/>
              <w:rPr>
                <w:rFonts w:ascii="宋体" w:hAnsi="宋体"/>
                <w:color w:val="auto"/>
                <w:szCs w:val="21"/>
                <w:highlight w:val="none"/>
              </w:rPr>
            </w:pPr>
          </w:p>
        </w:tc>
        <w:tc>
          <w:tcPr>
            <w:tcW w:w="7478" w:type="dxa"/>
            <w:vAlign w:val="center"/>
          </w:tcPr>
          <w:p w14:paraId="4B98FFC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eastAsia="宋体"/>
                <w:color w:val="auto"/>
                <w:szCs w:val="21"/>
                <w:highlight w:val="none"/>
                <w:lang w:val="en-US" w:eastAsia="zh-CN"/>
              </w:rPr>
              <w:t>9</w:t>
            </w:r>
            <w:r>
              <w:rPr>
                <w:rFonts w:hint="eastAsia" w:ascii="宋体" w:hAnsi="宋体"/>
                <w:color w:val="auto"/>
                <w:szCs w:val="21"/>
                <w:highlight w:val="none"/>
              </w:rPr>
              <w:t>投标人应按第二章“投标人须知”第</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.1项规定递交投标保证金，并作为其投标文件的组成部分，否则由评标委员会作否决投标处理。</w:t>
            </w:r>
          </w:p>
        </w:tc>
      </w:tr>
      <w:tr w14:paraId="27DF93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64961F34">
            <w:pPr>
              <w:spacing w:line="400" w:lineRule="exact"/>
              <w:jc w:val="center"/>
              <w:rPr>
                <w:rFonts w:ascii="宋体" w:hAnsi="宋体"/>
                <w:color w:val="auto"/>
                <w:szCs w:val="21"/>
                <w:highlight w:val="none"/>
              </w:rPr>
            </w:pPr>
          </w:p>
        </w:tc>
        <w:tc>
          <w:tcPr>
            <w:tcW w:w="7478" w:type="dxa"/>
            <w:vAlign w:val="center"/>
          </w:tcPr>
          <w:p w14:paraId="70A040A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ascii="宋体" w:hAnsi="宋体"/>
                <w:color w:val="auto"/>
                <w:szCs w:val="21"/>
                <w:highlight w:val="none"/>
              </w:rPr>
              <w:t>1</w:t>
            </w:r>
            <w:r>
              <w:rPr>
                <w:rFonts w:hint="eastAsia" w:ascii="宋体" w:hAnsi="宋体"/>
                <w:color w:val="auto"/>
                <w:szCs w:val="21"/>
                <w:highlight w:val="none"/>
                <w:lang w:val="en-US" w:eastAsia="zh-CN"/>
              </w:rPr>
              <w:t>0</w:t>
            </w:r>
            <w:r>
              <w:rPr>
                <w:rFonts w:ascii="宋体" w:hAnsi="宋体"/>
                <w:color w:val="auto"/>
                <w:szCs w:val="21"/>
                <w:highlight w:val="none"/>
              </w:rPr>
              <w:t>符合第四章“合同条款及格式”中的实质性要求和条件，投标文件不应附有招标人不能接受的条件。</w:t>
            </w:r>
            <w:r>
              <w:rPr>
                <w:rFonts w:hint="eastAsia" w:ascii="宋体" w:hAnsi="宋体"/>
                <w:color w:val="auto"/>
                <w:szCs w:val="21"/>
                <w:highlight w:val="none"/>
              </w:rPr>
              <w:t>否则由评标委员会作否决投标处理。（由投标人承诺，承诺书格式详见第六章投标文件格式。）</w:t>
            </w:r>
          </w:p>
        </w:tc>
      </w:tr>
      <w:tr w14:paraId="079D1C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143F7199">
            <w:pPr>
              <w:spacing w:line="400" w:lineRule="exact"/>
              <w:jc w:val="center"/>
              <w:rPr>
                <w:rFonts w:ascii="宋体" w:hAnsi="宋体"/>
                <w:color w:val="auto"/>
                <w:szCs w:val="21"/>
                <w:highlight w:val="none"/>
              </w:rPr>
            </w:pPr>
          </w:p>
        </w:tc>
        <w:tc>
          <w:tcPr>
            <w:tcW w:w="7478" w:type="dxa"/>
            <w:vAlign w:val="center"/>
          </w:tcPr>
          <w:p w14:paraId="7128092B">
            <w:pPr>
              <w:suppressLineNumbers w:val="0"/>
              <w:suppressAutoHyphens/>
              <w:spacing w:line="360" w:lineRule="auto"/>
              <w:ind w:firstLine="420" w:firstLineChars="200"/>
              <w:rPr>
                <w:rFonts w:hint="eastAsia" w:ascii="Times New Roman" w:hAnsi="Times New Roman"/>
                <w:color w:val="auto"/>
                <w:szCs w:val="22"/>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1</w:t>
            </w:r>
            <w:r>
              <w:rPr>
                <w:rFonts w:hint="eastAsia"/>
                <w:color w:val="auto"/>
                <w:szCs w:val="22"/>
                <w:highlight w:val="none"/>
              </w:rPr>
              <w:t>符合第五章“发包人要求”中的实质性要求和条件（由投标人承诺，承诺书格式详见第六章投标文件格式。）本次投标不得有串通投标、弄虚作假等其他违反招投标相关法律、法规行为。按评标委员会要求澄清、说明或补正。</w:t>
            </w:r>
            <w:r>
              <w:rPr>
                <w:rFonts w:hint="eastAsia"/>
                <w:color w:val="auto"/>
                <w:szCs w:val="22"/>
                <w:highlight w:val="none"/>
                <w:lang w:val="en-US" w:eastAsia="zh-CN"/>
              </w:rPr>
              <w:t>否则</w:t>
            </w:r>
            <w:r>
              <w:rPr>
                <w:rFonts w:hint="eastAsia" w:ascii="宋体" w:hAnsi="宋体"/>
                <w:color w:val="auto"/>
                <w:szCs w:val="21"/>
                <w:highlight w:val="none"/>
              </w:rPr>
              <w:t>由评标委员会作否决投标处理。</w:t>
            </w:r>
          </w:p>
        </w:tc>
      </w:tr>
      <w:tr w14:paraId="52323C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restart"/>
            <w:vAlign w:val="center"/>
          </w:tcPr>
          <w:p w14:paraId="129C72E4">
            <w:pPr>
              <w:spacing w:line="400" w:lineRule="exact"/>
              <w:jc w:val="center"/>
              <w:rPr>
                <w:rFonts w:ascii="宋体" w:hAnsi="宋体"/>
                <w:color w:val="auto"/>
                <w:szCs w:val="21"/>
                <w:highlight w:val="none"/>
              </w:rPr>
            </w:pPr>
            <w:r>
              <w:rPr>
                <w:rFonts w:hint="eastAsia" w:ascii="宋体" w:hAnsi="宋体"/>
                <w:color w:val="auto"/>
                <w:szCs w:val="21"/>
                <w:highlight w:val="none"/>
              </w:rPr>
              <w:t>投标</w:t>
            </w:r>
            <w:r>
              <w:rPr>
                <w:rFonts w:ascii="宋体" w:hAnsi="宋体"/>
                <w:color w:val="auto"/>
                <w:szCs w:val="21"/>
                <w:highlight w:val="none"/>
              </w:rPr>
              <w:t>函部分及经济部分</w:t>
            </w:r>
            <w:r>
              <w:rPr>
                <w:rFonts w:hint="eastAsia" w:ascii="宋体" w:hAnsi="宋体"/>
                <w:color w:val="auto"/>
                <w:szCs w:val="21"/>
                <w:highlight w:val="none"/>
              </w:rPr>
              <w:t>评审</w:t>
            </w:r>
          </w:p>
        </w:tc>
        <w:tc>
          <w:tcPr>
            <w:tcW w:w="7478" w:type="dxa"/>
            <w:vAlign w:val="center"/>
          </w:tcPr>
          <w:p w14:paraId="7F0CDB4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12</w:t>
            </w:r>
            <w:r>
              <w:rPr>
                <w:rFonts w:hint="eastAsia" w:ascii="宋体" w:hAnsi="宋体"/>
                <w:color w:val="auto"/>
                <w:szCs w:val="21"/>
                <w:highlight w:val="none"/>
              </w:rPr>
              <w:t>投标函部分的格式要求法定代表人或其委托代理人签名（或盖章）的须齐全，</w:t>
            </w:r>
            <w:r>
              <w:rPr>
                <w:rFonts w:hint="eastAsia" w:ascii="宋体" w:hAnsi="宋体"/>
                <w:color w:val="auto"/>
                <w:szCs w:val="21"/>
                <w:highlight w:val="none"/>
                <w:lang w:val="en-US" w:eastAsia="zh-CN"/>
              </w:rPr>
              <w:t>要求签名的，</w:t>
            </w:r>
            <w:r>
              <w:rPr>
                <w:rFonts w:hint="eastAsia" w:ascii="宋体" w:hAnsi="宋体"/>
                <w:color w:val="auto"/>
                <w:szCs w:val="21"/>
                <w:highlight w:val="none"/>
              </w:rPr>
              <w:t>签名采用手写签名</w:t>
            </w:r>
            <w:r>
              <w:rPr>
                <w:rFonts w:hint="eastAsia" w:ascii="宋体" w:hAnsi="宋体"/>
                <w:color w:val="auto"/>
                <w:szCs w:val="21"/>
                <w:highlight w:val="none"/>
                <w:lang w:val="en-US" w:eastAsia="zh-CN"/>
              </w:rPr>
              <w:t>或签章</w:t>
            </w:r>
            <w:r>
              <w:rPr>
                <w:rFonts w:hint="eastAsia" w:ascii="宋体" w:hAnsi="宋体"/>
                <w:color w:val="auto"/>
                <w:szCs w:val="21"/>
                <w:highlight w:val="none"/>
              </w:rPr>
              <w:t>或加盖CA数字证书均可</w:t>
            </w:r>
            <w:r>
              <w:rPr>
                <w:rFonts w:hint="eastAsia" w:ascii="宋体" w:hAnsi="宋体"/>
                <w:color w:val="auto"/>
                <w:szCs w:val="21"/>
                <w:highlight w:val="none"/>
                <w:lang w:eastAsia="zh-CN"/>
              </w:rPr>
              <w:t>，</w:t>
            </w:r>
            <w:r>
              <w:rPr>
                <w:rFonts w:hint="eastAsia" w:ascii="宋体" w:hAnsi="宋体"/>
                <w:color w:val="auto"/>
                <w:szCs w:val="21"/>
                <w:highlight w:val="none"/>
              </w:rPr>
              <w:t>要求加盖单位法人章的，应使用 CA 数字证书加盖投标人的单位电子印章，否则由评标委员会作否决投标处理。</w:t>
            </w:r>
          </w:p>
        </w:tc>
      </w:tr>
      <w:tr w14:paraId="31A559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2A08BB9D">
            <w:pPr>
              <w:spacing w:line="400" w:lineRule="exact"/>
              <w:jc w:val="center"/>
              <w:rPr>
                <w:rFonts w:ascii="宋体" w:hAnsi="宋体"/>
                <w:color w:val="auto"/>
                <w:szCs w:val="21"/>
                <w:highlight w:val="none"/>
              </w:rPr>
            </w:pPr>
          </w:p>
        </w:tc>
        <w:tc>
          <w:tcPr>
            <w:tcW w:w="7478" w:type="dxa"/>
            <w:vAlign w:val="center"/>
          </w:tcPr>
          <w:p w14:paraId="3D7011B9">
            <w:pPr>
              <w:suppressLineNumbers w:val="0"/>
              <w:suppressAutoHyphens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13</w:t>
            </w:r>
            <w:r>
              <w:rPr>
                <w:rFonts w:hint="eastAsia" w:ascii="宋体" w:hAnsi="宋体"/>
                <w:color w:val="auto"/>
                <w:szCs w:val="21"/>
                <w:highlight w:val="none"/>
                <w:lang w:eastAsia="zh-CN"/>
              </w:rPr>
              <w:t>服务期限</w:t>
            </w:r>
            <w:r>
              <w:rPr>
                <w:rFonts w:hint="eastAsia" w:ascii="宋体" w:hAnsi="宋体"/>
                <w:color w:val="auto"/>
                <w:szCs w:val="21"/>
                <w:highlight w:val="none"/>
              </w:rPr>
              <w:t>符合第二章“投标人须知”第1.3.2项规定，否则由评标委员会作否决投标处理。</w:t>
            </w:r>
          </w:p>
        </w:tc>
      </w:tr>
      <w:tr w14:paraId="5C3971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1CECD943">
            <w:pPr>
              <w:spacing w:line="400" w:lineRule="exact"/>
              <w:jc w:val="center"/>
              <w:rPr>
                <w:rFonts w:ascii="宋体" w:hAnsi="宋体"/>
                <w:color w:val="auto"/>
                <w:szCs w:val="21"/>
                <w:highlight w:val="none"/>
              </w:rPr>
            </w:pPr>
          </w:p>
        </w:tc>
        <w:tc>
          <w:tcPr>
            <w:tcW w:w="7478" w:type="dxa"/>
            <w:vAlign w:val="center"/>
          </w:tcPr>
          <w:p w14:paraId="2404034D">
            <w:pPr>
              <w:suppressLineNumbers w:val="0"/>
              <w:suppressAutoHyphens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14</w:t>
            </w:r>
            <w:r>
              <w:rPr>
                <w:rFonts w:hint="eastAsia" w:ascii="宋体" w:hAnsi="宋体"/>
                <w:color w:val="auto"/>
                <w:szCs w:val="21"/>
                <w:highlight w:val="none"/>
              </w:rPr>
              <w:t>质量标准符合第二章“投标人须知”第1.3.3项规定，否则由评标委员会作否决投标处理。</w:t>
            </w:r>
          </w:p>
        </w:tc>
      </w:tr>
      <w:tr w14:paraId="743613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4F73537D">
            <w:pPr>
              <w:spacing w:line="400" w:lineRule="exact"/>
              <w:jc w:val="center"/>
              <w:rPr>
                <w:rFonts w:ascii="宋体" w:hAnsi="宋体"/>
                <w:color w:val="auto"/>
                <w:szCs w:val="21"/>
                <w:highlight w:val="none"/>
              </w:rPr>
            </w:pPr>
          </w:p>
        </w:tc>
        <w:tc>
          <w:tcPr>
            <w:tcW w:w="7478" w:type="dxa"/>
            <w:vAlign w:val="center"/>
          </w:tcPr>
          <w:p w14:paraId="06307739">
            <w:pPr>
              <w:suppressLineNumbers w:val="0"/>
              <w:suppressAutoHyphens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15</w:t>
            </w:r>
            <w:r>
              <w:rPr>
                <w:rFonts w:hint="eastAsia" w:ascii="宋体" w:hAnsi="宋体"/>
                <w:color w:val="auto"/>
                <w:szCs w:val="21"/>
                <w:highlight w:val="none"/>
              </w:rPr>
              <w:t>投标有效期符合第二章“投标人须知”第3.3.1项规定，否则由评标委员会作否决投标处理。</w:t>
            </w:r>
          </w:p>
        </w:tc>
      </w:tr>
      <w:tr w14:paraId="1083C2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6704789F">
            <w:pPr>
              <w:spacing w:line="400" w:lineRule="exact"/>
              <w:jc w:val="center"/>
              <w:rPr>
                <w:rFonts w:ascii="宋体" w:hAnsi="宋体"/>
                <w:color w:val="auto"/>
                <w:szCs w:val="21"/>
                <w:highlight w:val="none"/>
              </w:rPr>
            </w:pPr>
          </w:p>
        </w:tc>
        <w:tc>
          <w:tcPr>
            <w:tcW w:w="7478" w:type="dxa"/>
            <w:vAlign w:val="center"/>
          </w:tcPr>
          <w:p w14:paraId="580C12B5">
            <w:pPr>
              <w:suppressLineNumbers w:val="0"/>
              <w:suppressAutoHyphens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16</w:t>
            </w:r>
            <w:r>
              <w:rPr>
                <w:rFonts w:hint="eastAsia" w:ascii="宋体" w:hAnsi="宋体"/>
                <w:color w:val="auto"/>
                <w:szCs w:val="21"/>
                <w:highlight w:val="none"/>
              </w:rPr>
              <w:t>投标函中的投标报价</w:t>
            </w:r>
            <w:r>
              <w:rPr>
                <w:rFonts w:ascii="宋体" w:hAnsi="宋体"/>
                <w:color w:val="auto"/>
                <w:szCs w:val="21"/>
                <w:highlight w:val="none"/>
              </w:rPr>
              <w:t>不得高于招标人公布的投标报价最高限价</w:t>
            </w:r>
            <w:r>
              <w:rPr>
                <w:rFonts w:hint="eastAsia" w:ascii="宋体" w:hAnsi="宋体"/>
                <w:color w:val="auto"/>
                <w:szCs w:val="21"/>
                <w:highlight w:val="none"/>
              </w:rPr>
              <w:t>，否则由评标委员会作否决投标处理。</w:t>
            </w:r>
          </w:p>
        </w:tc>
      </w:tr>
      <w:tr w14:paraId="1E63C9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515" w:type="dxa"/>
            <w:vMerge w:val="continue"/>
            <w:vAlign w:val="center"/>
          </w:tcPr>
          <w:p w14:paraId="6FA2D4B0">
            <w:pPr>
              <w:spacing w:line="400" w:lineRule="exact"/>
              <w:jc w:val="center"/>
              <w:rPr>
                <w:rFonts w:ascii="宋体" w:hAnsi="宋体"/>
                <w:color w:val="auto"/>
                <w:szCs w:val="21"/>
                <w:highlight w:val="none"/>
              </w:rPr>
            </w:pPr>
          </w:p>
        </w:tc>
        <w:tc>
          <w:tcPr>
            <w:tcW w:w="7478" w:type="dxa"/>
            <w:vAlign w:val="center"/>
          </w:tcPr>
          <w:p w14:paraId="19FACF16">
            <w:pPr>
              <w:suppressLineNumbers w:val="0"/>
              <w:suppressAutoHyphens w:val="0"/>
              <w:spacing w:line="400" w:lineRule="exact"/>
              <w:ind w:firstLine="420" w:firstLineChars="200"/>
              <w:rPr>
                <w:rFonts w:ascii="宋体" w:hAnsi="宋体"/>
                <w:color w:val="auto"/>
                <w:szCs w:val="21"/>
                <w:highlight w:val="none"/>
              </w:rPr>
            </w:pPr>
            <w:r>
              <w:rPr>
                <w:rFonts w:hint="eastAsia" w:asciiTheme="minorEastAsia" w:hAnsiTheme="minorEastAsia" w:eastAsiaTheme="minorEastAsia" w:cstheme="minorEastAsia"/>
                <w:i w:val="0"/>
                <w:iCs w:val="0"/>
                <w:color w:val="auto"/>
                <w:sz w:val="21"/>
                <w:szCs w:val="21"/>
                <w:highlight w:val="none"/>
                <w:u w:val="none"/>
                <w:lang w:val="en-US" w:eastAsia="zh-CN"/>
              </w:rPr>
              <w:t>A-17</w:t>
            </w:r>
            <w:r>
              <w:rPr>
                <w:rFonts w:hint="eastAsia" w:ascii="宋体" w:hAnsi="宋体"/>
                <w:color w:val="auto"/>
                <w:szCs w:val="21"/>
                <w:highlight w:val="none"/>
              </w:rPr>
              <w:t>投标报价有算术错误的，按照第三章“评标办法”第3.</w:t>
            </w:r>
            <w:r>
              <w:rPr>
                <w:rFonts w:hint="eastAsia" w:ascii="宋体" w:hAnsi="宋体" w:eastAsia="宋体"/>
                <w:color w:val="auto"/>
                <w:szCs w:val="21"/>
                <w:highlight w:val="none"/>
                <w:lang w:val="en-US" w:eastAsia="zh-CN"/>
              </w:rPr>
              <w:t>1</w:t>
            </w:r>
            <w:r>
              <w:rPr>
                <w:rFonts w:hint="eastAsia" w:ascii="宋体" w:hAnsi="宋体"/>
                <w:color w:val="auto"/>
                <w:szCs w:val="21"/>
                <w:highlight w:val="none"/>
              </w:rPr>
              <w:t>.3项规定执行，否则由评标委员会作否决投标处理。</w:t>
            </w:r>
          </w:p>
        </w:tc>
      </w:tr>
      <w:tr w14:paraId="0C2F4A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Align w:val="center"/>
          </w:tcPr>
          <w:p w14:paraId="542F7856">
            <w:pPr>
              <w:spacing w:line="400" w:lineRule="exact"/>
              <w:jc w:val="center"/>
              <w:rPr>
                <w:rFonts w:ascii="宋体" w:hAnsi="宋体"/>
                <w:color w:val="auto"/>
                <w:szCs w:val="21"/>
                <w:highlight w:val="none"/>
              </w:rPr>
            </w:pPr>
            <w:r>
              <w:rPr>
                <w:rFonts w:hint="eastAsia" w:ascii="宋体" w:hAnsi="宋体"/>
                <w:color w:val="auto"/>
                <w:szCs w:val="21"/>
                <w:highlight w:val="none"/>
              </w:rPr>
              <w:t>其他</w:t>
            </w:r>
          </w:p>
        </w:tc>
        <w:tc>
          <w:tcPr>
            <w:tcW w:w="7478" w:type="dxa"/>
          </w:tcPr>
          <w:p w14:paraId="0BD581D7">
            <w:pPr>
              <w:ind w:firstLine="480"/>
              <w:rPr>
                <w:rFonts w:hint="default" w:ascii="宋体" w:hAnsi="宋体" w:eastAsia="宋体"/>
                <w:i/>
                <w:color w:val="auto"/>
                <w:szCs w:val="21"/>
                <w:highlight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A-18招标文件及法律法规规定的其他否决投标处理情形。</w:t>
            </w:r>
          </w:p>
        </w:tc>
      </w:tr>
    </w:tbl>
    <w:p w14:paraId="086C7F1A">
      <w:pPr>
        <w:widowControl/>
        <w:spacing w:line="360" w:lineRule="auto"/>
        <w:rPr>
          <w:rFonts w:ascii="宋体" w:hAnsi="宋体"/>
          <w:color w:val="auto"/>
          <w:kern w:val="0"/>
          <w:szCs w:val="21"/>
          <w:highlight w:val="none"/>
        </w:rPr>
      </w:pPr>
    </w:p>
    <w:p w14:paraId="179330C9">
      <w:pPr>
        <w:rPr>
          <w:rFonts w:ascii="Calibri" w:hAnsi="Calibri"/>
          <w:color w:val="auto"/>
          <w:szCs w:val="22"/>
          <w:highlight w:val="none"/>
        </w:rPr>
      </w:pPr>
    </w:p>
    <w:p w14:paraId="359183FD">
      <w:pPr>
        <w:spacing w:line="240" w:lineRule="auto"/>
        <w:ind w:firstLine="0" w:firstLineChars="0"/>
        <w:rPr>
          <w:color w:val="auto"/>
          <w:szCs w:val="22"/>
          <w:highlight w:val="none"/>
        </w:rPr>
      </w:pPr>
      <w:r>
        <w:rPr>
          <w:color w:val="auto"/>
          <w:szCs w:val="22"/>
          <w:highlight w:val="none"/>
        </w:rPr>
        <w:br w:type="page"/>
      </w:r>
    </w:p>
    <w:p w14:paraId="6DE6E534">
      <w:pPr>
        <w:rPr>
          <w:rFonts w:hint="eastAsia"/>
          <w:color w:val="auto"/>
          <w:highlight w:val="none"/>
        </w:rPr>
      </w:pPr>
    </w:p>
    <w:p w14:paraId="224E7916">
      <w:pPr>
        <w:pStyle w:val="12"/>
        <w:rPr>
          <w:rFonts w:hint="eastAsia"/>
          <w:color w:val="auto"/>
          <w:highlight w:val="none"/>
        </w:rPr>
      </w:pPr>
    </w:p>
    <w:p w14:paraId="6B55CC95">
      <w:pPr>
        <w:pStyle w:val="2"/>
        <w:jc w:val="center"/>
        <w:rPr>
          <w:color w:val="auto"/>
          <w:highlight w:val="none"/>
        </w:rPr>
      </w:pPr>
      <w:bookmarkStart w:id="694" w:name="_Toc19651"/>
      <w:bookmarkStart w:id="695" w:name="_Toc19578"/>
      <w:bookmarkStart w:id="696" w:name="_Toc15502"/>
      <w:bookmarkStart w:id="697" w:name="_Toc12112"/>
      <w:r>
        <w:rPr>
          <w:rFonts w:hint="eastAsia"/>
          <w:color w:val="auto"/>
          <w:highlight w:val="none"/>
        </w:rPr>
        <w:t>第四章 合同条款及格式</w:t>
      </w:r>
      <w:bookmarkEnd w:id="688"/>
      <w:bookmarkEnd w:id="689"/>
      <w:bookmarkEnd w:id="690"/>
      <w:bookmarkEnd w:id="691"/>
      <w:bookmarkEnd w:id="692"/>
      <w:bookmarkEnd w:id="693"/>
      <w:bookmarkEnd w:id="694"/>
      <w:bookmarkEnd w:id="695"/>
      <w:bookmarkEnd w:id="696"/>
      <w:bookmarkEnd w:id="697"/>
    </w:p>
    <w:p w14:paraId="56292430">
      <w:pPr>
        <w:autoSpaceDE w:val="0"/>
        <w:autoSpaceDN w:val="0"/>
        <w:spacing w:before="120" w:beforeLines="50" w:after="120" w:afterLines="50" w:line="360" w:lineRule="auto"/>
        <w:jc w:val="center"/>
        <w:rPr>
          <w:rFonts w:hint="eastAsia" w:ascii="宋体" w:hAnsi="宋体" w:eastAsia="宋体" w:cs="宋体"/>
          <w:b/>
          <w:color w:val="auto"/>
          <w:sz w:val="28"/>
          <w:szCs w:val="28"/>
          <w:highlight w:val="none"/>
          <w:lang w:eastAsia="zh-CN"/>
        </w:rPr>
      </w:pPr>
      <w:bookmarkStart w:id="698" w:name="_Toc24851"/>
      <w:bookmarkStart w:id="699" w:name="_Toc25784"/>
      <w:r>
        <w:rPr>
          <w:rFonts w:hint="eastAsia" w:ascii="宋体" w:hAnsi="宋体" w:cs="宋体"/>
          <w:b/>
          <w:color w:val="auto"/>
          <w:sz w:val="28"/>
          <w:szCs w:val="28"/>
          <w:highlight w:val="none"/>
          <w:lang w:eastAsia="zh-CN"/>
        </w:rPr>
        <w:t>（最终协议以甲乙双方实际签订为准）</w:t>
      </w:r>
    </w:p>
    <w:p w14:paraId="5B091818">
      <w:pPr>
        <w:spacing w:line="500" w:lineRule="exact"/>
        <w:rPr>
          <w:rFonts w:hint="eastAsia" w:ascii="方正仿宋_GBK" w:eastAsia="方正仿宋_GBK"/>
          <w:color w:val="auto"/>
          <w:szCs w:val="28"/>
          <w:highlight w:val="none"/>
        </w:rPr>
      </w:pPr>
      <w:bookmarkStart w:id="700" w:name="_Hlk88146938"/>
      <w:r>
        <w:rPr>
          <w:rFonts w:hint="eastAsia" w:ascii="方正仿宋_GBK" w:eastAsia="方正仿宋_GBK"/>
          <w:color w:val="auto"/>
          <w:szCs w:val="28"/>
          <w:highlight w:val="none"/>
        </w:rPr>
        <w:t>甲方：</w:t>
      </w:r>
      <w:r>
        <w:rPr>
          <w:rFonts w:hint="eastAsia" w:ascii="方正仿宋_GBK" w:eastAsia="方正仿宋_GBK"/>
          <w:color w:val="auto"/>
          <w:szCs w:val="28"/>
          <w:highlight w:val="none"/>
          <w:u w:val="single"/>
        </w:rPr>
        <w:t xml:space="preserve">                           </w:t>
      </w:r>
      <w:r>
        <w:rPr>
          <w:rFonts w:hint="eastAsia" w:ascii="方正仿宋_GBK" w:eastAsia="方正仿宋_GBK"/>
          <w:color w:val="auto"/>
          <w:szCs w:val="28"/>
          <w:highlight w:val="none"/>
        </w:rPr>
        <w:t xml:space="preserve">     </w:t>
      </w:r>
    </w:p>
    <w:p w14:paraId="0882FAE5">
      <w:pPr>
        <w:spacing w:line="500" w:lineRule="exact"/>
        <w:rPr>
          <w:rFonts w:hint="eastAsia" w:ascii="方正仿宋_GBK" w:eastAsia="方正仿宋_GBK"/>
          <w:color w:val="auto"/>
          <w:szCs w:val="28"/>
          <w:highlight w:val="none"/>
        </w:rPr>
      </w:pPr>
      <w:r>
        <w:rPr>
          <w:rFonts w:hint="eastAsia" w:ascii="方正仿宋_GBK" w:eastAsia="方正仿宋_GBK"/>
          <w:color w:val="auto"/>
          <w:szCs w:val="28"/>
          <w:highlight w:val="none"/>
        </w:rPr>
        <w:t>乙方：</w:t>
      </w:r>
      <w:r>
        <w:rPr>
          <w:rFonts w:hint="eastAsia" w:ascii="方正仿宋_GBK" w:eastAsia="方正仿宋_GBK"/>
          <w:color w:val="auto"/>
          <w:szCs w:val="28"/>
          <w:highlight w:val="none"/>
          <w:u w:val="single"/>
        </w:rPr>
        <w:t xml:space="preserve">                           </w:t>
      </w:r>
      <w:r>
        <w:rPr>
          <w:rFonts w:hint="eastAsia" w:ascii="方正仿宋_GBK" w:eastAsia="方正仿宋_GBK"/>
          <w:color w:val="auto"/>
          <w:szCs w:val="28"/>
          <w:highlight w:val="none"/>
        </w:rPr>
        <w:t xml:space="preserve">    </w:t>
      </w:r>
    </w:p>
    <w:p w14:paraId="413A009C">
      <w:pPr>
        <w:spacing w:line="500" w:lineRule="exact"/>
        <w:rPr>
          <w:rFonts w:hint="eastAsia" w:ascii="方正仿宋_GBK" w:eastAsia="方正仿宋_GBK"/>
          <w:color w:val="auto"/>
          <w:szCs w:val="28"/>
          <w:highlight w:val="none"/>
        </w:rPr>
      </w:pPr>
      <w:r>
        <w:rPr>
          <w:rFonts w:hint="eastAsia" w:ascii="方正仿宋_GBK" w:eastAsia="方正仿宋_GBK"/>
          <w:color w:val="auto"/>
          <w:szCs w:val="28"/>
          <w:highlight w:val="none"/>
        </w:rPr>
        <w:t>经甲乙双方协商一致，达成以下购销合同：</w:t>
      </w:r>
    </w:p>
    <w:bookmarkEnd w:id="700"/>
    <w:tbl>
      <w:tblPr>
        <w:tblStyle w:val="24"/>
        <w:tblW w:w="8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5"/>
        <w:gridCol w:w="1761"/>
        <w:gridCol w:w="2079"/>
        <w:gridCol w:w="1363"/>
      </w:tblGrid>
      <w:tr w14:paraId="371D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75" w:type="dxa"/>
            <w:noWrap w:val="0"/>
            <w:vAlign w:val="center"/>
          </w:tcPr>
          <w:p w14:paraId="01366470">
            <w:pPr>
              <w:spacing w:line="240" w:lineRule="atLeast"/>
              <w:jc w:val="center"/>
              <w:rPr>
                <w:rFonts w:hint="eastAsia" w:ascii="方正仿宋_GBK" w:eastAsia="方正仿宋_GBK"/>
                <w:color w:val="auto"/>
                <w:szCs w:val="28"/>
                <w:highlight w:val="none"/>
              </w:rPr>
            </w:pPr>
            <w:r>
              <w:rPr>
                <w:rFonts w:hint="eastAsia" w:ascii="方正仿宋_GBK" w:eastAsia="方正仿宋_GBK"/>
                <w:color w:val="auto"/>
                <w:szCs w:val="28"/>
                <w:highlight w:val="none"/>
              </w:rPr>
              <w:t>项目名称</w:t>
            </w:r>
          </w:p>
        </w:tc>
        <w:tc>
          <w:tcPr>
            <w:tcW w:w="1761" w:type="dxa"/>
            <w:noWrap w:val="0"/>
            <w:vAlign w:val="center"/>
          </w:tcPr>
          <w:p w14:paraId="47730C25">
            <w:pPr>
              <w:spacing w:line="240" w:lineRule="atLeast"/>
              <w:jc w:val="center"/>
              <w:rPr>
                <w:rFonts w:hint="eastAsia" w:ascii="方正仿宋_GBK" w:eastAsia="方正仿宋_GBK"/>
                <w:color w:val="auto"/>
                <w:szCs w:val="28"/>
                <w:highlight w:val="none"/>
              </w:rPr>
            </w:pPr>
            <w:r>
              <w:rPr>
                <w:rFonts w:hint="eastAsia" w:ascii="方正仿宋_GBK" w:eastAsia="方正仿宋_GBK"/>
                <w:color w:val="auto"/>
                <w:szCs w:val="28"/>
                <w:highlight w:val="none"/>
              </w:rPr>
              <w:t>数量</w:t>
            </w:r>
          </w:p>
        </w:tc>
        <w:tc>
          <w:tcPr>
            <w:tcW w:w="2079" w:type="dxa"/>
            <w:noWrap w:val="0"/>
            <w:vAlign w:val="center"/>
          </w:tcPr>
          <w:p w14:paraId="188F4D64">
            <w:pPr>
              <w:spacing w:line="240" w:lineRule="atLeast"/>
              <w:jc w:val="center"/>
              <w:rPr>
                <w:rFonts w:hint="eastAsia" w:ascii="方正仿宋_GBK" w:eastAsia="方正仿宋_GBK"/>
                <w:color w:val="auto"/>
                <w:szCs w:val="28"/>
                <w:highlight w:val="none"/>
              </w:rPr>
            </w:pPr>
            <w:r>
              <w:rPr>
                <w:rFonts w:hint="eastAsia" w:ascii="方正仿宋_GBK" w:eastAsia="方正仿宋_GBK"/>
                <w:color w:val="auto"/>
                <w:szCs w:val="28"/>
                <w:highlight w:val="none"/>
                <w:lang w:eastAsia="zh-CN"/>
              </w:rPr>
              <w:t>服务内容</w:t>
            </w:r>
          </w:p>
        </w:tc>
        <w:tc>
          <w:tcPr>
            <w:tcW w:w="1363" w:type="dxa"/>
            <w:noWrap w:val="0"/>
            <w:vAlign w:val="center"/>
          </w:tcPr>
          <w:p w14:paraId="119FF3AB">
            <w:pPr>
              <w:spacing w:line="240" w:lineRule="atLeast"/>
              <w:jc w:val="center"/>
              <w:rPr>
                <w:rFonts w:hint="eastAsia" w:ascii="方正仿宋_GBK" w:eastAsia="方正仿宋_GBK"/>
                <w:color w:val="auto"/>
                <w:szCs w:val="28"/>
                <w:highlight w:val="none"/>
              </w:rPr>
            </w:pPr>
            <w:r>
              <w:rPr>
                <w:rFonts w:hint="eastAsia" w:ascii="方正仿宋_GBK" w:eastAsia="方正仿宋_GBK"/>
                <w:color w:val="auto"/>
                <w:szCs w:val="28"/>
                <w:highlight w:val="none"/>
              </w:rPr>
              <w:t>备注</w:t>
            </w:r>
          </w:p>
        </w:tc>
      </w:tr>
      <w:tr w14:paraId="5F5B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75" w:type="dxa"/>
            <w:noWrap w:val="0"/>
            <w:vAlign w:val="center"/>
          </w:tcPr>
          <w:p w14:paraId="73318883">
            <w:pPr>
              <w:spacing w:line="240" w:lineRule="atLeast"/>
              <w:jc w:val="center"/>
              <w:rPr>
                <w:rFonts w:hint="eastAsia" w:ascii="方正仿宋_GBK" w:eastAsia="方正仿宋_GBK"/>
                <w:color w:val="auto"/>
                <w:szCs w:val="28"/>
                <w:highlight w:val="none"/>
              </w:rPr>
            </w:pPr>
          </w:p>
        </w:tc>
        <w:tc>
          <w:tcPr>
            <w:tcW w:w="1761" w:type="dxa"/>
            <w:noWrap w:val="0"/>
            <w:vAlign w:val="center"/>
          </w:tcPr>
          <w:p w14:paraId="592A178A">
            <w:pPr>
              <w:spacing w:line="240" w:lineRule="atLeast"/>
              <w:jc w:val="center"/>
              <w:rPr>
                <w:rFonts w:hint="eastAsia" w:ascii="方正仿宋_GBK" w:eastAsia="方正仿宋_GBK"/>
                <w:color w:val="auto"/>
                <w:szCs w:val="28"/>
                <w:highlight w:val="none"/>
              </w:rPr>
            </w:pPr>
          </w:p>
        </w:tc>
        <w:tc>
          <w:tcPr>
            <w:tcW w:w="2079" w:type="dxa"/>
            <w:noWrap w:val="0"/>
            <w:vAlign w:val="center"/>
          </w:tcPr>
          <w:p w14:paraId="26853C32">
            <w:pPr>
              <w:spacing w:line="240" w:lineRule="atLeast"/>
              <w:jc w:val="center"/>
              <w:rPr>
                <w:rFonts w:hint="eastAsia" w:ascii="方正仿宋_GBK" w:eastAsia="方正仿宋_GBK"/>
                <w:color w:val="auto"/>
                <w:szCs w:val="28"/>
                <w:highlight w:val="none"/>
              </w:rPr>
            </w:pPr>
          </w:p>
        </w:tc>
        <w:tc>
          <w:tcPr>
            <w:tcW w:w="1363" w:type="dxa"/>
            <w:noWrap w:val="0"/>
            <w:vAlign w:val="center"/>
          </w:tcPr>
          <w:p w14:paraId="0E0F844A">
            <w:pPr>
              <w:spacing w:line="240" w:lineRule="atLeast"/>
              <w:jc w:val="center"/>
              <w:rPr>
                <w:rFonts w:hint="eastAsia" w:ascii="方正仿宋_GBK" w:eastAsia="方正仿宋_GBK"/>
                <w:color w:val="auto"/>
                <w:szCs w:val="28"/>
                <w:highlight w:val="none"/>
              </w:rPr>
            </w:pPr>
          </w:p>
        </w:tc>
      </w:tr>
      <w:tr w14:paraId="608F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78" w:type="dxa"/>
            <w:gridSpan w:val="4"/>
            <w:noWrap w:val="0"/>
            <w:vAlign w:val="center"/>
          </w:tcPr>
          <w:p w14:paraId="0CEE32A6">
            <w:pPr>
              <w:spacing w:line="240" w:lineRule="atLeast"/>
              <w:rPr>
                <w:rFonts w:hint="eastAsia" w:ascii="方正仿宋_GBK" w:eastAsia="方正仿宋_GBK"/>
                <w:color w:val="auto"/>
                <w:szCs w:val="28"/>
                <w:highlight w:val="none"/>
              </w:rPr>
            </w:pPr>
            <w:r>
              <w:rPr>
                <w:rFonts w:hint="eastAsia" w:ascii="方正仿宋_GBK" w:eastAsia="方正仿宋_GBK"/>
                <w:color w:val="auto"/>
                <w:szCs w:val="28"/>
                <w:highlight w:val="none"/>
              </w:rPr>
              <w:t>合计人民币（小写）：</w:t>
            </w:r>
          </w:p>
        </w:tc>
      </w:tr>
      <w:tr w14:paraId="2114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278" w:type="dxa"/>
            <w:gridSpan w:val="4"/>
            <w:noWrap w:val="0"/>
            <w:vAlign w:val="center"/>
          </w:tcPr>
          <w:p w14:paraId="1D9981DE">
            <w:pPr>
              <w:spacing w:line="240" w:lineRule="atLeast"/>
              <w:rPr>
                <w:rFonts w:hint="eastAsia" w:ascii="方正仿宋_GBK" w:eastAsia="方正仿宋_GBK"/>
                <w:color w:val="auto"/>
                <w:szCs w:val="28"/>
                <w:highlight w:val="none"/>
              </w:rPr>
            </w:pPr>
            <w:r>
              <w:rPr>
                <w:rFonts w:hint="eastAsia" w:ascii="方正仿宋_GBK" w:eastAsia="方正仿宋_GBK"/>
                <w:color w:val="auto"/>
                <w:szCs w:val="28"/>
                <w:highlight w:val="none"/>
              </w:rPr>
              <w:t>合计人民币（大写）：</w:t>
            </w:r>
          </w:p>
        </w:tc>
      </w:tr>
      <w:tr w14:paraId="4F72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278" w:type="dxa"/>
            <w:gridSpan w:val="4"/>
            <w:noWrap w:val="0"/>
            <w:vAlign w:val="top"/>
          </w:tcPr>
          <w:p w14:paraId="210713DE">
            <w:pPr>
              <w:spacing w:line="240" w:lineRule="atLeast"/>
              <w:rPr>
                <w:rFonts w:hint="eastAsia" w:ascii="方正仿宋_GBK" w:eastAsia="方正仿宋_GBK"/>
                <w:color w:val="auto"/>
                <w:szCs w:val="28"/>
                <w:highlight w:val="none"/>
              </w:rPr>
            </w:pPr>
            <w:r>
              <w:rPr>
                <w:rFonts w:hint="eastAsia" w:ascii="方正仿宋_GBK" w:eastAsia="方正仿宋_GBK"/>
                <w:color w:val="auto"/>
                <w:szCs w:val="28"/>
                <w:highlight w:val="none"/>
              </w:rPr>
              <w:t>一、项目要求</w:t>
            </w:r>
          </w:p>
          <w:p w14:paraId="1A802BB3">
            <w:pPr>
              <w:spacing w:line="240" w:lineRule="atLeast"/>
              <w:rPr>
                <w:rFonts w:ascii="方正仿宋_GBK" w:eastAsia="方正仿宋_GBK"/>
                <w:color w:val="auto"/>
                <w:szCs w:val="28"/>
                <w:highlight w:val="none"/>
              </w:rPr>
            </w:pPr>
          </w:p>
        </w:tc>
      </w:tr>
      <w:tr w14:paraId="72A2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278" w:type="dxa"/>
            <w:gridSpan w:val="4"/>
            <w:noWrap w:val="0"/>
            <w:vAlign w:val="top"/>
          </w:tcPr>
          <w:p w14:paraId="734EE49E">
            <w:pPr>
              <w:spacing w:line="240" w:lineRule="atLeast"/>
              <w:rPr>
                <w:rFonts w:hint="eastAsia" w:ascii="方正仿宋_GBK" w:eastAsia="方正仿宋_GBK"/>
                <w:color w:val="auto"/>
                <w:szCs w:val="28"/>
                <w:highlight w:val="none"/>
              </w:rPr>
            </w:pPr>
            <w:r>
              <w:rPr>
                <w:rFonts w:hint="eastAsia" w:ascii="方正仿宋_GBK" w:eastAsia="方正仿宋_GBK"/>
                <w:color w:val="auto"/>
                <w:szCs w:val="28"/>
                <w:highlight w:val="none"/>
              </w:rPr>
              <w:t>二、服务期、服务地点及考核方式</w:t>
            </w:r>
          </w:p>
          <w:p w14:paraId="7FB1EDA5">
            <w:pPr>
              <w:spacing w:line="240" w:lineRule="atLeast"/>
              <w:rPr>
                <w:rFonts w:ascii="方正仿宋_GBK" w:eastAsia="方正仿宋_GBK"/>
                <w:color w:val="auto"/>
                <w:szCs w:val="28"/>
                <w:highlight w:val="none"/>
              </w:rPr>
            </w:pPr>
          </w:p>
        </w:tc>
      </w:tr>
      <w:tr w14:paraId="7B6D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278" w:type="dxa"/>
            <w:gridSpan w:val="4"/>
            <w:noWrap w:val="0"/>
            <w:vAlign w:val="top"/>
          </w:tcPr>
          <w:p w14:paraId="57A260F5">
            <w:pPr>
              <w:spacing w:line="240" w:lineRule="atLeast"/>
              <w:rPr>
                <w:rFonts w:hint="eastAsia" w:ascii="方正仿宋_GBK" w:eastAsia="方正仿宋_GBK"/>
                <w:color w:val="auto"/>
                <w:szCs w:val="28"/>
                <w:highlight w:val="none"/>
              </w:rPr>
            </w:pPr>
            <w:r>
              <w:rPr>
                <w:rFonts w:hint="eastAsia" w:ascii="方正仿宋_GBK" w:eastAsia="方正仿宋_GBK"/>
                <w:color w:val="auto"/>
                <w:szCs w:val="28"/>
                <w:highlight w:val="none"/>
              </w:rPr>
              <w:t>三、结算要求</w:t>
            </w:r>
          </w:p>
          <w:p w14:paraId="16D41E4A">
            <w:pPr>
              <w:spacing w:line="240" w:lineRule="atLeast"/>
              <w:rPr>
                <w:rFonts w:hint="eastAsia" w:ascii="方正仿宋_GBK" w:eastAsia="方正仿宋_GBK"/>
                <w:color w:val="auto"/>
                <w:szCs w:val="28"/>
                <w:highlight w:val="none"/>
              </w:rPr>
            </w:pPr>
          </w:p>
        </w:tc>
      </w:tr>
      <w:tr w14:paraId="748E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278" w:type="dxa"/>
            <w:gridSpan w:val="4"/>
            <w:noWrap w:val="0"/>
            <w:vAlign w:val="center"/>
          </w:tcPr>
          <w:p w14:paraId="46CD6CE4">
            <w:pPr>
              <w:spacing w:line="240" w:lineRule="atLeast"/>
              <w:rPr>
                <w:rFonts w:hint="eastAsia" w:ascii="方正仿宋_GBK" w:eastAsia="方正仿宋_GBK"/>
                <w:color w:val="auto"/>
                <w:szCs w:val="28"/>
                <w:highlight w:val="none"/>
              </w:rPr>
            </w:pPr>
            <w:r>
              <w:rPr>
                <w:rFonts w:hint="eastAsia" w:ascii="方正仿宋_GBK" w:eastAsia="方正仿宋_GBK"/>
                <w:color w:val="auto"/>
                <w:szCs w:val="28"/>
                <w:highlight w:val="none"/>
              </w:rPr>
              <w:t>四、履约保证金</w:t>
            </w:r>
          </w:p>
          <w:p w14:paraId="161B2C90">
            <w:pPr>
              <w:spacing w:line="240" w:lineRule="atLeast"/>
              <w:rPr>
                <w:rFonts w:hint="eastAsia" w:ascii="方正仿宋_GBK" w:eastAsia="方正仿宋_GBK"/>
                <w:color w:val="auto"/>
                <w:szCs w:val="28"/>
                <w:highlight w:val="none"/>
              </w:rPr>
            </w:pPr>
          </w:p>
        </w:tc>
      </w:tr>
      <w:tr w14:paraId="69B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278" w:type="dxa"/>
            <w:gridSpan w:val="4"/>
            <w:noWrap w:val="0"/>
            <w:vAlign w:val="top"/>
          </w:tcPr>
          <w:p w14:paraId="20942483">
            <w:pPr>
              <w:spacing w:line="240" w:lineRule="atLeast"/>
              <w:rPr>
                <w:rFonts w:hint="eastAsia" w:ascii="方正仿宋_GBK" w:eastAsia="方正仿宋_GBK"/>
                <w:color w:val="auto"/>
                <w:szCs w:val="28"/>
                <w:highlight w:val="none"/>
              </w:rPr>
            </w:pPr>
            <w:r>
              <w:rPr>
                <w:rFonts w:hint="eastAsia" w:ascii="方正仿宋_GBK" w:eastAsia="方正仿宋_GBK"/>
                <w:color w:val="auto"/>
                <w:szCs w:val="28"/>
                <w:highlight w:val="none"/>
              </w:rPr>
              <w:t>五、付款方式：</w:t>
            </w:r>
          </w:p>
          <w:p w14:paraId="2A713491">
            <w:pPr>
              <w:jc w:val="left"/>
              <w:rPr>
                <w:rFonts w:hint="eastAsia" w:ascii="方正仿宋_GBK" w:hAnsi="宋体" w:eastAsia="方正仿宋_GBK" w:cs="宋体"/>
                <w:color w:val="auto"/>
                <w:kern w:val="0"/>
                <w:sz w:val="30"/>
                <w:szCs w:val="30"/>
                <w:highlight w:val="none"/>
              </w:rPr>
            </w:pPr>
          </w:p>
        </w:tc>
      </w:tr>
      <w:tr w14:paraId="3BE3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8278" w:type="dxa"/>
            <w:gridSpan w:val="4"/>
            <w:noWrap w:val="0"/>
            <w:vAlign w:val="top"/>
          </w:tcPr>
          <w:p w14:paraId="6435DBC6">
            <w:pPr>
              <w:spacing w:line="240" w:lineRule="atLeast"/>
              <w:rPr>
                <w:rFonts w:hint="eastAsia" w:ascii="方正仿宋_GBK" w:eastAsia="方正仿宋_GBK"/>
                <w:color w:val="auto"/>
                <w:szCs w:val="28"/>
                <w:highlight w:val="none"/>
              </w:rPr>
            </w:pPr>
            <w:r>
              <w:rPr>
                <w:rFonts w:hint="eastAsia" w:ascii="方正仿宋_GBK" w:eastAsia="方正仿宋_GBK"/>
                <w:color w:val="auto"/>
                <w:szCs w:val="28"/>
                <w:highlight w:val="none"/>
              </w:rPr>
              <w:t>六、违约责任：</w:t>
            </w:r>
          </w:p>
          <w:p w14:paraId="106F6C1B">
            <w:pPr>
              <w:spacing w:line="240" w:lineRule="atLeast"/>
              <w:rPr>
                <w:rFonts w:hint="eastAsia" w:ascii="方正仿宋_GBK" w:hAnsi="Times New Roman" w:eastAsia="方正仿宋_GBK" w:cs="Times New Roman"/>
                <w:color w:val="auto"/>
                <w:szCs w:val="28"/>
                <w:highlight w:val="none"/>
              </w:rPr>
            </w:pPr>
            <w:r>
              <w:rPr>
                <w:rFonts w:hint="eastAsia" w:ascii="方正仿宋_GBK" w:hAnsi="Times New Roman" w:eastAsia="方正仿宋_GBK" w:cs="Times New Roman"/>
                <w:color w:val="auto"/>
                <w:szCs w:val="28"/>
                <w:highlight w:val="none"/>
              </w:rPr>
              <w:t>按《中华人民共和国民法典》、《中华人民共和国</w:t>
            </w:r>
            <w:r>
              <w:rPr>
                <w:rFonts w:hint="eastAsia" w:ascii="方正仿宋_GBK" w:hAnsi="Times New Roman" w:eastAsia="方正仿宋_GBK" w:cs="Times New Roman"/>
                <w:color w:val="auto"/>
                <w:szCs w:val="28"/>
                <w:highlight w:val="none"/>
                <w:lang w:eastAsia="zh-CN"/>
              </w:rPr>
              <w:t>招标投标</w:t>
            </w:r>
            <w:r>
              <w:rPr>
                <w:rFonts w:hint="eastAsia" w:ascii="方正仿宋_GBK" w:hAnsi="Times New Roman" w:eastAsia="方正仿宋_GBK" w:cs="Times New Roman"/>
                <w:color w:val="auto"/>
                <w:szCs w:val="28"/>
                <w:highlight w:val="none"/>
              </w:rPr>
              <w:t>法》等执行，或按双方约定。</w:t>
            </w:r>
          </w:p>
          <w:p w14:paraId="1A06D0BD">
            <w:pPr>
              <w:spacing w:line="240" w:lineRule="atLeast"/>
              <w:rPr>
                <w:rFonts w:hint="eastAsia" w:ascii="方正仿宋_GBK" w:eastAsia="方正仿宋_GBK"/>
                <w:color w:val="auto"/>
                <w:szCs w:val="28"/>
                <w:highlight w:val="none"/>
              </w:rPr>
            </w:pPr>
            <w:r>
              <w:rPr>
                <w:rFonts w:hint="eastAsia" w:ascii="方正仿宋_GBK" w:hAnsi="Times New Roman" w:eastAsia="方正仿宋_GBK" w:cs="Times New Roman"/>
                <w:color w:val="auto"/>
                <w:szCs w:val="28"/>
                <w:highlight w:val="none"/>
              </w:rPr>
              <w:t>（</w:t>
            </w:r>
            <w:r>
              <w:rPr>
                <w:rFonts w:hint="eastAsia" w:ascii="方正仿宋_GBK" w:hAnsi="Times New Roman" w:eastAsia="方正仿宋_GBK" w:cs="Times New Roman"/>
                <w:color w:val="auto"/>
                <w:szCs w:val="28"/>
                <w:highlight w:val="none"/>
                <w:lang w:eastAsia="zh-CN"/>
              </w:rPr>
              <w:t>招标人</w:t>
            </w:r>
            <w:r>
              <w:rPr>
                <w:rFonts w:hint="eastAsia" w:ascii="方正仿宋_GBK" w:hAnsi="Times New Roman" w:eastAsia="方正仿宋_GBK" w:cs="Times New Roman"/>
                <w:color w:val="auto"/>
                <w:szCs w:val="28"/>
                <w:highlight w:val="none"/>
              </w:rPr>
              <w:t>根据招标文件规定和项目实际情</w:t>
            </w:r>
            <w:r>
              <w:rPr>
                <w:rFonts w:hint="eastAsia" w:ascii="方正仿宋_GBK" w:eastAsia="方正仿宋_GBK"/>
                <w:color w:val="auto"/>
                <w:szCs w:val="28"/>
                <w:highlight w:val="none"/>
              </w:rPr>
              <w:t>况完整填写）</w:t>
            </w:r>
          </w:p>
        </w:tc>
      </w:tr>
      <w:tr w14:paraId="4DB5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8278" w:type="dxa"/>
            <w:gridSpan w:val="4"/>
            <w:noWrap w:val="0"/>
            <w:vAlign w:val="top"/>
          </w:tcPr>
          <w:p w14:paraId="3F013838">
            <w:pPr>
              <w:spacing w:line="240" w:lineRule="atLeast"/>
              <w:rPr>
                <w:rFonts w:hint="eastAsia" w:ascii="方正仿宋_GBK" w:eastAsia="方正仿宋_GBK"/>
                <w:color w:val="auto"/>
                <w:szCs w:val="28"/>
                <w:highlight w:val="none"/>
              </w:rPr>
            </w:pPr>
            <w:r>
              <w:rPr>
                <w:rFonts w:hint="eastAsia" w:ascii="方正仿宋_GBK" w:eastAsia="方正仿宋_GBK"/>
                <w:color w:val="auto"/>
                <w:szCs w:val="28"/>
                <w:highlight w:val="none"/>
              </w:rPr>
              <w:t>七、其他约定事项：</w:t>
            </w:r>
          </w:p>
          <w:p w14:paraId="6B225A57">
            <w:pPr>
              <w:spacing w:line="240" w:lineRule="atLeast"/>
              <w:rPr>
                <w:rFonts w:hint="eastAsia" w:ascii="方正仿宋_GBK" w:eastAsia="方正仿宋_GBK"/>
                <w:color w:val="auto"/>
                <w:szCs w:val="28"/>
                <w:highlight w:val="none"/>
              </w:rPr>
            </w:pPr>
            <w:r>
              <w:rPr>
                <w:rFonts w:hint="eastAsia" w:ascii="方正仿宋_GBK" w:eastAsia="方正仿宋_GBK"/>
                <w:color w:val="auto"/>
                <w:szCs w:val="28"/>
                <w:highlight w:val="none"/>
              </w:rPr>
              <w:t>1.招标文件及其补遗文件、投标文件和承诺是本合同不可分割的部分。</w:t>
            </w:r>
          </w:p>
          <w:p w14:paraId="5BC2FADD">
            <w:pPr>
              <w:spacing w:line="240" w:lineRule="atLeast"/>
              <w:rPr>
                <w:rFonts w:hint="eastAsia" w:ascii="方正仿宋_GBK" w:eastAsia="方正仿宋_GBK"/>
                <w:color w:val="auto"/>
                <w:szCs w:val="28"/>
                <w:highlight w:val="none"/>
                <w:u w:val="single"/>
              </w:rPr>
            </w:pPr>
            <w:r>
              <w:rPr>
                <w:rFonts w:hint="eastAsia" w:ascii="方正仿宋_GBK" w:eastAsia="方正仿宋_GBK"/>
                <w:color w:val="auto"/>
                <w:szCs w:val="28"/>
                <w:highlight w:val="none"/>
              </w:rPr>
              <w:t>2.本合同如发生争议由双方协商解决，协商不成向甲方所在地人民法院提起诉讼。</w:t>
            </w:r>
          </w:p>
          <w:p w14:paraId="3B3E86FF">
            <w:pPr>
              <w:spacing w:line="240" w:lineRule="atLeast"/>
              <w:rPr>
                <w:rFonts w:hint="eastAsia" w:ascii="方正仿宋_GBK" w:eastAsia="方正仿宋_GBK"/>
                <w:color w:val="auto"/>
                <w:szCs w:val="28"/>
                <w:highlight w:val="none"/>
              </w:rPr>
            </w:pPr>
            <w:r>
              <w:rPr>
                <w:rFonts w:hint="eastAsia" w:ascii="方正仿宋_GBK" w:eastAsia="方正仿宋_GBK"/>
                <w:color w:val="auto"/>
                <w:szCs w:val="28"/>
                <w:highlight w:val="none"/>
              </w:rPr>
              <w:t>3.本合同一式</w:t>
            </w:r>
            <w:r>
              <w:rPr>
                <w:rFonts w:hint="eastAsia" w:ascii="方正仿宋_GBK" w:eastAsia="方正仿宋_GBK"/>
                <w:color w:val="auto"/>
                <w:szCs w:val="28"/>
                <w:highlight w:val="none"/>
                <w:u w:val="single"/>
              </w:rPr>
              <w:t xml:space="preserve">    </w:t>
            </w:r>
            <w:r>
              <w:rPr>
                <w:rFonts w:hint="eastAsia" w:ascii="方正仿宋_GBK" w:eastAsia="方正仿宋_GBK"/>
                <w:color w:val="auto"/>
                <w:szCs w:val="28"/>
                <w:highlight w:val="none"/>
              </w:rPr>
              <w:t>份，甲方</w:t>
            </w:r>
            <w:r>
              <w:rPr>
                <w:rFonts w:hint="eastAsia" w:ascii="方正仿宋_GBK" w:eastAsia="方正仿宋_GBK"/>
                <w:color w:val="auto"/>
                <w:szCs w:val="28"/>
                <w:highlight w:val="none"/>
                <w:u w:val="single"/>
              </w:rPr>
              <w:t xml:space="preserve"> </w:t>
            </w:r>
            <w:r>
              <w:rPr>
                <w:rFonts w:ascii="方正仿宋_GBK" w:eastAsia="方正仿宋_GBK"/>
                <w:color w:val="auto"/>
                <w:szCs w:val="28"/>
                <w:highlight w:val="none"/>
                <w:u w:val="single"/>
              </w:rPr>
              <w:t xml:space="preserve">  </w:t>
            </w:r>
            <w:r>
              <w:rPr>
                <w:rFonts w:hint="eastAsia" w:ascii="方正仿宋_GBK" w:eastAsia="方正仿宋_GBK"/>
                <w:color w:val="auto"/>
                <w:szCs w:val="28"/>
                <w:highlight w:val="none"/>
              </w:rPr>
              <w:t>份，乙方</w:t>
            </w:r>
            <w:r>
              <w:rPr>
                <w:rFonts w:hint="eastAsia" w:ascii="方正仿宋_GBK" w:eastAsia="方正仿宋_GBK"/>
                <w:color w:val="auto"/>
                <w:szCs w:val="28"/>
                <w:highlight w:val="none"/>
                <w:u w:val="single"/>
              </w:rPr>
              <w:t xml:space="preserve"> </w:t>
            </w:r>
            <w:r>
              <w:rPr>
                <w:rFonts w:ascii="方正仿宋_GBK" w:eastAsia="方正仿宋_GBK"/>
                <w:color w:val="auto"/>
                <w:szCs w:val="28"/>
                <w:highlight w:val="none"/>
                <w:u w:val="single"/>
              </w:rPr>
              <w:t xml:space="preserve"> </w:t>
            </w:r>
            <w:r>
              <w:rPr>
                <w:rFonts w:hint="eastAsia" w:ascii="方正仿宋_GBK" w:eastAsia="方正仿宋_GBK"/>
                <w:color w:val="auto"/>
                <w:szCs w:val="28"/>
                <w:highlight w:val="none"/>
              </w:rPr>
              <w:t>份，重庆市公共资源交易中心1份，大渡口区国有资产监督管理委员会1份，具备同等法律效力。</w:t>
            </w:r>
          </w:p>
          <w:p w14:paraId="0900E21E">
            <w:pPr>
              <w:spacing w:line="240" w:lineRule="atLeast"/>
              <w:rPr>
                <w:rFonts w:hint="eastAsia" w:ascii="方正仿宋_GBK" w:eastAsia="方正仿宋_GBK"/>
                <w:color w:val="auto"/>
                <w:szCs w:val="28"/>
                <w:highlight w:val="none"/>
              </w:rPr>
            </w:pPr>
            <w:r>
              <w:rPr>
                <w:rFonts w:hint="eastAsia" w:ascii="方正仿宋_GBK" w:eastAsia="方正仿宋_GBK"/>
                <w:color w:val="auto"/>
                <w:szCs w:val="28"/>
                <w:highlight w:val="none"/>
              </w:rPr>
              <w:t>4.其他：</w:t>
            </w:r>
          </w:p>
        </w:tc>
      </w:tr>
    </w:tbl>
    <w:p w14:paraId="4DC72820">
      <w:pPr>
        <w:rPr>
          <w:rFonts w:hint="eastAsia"/>
          <w:color w:val="auto"/>
          <w:highlight w:val="none"/>
        </w:rPr>
      </w:pPr>
    </w:p>
    <w:p w14:paraId="011F2D02">
      <w:pPr>
        <w:rPr>
          <w:rFonts w:hint="eastAsia"/>
          <w:color w:val="auto"/>
          <w:highlight w:val="none"/>
        </w:rPr>
      </w:pPr>
      <w:r>
        <w:rPr>
          <w:rFonts w:hint="eastAsia"/>
          <w:color w:val="auto"/>
          <w:highlight w:val="none"/>
        </w:rPr>
        <w:br w:type="page"/>
      </w:r>
    </w:p>
    <w:p w14:paraId="2E6AE1BC">
      <w:pPr>
        <w:pStyle w:val="2"/>
        <w:jc w:val="center"/>
        <w:rPr>
          <w:color w:val="auto"/>
          <w:highlight w:val="none"/>
        </w:rPr>
      </w:pPr>
      <w:bookmarkStart w:id="701" w:name="_Toc9672"/>
      <w:bookmarkStart w:id="702" w:name="_Toc1009"/>
      <w:bookmarkStart w:id="703" w:name="_Toc5138"/>
      <w:bookmarkStart w:id="704" w:name="_Toc13354"/>
      <w:r>
        <w:rPr>
          <w:rFonts w:hint="eastAsia"/>
          <w:color w:val="auto"/>
          <w:highlight w:val="none"/>
        </w:rPr>
        <w:t>第五章</w:t>
      </w:r>
      <w:bookmarkEnd w:id="698"/>
      <w:bookmarkStart w:id="705" w:name="_Toc5687"/>
      <w:r>
        <w:rPr>
          <w:rFonts w:hint="eastAsia"/>
          <w:color w:val="auto"/>
          <w:highlight w:val="none"/>
          <w:lang w:val="en-US" w:eastAsia="zh-CN"/>
        </w:rPr>
        <w:t xml:space="preserve"> </w:t>
      </w:r>
      <w:r>
        <w:rPr>
          <w:color w:val="auto"/>
          <w:highlight w:val="none"/>
        </w:rPr>
        <w:t>发包人要求</w:t>
      </w:r>
      <w:bookmarkEnd w:id="699"/>
      <w:bookmarkEnd w:id="701"/>
      <w:bookmarkEnd w:id="702"/>
      <w:bookmarkEnd w:id="703"/>
      <w:bookmarkEnd w:id="704"/>
      <w:bookmarkEnd w:id="705"/>
    </w:p>
    <w:p w14:paraId="4853E52F">
      <w:pPr>
        <w:rPr>
          <w:rFonts w:hint="eastAsia"/>
          <w:color w:val="auto"/>
          <w:highlight w:val="none"/>
        </w:rPr>
      </w:pPr>
      <w:bookmarkStart w:id="706" w:name="_Toc6982"/>
      <w:bookmarkStart w:id="707" w:name="_Toc509218852"/>
      <w:bookmarkStart w:id="708" w:name="_Toc18907"/>
      <w:bookmarkStart w:id="709" w:name="_Toc534185829"/>
      <w:bookmarkStart w:id="710" w:name="_Toc57820646"/>
      <w:bookmarkStart w:id="711" w:name="_Toc430530528"/>
      <w:bookmarkStart w:id="712" w:name="_Toc32646"/>
      <w:bookmarkStart w:id="713" w:name="_Toc430530514"/>
      <w:bookmarkStart w:id="714" w:name="_Toc277082638"/>
      <w:bookmarkStart w:id="715" w:name="_Toc224103477"/>
      <w:bookmarkStart w:id="716" w:name="_Toc287620798"/>
      <w:bookmarkStart w:id="717" w:name="_Toc287607856"/>
      <w:r>
        <w:rPr>
          <w:rFonts w:hint="eastAsia"/>
          <w:color w:val="auto"/>
          <w:highlight w:val="none"/>
        </w:rPr>
        <w:br w:type="page"/>
      </w:r>
    </w:p>
    <w:p w14:paraId="3CD2D253">
      <w:pPr>
        <w:pStyle w:val="2"/>
        <w:numPr>
          <w:ilvl w:val="0"/>
          <w:numId w:val="0"/>
        </w:numPr>
        <w:tabs>
          <w:tab w:val="left" w:pos="1530"/>
          <w:tab w:val="left" w:pos="3360"/>
        </w:tabs>
        <w:spacing w:before="0" w:beforeLines="0" w:after="0" w:afterLines="0" w:line="480" w:lineRule="auto"/>
        <w:ind w:leftChars="0"/>
        <w:jc w:val="center"/>
        <w:rPr>
          <w:rFonts w:hint="eastAsia" w:ascii="微软雅黑" w:hAnsi="微软雅黑" w:eastAsia="微软雅黑"/>
          <w:b/>
          <w:color w:val="auto"/>
          <w:sz w:val="36"/>
          <w:szCs w:val="36"/>
          <w:highlight w:val="none"/>
          <w:lang w:val="en-US" w:eastAsia="zh-CN"/>
        </w:rPr>
      </w:pPr>
      <w:bookmarkStart w:id="718" w:name="_Toc18180"/>
      <w:bookmarkStart w:id="719" w:name="_Toc647"/>
      <w:bookmarkStart w:id="720" w:name="_Toc707"/>
      <w:r>
        <w:rPr>
          <w:rFonts w:hint="eastAsia" w:ascii="微软雅黑" w:hAnsi="微软雅黑" w:eastAsia="微软雅黑"/>
          <w:b/>
          <w:color w:val="auto"/>
          <w:sz w:val="36"/>
          <w:szCs w:val="36"/>
          <w:highlight w:val="none"/>
        </w:rPr>
        <w:t>项目</w:t>
      </w:r>
      <w:r>
        <w:rPr>
          <w:rFonts w:hint="eastAsia" w:ascii="微软雅黑" w:hAnsi="微软雅黑" w:eastAsia="微软雅黑"/>
          <w:b/>
          <w:color w:val="auto"/>
          <w:sz w:val="36"/>
          <w:szCs w:val="36"/>
          <w:highlight w:val="none"/>
          <w:lang w:val="en-US" w:eastAsia="zh-CN"/>
        </w:rPr>
        <w:t>技术</w:t>
      </w:r>
      <w:r>
        <w:rPr>
          <w:rFonts w:hint="eastAsia" w:ascii="微软雅黑" w:hAnsi="微软雅黑" w:eastAsia="微软雅黑"/>
          <w:b/>
          <w:color w:val="auto"/>
          <w:sz w:val="36"/>
          <w:szCs w:val="36"/>
          <w:highlight w:val="none"/>
        </w:rPr>
        <w:t>服务及质量要求</w:t>
      </w:r>
      <w:bookmarkEnd w:id="718"/>
      <w:bookmarkEnd w:id="719"/>
      <w:r>
        <w:rPr>
          <w:rFonts w:hint="eastAsia" w:ascii="微软雅黑" w:hAnsi="微软雅黑" w:eastAsia="微软雅黑"/>
          <w:b/>
          <w:color w:val="auto"/>
          <w:sz w:val="36"/>
          <w:szCs w:val="36"/>
          <w:highlight w:val="none"/>
          <w:lang w:eastAsia="zh-CN"/>
        </w:rPr>
        <w:t>：</w:t>
      </w:r>
      <w:bookmarkEnd w:id="720"/>
    </w:p>
    <w:p w14:paraId="3753C04A">
      <w:pPr>
        <w:pStyle w:val="3"/>
        <w:keepNext/>
        <w:keepLines/>
        <w:pageBreakBefore w:val="0"/>
        <w:widowControl w:val="0"/>
        <w:kinsoku/>
        <w:wordWrap/>
        <w:overflowPunct/>
        <w:topLinePunct w:val="0"/>
        <w:autoSpaceDE/>
        <w:autoSpaceDN/>
        <w:bidi w:val="0"/>
        <w:adjustRightInd w:val="0"/>
        <w:snapToGrid w:val="0"/>
        <w:spacing w:line="520" w:lineRule="exact"/>
        <w:textAlignment w:val="auto"/>
        <w:rPr>
          <w:rFonts w:hint="eastAsia" w:ascii="微软雅黑" w:hAnsi="微软雅黑" w:eastAsia="微软雅黑" w:cs="Calibri"/>
          <w:b/>
          <w:color w:val="auto"/>
          <w:sz w:val="24"/>
          <w:highlight w:val="none"/>
          <w:lang w:val="en-US" w:eastAsia="zh-CN"/>
        </w:rPr>
      </w:pPr>
      <w:bookmarkStart w:id="721" w:name="_Toc27642872"/>
      <w:bookmarkStart w:id="722" w:name="_Toc15215"/>
      <w:bookmarkStart w:id="723" w:name="_Toc31973"/>
      <w:bookmarkStart w:id="724" w:name="_Toc19052"/>
      <w:r>
        <w:rPr>
          <w:rFonts w:hint="eastAsia" w:ascii="微软雅黑" w:hAnsi="微软雅黑" w:eastAsia="微软雅黑" w:cs="Calibri"/>
          <w:b/>
          <w:color w:val="auto"/>
          <w:sz w:val="24"/>
          <w:highlight w:val="none"/>
          <w:lang w:val="en-US" w:eastAsia="zh-CN"/>
        </w:rPr>
        <w:t>一、项目基本</w:t>
      </w:r>
      <w:bookmarkEnd w:id="721"/>
      <w:bookmarkEnd w:id="722"/>
      <w:r>
        <w:rPr>
          <w:rFonts w:hint="eastAsia" w:ascii="微软雅黑" w:hAnsi="微软雅黑" w:eastAsia="微软雅黑" w:cs="Calibri"/>
          <w:b/>
          <w:color w:val="auto"/>
          <w:sz w:val="24"/>
          <w:highlight w:val="none"/>
          <w:lang w:val="en-US" w:eastAsia="zh-CN"/>
        </w:rPr>
        <w:t>概况介绍</w:t>
      </w:r>
      <w:bookmarkEnd w:id="723"/>
      <w:bookmarkEnd w:id="724"/>
    </w:p>
    <w:p w14:paraId="4BBBF59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活动名称：2026大渡口半程马拉松</w:t>
      </w:r>
    </w:p>
    <w:p w14:paraId="2E3BFDC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活动时间：2026年3月22日</w:t>
      </w:r>
    </w:p>
    <w:p w14:paraId="163FA4B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活动地点：大渡口区滨江路音乐营地</w:t>
      </w:r>
    </w:p>
    <w:p w14:paraId="65888911">
      <w:pPr>
        <w:pageBreakBefore w:val="0"/>
        <w:wordWrap/>
        <w:overflowPunct/>
        <w:topLinePunct w:val="0"/>
        <w:bidi w:val="0"/>
        <w:spacing w:line="590" w:lineRule="exact"/>
        <w:ind w:firstLine="420" w:firstLineChars="0"/>
        <w:rPr>
          <w:rFonts w:hint="default"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主办单位：中共重庆市</w:t>
      </w:r>
      <w:r>
        <w:rPr>
          <w:rFonts w:hint="default" w:ascii="微软雅黑" w:hAnsi="微软雅黑" w:eastAsia="微软雅黑" w:cs="微软雅黑"/>
          <w:b w:val="0"/>
          <w:bCs w:val="0"/>
          <w:color w:val="auto"/>
          <w:sz w:val="21"/>
          <w:szCs w:val="21"/>
          <w:highlight w:val="none"/>
          <w:lang w:val="en-US" w:eastAsia="zh-CN"/>
        </w:rPr>
        <w:t>大渡口区</w:t>
      </w:r>
      <w:r>
        <w:rPr>
          <w:rFonts w:hint="eastAsia" w:ascii="微软雅黑" w:hAnsi="微软雅黑" w:eastAsia="微软雅黑" w:cs="微软雅黑"/>
          <w:b w:val="0"/>
          <w:bCs w:val="0"/>
          <w:color w:val="auto"/>
          <w:sz w:val="21"/>
          <w:szCs w:val="21"/>
          <w:highlight w:val="none"/>
          <w:lang w:val="en-US" w:eastAsia="zh-CN"/>
        </w:rPr>
        <w:t>委、</w:t>
      </w:r>
      <w:r>
        <w:rPr>
          <w:rFonts w:hint="default" w:ascii="微软雅黑" w:hAnsi="微软雅黑" w:eastAsia="微软雅黑" w:cs="微软雅黑"/>
          <w:b w:val="0"/>
          <w:bCs w:val="0"/>
          <w:color w:val="auto"/>
          <w:sz w:val="21"/>
          <w:szCs w:val="21"/>
          <w:highlight w:val="none"/>
          <w:lang w:val="en-US" w:eastAsia="zh-CN"/>
        </w:rPr>
        <w:t>重庆市大渡口区人民政府</w:t>
      </w:r>
    </w:p>
    <w:p w14:paraId="62F2CE2D">
      <w:pPr>
        <w:pageBreakBefore w:val="0"/>
        <w:wordWrap/>
        <w:overflowPunct/>
        <w:topLinePunct w:val="0"/>
        <w:bidi w:val="0"/>
        <w:spacing w:line="590" w:lineRule="exact"/>
        <w:ind w:firstLine="420" w:firstLineChars="0"/>
        <w:rPr>
          <w:rFonts w:hint="default"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承办单位：</w:t>
      </w:r>
      <w:r>
        <w:rPr>
          <w:rFonts w:hint="default" w:ascii="微软雅黑" w:hAnsi="微软雅黑" w:eastAsia="微软雅黑" w:cs="微软雅黑"/>
          <w:b w:val="0"/>
          <w:bCs w:val="0"/>
          <w:color w:val="auto"/>
          <w:sz w:val="21"/>
          <w:szCs w:val="21"/>
          <w:highlight w:val="none"/>
          <w:lang w:val="en-US" w:eastAsia="zh-CN"/>
        </w:rPr>
        <w:t>重庆市大渡口区文化和旅游发展委员会（体育局）</w:t>
      </w:r>
      <w:r>
        <w:rPr>
          <w:rFonts w:hint="eastAsia" w:ascii="微软雅黑" w:hAnsi="微软雅黑" w:eastAsia="微软雅黑" w:cs="微软雅黑"/>
          <w:b w:val="0"/>
          <w:bCs w:val="0"/>
          <w:color w:val="auto"/>
          <w:sz w:val="21"/>
          <w:szCs w:val="21"/>
          <w:highlight w:val="none"/>
          <w:lang w:val="en-US" w:eastAsia="zh-CN"/>
        </w:rPr>
        <w:t>、重</w:t>
      </w:r>
      <w:r>
        <w:rPr>
          <w:rFonts w:hint="default" w:ascii="微软雅黑" w:hAnsi="微软雅黑" w:eastAsia="微软雅黑" w:cs="微软雅黑"/>
          <w:b w:val="0"/>
          <w:bCs w:val="0"/>
          <w:color w:val="auto"/>
          <w:sz w:val="21"/>
          <w:szCs w:val="21"/>
          <w:highlight w:val="none"/>
          <w:lang w:val="en-US" w:eastAsia="zh-CN"/>
        </w:rPr>
        <w:t>庆市大渡口</w:t>
      </w:r>
      <w:r>
        <w:rPr>
          <w:rFonts w:hint="eastAsia" w:ascii="微软雅黑" w:hAnsi="微软雅黑" w:eastAsia="微软雅黑" w:cs="微软雅黑"/>
          <w:b w:val="0"/>
          <w:bCs w:val="0"/>
          <w:color w:val="auto"/>
          <w:sz w:val="21"/>
          <w:szCs w:val="21"/>
          <w:highlight w:val="none"/>
          <w:lang w:val="en-US" w:eastAsia="zh-CN"/>
        </w:rPr>
        <w:t>区</w:t>
      </w:r>
      <w:r>
        <w:rPr>
          <w:rFonts w:hint="default" w:ascii="微软雅黑" w:hAnsi="微软雅黑" w:eastAsia="微软雅黑" w:cs="微软雅黑"/>
          <w:b w:val="0"/>
          <w:bCs w:val="0"/>
          <w:color w:val="auto"/>
          <w:sz w:val="21"/>
          <w:szCs w:val="21"/>
          <w:highlight w:val="none"/>
          <w:lang w:val="en-US" w:eastAsia="zh-CN"/>
        </w:rPr>
        <w:t>新晟发建设有限公司</w:t>
      </w:r>
    </w:p>
    <w:p w14:paraId="33849E8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参与人数：</w:t>
      </w:r>
      <w:bookmarkStart w:id="725" w:name="_Toc10140"/>
      <w:bookmarkStart w:id="726" w:name="_Toc2614"/>
      <w:r>
        <w:rPr>
          <w:rFonts w:hint="eastAsia" w:ascii="微软雅黑" w:hAnsi="微软雅黑" w:eastAsia="微软雅黑" w:cs="微软雅黑"/>
          <w:b w:val="0"/>
          <w:bCs w:val="0"/>
          <w:color w:val="auto"/>
          <w:sz w:val="21"/>
          <w:szCs w:val="21"/>
          <w:highlight w:val="none"/>
          <w:lang w:val="en-US" w:eastAsia="zh-CN"/>
        </w:rPr>
        <w:t>半程马拉松10000人</w:t>
      </w:r>
      <w:bookmarkEnd w:id="725"/>
      <w:bookmarkEnd w:id="726"/>
    </w:p>
    <w:p w14:paraId="0DF7551C">
      <w:pPr>
        <w:pStyle w:val="3"/>
        <w:keepNext/>
        <w:keepLines/>
        <w:pageBreakBefore w:val="0"/>
        <w:widowControl w:val="0"/>
        <w:kinsoku/>
        <w:wordWrap/>
        <w:overflowPunct/>
        <w:topLinePunct w:val="0"/>
        <w:autoSpaceDE/>
        <w:autoSpaceDN/>
        <w:bidi w:val="0"/>
        <w:adjustRightInd w:val="0"/>
        <w:snapToGrid w:val="0"/>
        <w:spacing w:line="520" w:lineRule="exact"/>
        <w:textAlignment w:val="auto"/>
        <w:rPr>
          <w:rFonts w:hint="eastAsia" w:ascii="微软雅黑" w:hAnsi="微软雅黑" w:eastAsia="微软雅黑" w:cs="Calibri"/>
          <w:b/>
          <w:color w:val="auto"/>
          <w:sz w:val="24"/>
          <w:highlight w:val="none"/>
          <w:lang w:val="en-US" w:eastAsia="zh-CN"/>
        </w:rPr>
      </w:pPr>
      <w:bookmarkStart w:id="727" w:name="_Toc13160"/>
      <w:bookmarkStart w:id="728" w:name="_Toc27642873"/>
      <w:bookmarkStart w:id="729" w:name="_Toc28606"/>
      <w:bookmarkStart w:id="730" w:name="_Toc21376"/>
      <w:r>
        <w:rPr>
          <w:rFonts w:hint="eastAsia" w:ascii="微软雅黑" w:hAnsi="微软雅黑" w:eastAsia="微软雅黑" w:cs="Calibri"/>
          <w:b/>
          <w:color w:val="auto"/>
          <w:sz w:val="24"/>
          <w:highlight w:val="none"/>
          <w:lang w:val="en-US" w:eastAsia="zh-CN"/>
        </w:rPr>
        <w:t>二、</w:t>
      </w:r>
      <w:bookmarkEnd w:id="727"/>
      <w:bookmarkEnd w:id="728"/>
      <w:r>
        <w:rPr>
          <w:rFonts w:hint="eastAsia" w:ascii="微软雅黑" w:hAnsi="微软雅黑" w:eastAsia="微软雅黑" w:cs="Calibri"/>
          <w:b/>
          <w:color w:val="auto"/>
          <w:sz w:val="24"/>
          <w:highlight w:val="none"/>
          <w:lang w:val="zh-CN" w:eastAsia="zh-CN"/>
        </w:rPr>
        <w:t>项目服务</w:t>
      </w:r>
      <w:r>
        <w:rPr>
          <w:rFonts w:hint="eastAsia" w:ascii="微软雅黑" w:hAnsi="微软雅黑" w:eastAsia="微软雅黑" w:cs="Calibri"/>
          <w:b/>
          <w:color w:val="auto"/>
          <w:sz w:val="24"/>
          <w:highlight w:val="none"/>
          <w:lang w:val="en-US" w:eastAsia="zh-CN"/>
        </w:rPr>
        <w:t>及质量</w:t>
      </w:r>
      <w:r>
        <w:rPr>
          <w:rFonts w:hint="eastAsia" w:ascii="微软雅黑" w:hAnsi="微软雅黑" w:eastAsia="微软雅黑" w:cs="Calibri"/>
          <w:b/>
          <w:color w:val="auto"/>
          <w:sz w:val="24"/>
          <w:highlight w:val="none"/>
          <w:lang w:val="zh-CN" w:eastAsia="zh-CN"/>
        </w:rPr>
        <w:t>要求</w:t>
      </w:r>
      <w:bookmarkEnd w:id="729"/>
      <w:bookmarkEnd w:id="730"/>
    </w:p>
    <w:p w14:paraId="0DE17B9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负责承担2026大渡口半程马拉松赛事和相关赛事配套活动的策划、VI视觉效果和物料设计、赛事风险评估、赛事安全风险防控、赛事应急预案及应急处置、赛事医疗保障、参赛选手招募管理、竞赛组织和器材保障、裁判员组织管理、志愿者招募及管理、媒体宣传推广、后勤接待及相关保障、赛道和场地布置、所需竞赛隔离铁马（租赁）、赛事保安劳务、氛围营造、配套活动、各类证件和资料印制、赛事市场开发、按照中国田径协会办赛要求购买保险、税金、裁判员、运动员、志愿者服装、裁判员交通劳务和食宿、志愿者用餐和交通培训及前期赛道勘察丈量，及其实施过程中所产生的所有工作开支及合同包含的所有风险、责任等各项全部费用。</w:t>
      </w:r>
    </w:p>
    <w:p w14:paraId="2B8D83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为确保赛事顺利有序进行，具体要求落实以下几个方面的相关工作：</w:t>
      </w:r>
    </w:p>
    <w:p w14:paraId="141882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（一）赛事总体策划</w:t>
      </w:r>
    </w:p>
    <w:p w14:paraId="7E3AEFA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负责根据</w:t>
      </w:r>
      <w:r>
        <w:rPr>
          <w:rFonts w:hint="eastAsia" w:ascii="微软雅黑" w:hAnsi="微软雅黑" w:eastAsia="微软雅黑" w:cs="微软雅黑"/>
          <w:b w:val="0"/>
          <w:bCs w:val="0"/>
          <w:color w:val="auto"/>
          <w:sz w:val="21"/>
          <w:szCs w:val="21"/>
          <w:highlight w:val="none"/>
          <w:lang w:val="en-US" w:eastAsia="zh-CN"/>
        </w:rPr>
        <w:t>活动地点的</w:t>
      </w:r>
      <w:r>
        <w:rPr>
          <w:rFonts w:hint="eastAsia" w:ascii="微软雅黑" w:hAnsi="微软雅黑" w:eastAsia="微软雅黑" w:cs="微软雅黑"/>
          <w:color w:val="auto"/>
          <w:sz w:val="21"/>
          <w:szCs w:val="21"/>
          <w:highlight w:val="none"/>
          <w:lang w:val="en-US" w:eastAsia="zh-CN"/>
        </w:rPr>
        <w:t>实际情况开展赛事项目总体策划、赛事宣传、赛事运营方案等的制定和执行等；制定赛事组织方案（包括报名工作方案、芯片计时、成绩统计及排名工作方案、运动员存取衣工作方案、线路及点位描述手册、赛前物品发放工作方案、裁判员岗位管理方案、志愿者招募及管理方案、赛事收容工作方案、起终点及沿途工作方案、 证件管理方案、赛事车辆保障方案、反兴奋剂工作方案、赛事气象信息监控方案、配套活动方案、熔断机制等相关内容详尽方案），VI视觉效果和物料设计、赛事应急处置方案、赛事医疗保障方案、赛事安全风险防控方案；包括赛事主题口号、通过赛事举办所要达到的目标及其实施路径、赛事形象设计、本次赛事线路制定及特点描述等，要求能充分展现大渡口半程马拉松赛事特点、易于传播。做好赛事商业运作和市场开发，扩大赛事品牌知名度。</w:t>
      </w:r>
    </w:p>
    <w:p w14:paraId="50CC4C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（二）赛事市场开发</w:t>
      </w:r>
    </w:p>
    <w:p w14:paraId="61F67E9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做好赛事商业运作和市场开发，扩大赛事品牌知名度。负责撰写招商方案及市场运营工作方案；负责协助采购人进行赞助商资源整理和对接。赛事冠名赞助商、冠名赛事名称及形象标识、标牌等设计确定之前须征得采购人同意。</w:t>
      </w:r>
    </w:p>
    <w:p w14:paraId="65946BE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（三）参赛选手招募</w:t>
      </w:r>
    </w:p>
    <w:p w14:paraId="26E2DED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参赛人数招募及管理，半程马拉松10000人。</w:t>
      </w:r>
    </w:p>
    <w:p w14:paraId="3FBE238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（四）竞赛和器材保障</w:t>
      </w:r>
    </w:p>
    <w:p w14:paraId="344B2C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竞赛组织裁判及计时器材保障由中标人全权负责。同时，中标人负责按照竞赛需求提供各类保障和全部竞赛组织工作，内容包括：制定比赛线路、起终点计划；制定和制作竞赛规则、规程、赛事日程；活动装备发放等，具体包括但不限于：</w:t>
      </w:r>
    </w:p>
    <w:p w14:paraId="159FC4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1.承担赛事指导、注册、等相关费用及赛道丈量专业人员、赛事裁判员往返大渡口的差旅费、在大渡口期间的食宿费等。 </w:t>
      </w:r>
    </w:p>
    <w:p w14:paraId="334742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2.承担赛事裁判员、工作人员比赛期间的差旅费、劳务费、 在赛事期间的食宿接待，差旅费和劳务费按中国田径协会相关标准执行。承担赛前 裁判员培训、技术会议、察看线路等工作的交通、会场安排等费用。裁判员差旅费、劳务费须在比赛当天结算支付完毕。 </w:t>
      </w:r>
    </w:p>
    <w:p w14:paraId="499BD18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3.提供竞赛器材,包含比赛奖金、计时设备及参赛装备等其他物料； 按中国田协标准设置，增加年龄组选手奖项；提供前三名获奖运动员的奖牌、证书、鲜花。</w:t>
      </w:r>
    </w:p>
    <w:p w14:paraId="21368D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4.提供符合竞赛要求的相关项目号码布，为完赛选手提供完赛奖牌，提供足量的存放衣物袋、参赛服、竞赛保障物品和完赛物品等。 </w:t>
      </w:r>
    </w:p>
    <w:p w14:paraId="4EAD88F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5.承担赛事报名系统平台租赁费用；提供符合比赛要求的感应器计时系统和半程参赛选手感应计时芯片；提供满足比赛要求的裁判员、后勤保障人员无线通讯系统和设备；提供裁判所需的服装、电脑、打印机和相应耗材。</w:t>
      </w:r>
    </w:p>
    <w:p w14:paraId="1DCD3C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6.按照中国田径协会要求为所有参赛选手、裁判员、工作人员等投保人身意外险（含突发性死亡保险赔付）。 </w:t>
      </w:r>
    </w:p>
    <w:p w14:paraId="0C5DC8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7.设计制作提供各类证件、印刷资料，包括但不限于志愿者证、车辆通行证、安保人员证、媒体记者证、工作人员证等。</w:t>
      </w:r>
    </w:p>
    <w:p w14:paraId="7052A4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（五）志愿者管理及培训</w:t>
      </w:r>
    </w:p>
    <w:p w14:paraId="4D4704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中标人负责管理、培训、用餐、车辆接送安排，合理做好志愿者的培训、岗位分配和比赛期间的集结投放，承担所有相关费用。乙方需制订满足上述（四）需求的竞赛和器材保障方案，并根据比赛时间节点明确倒计时实施进度计划，以及配备相应的工作人员。</w:t>
      </w:r>
    </w:p>
    <w:p w14:paraId="25E45A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（六）开幕式、颁奖仪式组织工作</w:t>
      </w:r>
    </w:p>
    <w:p w14:paraId="3526A72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负责开幕式（含起跑式和颁奖仪式）组织工作及第三方人员聘请及物料准备，活动主持人（马拉松赛事经验丰富）、健身教练、礼仪、发令枪等仪式相关物料。</w:t>
      </w:r>
    </w:p>
    <w:p w14:paraId="20299447">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媒体宣传推广</w:t>
      </w:r>
    </w:p>
    <w:p w14:paraId="25B14F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负责制定各类媒体宣传推广方案，明确具体计划安排以及负责媒体宣传推广的人员配备情况。负责新闻媒体的对接发布；负责对接现场直播工作，制订报名前（具体时间以竞赛规程为准）、赛前、赛中、赛后在各类媒体、社会类实体广告的具体宣传推广计划，电视网络直播计划安排，以及负责媒体宣传推广的人员配备情况和各种费用的缴纳。负责做好本次马拉松微信公众平台的信息更新和维护。提交的媒体宣传推广计划须经采购人同意后由中标人负责组织实施；</w:t>
      </w:r>
    </w:p>
    <w:p w14:paraId="02EBF26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1.主流媒体：电视新闻报道、平面媒体、广播电视媒体、网络媒体、网络直播（其中：国家级媒体2家以上，市级媒体5家以上，网络媒体若干）。</w:t>
      </w:r>
    </w:p>
    <w:p w14:paraId="082237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2.大数据分析报告：根据活动参与人数、报道媒体整理并分析数据，最终印制汇编成册并附活动图片视频集锦。</w:t>
      </w:r>
    </w:p>
    <w:p w14:paraId="7F04A3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3.赛事亮点整理及新闻推送；</w:t>
      </w:r>
    </w:p>
    <w:p w14:paraId="433E686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4.负责赛事影像记录工作及赛事资料的整理；</w:t>
      </w:r>
    </w:p>
    <w:p w14:paraId="2263E0F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（八）后勤保障</w:t>
      </w:r>
    </w:p>
    <w:p w14:paraId="20E4BF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制订后勤保障方案，确保饮用水、饮料和食品质量安全，明确各类食品分装、发放流程、各类车辆分配和运输线路安排等，并根据比赛时间节点明确倒计时实施进度计划，以及相应的工作人员配置，包括但不限于：</w:t>
      </w:r>
    </w:p>
    <w:p w14:paraId="79AE054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1.配合进行出席嘉宾接待工作。 </w:t>
      </w:r>
    </w:p>
    <w:p w14:paraId="7F26BE4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2.提供运动员、裁判员、志愿者、工作人员需要的足量的饮用水、功能饮料、运动员完赛补给食品。比赛当天的志愿者、裁判员、工作人员早餐。（其他竞赛物资如海绵、一次性雨衣、降温系统、能量胶、盐丸、赛事喷雾等乙方根据比赛需要足量配备。），赛后可为马拉松选手提供拉伸服务。 </w:t>
      </w:r>
    </w:p>
    <w:p w14:paraId="10A8EBF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3.提供足够比赛使用的厢式货车，志愿者和裁判员接送、运动员摆渡、运动员收容大客车，并承担相关费用。 </w:t>
      </w:r>
    </w:p>
    <w:p w14:paraId="73A3A8F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4.按照中国田径协会要求提供移动公厕，并配保洁员。</w:t>
      </w:r>
    </w:p>
    <w:p w14:paraId="11BD79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（九）医疗救护：制定医疗救护方案含医疗点人员及救护车组织并协助实施。协助保险理赔工作。</w:t>
      </w:r>
    </w:p>
    <w:p w14:paraId="3284417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十）安全保卫：制定本次赛事总体安保方案，协助主办方做好赛事安全保卫工作。负责与相关后勤保障部门对接，完成交通、保险、后勤保障、接待等赛事保障工作。负责与公安交警等安保部门合作，确定比赛线路、赛道安保隔离方案、主会场安保隔离方案、赛道封道时间等安保工作并承担相关费用。</w:t>
      </w:r>
    </w:p>
    <w:p w14:paraId="007C77D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（十一）负责制定赛事应急预案，现场布置及氛围营造。负责针对竞赛和器材保障、志愿者招募管理、媒体宣传推广、后勤保障、 赛道和场地布置等工作可能遇到的突发性情况制定应急预案；</w:t>
      </w:r>
    </w:p>
    <w:p w14:paraId="66C6C592">
      <w:pPr>
        <w:pStyle w:val="19"/>
        <w:tabs>
          <w:tab w:val="left" w:pos="1260"/>
          <w:tab w:val="left" w:pos="1685"/>
          <w:tab w:val="right" w:leader="dot" w:pos="8400"/>
        </w:tabs>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   (十二）其他事项</w:t>
      </w:r>
    </w:p>
    <w:p w14:paraId="6AF916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  1.负责赛事官方报名系统的建设和日常维护；负责赛事报名工作及报名费的收取和管理，赛事结算后报名费由中标单位所得；负责报名系统后台的调整、启动及报名工作、定期汇报报名情况； </w:t>
      </w:r>
    </w:p>
    <w:p w14:paraId="430A5011">
      <w:pPr>
        <w:keepNext w:val="0"/>
        <w:keepLines w:val="0"/>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2.负责组建竞赛团队，包括总裁判长、裁判长、裁判员、比赛监督、工作人员等；负责组织裁判员、志愿者会议，培训并定点定岗； </w:t>
      </w:r>
    </w:p>
    <w:p w14:paraId="39EA9BF7">
      <w:pPr>
        <w:keepNext w:val="0"/>
        <w:keepLines w:val="0"/>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3.负责运动员集结、站位、现场秩序等工作； </w:t>
      </w:r>
    </w:p>
    <w:p w14:paraId="7A10A2D4">
      <w:pPr>
        <w:keepNext w:val="0"/>
        <w:keepLines w:val="0"/>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4.负责赛事主视觉及所有物料延展设计； </w:t>
      </w:r>
    </w:p>
    <w:p w14:paraId="0758FFCC">
      <w:pPr>
        <w:keepNext w:val="0"/>
        <w:keepLines w:val="0"/>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5.负责制定竞赛规程、参赛人员安全协议、参赛声明、参赛须知等； </w:t>
      </w:r>
    </w:p>
    <w:p w14:paraId="009E2662">
      <w:pPr>
        <w:keepNext w:val="0"/>
        <w:keepLines w:val="0"/>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6.确定赛事物资（必需品）清单及计划表，采购并管理赛事物资； </w:t>
      </w:r>
    </w:p>
    <w:p w14:paraId="6F4EB802">
      <w:pPr>
        <w:keepNext w:val="0"/>
        <w:keepLines w:val="0"/>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7.制定运动员参赛物资发放工作方案； </w:t>
      </w:r>
    </w:p>
    <w:p w14:paraId="4D0BD499">
      <w:pPr>
        <w:keepNext w:val="0"/>
        <w:keepLines w:val="0"/>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8.负责开展赛事会场及赛道的详细规划方案和执行工作，包括勘察路线，申请中国田径协会安排丈量等；按照中国田协马拉松比赛A类的标准要求进行赛道和场地布置，具体包括但不限于主背景墙、主宣传电子屏、起点拱门、终点拱门、主席台和颁奖台、音响、起点检录区、终点成绩统计区、终点物品发放区、终点衣物领取区、里程提示牌、补给提示牌、导引提示牌、地贴指示、沿线饮用水和饮料食品补给站、竞赛隔离铁马（租赁）、隔离带、A字牌、冲刺带、活动桌椅、各类宣传广告牌和道旗、注水旗、电缆等； </w:t>
      </w:r>
    </w:p>
    <w:p w14:paraId="2BA6A103">
      <w:pPr>
        <w:keepNext w:val="0"/>
        <w:keepLines w:val="0"/>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9.应制订赛道和场地布置方案，包含形象设计、各类平面布置图、效果图， 以及各类物品的数量和总体施工计划安排，并保证各项器材顺利运行。赛道和场地布置方案须经 赛事主办方同意后组织实施。涉及的场地审批等事项由中标人进行跟进配合； </w:t>
      </w:r>
    </w:p>
    <w:p w14:paraId="101F2DC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10.科学布置完赛现场物资发放、运动恢复、完赛通道、拉伸区等工作，避免拥堵现象发生； </w:t>
      </w:r>
    </w:p>
    <w:p w14:paraId="786701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11.承担赛事核定执行内容的一切费用；完成赛事主办方要求的其他工作。</w:t>
      </w:r>
    </w:p>
    <w:p w14:paraId="5C82A86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（十三）本项目所需的相关物资，包含以下内容：</w:t>
      </w:r>
    </w:p>
    <w:tbl>
      <w:tblPr>
        <w:tblStyle w:val="25"/>
        <w:tblpPr w:leftFromText="180" w:rightFromText="180" w:vertAnchor="text" w:horzAnchor="page" w:tblpX="2317" w:tblpY="9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6355"/>
      </w:tblGrid>
      <w:tr w14:paraId="25DA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EB72603">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微软雅黑" w:hAnsi="微软雅黑" w:eastAsia="微软雅黑" w:cs="微软雅黑"/>
                <w:b/>
                <w:bCs/>
                <w:color w:val="auto"/>
                <w:sz w:val="22"/>
                <w:szCs w:val="22"/>
                <w:highlight w:val="none"/>
                <w:lang w:val="en-US" w:eastAsia="zh-CN"/>
              </w:rPr>
            </w:pPr>
          </w:p>
        </w:tc>
        <w:tc>
          <w:tcPr>
            <w:tcW w:w="6355" w:type="dxa"/>
          </w:tcPr>
          <w:p w14:paraId="3CC5145E">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val="en-US" w:eastAsia="zh-CN"/>
              </w:rPr>
              <w:t>费用项目</w:t>
            </w:r>
          </w:p>
        </w:tc>
      </w:tr>
      <w:tr w14:paraId="4BBD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551141EA">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w:t>
            </w:r>
          </w:p>
        </w:tc>
        <w:tc>
          <w:tcPr>
            <w:tcW w:w="6355" w:type="dxa"/>
          </w:tcPr>
          <w:p w14:paraId="272C8A69">
            <w:pPr>
              <w:keepNext w:val="0"/>
              <w:keepLines w:val="0"/>
              <w:pageBreakBefore w:val="0"/>
              <w:widowControl w:val="0"/>
              <w:kinsoku/>
              <w:wordWrap/>
              <w:overflowPunct/>
              <w:topLinePunct w:val="0"/>
              <w:autoSpaceDE/>
              <w:autoSpaceDN/>
              <w:bidi w:val="0"/>
              <w:adjustRightInd/>
              <w:snapToGrid/>
              <w:spacing w:line="400" w:lineRule="exact"/>
              <w:ind w:firstLine="28"/>
              <w:jc w:val="lef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赛事整体策划费用：赛道勘察丈量，相关赛事配套活动的策划、赛事风险评估、赛事安全风险防控、赛事应急预案及应急处置、VI视觉设计和物料设计、安全评估报告、交通组织评估研究报告。</w:t>
            </w:r>
          </w:p>
        </w:tc>
      </w:tr>
      <w:tr w14:paraId="7453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4A22A38C">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w:t>
            </w:r>
          </w:p>
        </w:tc>
        <w:tc>
          <w:tcPr>
            <w:tcW w:w="6355" w:type="dxa"/>
          </w:tcPr>
          <w:p w14:paraId="3B329022">
            <w:pPr>
              <w:keepNext w:val="0"/>
              <w:keepLines w:val="0"/>
              <w:pageBreakBefore w:val="0"/>
              <w:widowControl w:val="0"/>
              <w:kinsoku/>
              <w:wordWrap/>
              <w:overflowPunct/>
              <w:topLinePunct w:val="0"/>
              <w:autoSpaceDE/>
              <w:autoSpaceDN/>
              <w:bidi w:val="0"/>
              <w:adjustRightInd/>
              <w:snapToGrid/>
              <w:spacing w:line="400" w:lineRule="exact"/>
              <w:ind w:firstLine="28"/>
              <w:jc w:val="lef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搭建印刷制作费用：氛围营造、配套活动、赛道和场地布置（主背景、主舞台、拱门、道旗（50面）、A板（50面）、主会场功能区、赛道功能区等布置）、所需竞赛隔离铁马（租赁）、各类证件和资料印制。</w:t>
            </w:r>
          </w:p>
        </w:tc>
      </w:tr>
      <w:tr w14:paraId="656A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3784E03B">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w:t>
            </w:r>
          </w:p>
        </w:tc>
        <w:tc>
          <w:tcPr>
            <w:tcW w:w="6355" w:type="dxa"/>
          </w:tcPr>
          <w:p w14:paraId="60D4AEB8">
            <w:pPr>
              <w:keepNext w:val="0"/>
              <w:keepLines w:val="0"/>
              <w:pageBreakBefore w:val="0"/>
              <w:widowControl w:val="0"/>
              <w:kinsoku/>
              <w:wordWrap/>
              <w:overflowPunct/>
              <w:topLinePunct w:val="0"/>
              <w:autoSpaceDE/>
              <w:autoSpaceDN/>
              <w:bidi w:val="0"/>
              <w:adjustRightInd/>
              <w:snapToGrid/>
              <w:spacing w:line="400" w:lineRule="exact"/>
              <w:ind w:firstLine="28"/>
              <w:jc w:val="lef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医疗保障体系服务费用：赛事医疗保障、第三方医疗急救、AED、急救药品、急救背包。</w:t>
            </w:r>
          </w:p>
        </w:tc>
      </w:tr>
      <w:tr w14:paraId="7E8C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7253A8E7">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4</w:t>
            </w:r>
          </w:p>
        </w:tc>
        <w:tc>
          <w:tcPr>
            <w:tcW w:w="6355" w:type="dxa"/>
          </w:tcPr>
          <w:p w14:paraId="575652BE">
            <w:pPr>
              <w:keepNext w:val="0"/>
              <w:keepLines w:val="0"/>
              <w:pageBreakBefore w:val="0"/>
              <w:widowControl w:val="0"/>
              <w:kinsoku/>
              <w:wordWrap/>
              <w:overflowPunct/>
              <w:topLinePunct w:val="0"/>
              <w:autoSpaceDE/>
              <w:autoSpaceDN/>
              <w:bidi w:val="0"/>
              <w:adjustRightInd/>
              <w:snapToGrid/>
              <w:spacing w:line="400" w:lineRule="exact"/>
              <w:ind w:firstLine="28"/>
              <w:jc w:val="lef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宣传服务费用：媒体宣传推广、赛事宣传片、赛事直播、官方摄影摄像、选手摄影摄像传统媒体、自媒体宣传，赛事市场开发等。</w:t>
            </w:r>
          </w:p>
        </w:tc>
      </w:tr>
      <w:tr w14:paraId="3D83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0B66D3D4">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5</w:t>
            </w:r>
          </w:p>
        </w:tc>
        <w:tc>
          <w:tcPr>
            <w:tcW w:w="6355" w:type="dxa"/>
          </w:tcPr>
          <w:p w14:paraId="36B775F1">
            <w:pPr>
              <w:keepNext w:val="0"/>
              <w:keepLines w:val="0"/>
              <w:pageBreakBefore w:val="0"/>
              <w:widowControl w:val="0"/>
              <w:kinsoku/>
              <w:wordWrap/>
              <w:overflowPunct/>
              <w:topLinePunct w:val="0"/>
              <w:autoSpaceDE/>
              <w:autoSpaceDN/>
              <w:bidi w:val="0"/>
              <w:adjustRightInd/>
              <w:snapToGrid/>
              <w:spacing w:line="400" w:lineRule="exact"/>
              <w:ind w:firstLine="28"/>
              <w:jc w:val="lef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竞赛组织费用：参赛选手招募管理、竞赛组织和器材保障、裁判员组织管理、志愿者招募及管理、赛事奖金、计时服务、官方配速员、赛事主持人、礼仪。</w:t>
            </w:r>
          </w:p>
        </w:tc>
      </w:tr>
      <w:tr w14:paraId="3DBC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0A49E468">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6</w:t>
            </w:r>
          </w:p>
        </w:tc>
        <w:tc>
          <w:tcPr>
            <w:tcW w:w="6355" w:type="dxa"/>
          </w:tcPr>
          <w:p w14:paraId="65B138F4">
            <w:pPr>
              <w:keepNext w:val="0"/>
              <w:keepLines w:val="0"/>
              <w:pageBreakBefore w:val="0"/>
              <w:widowControl w:val="0"/>
              <w:kinsoku/>
              <w:wordWrap/>
              <w:overflowPunct/>
              <w:topLinePunct w:val="0"/>
              <w:autoSpaceDE/>
              <w:autoSpaceDN/>
              <w:bidi w:val="0"/>
              <w:adjustRightInd/>
              <w:snapToGrid/>
              <w:spacing w:line="400" w:lineRule="exact"/>
              <w:ind w:firstLine="28"/>
              <w:jc w:val="lef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后勤采买及保障费用：选手参赛包、完赛包、参赛服、完赛毛巾、奖牌、雨衣、补给物品购买；参赛选手、志愿者及工作人员保险、运动员奖金税金、裁判员、运动员、志愿者服装、裁判员交通劳务和食宿、志愿者用餐和交通培训，交通接驳组织，后勤接待及相关保障。</w:t>
            </w:r>
          </w:p>
        </w:tc>
      </w:tr>
      <w:tr w14:paraId="376B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6CAC3F6E">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7</w:t>
            </w:r>
          </w:p>
        </w:tc>
        <w:tc>
          <w:tcPr>
            <w:tcW w:w="6355" w:type="dxa"/>
          </w:tcPr>
          <w:p w14:paraId="0638A79E">
            <w:pPr>
              <w:keepNext w:val="0"/>
              <w:keepLines w:val="0"/>
              <w:pageBreakBefore w:val="0"/>
              <w:widowControl w:val="0"/>
              <w:kinsoku/>
              <w:wordWrap/>
              <w:overflowPunct/>
              <w:topLinePunct w:val="0"/>
              <w:autoSpaceDE/>
              <w:autoSpaceDN/>
              <w:bidi w:val="0"/>
              <w:adjustRightInd/>
              <w:snapToGrid/>
              <w:spacing w:line="400" w:lineRule="exact"/>
              <w:ind w:firstLine="28"/>
              <w:jc w:val="lef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安全保障费用：赛事保安劳务、安保力量、竞赛隔离铁马（租赁）、竞赛隔离锥桶（租赁）、移动厕所。</w:t>
            </w:r>
          </w:p>
        </w:tc>
      </w:tr>
    </w:tbl>
    <w:p w14:paraId="2AFBB0C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微软雅黑" w:hAnsi="微软雅黑" w:eastAsia="微软雅黑" w:cs="微软雅黑"/>
          <w:b/>
          <w:bCs/>
          <w:color w:val="auto"/>
          <w:sz w:val="21"/>
          <w:szCs w:val="21"/>
          <w:highlight w:val="none"/>
          <w:lang w:val="en-US" w:eastAsia="zh-CN"/>
        </w:rPr>
      </w:pPr>
    </w:p>
    <w:p w14:paraId="06A1AA3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p>
    <w:p w14:paraId="35493E8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p>
    <w:p w14:paraId="27F93FF0">
      <w:pPr>
        <w:rPr>
          <w:color w:val="auto"/>
          <w:highlight w:val="none"/>
        </w:rPr>
        <w:sectPr>
          <w:pgSz w:w="11906" w:h="16838"/>
          <w:pgMar w:top="1440" w:right="1800" w:bottom="1440" w:left="1800" w:header="851" w:footer="992" w:gutter="0"/>
          <w:pgNumType w:fmt="decimal"/>
          <w:cols w:space="425" w:num="1"/>
          <w:docGrid w:type="lines" w:linePitch="312" w:charSpace="0"/>
        </w:sectPr>
      </w:pPr>
    </w:p>
    <w:p w14:paraId="64D3DBC7">
      <w:pPr>
        <w:pStyle w:val="2"/>
        <w:numPr>
          <w:ilvl w:val="0"/>
          <w:numId w:val="0"/>
        </w:numPr>
        <w:tabs>
          <w:tab w:val="left" w:pos="1530"/>
          <w:tab w:val="left" w:pos="3360"/>
        </w:tabs>
        <w:spacing w:before="0" w:beforeLines="0" w:after="0" w:afterLines="0" w:line="480" w:lineRule="auto"/>
        <w:ind w:leftChars="0"/>
        <w:jc w:val="center"/>
        <w:rPr>
          <w:rFonts w:hint="eastAsia" w:ascii="微软雅黑" w:hAnsi="微软雅黑" w:eastAsia="微软雅黑"/>
          <w:b/>
          <w:color w:val="auto"/>
          <w:sz w:val="36"/>
          <w:szCs w:val="36"/>
          <w:highlight w:val="none"/>
          <w:lang w:eastAsia="zh-CN"/>
        </w:rPr>
      </w:pPr>
      <w:bookmarkStart w:id="731" w:name="_Toc20209"/>
      <w:bookmarkStart w:id="732" w:name="_Toc15925"/>
      <w:bookmarkStart w:id="733" w:name="_Toc21192"/>
      <w:r>
        <w:rPr>
          <w:rFonts w:hint="eastAsia" w:ascii="微软雅黑" w:hAnsi="微软雅黑" w:eastAsia="微软雅黑"/>
          <w:b/>
          <w:color w:val="auto"/>
          <w:sz w:val="36"/>
          <w:szCs w:val="36"/>
          <w:highlight w:val="none"/>
        </w:rPr>
        <w:t>项目商务要求</w:t>
      </w:r>
      <w:bookmarkEnd w:id="731"/>
      <w:bookmarkEnd w:id="732"/>
      <w:r>
        <w:rPr>
          <w:rFonts w:hint="eastAsia" w:ascii="微软雅黑" w:hAnsi="微软雅黑" w:eastAsia="微软雅黑"/>
          <w:b/>
          <w:color w:val="auto"/>
          <w:sz w:val="36"/>
          <w:szCs w:val="36"/>
          <w:highlight w:val="none"/>
          <w:lang w:eastAsia="zh-CN"/>
        </w:rPr>
        <w:t>：</w:t>
      </w:r>
      <w:bookmarkEnd w:id="733"/>
    </w:p>
    <w:p w14:paraId="12943E7B">
      <w:pPr>
        <w:pStyle w:val="3"/>
        <w:keepNext/>
        <w:keepLines/>
        <w:pageBreakBefore w:val="0"/>
        <w:widowControl w:val="0"/>
        <w:numPr>
          <w:ilvl w:val="0"/>
          <w:numId w:val="5"/>
        </w:numPr>
        <w:kinsoku/>
        <w:wordWrap/>
        <w:overflowPunct/>
        <w:topLinePunct w:val="0"/>
        <w:autoSpaceDE/>
        <w:autoSpaceDN/>
        <w:bidi w:val="0"/>
        <w:adjustRightInd w:val="0"/>
        <w:snapToGrid w:val="0"/>
        <w:spacing w:line="520" w:lineRule="exact"/>
        <w:textAlignment w:val="auto"/>
        <w:rPr>
          <w:rFonts w:hint="eastAsia" w:ascii="微软雅黑" w:hAnsi="微软雅黑" w:eastAsia="微软雅黑" w:cs="Calibri"/>
          <w:b/>
          <w:color w:val="auto"/>
          <w:sz w:val="24"/>
          <w:highlight w:val="none"/>
          <w:lang w:val="zh-CN" w:eastAsia="zh-CN"/>
        </w:rPr>
      </w:pPr>
      <w:bookmarkStart w:id="734" w:name="_Toc27280"/>
      <w:bookmarkStart w:id="735" w:name="_Toc5464"/>
      <w:r>
        <w:rPr>
          <w:rFonts w:hint="eastAsia" w:ascii="微软雅黑" w:hAnsi="微软雅黑" w:eastAsia="微软雅黑" w:cs="Calibri"/>
          <w:b/>
          <w:color w:val="auto"/>
          <w:sz w:val="24"/>
          <w:highlight w:val="none"/>
          <w:lang w:val="zh-CN" w:eastAsia="zh-CN"/>
        </w:rPr>
        <w:t>实施时间、实施地点及验收方式</w:t>
      </w:r>
      <w:bookmarkEnd w:id="734"/>
      <w:bookmarkEnd w:id="735"/>
    </w:p>
    <w:p w14:paraId="2D027BCC">
      <w:pPr>
        <w:snapToGrid w:val="0"/>
        <w:spacing w:line="440" w:lineRule="exact"/>
        <w:ind w:firstLine="420" w:firstLineChars="200"/>
        <w:rPr>
          <w:rFonts w:hint="eastAsia" w:ascii="微软雅黑" w:hAnsi="微软雅黑" w:eastAsia="微软雅黑" w:cs="Calibri"/>
          <w:color w:val="auto"/>
          <w:sz w:val="21"/>
          <w:szCs w:val="21"/>
          <w:highlight w:val="none"/>
        </w:rPr>
      </w:pPr>
      <w:r>
        <w:rPr>
          <w:rFonts w:hint="eastAsia" w:ascii="微软雅黑" w:hAnsi="微软雅黑" w:eastAsia="微软雅黑" w:cs="Calibri"/>
          <w:color w:val="auto"/>
          <w:sz w:val="21"/>
          <w:szCs w:val="21"/>
          <w:highlight w:val="none"/>
        </w:rPr>
        <w:t>（一）实施时间</w:t>
      </w:r>
      <w:r>
        <w:rPr>
          <w:rFonts w:hint="eastAsia" w:ascii="微软雅黑" w:hAnsi="微软雅黑" w:eastAsia="微软雅黑" w:cs="Calibri"/>
          <w:color w:val="auto"/>
          <w:sz w:val="21"/>
          <w:szCs w:val="21"/>
          <w:highlight w:val="none"/>
          <w:lang w:eastAsia="zh-CN"/>
        </w:rPr>
        <w:t>：</w:t>
      </w:r>
      <w:r>
        <w:rPr>
          <w:rFonts w:hint="eastAsia" w:ascii="微软雅黑" w:hAnsi="微软雅黑" w:eastAsia="微软雅黑" w:cs="Calibri"/>
          <w:color w:val="auto"/>
          <w:sz w:val="21"/>
          <w:szCs w:val="21"/>
          <w:highlight w:val="none"/>
        </w:rPr>
        <w:t>中标人应在采购合同签订后按照约定时间进场实施。</w:t>
      </w:r>
    </w:p>
    <w:p w14:paraId="1D0D93DE">
      <w:pPr>
        <w:snapToGrid w:val="0"/>
        <w:spacing w:line="440" w:lineRule="exact"/>
        <w:ind w:firstLine="420" w:firstLineChars="200"/>
        <w:rPr>
          <w:rFonts w:hint="eastAsia" w:ascii="微软雅黑" w:hAnsi="微软雅黑" w:eastAsia="微软雅黑" w:cs="Calibri"/>
          <w:color w:val="auto"/>
          <w:sz w:val="21"/>
          <w:szCs w:val="21"/>
          <w:highlight w:val="none"/>
        </w:rPr>
      </w:pPr>
      <w:r>
        <w:rPr>
          <w:rFonts w:hint="eastAsia" w:ascii="微软雅黑" w:hAnsi="微软雅黑" w:eastAsia="微软雅黑" w:cs="Calibri"/>
          <w:color w:val="auto"/>
          <w:sz w:val="21"/>
          <w:szCs w:val="21"/>
          <w:highlight w:val="none"/>
        </w:rPr>
        <w:t>（二）实施地点：</w:t>
      </w:r>
      <w:r>
        <w:rPr>
          <w:rFonts w:hint="eastAsia" w:ascii="微软雅黑" w:hAnsi="微软雅黑" w:eastAsia="微软雅黑" w:cs="Calibri"/>
          <w:color w:val="auto"/>
          <w:sz w:val="21"/>
          <w:szCs w:val="21"/>
          <w:highlight w:val="none"/>
          <w:lang w:eastAsia="zh-CN"/>
        </w:rPr>
        <w:t>大渡口区滨江路音乐营地</w:t>
      </w:r>
      <w:r>
        <w:rPr>
          <w:rFonts w:hint="eastAsia" w:ascii="微软雅黑" w:hAnsi="微软雅黑" w:eastAsia="微软雅黑" w:cs="Calibri"/>
          <w:color w:val="auto"/>
          <w:sz w:val="21"/>
          <w:szCs w:val="21"/>
          <w:highlight w:val="none"/>
        </w:rPr>
        <w:t>。</w:t>
      </w:r>
    </w:p>
    <w:p w14:paraId="649D4171">
      <w:pPr>
        <w:numPr>
          <w:ilvl w:val="0"/>
          <w:numId w:val="0"/>
        </w:num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bookmarkStart w:id="736" w:name="_Toc27642879"/>
      <w:bookmarkStart w:id="737" w:name="_Toc20723984"/>
      <w:r>
        <w:rPr>
          <w:rFonts w:hint="eastAsia" w:ascii="微软雅黑" w:hAnsi="微软雅黑" w:eastAsia="微软雅黑" w:cs="Calibri"/>
          <w:snapToGrid w:val="0"/>
          <w:color w:val="auto"/>
          <w:sz w:val="21"/>
          <w:szCs w:val="21"/>
          <w:highlight w:val="none"/>
          <w:lang w:val="en-US" w:eastAsia="zh-CN" w:bidi="ar-SA"/>
        </w:rPr>
        <w:t>（三）</w:t>
      </w:r>
      <w:r>
        <w:rPr>
          <w:rFonts w:hint="eastAsia" w:ascii="微软雅黑" w:hAnsi="微软雅黑" w:eastAsia="微软雅黑" w:cs="Calibri"/>
          <w:color w:val="auto"/>
          <w:sz w:val="21"/>
          <w:szCs w:val="21"/>
          <w:highlight w:val="none"/>
        </w:rPr>
        <w:t>验收方式：</w:t>
      </w:r>
    </w:p>
    <w:p w14:paraId="3096588F">
      <w:pPr>
        <w:numPr>
          <w:ilvl w:val="0"/>
          <w:numId w:val="0"/>
        </w:num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r>
        <w:rPr>
          <w:rFonts w:hint="eastAsia" w:ascii="微软雅黑" w:hAnsi="微软雅黑" w:eastAsia="微软雅黑" w:cs="Calibri"/>
          <w:color w:val="auto"/>
          <w:sz w:val="21"/>
          <w:szCs w:val="21"/>
          <w:highlight w:val="none"/>
          <w:lang w:val="en-US" w:eastAsia="zh-CN"/>
        </w:rPr>
        <w:t>1.采购人有权要求中标人全面、高效、优质的履行合同规定的要求（包括招标文件的要求及履约过程中采购人交代的事项）以及中标人承诺的义务（包括投标文件的承诺）。中标人未能如期达到本项目合同要求，采购人有权解除合同，中标人应赔偿采购人相应的损失。</w:t>
      </w:r>
    </w:p>
    <w:p w14:paraId="3F490CBF">
      <w:pPr>
        <w:numPr>
          <w:ilvl w:val="0"/>
          <w:numId w:val="0"/>
        </w:num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r>
        <w:rPr>
          <w:rFonts w:hint="eastAsia" w:ascii="微软雅黑" w:hAnsi="微软雅黑" w:eastAsia="微软雅黑" w:cs="Calibri"/>
          <w:color w:val="auto"/>
          <w:sz w:val="21"/>
          <w:szCs w:val="21"/>
          <w:highlight w:val="none"/>
          <w:lang w:val="en-US" w:eastAsia="zh-CN"/>
        </w:rPr>
        <w:t>2.由采购人自行组织验收,中标人在赛事结束15个工作日内提供赛事总结报告，报告内容包括但不限于赛事组织、赛事实施、开幕式、赛事后勤保障、赛事宣传、赛事精彩片段等。</w:t>
      </w:r>
    </w:p>
    <w:p w14:paraId="7065B568">
      <w:pPr>
        <w:pStyle w:val="3"/>
        <w:keepNext/>
        <w:keepLines/>
        <w:pageBreakBefore w:val="0"/>
        <w:widowControl w:val="0"/>
        <w:numPr>
          <w:ilvl w:val="0"/>
          <w:numId w:val="5"/>
        </w:numPr>
        <w:kinsoku/>
        <w:wordWrap/>
        <w:overflowPunct/>
        <w:topLinePunct w:val="0"/>
        <w:autoSpaceDE/>
        <w:autoSpaceDN/>
        <w:bidi w:val="0"/>
        <w:adjustRightInd w:val="0"/>
        <w:snapToGrid w:val="0"/>
        <w:spacing w:line="520" w:lineRule="exact"/>
        <w:textAlignment w:val="auto"/>
        <w:rPr>
          <w:rFonts w:hint="eastAsia" w:ascii="微软雅黑" w:hAnsi="微软雅黑" w:eastAsia="微软雅黑" w:cs="Calibri"/>
          <w:b/>
          <w:color w:val="auto"/>
          <w:sz w:val="24"/>
          <w:highlight w:val="none"/>
          <w:lang w:val="zh-CN" w:eastAsia="zh-CN"/>
        </w:rPr>
      </w:pPr>
      <w:bookmarkStart w:id="738" w:name="_Toc11397"/>
      <w:bookmarkStart w:id="739" w:name="_Toc3922"/>
      <w:bookmarkStart w:id="740" w:name="_Toc2749"/>
      <w:bookmarkStart w:id="741" w:name="_Toc148964642"/>
      <w:bookmarkStart w:id="742" w:name="_Toc7333"/>
      <w:r>
        <w:rPr>
          <w:rFonts w:hint="eastAsia" w:ascii="微软雅黑" w:hAnsi="微软雅黑" w:eastAsia="微软雅黑" w:cs="Calibri"/>
          <w:b/>
          <w:color w:val="auto"/>
          <w:sz w:val="24"/>
          <w:highlight w:val="none"/>
          <w:lang w:val="zh-CN" w:eastAsia="zh-CN"/>
        </w:rPr>
        <w:t>报价要求</w:t>
      </w:r>
      <w:bookmarkEnd w:id="738"/>
      <w:bookmarkEnd w:id="739"/>
      <w:bookmarkEnd w:id="740"/>
      <w:bookmarkEnd w:id="741"/>
      <w:bookmarkEnd w:id="742"/>
    </w:p>
    <w:p w14:paraId="6A724151">
      <w:p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bookmarkStart w:id="743" w:name="_Toc25796"/>
      <w:bookmarkStart w:id="744" w:name="_Toc13580"/>
      <w:bookmarkStart w:id="745" w:name="_Toc29462"/>
      <w:bookmarkStart w:id="746" w:name="_Toc148964643"/>
      <w:r>
        <w:rPr>
          <w:rFonts w:hint="eastAsia" w:ascii="微软雅黑" w:hAnsi="微软雅黑" w:eastAsia="微软雅黑" w:cs="Calibri"/>
          <w:color w:val="auto"/>
          <w:sz w:val="21"/>
          <w:szCs w:val="21"/>
          <w:highlight w:val="none"/>
          <w:lang w:val="en-US" w:eastAsia="zh-CN"/>
        </w:rPr>
        <w:t>（一）本次报价须为人民币含税报价，应包括完成2026大渡口半程马拉松赛的全部相关服务以及其他直接费、间接费、所有税款、利润及风险金等所需的全部费用，包含但不限于运营费、物资采购费、车辆费、媒体宣传、医疗保障、人工费、保险费、税金及技术服务费。投标人在投标报价时应充分考虑其中的风险因素。因投标人自身原因造成漏报、少报皆由其自行承担责任，采购人不再补偿。</w:t>
      </w:r>
    </w:p>
    <w:p w14:paraId="1619759B">
      <w:p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r>
        <w:rPr>
          <w:rFonts w:hint="eastAsia" w:ascii="微软雅黑" w:hAnsi="微软雅黑" w:eastAsia="微软雅黑" w:cs="Calibri"/>
          <w:color w:val="auto"/>
          <w:sz w:val="21"/>
          <w:szCs w:val="21"/>
          <w:highlight w:val="none"/>
          <w:lang w:val="en-US" w:eastAsia="zh-CN"/>
        </w:rPr>
        <w:t>（二）投标总报价不得超过最高限价。</w:t>
      </w:r>
    </w:p>
    <w:p w14:paraId="1C27081E">
      <w:pPr>
        <w:pStyle w:val="3"/>
        <w:keepNext/>
        <w:keepLines/>
        <w:pageBreakBefore w:val="0"/>
        <w:widowControl w:val="0"/>
        <w:numPr>
          <w:ilvl w:val="0"/>
          <w:numId w:val="5"/>
        </w:numPr>
        <w:kinsoku/>
        <w:wordWrap/>
        <w:overflowPunct/>
        <w:topLinePunct w:val="0"/>
        <w:autoSpaceDE/>
        <w:autoSpaceDN/>
        <w:bidi w:val="0"/>
        <w:adjustRightInd w:val="0"/>
        <w:snapToGrid w:val="0"/>
        <w:spacing w:line="520" w:lineRule="exact"/>
        <w:textAlignment w:val="auto"/>
        <w:rPr>
          <w:rFonts w:hint="eastAsia" w:ascii="微软雅黑" w:hAnsi="微软雅黑" w:eastAsia="微软雅黑" w:cs="Calibri"/>
          <w:b/>
          <w:color w:val="auto"/>
          <w:sz w:val="24"/>
          <w:highlight w:val="none"/>
          <w:lang w:val="zh-CN" w:eastAsia="zh-CN"/>
        </w:rPr>
      </w:pPr>
      <w:bookmarkStart w:id="747" w:name="_Toc10550"/>
      <w:r>
        <w:rPr>
          <w:rFonts w:hint="eastAsia" w:ascii="微软雅黑" w:hAnsi="微软雅黑" w:eastAsia="微软雅黑" w:cs="Calibri"/>
          <w:b/>
          <w:color w:val="auto"/>
          <w:sz w:val="24"/>
          <w:highlight w:val="none"/>
          <w:lang w:val="zh-CN" w:eastAsia="zh-CN"/>
        </w:rPr>
        <w:t>质量保证及售后服务</w:t>
      </w:r>
      <w:bookmarkEnd w:id="743"/>
      <w:bookmarkEnd w:id="744"/>
      <w:bookmarkEnd w:id="745"/>
      <w:bookmarkEnd w:id="746"/>
      <w:bookmarkEnd w:id="747"/>
    </w:p>
    <w:p w14:paraId="212081BF">
      <w:pPr>
        <w:numPr>
          <w:ilvl w:val="0"/>
          <w:numId w:val="0"/>
        </w:num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r>
        <w:rPr>
          <w:rFonts w:hint="eastAsia" w:ascii="微软雅黑" w:hAnsi="微软雅黑" w:eastAsia="微软雅黑" w:cs="Calibri"/>
          <w:color w:val="auto"/>
          <w:sz w:val="21"/>
          <w:szCs w:val="21"/>
          <w:highlight w:val="none"/>
          <w:lang w:val="en-US" w:eastAsia="zh-CN"/>
        </w:rPr>
        <w:t>（一）赛事服务期：签订合同之日起至赛事结束30日内。</w:t>
      </w:r>
    </w:p>
    <w:p w14:paraId="52426E8C">
      <w:pPr>
        <w:numPr>
          <w:ilvl w:val="0"/>
          <w:numId w:val="0"/>
        </w:num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r>
        <w:rPr>
          <w:rFonts w:hint="eastAsia" w:ascii="微软雅黑" w:hAnsi="微软雅黑" w:eastAsia="微软雅黑" w:cs="Calibri"/>
          <w:color w:val="auto"/>
          <w:sz w:val="21"/>
          <w:szCs w:val="21"/>
          <w:highlight w:val="none"/>
          <w:lang w:val="en-US" w:eastAsia="zh-CN"/>
        </w:rPr>
        <w:t>（二）质量要求：按照中国田协办赛组织标准执行，与招标文件的要求和投标文件中描述相一致。</w:t>
      </w:r>
    </w:p>
    <w:p w14:paraId="6798586D">
      <w:pPr>
        <w:numPr>
          <w:ilvl w:val="0"/>
          <w:numId w:val="0"/>
        </w:num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r>
        <w:rPr>
          <w:rFonts w:hint="eastAsia" w:ascii="微软雅黑" w:hAnsi="微软雅黑" w:eastAsia="微软雅黑" w:cs="Calibri"/>
          <w:color w:val="auto"/>
          <w:sz w:val="21"/>
          <w:szCs w:val="21"/>
          <w:highlight w:val="none"/>
          <w:lang w:val="en-US" w:eastAsia="zh-CN"/>
        </w:rPr>
        <w:t>（三）售后服务内容：投标人在赛事服务期内应当为采购人提供以下技术支持和服务：</w:t>
      </w:r>
    </w:p>
    <w:p w14:paraId="25C042AC">
      <w:p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r>
        <w:rPr>
          <w:rFonts w:hint="eastAsia" w:ascii="微软雅黑" w:hAnsi="微软雅黑" w:eastAsia="微软雅黑" w:cs="Calibri"/>
          <w:color w:val="auto"/>
          <w:sz w:val="21"/>
          <w:szCs w:val="21"/>
          <w:highlight w:val="none"/>
          <w:lang w:val="en-US" w:eastAsia="zh-CN"/>
        </w:rPr>
        <w:t>1.电话咨询</w:t>
      </w:r>
    </w:p>
    <w:p w14:paraId="51043264">
      <w:p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r>
        <w:rPr>
          <w:rFonts w:hint="eastAsia" w:ascii="微软雅黑" w:hAnsi="微软雅黑" w:eastAsia="微软雅黑" w:cs="Calibri"/>
          <w:color w:val="auto"/>
          <w:sz w:val="21"/>
          <w:szCs w:val="21"/>
          <w:highlight w:val="none"/>
          <w:lang w:val="en-US" w:eastAsia="zh-CN"/>
        </w:rPr>
        <w:t>中标人应当为采购人提供援助电话，解答采购人遇到的问题，及时为采购人提出解决问题的建议。</w:t>
      </w:r>
    </w:p>
    <w:p w14:paraId="2931355A">
      <w:p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r>
        <w:rPr>
          <w:rFonts w:hint="eastAsia" w:ascii="微软雅黑" w:hAnsi="微软雅黑" w:eastAsia="微软雅黑" w:cs="Calibri"/>
          <w:color w:val="auto"/>
          <w:sz w:val="21"/>
          <w:szCs w:val="21"/>
          <w:highlight w:val="none"/>
          <w:lang w:val="en-US" w:eastAsia="zh-CN"/>
        </w:rPr>
        <w:t>2.现场响应</w:t>
      </w:r>
    </w:p>
    <w:p w14:paraId="1263B525">
      <w:p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r>
        <w:rPr>
          <w:rFonts w:hint="eastAsia" w:ascii="微软雅黑" w:hAnsi="微软雅黑" w:eastAsia="微软雅黑" w:cs="Calibri"/>
          <w:color w:val="auto"/>
          <w:sz w:val="21"/>
          <w:szCs w:val="21"/>
          <w:highlight w:val="none"/>
          <w:lang w:val="en-US" w:eastAsia="zh-CN"/>
        </w:rPr>
        <w:t>采购人遇到相关问题，电话咨询不能解决的，投标人应在2小时内到达现场进行处理，确保马拉松筹备工作正常进行；无法在2小时内解决的，应在4小时内提供备用方案，使采购人能够正常实施。</w:t>
      </w:r>
    </w:p>
    <w:p w14:paraId="5E5B6C98">
      <w:pPr>
        <w:pStyle w:val="3"/>
        <w:spacing w:line="520" w:lineRule="exact"/>
        <w:rPr>
          <w:rFonts w:ascii="微软雅黑" w:hAnsi="微软雅黑" w:eastAsia="微软雅黑"/>
          <w:b/>
          <w:color w:val="auto"/>
          <w:sz w:val="24"/>
          <w:szCs w:val="24"/>
          <w:highlight w:val="none"/>
        </w:rPr>
      </w:pPr>
      <w:bookmarkStart w:id="748" w:name="_Toc28344"/>
      <w:bookmarkStart w:id="749" w:name="_Toc10697"/>
      <w:bookmarkStart w:id="750" w:name="_Toc11720"/>
      <w:r>
        <w:rPr>
          <w:rFonts w:hint="eastAsia" w:ascii="微软雅黑" w:hAnsi="微软雅黑" w:eastAsia="微软雅黑"/>
          <w:b/>
          <w:color w:val="auto"/>
          <w:sz w:val="24"/>
          <w:szCs w:val="24"/>
          <w:highlight w:val="none"/>
          <w:lang w:val="en-US" w:eastAsia="zh-CN"/>
        </w:rPr>
        <w:t>四</w:t>
      </w:r>
      <w:r>
        <w:rPr>
          <w:rFonts w:hint="eastAsia" w:ascii="微软雅黑" w:hAnsi="微软雅黑" w:eastAsia="微软雅黑"/>
          <w:b/>
          <w:color w:val="auto"/>
          <w:sz w:val="24"/>
          <w:szCs w:val="24"/>
          <w:highlight w:val="none"/>
        </w:rPr>
        <w:t>、付款方式</w:t>
      </w:r>
      <w:bookmarkEnd w:id="736"/>
      <w:bookmarkEnd w:id="737"/>
      <w:bookmarkEnd w:id="748"/>
      <w:bookmarkEnd w:id="749"/>
      <w:bookmarkEnd w:id="750"/>
    </w:p>
    <w:p w14:paraId="3EF17AB0">
      <w:p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bookmarkStart w:id="751" w:name="_Toc29673"/>
      <w:bookmarkStart w:id="752" w:name="_Toc267320052"/>
      <w:r>
        <w:rPr>
          <w:rFonts w:hint="eastAsia" w:ascii="微软雅黑" w:hAnsi="微软雅黑" w:eastAsia="微软雅黑" w:cs="Calibri"/>
          <w:color w:val="auto"/>
          <w:sz w:val="21"/>
          <w:szCs w:val="21"/>
          <w:highlight w:val="none"/>
          <w:lang w:val="en-US" w:eastAsia="zh-CN"/>
        </w:rPr>
        <w:t>（一)</w:t>
      </w:r>
      <w:bookmarkStart w:id="753" w:name="OLE_LINK4"/>
      <w:bookmarkStart w:id="754" w:name="OLE_LINK3"/>
      <w:r>
        <w:rPr>
          <w:rFonts w:hint="eastAsia" w:ascii="微软雅黑" w:hAnsi="微软雅黑" w:eastAsia="微软雅黑" w:cs="Calibri"/>
          <w:color w:val="auto"/>
          <w:sz w:val="21"/>
          <w:szCs w:val="21"/>
          <w:highlight w:val="none"/>
          <w:lang w:val="en-US" w:eastAsia="zh-CN"/>
        </w:rPr>
        <w:t xml:space="preserve"> </w:t>
      </w:r>
      <w:bookmarkEnd w:id="753"/>
      <w:bookmarkEnd w:id="754"/>
      <w:r>
        <w:rPr>
          <w:rFonts w:hint="eastAsia" w:ascii="微软雅黑" w:hAnsi="微软雅黑" w:eastAsia="微软雅黑" w:cs="Calibri"/>
          <w:color w:val="auto"/>
          <w:sz w:val="21"/>
          <w:szCs w:val="21"/>
          <w:highlight w:val="none"/>
          <w:lang w:val="en-US" w:eastAsia="zh-CN"/>
        </w:rPr>
        <w:t>合同签订后的5个工作日内，采购人向中标人支付合同金额50%的预付款。</w:t>
      </w:r>
    </w:p>
    <w:p w14:paraId="752C0487">
      <w:p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r>
        <w:rPr>
          <w:rFonts w:hint="eastAsia" w:ascii="微软雅黑" w:hAnsi="微软雅黑" w:eastAsia="微软雅黑" w:cs="Calibri"/>
          <w:color w:val="auto"/>
          <w:sz w:val="21"/>
          <w:szCs w:val="21"/>
          <w:highlight w:val="none"/>
          <w:lang w:val="en-US" w:eastAsia="zh-CN"/>
        </w:rPr>
        <w:t>（二）赛事结束后的7个工作日内，采购人向中标人支付合同金额50%的尾款。</w:t>
      </w:r>
    </w:p>
    <w:p w14:paraId="5214A690">
      <w:p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r>
        <w:rPr>
          <w:rFonts w:hint="eastAsia" w:ascii="微软雅黑" w:hAnsi="微软雅黑" w:eastAsia="微软雅黑" w:cs="Calibri"/>
          <w:color w:val="auto"/>
          <w:sz w:val="21"/>
          <w:szCs w:val="21"/>
          <w:highlight w:val="none"/>
          <w:lang w:val="en-US" w:eastAsia="zh-CN"/>
        </w:rPr>
        <w:t>（三）每次付款前中标人向采购人开具发票，采购人以转账方式向中标人支付合同金额的款项。</w:t>
      </w:r>
    </w:p>
    <w:bookmarkEnd w:id="751"/>
    <w:p w14:paraId="003341D6">
      <w:pPr>
        <w:pStyle w:val="3"/>
        <w:spacing w:line="520" w:lineRule="exact"/>
        <w:rPr>
          <w:rFonts w:hint="eastAsia" w:ascii="微软雅黑" w:hAnsi="微软雅黑" w:eastAsia="微软雅黑"/>
          <w:b/>
          <w:color w:val="auto"/>
          <w:sz w:val="24"/>
          <w:szCs w:val="24"/>
          <w:highlight w:val="none"/>
        </w:rPr>
      </w:pPr>
      <w:bookmarkStart w:id="755" w:name="_Toc29702"/>
      <w:bookmarkStart w:id="756" w:name="_Toc27642880"/>
      <w:bookmarkStart w:id="757" w:name="_Toc20723985"/>
      <w:bookmarkStart w:id="758" w:name="_Toc11313"/>
      <w:r>
        <w:rPr>
          <w:rFonts w:hint="eastAsia" w:ascii="微软雅黑" w:hAnsi="微软雅黑" w:eastAsia="微软雅黑"/>
          <w:b/>
          <w:color w:val="auto"/>
          <w:sz w:val="24"/>
          <w:szCs w:val="24"/>
          <w:highlight w:val="none"/>
          <w:lang w:val="en-US" w:eastAsia="zh-CN"/>
        </w:rPr>
        <w:t>五</w:t>
      </w:r>
      <w:r>
        <w:rPr>
          <w:rFonts w:hint="eastAsia" w:ascii="微软雅黑" w:hAnsi="微软雅黑" w:eastAsia="微软雅黑"/>
          <w:b/>
          <w:color w:val="auto"/>
          <w:sz w:val="24"/>
          <w:szCs w:val="24"/>
          <w:highlight w:val="none"/>
        </w:rPr>
        <w:t>、知识产权</w:t>
      </w:r>
      <w:bookmarkEnd w:id="752"/>
      <w:bookmarkEnd w:id="755"/>
      <w:bookmarkEnd w:id="756"/>
      <w:bookmarkEnd w:id="757"/>
      <w:bookmarkEnd w:id="758"/>
    </w:p>
    <w:p w14:paraId="0FD8FBD3">
      <w:pPr>
        <w:snapToGrid w:val="0"/>
        <w:spacing w:line="440" w:lineRule="exact"/>
        <w:ind w:firstLine="420" w:firstLineChars="200"/>
        <w:rPr>
          <w:rFonts w:hint="eastAsia"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（一）采购人在中华人民共和国境内使用投标人提供的任何一部分货物及服务时免受第三方提出的侵犯其专利权</w:t>
      </w:r>
      <w:r>
        <w:rPr>
          <w:rFonts w:hint="eastAsia" w:ascii="微软雅黑" w:hAnsi="微软雅黑" w:eastAsia="微软雅黑" w:cs="宋体"/>
          <w:color w:val="auto"/>
          <w:kern w:val="0"/>
          <w:sz w:val="21"/>
          <w:szCs w:val="21"/>
          <w:highlight w:val="none"/>
          <w:lang w:eastAsia="zh-CN"/>
        </w:rPr>
        <w:t>或其他</w:t>
      </w:r>
      <w:r>
        <w:rPr>
          <w:rFonts w:hint="eastAsia" w:ascii="微软雅黑" w:hAnsi="微软雅黑" w:eastAsia="微软雅黑" w:cs="宋体"/>
          <w:color w:val="auto"/>
          <w:kern w:val="0"/>
          <w:sz w:val="21"/>
          <w:szCs w:val="21"/>
          <w:highlight w:val="none"/>
        </w:rPr>
        <w:t>知识产权的起诉。如果第三方提出侵权指控，中标人应承担由此而引起的一切法律责任和费用。</w:t>
      </w:r>
    </w:p>
    <w:p w14:paraId="498522AD">
      <w:pPr>
        <w:snapToGrid w:val="0"/>
        <w:spacing w:line="440" w:lineRule="exact"/>
        <w:ind w:firstLine="420" w:firstLineChars="200"/>
        <w:rPr>
          <w:rFonts w:hint="eastAsia"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（二）若涉及的知识产权归采购人所有。</w:t>
      </w:r>
    </w:p>
    <w:p w14:paraId="20FF4DF1">
      <w:pPr>
        <w:pStyle w:val="3"/>
        <w:spacing w:line="520" w:lineRule="exact"/>
        <w:rPr>
          <w:rFonts w:hint="eastAsia" w:ascii="微软雅黑" w:hAnsi="微软雅黑" w:eastAsia="微软雅黑"/>
          <w:b/>
          <w:color w:val="auto"/>
          <w:sz w:val="24"/>
          <w:szCs w:val="24"/>
          <w:highlight w:val="none"/>
          <w:lang w:val="en-US" w:eastAsia="zh-CN"/>
        </w:rPr>
      </w:pPr>
      <w:bookmarkStart w:id="759" w:name="_Toc20723986"/>
      <w:bookmarkStart w:id="760" w:name="_Toc267320054"/>
      <w:bookmarkStart w:id="761" w:name="_Toc20905"/>
      <w:bookmarkStart w:id="762" w:name="_Toc23848"/>
      <w:bookmarkStart w:id="763" w:name="_Toc27642881"/>
      <w:bookmarkStart w:id="764" w:name="_Toc11210"/>
      <w:r>
        <w:rPr>
          <w:rFonts w:hint="eastAsia" w:ascii="微软雅黑" w:hAnsi="微软雅黑" w:eastAsia="微软雅黑"/>
          <w:b/>
          <w:color w:val="auto"/>
          <w:sz w:val="24"/>
          <w:szCs w:val="24"/>
          <w:highlight w:val="none"/>
          <w:lang w:val="en-US" w:eastAsia="zh-CN"/>
        </w:rPr>
        <w:t>六、其他</w:t>
      </w:r>
      <w:bookmarkEnd w:id="759"/>
      <w:bookmarkEnd w:id="760"/>
      <w:bookmarkEnd w:id="761"/>
      <w:bookmarkEnd w:id="762"/>
      <w:bookmarkEnd w:id="763"/>
      <w:bookmarkEnd w:id="764"/>
    </w:p>
    <w:p w14:paraId="38C3B6F7">
      <w:pPr>
        <w:snapToGrid w:val="0"/>
        <w:spacing w:line="440" w:lineRule="exact"/>
        <w:ind w:firstLine="420" w:firstLineChars="200"/>
        <w:rPr>
          <w:rFonts w:hint="eastAsia" w:ascii="微软雅黑" w:hAnsi="微软雅黑" w:eastAsia="微软雅黑" w:cs="宋体"/>
          <w:color w:val="auto"/>
          <w:kern w:val="0"/>
          <w:sz w:val="21"/>
          <w:szCs w:val="21"/>
          <w:highlight w:val="none"/>
          <w:lang w:val="en-US" w:eastAsia="zh-CN"/>
        </w:rPr>
      </w:pPr>
      <w:r>
        <w:rPr>
          <w:rFonts w:hint="eastAsia" w:ascii="微软雅黑" w:hAnsi="微软雅黑" w:eastAsia="微软雅黑" w:cs="宋体"/>
          <w:color w:val="auto"/>
          <w:kern w:val="0"/>
          <w:sz w:val="21"/>
          <w:szCs w:val="21"/>
          <w:highlight w:val="none"/>
          <w:lang w:eastAsia="zh-CN"/>
        </w:rPr>
        <w:t>（</w:t>
      </w:r>
      <w:r>
        <w:rPr>
          <w:rFonts w:hint="eastAsia" w:ascii="微软雅黑" w:hAnsi="微软雅黑" w:eastAsia="微软雅黑" w:cs="宋体"/>
          <w:color w:val="auto"/>
          <w:kern w:val="0"/>
          <w:sz w:val="21"/>
          <w:szCs w:val="21"/>
          <w:highlight w:val="none"/>
          <w:lang w:val="en-US" w:eastAsia="zh-CN"/>
        </w:rPr>
        <w:t>一</w:t>
      </w:r>
      <w:r>
        <w:rPr>
          <w:rFonts w:hint="eastAsia" w:ascii="微软雅黑" w:hAnsi="微软雅黑" w:eastAsia="微软雅黑" w:cs="宋体"/>
          <w:color w:val="auto"/>
          <w:kern w:val="0"/>
          <w:sz w:val="21"/>
          <w:szCs w:val="21"/>
          <w:highlight w:val="none"/>
          <w:lang w:eastAsia="zh-CN"/>
        </w:rPr>
        <w:t>）</w:t>
      </w:r>
      <w:r>
        <w:rPr>
          <w:rFonts w:hint="eastAsia" w:ascii="微软雅黑" w:hAnsi="微软雅黑" w:eastAsia="微软雅黑" w:cs="宋体"/>
          <w:color w:val="auto"/>
          <w:kern w:val="0"/>
          <w:sz w:val="21"/>
          <w:szCs w:val="21"/>
          <w:highlight w:val="none"/>
          <w:lang w:val="en-US" w:eastAsia="zh-CN"/>
        </w:rPr>
        <w:t>如遇恶劣天气、疫情、政府行为（如征收、征用、法律法规或政策的重大变更等）、社会异常事件（如战争、罢工、骚乱、恐怖袭击等）等不可抗力的因素无法开展马拉松赛事，双方均不承担违约责任，采购人向中标人仅支付已产生的实际费用。</w:t>
      </w:r>
    </w:p>
    <w:p w14:paraId="7ADDD57C">
      <w:pPr>
        <w:snapToGrid w:val="0"/>
        <w:spacing w:line="440" w:lineRule="exact"/>
        <w:ind w:firstLine="420" w:firstLineChars="200"/>
        <w:rPr>
          <w:rFonts w:hint="eastAsia"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lang w:val="en-US" w:eastAsia="zh-CN"/>
        </w:rPr>
        <w:t>（二）</w:t>
      </w:r>
      <w:r>
        <w:rPr>
          <w:rFonts w:hint="eastAsia" w:ascii="微软雅黑" w:hAnsi="微软雅黑" w:eastAsia="微软雅黑" w:cs="宋体"/>
          <w:color w:val="auto"/>
          <w:kern w:val="0"/>
          <w:sz w:val="21"/>
          <w:szCs w:val="21"/>
          <w:highlight w:val="none"/>
        </w:rPr>
        <w:t>其他未尽事宜由供需双方在采购合同中详细约定。</w:t>
      </w:r>
    </w:p>
    <w:p w14:paraId="7C18D259">
      <w:pPr>
        <w:pStyle w:val="9"/>
        <w:rPr>
          <w:rFonts w:hint="eastAsia" w:ascii="微软雅黑" w:hAnsi="微软雅黑" w:eastAsia="微软雅黑" w:cs="宋体"/>
          <w:color w:val="auto"/>
          <w:kern w:val="0"/>
          <w:sz w:val="21"/>
          <w:szCs w:val="21"/>
          <w:highlight w:val="none"/>
        </w:rPr>
      </w:pPr>
    </w:p>
    <w:p w14:paraId="0FC771EB">
      <w:pPr>
        <w:rPr>
          <w:color w:val="auto"/>
          <w:highlight w:val="none"/>
        </w:rPr>
      </w:pPr>
      <w:r>
        <w:rPr>
          <w:color w:val="auto"/>
          <w:highlight w:val="none"/>
        </w:rPr>
        <w:br w:type="page"/>
      </w:r>
    </w:p>
    <w:p w14:paraId="6851FBEE">
      <w:pPr>
        <w:pStyle w:val="9"/>
        <w:rPr>
          <w:color w:val="auto"/>
          <w:highlight w:val="none"/>
        </w:rPr>
      </w:pPr>
    </w:p>
    <w:p w14:paraId="61A5A659">
      <w:pPr>
        <w:rPr>
          <w:color w:val="auto"/>
          <w:highlight w:val="none"/>
        </w:rPr>
      </w:pPr>
    </w:p>
    <w:p w14:paraId="35A0D296">
      <w:pPr>
        <w:rPr>
          <w:color w:val="auto"/>
          <w:highlight w:val="none"/>
        </w:rPr>
      </w:pPr>
    </w:p>
    <w:p w14:paraId="5DE72103">
      <w:pPr>
        <w:rPr>
          <w:rFonts w:hint="eastAsia"/>
          <w:color w:val="auto"/>
          <w:highlight w:val="none"/>
        </w:rPr>
      </w:pPr>
    </w:p>
    <w:p w14:paraId="68CD64A1">
      <w:pPr>
        <w:pStyle w:val="2"/>
        <w:jc w:val="center"/>
        <w:rPr>
          <w:color w:val="auto"/>
          <w:highlight w:val="none"/>
        </w:rPr>
      </w:pPr>
      <w:bookmarkStart w:id="765" w:name="_Toc20534"/>
      <w:bookmarkStart w:id="766" w:name="_Toc31726"/>
      <w:bookmarkStart w:id="767" w:name="_Toc10173"/>
      <w:bookmarkStart w:id="768" w:name="_Toc7918"/>
      <w:r>
        <w:rPr>
          <w:rFonts w:hint="eastAsia"/>
          <w:color w:val="auto"/>
          <w:highlight w:val="none"/>
        </w:rPr>
        <w:t>第六章 投标文件格式</w:t>
      </w:r>
      <w:bookmarkEnd w:id="706"/>
      <w:bookmarkEnd w:id="707"/>
      <w:bookmarkEnd w:id="708"/>
      <w:bookmarkEnd w:id="709"/>
      <w:bookmarkEnd w:id="710"/>
      <w:bookmarkEnd w:id="711"/>
      <w:bookmarkEnd w:id="712"/>
      <w:bookmarkEnd w:id="765"/>
      <w:bookmarkEnd w:id="766"/>
      <w:bookmarkEnd w:id="767"/>
      <w:bookmarkEnd w:id="768"/>
    </w:p>
    <w:p w14:paraId="20C03E75">
      <w:pPr>
        <w:pStyle w:val="12"/>
        <w:rPr>
          <w:rFonts w:ascii="宋体" w:hAnsi="宋体" w:eastAsia="宋体" w:cs="宋体"/>
          <w:color w:val="auto"/>
          <w:szCs w:val="21"/>
          <w:highlight w:val="none"/>
        </w:rPr>
      </w:pPr>
    </w:p>
    <w:p w14:paraId="55F3C671">
      <w:pPr>
        <w:rPr>
          <w:rFonts w:ascii="宋体" w:hAnsi="宋体" w:eastAsia="宋体" w:cs="宋体"/>
          <w:color w:val="auto"/>
          <w:highlight w:val="none"/>
        </w:rPr>
      </w:pPr>
    </w:p>
    <w:p w14:paraId="3D10B4D3">
      <w:pPr>
        <w:pStyle w:val="12"/>
        <w:rPr>
          <w:rFonts w:ascii="宋体" w:hAnsi="宋体" w:eastAsia="宋体" w:cs="宋体"/>
          <w:color w:val="auto"/>
          <w:szCs w:val="21"/>
          <w:highlight w:val="none"/>
        </w:rPr>
      </w:pPr>
    </w:p>
    <w:p w14:paraId="7A53AFC2">
      <w:pPr>
        <w:rPr>
          <w:rFonts w:ascii="宋体" w:hAnsi="宋体" w:eastAsia="宋体" w:cs="宋体"/>
          <w:color w:val="auto"/>
          <w:highlight w:val="none"/>
        </w:rPr>
      </w:pPr>
    </w:p>
    <w:p w14:paraId="220B9BAF">
      <w:pPr>
        <w:pStyle w:val="12"/>
        <w:rPr>
          <w:rFonts w:ascii="宋体" w:hAnsi="宋体" w:eastAsia="宋体" w:cs="宋体"/>
          <w:color w:val="auto"/>
          <w:szCs w:val="21"/>
          <w:highlight w:val="none"/>
        </w:rPr>
      </w:pPr>
    </w:p>
    <w:p w14:paraId="0347BC35">
      <w:pPr>
        <w:rPr>
          <w:rFonts w:ascii="宋体" w:hAnsi="宋体" w:eastAsia="宋体" w:cs="宋体"/>
          <w:color w:val="auto"/>
          <w:highlight w:val="none"/>
        </w:rPr>
      </w:pPr>
    </w:p>
    <w:bookmarkEnd w:id="713"/>
    <w:bookmarkEnd w:id="714"/>
    <w:bookmarkEnd w:id="715"/>
    <w:bookmarkEnd w:id="716"/>
    <w:bookmarkEnd w:id="717"/>
    <w:p w14:paraId="5EDBAACE">
      <w:pPr>
        <w:rPr>
          <w:rFonts w:ascii="宋体" w:hAnsi="宋体" w:eastAsia="宋体" w:cs="宋体"/>
          <w:snapToGrid/>
          <w:color w:val="auto"/>
          <w:highlight w:val="none"/>
        </w:rPr>
      </w:pPr>
    </w:p>
    <w:p w14:paraId="08CA249A">
      <w:pPr>
        <w:pStyle w:val="12"/>
        <w:rPr>
          <w:rFonts w:ascii="宋体" w:hAnsi="宋体" w:eastAsia="宋体" w:cs="宋体"/>
          <w:snapToGrid/>
          <w:color w:val="auto"/>
          <w:szCs w:val="21"/>
          <w:highlight w:val="none"/>
        </w:rPr>
      </w:pPr>
    </w:p>
    <w:p w14:paraId="201C1F0A">
      <w:pPr>
        <w:rPr>
          <w:rFonts w:ascii="宋体" w:hAnsi="宋体" w:eastAsia="宋体" w:cs="宋体"/>
          <w:snapToGrid/>
          <w:color w:val="auto"/>
          <w:highlight w:val="none"/>
        </w:rPr>
      </w:pPr>
    </w:p>
    <w:p w14:paraId="69919F01">
      <w:pPr>
        <w:pStyle w:val="12"/>
        <w:rPr>
          <w:rFonts w:ascii="宋体" w:hAnsi="宋体" w:eastAsia="宋体" w:cs="宋体"/>
          <w:snapToGrid/>
          <w:color w:val="auto"/>
          <w:szCs w:val="21"/>
          <w:highlight w:val="none"/>
        </w:rPr>
      </w:pPr>
    </w:p>
    <w:p w14:paraId="18AA584F">
      <w:pPr>
        <w:rPr>
          <w:rFonts w:ascii="宋体" w:hAnsi="宋体" w:eastAsia="宋体" w:cs="宋体"/>
          <w:snapToGrid/>
          <w:color w:val="auto"/>
          <w:highlight w:val="none"/>
        </w:rPr>
      </w:pPr>
    </w:p>
    <w:p w14:paraId="627EF0B7">
      <w:pPr>
        <w:pStyle w:val="12"/>
        <w:rPr>
          <w:rFonts w:ascii="宋体" w:hAnsi="宋体" w:eastAsia="宋体" w:cs="宋体"/>
          <w:snapToGrid/>
          <w:color w:val="auto"/>
          <w:szCs w:val="21"/>
          <w:highlight w:val="none"/>
        </w:rPr>
      </w:pPr>
    </w:p>
    <w:p w14:paraId="7EDCB04A">
      <w:pPr>
        <w:rPr>
          <w:rFonts w:ascii="宋体" w:hAnsi="宋体" w:eastAsia="宋体" w:cs="宋体"/>
          <w:snapToGrid/>
          <w:color w:val="auto"/>
          <w:highlight w:val="none"/>
        </w:rPr>
      </w:pPr>
    </w:p>
    <w:p w14:paraId="0FBBBFCB">
      <w:pPr>
        <w:pStyle w:val="12"/>
        <w:rPr>
          <w:rFonts w:ascii="宋体" w:hAnsi="宋体" w:eastAsia="宋体" w:cs="宋体"/>
          <w:snapToGrid/>
          <w:color w:val="auto"/>
          <w:szCs w:val="21"/>
          <w:highlight w:val="none"/>
        </w:rPr>
      </w:pPr>
    </w:p>
    <w:p w14:paraId="6E97FB2D">
      <w:pPr>
        <w:rPr>
          <w:rFonts w:ascii="宋体" w:hAnsi="宋体" w:eastAsia="宋体" w:cs="宋体"/>
          <w:snapToGrid/>
          <w:color w:val="auto"/>
          <w:highlight w:val="none"/>
        </w:rPr>
      </w:pPr>
    </w:p>
    <w:p w14:paraId="44CB1022">
      <w:pPr>
        <w:pStyle w:val="12"/>
        <w:rPr>
          <w:rFonts w:ascii="宋体" w:hAnsi="宋体" w:eastAsia="宋体" w:cs="宋体"/>
          <w:snapToGrid/>
          <w:color w:val="auto"/>
          <w:szCs w:val="21"/>
          <w:highlight w:val="none"/>
        </w:rPr>
      </w:pPr>
    </w:p>
    <w:p w14:paraId="21B75020">
      <w:pPr>
        <w:rPr>
          <w:rFonts w:ascii="宋体" w:hAnsi="宋体" w:eastAsia="宋体" w:cs="宋体"/>
          <w:snapToGrid/>
          <w:color w:val="auto"/>
          <w:highlight w:val="none"/>
        </w:rPr>
      </w:pPr>
      <w:r>
        <w:rPr>
          <w:rFonts w:hint="eastAsia" w:ascii="宋体" w:hAnsi="宋体" w:eastAsia="宋体" w:cs="宋体"/>
          <w:snapToGrid/>
          <w:color w:val="auto"/>
          <w:highlight w:val="none"/>
        </w:rPr>
        <w:br w:type="page"/>
      </w:r>
    </w:p>
    <w:p w14:paraId="07E9CAB1">
      <w:pPr>
        <w:pStyle w:val="12"/>
        <w:spacing w:after="0"/>
        <w:rPr>
          <w:rFonts w:ascii="宋体" w:hAnsi="宋体" w:eastAsia="宋体" w:cs="宋体"/>
          <w:color w:val="auto"/>
          <w:szCs w:val="21"/>
          <w:highlight w:val="none"/>
        </w:rPr>
      </w:pPr>
    </w:p>
    <w:p w14:paraId="275D6CD4">
      <w:pPr>
        <w:bidi w:val="0"/>
        <w:jc w:val="center"/>
        <w:rPr>
          <w:rFonts w:hint="eastAsia"/>
          <w:color w:val="auto"/>
          <w:sz w:val="30"/>
          <w:szCs w:val="30"/>
          <w:highlight w:val="none"/>
          <w:u w:val="single"/>
        </w:rPr>
      </w:pPr>
      <w:r>
        <w:rPr>
          <w:rFonts w:hint="eastAsia" w:eastAsia="宋体"/>
          <w:color w:val="auto"/>
          <w:sz w:val="30"/>
          <w:szCs w:val="30"/>
          <w:highlight w:val="none"/>
          <w:u w:val="single"/>
          <w:lang w:val="en-US" w:eastAsia="zh-CN"/>
        </w:rPr>
        <w:t xml:space="preserve">                      </w:t>
      </w:r>
      <w:r>
        <w:rPr>
          <w:rFonts w:hint="eastAsia"/>
          <w:color w:val="auto"/>
          <w:sz w:val="30"/>
          <w:szCs w:val="30"/>
          <w:highlight w:val="none"/>
          <w:u w:val="single"/>
        </w:rPr>
        <w:t>（项目名称）</w:t>
      </w:r>
    </w:p>
    <w:p w14:paraId="69F7FA19">
      <w:pPr>
        <w:spacing w:line="360" w:lineRule="auto"/>
        <w:rPr>
          <w:rFonts w:ascii="宋体" w:hAnsi="宋体" w:eastAsia="宋体" w:cs="宋体"/>
          <w:color w:val="auto"/>
          <w:highlight w:val="none"/>
        </w:rPr>
      </w:pPr>
    </w:p>
    <w:p w14:paraId="64D16231">
      <w:pPr>
        <w:spacing w:line="360" w:lineRule="auto"/>
        <w:rPr>
          <w:rFonts w:ascii="宋体" w:hAnsi="宋体" w:eastAsia="宋体" w:cs="宋体"/>
          <w:color w:val="auto"/>
          <w:highlight w:val="none"/>
        </w:rPr>
      </w:pPr>
    </w:p>
    <w:p w14:paraId="25F282AC">
      <w:pPr>
        <w:spacing w:line="360" w:lineRule="auto"/>
        <w:rPr>
          <w:rFonts w:ascii="宋体" w:hAnsi="宋体" w:eastAsia="宋体" w:cs="宋体"/>
          <w:color w:val="auto"/>
          <w:highlight w:val="none"/>
        </w:rPr>
      </w:pPr>
    </w:p>
    <w:p w14:paraId="38AD360A">
      <w:pPr>
        <w:pStyle w:val="12"/>
        <w:rPr>
          <w:color w:val="auto"/>
          <w:highlight w:val="none"/>
        </w:rPr>
      </w:pPr>
    </w:p>
    <w:p w14:paraId="00D9F322">
      <w:pPr>
        <w:spacing w:line="360" w:lineRule="auto"/>
        <w:rPr>
          <w:rFonts w:ascii="宋体" w:hAnsi="宋体" w:eastAsia="宋体" w:cs="宋体"/>
          <w:color w:val="auto"/>
          <w:highlight w:val="none"/>
        </w:rPr>
      </w:pPr>
    </w:p>
    <w:p w14:paraId="670E25C0">
      <w:pPr>
        <w:spacing w:line="360" w:lineRule="auto"/>
        <w:rPr>
          <w:rFonts w:ascii="宋体" w:hAnsi="宋体" w:eastAsia="宋体" w:cs="宋体"/>
          <w:color w:val="auto"/>
          <w:highlight w:val="none"/>
        </w:rPr>
      </w:pPr>
    </w:p>
    <w:p w14:paraId="63714D4B">
      <w:pPr>
        <w:spacing w:line="360" w:lineRule="auto"/>
        <w:jc w:val="center"/>
        <w:outlineLvl w:val="2"/>
        <w:rPr>
          <w:rFonts w:ascii="宋体" w:hAnsi="宋体" w:eastAsia="宋体" w:cs="宋体"/>
          <w:b/>
          <w:bCs/>
          <w:color w:val="auto"/>
          <w:sz w:val="84"/>
          <w:szCs w:val="84"/>
          <w:highlight w:val="none"/>
        </w:rPr>
      </w:pPr>
      <w:bookmarkStart w:id="769" w:name="_Toc756"/>
      <w:bookmarkStart w:id="770" w:name="_Toc26325"/>
      <w:bookmarkStart w:id="771" w:name="_Toc23125"/>
      <w:bookmarkStart w:id="772" w:name="_Toc23257"/>
      <w:r>
        <w:rPr>
          <w:rFonts w:hint="eastAsia" w:ascii="宋体" w:hAnsi="宋体" w:eastAsia="宋体" w:cs="宋体"/>
          <w:b/>
          <w:bCs/>
          <w:color w:val="auto"/>
          <w:sz w:val="84"/>
          <w:szCs w:val="84"/>
          <w:highlight w:val="none"/>
        </w:rPr>
        <w:t>投 标 文 件</w:t>
      </w:r>
      <w:bookmarkEnd w:id="769"/>
      <w:bookmarkEnd w:id="770"/>
      <w:bookmarkEnd w:id="771"/>
      <w:bookmarkEnd w:id="772"/>
    </w:p>
    <w:p w14:paraId="4B38E006">
      <w:pPr>
        <w:spacing w:line="360" w:lineRule="auto"/>
        <w:rPr>
          <w:rFonts w:ascii="宋体" w:hAnsi="宋体" w:eastAsia="宋体" w:cs="宋体"/>
          <w:color w:val="auto"/>
          <w:highlight w:val="none"/>
        </w:rPr>
      </w:pPr>
    </w:p>
    <w:p w14:paraId="3068C5D0">
      <w:pPr>
        <w:spacing w:line="360" w:lineRule="auto"/>
        <w:rPr>
          <w:rFonts w:ascii="宋体" w:hAnsi="宋体" w:eastAsia="宋体" w:cs="宋体"/>
          <w:color w:val="auto"/>
          <w:highlight w:val="none"/>
        </w:rPr>
      </w:pPr>
    </w:p>
    <w:p w14:paraId="4153A3B0">
      <w:pPr>
        <w:spacing w:line="360" w:lineRule="auto"/>
        <w:rPr>
          <w:rFonts w:ascii="宋体" w:hAnsi="宋体" w:eastAsia="宋体" w:cs="宋体"/>
          <w:color w:val="auto"/>
          <w:highlight w:val="none"/>
        </w:rPr>
      </w:pPr>
    </w:p>
    <w:p w14:paraId="19D19B00">
      <w:pPr>
        <w:spacing w:line="360" w:lineRule="auto"/>
        <w:rPr>
          <w:rFonts w:ascii="宋体" w:hAnsi="宋体" w:eastAsia="宋体" w:cs="宋体"/>
          <w:color w:val="auto"/>
          <w:highlight w:val="none"/>
        </w:rPr>
      </w:pPr>
    </w:p>
    <w:p w14:paraId="67EAC5BE">
      <w:pPr>
        <w:spacing w:line="360" w:lineRule="auto"/>
        <w:rPr>
          <w:rFonts w:ascii="宋体" w:hAnsi="宋体" w:eastAsia="宋体" w:cs="宋体"/>
          <w:color w:val="auto"/>
          <w:highlight w:val="none"/>
        </w:rPr>
      </w:pPr>
    </w:p>
    <w:p w14:paraId="7D8AD7FE">
      <w:pPr>
        <w:spacing w:line="360" w:lineRule="auto"/>
        <w:rPr>
          <w:rFonts w:ascii="宋体" w:hAnsi="宋体" w:eastAsia="宋体" w:cs="宋体"/>
          <w:color w:val="auto"/>
          <w:highlight w:val="none"/>
        </w:rPr>
      </w:pPr>
    </w:p>
    <w:p w14:paraId="3CBC3F2A">
      <w:pPr>
        <w:spacing w:line="360" w:lineRule="auto"/>
        <w:rPr>
          <w:rFonts w:ascii="宋体" w:hAnsi="宋体" w:eastAsia="宋体" w:cs="宋体"/>
          <w:color w:val="auto"/>
          <w:highlight w:val="none"/>
        </w:rPr>
      </w:pPr>
    </w:p>
    <w:p w14:paraId="613EE383">
      <w:pPr>
        <w:spacing w:line="360" w:lineRule="auto"/>
        <w:rPr>
          <w:rFonts w:ascii="宋体" w:hAnsi="宋体" w:eastAsia="宋体" w:cs="宋体"/>
          <w:color w:val="auto"/>
          <w:highlight w:val="none"/>
        </w:rPr>
      </w:pPr>
    </w:p>
    <w:p w14:paraId="3E255706">
      <w:pPr>
        <w:spacing w:line="360" w:lineRule="auto"/>
        <w:rPr>
          <w:rFonts w:ascii="宋体" w:hAnsi="宋体" w:eastAsia="宋体" w:cs="宋体"/>
          <w:color w:val="auto"/>
          <w:highlight w:val="none"/>
        </w:rPr>
      </w:pPr>
    </w:p>
    <w:p w14:paraId="63FA45F1">
      <w:pPr>
        <w:spacing w:line="360" w:lineRule="auto"/>
        <w:rPr>
          <w:rFonts w:ascii="宋体" w:hAnsi="宋体" w:eastAsia="宋体" w:cs="宋体"/>
          <w:color w:val="auto"/>
          <w:highlight w:val="none"/>
        </w:rPr>
      </w:pPr>
    </w:p>
    <w:p w14:paraId="463DB696">
      <w:pPr>
        <w:spacing w:line="360" w:lineRule="auto"/>
        <w:rPr>
          <w:rFonts w:ascii="宋体" w:hAnsi="宋体" w:eastAsia="宋体" w:cs="宋体"/>
          <w:color w:val="auto"/>
          <w:highlight w:val="none"/>
        </w:rPr>
      </w:pPr>
    </w:p>
    <w:p w14:paraId="55E01E64">
      <w:pPr>
        <w:spacing w:line="360" w:lineRule="auto"/>
        <w:rPr>
          <w:rFonts w:ascii="宋体" w:hAnsi="宋体" w:eastAsia="宋体" w:cs="宋体"/>
          <w:color w:val="auto"/>
          <w:highlight w:val="none"/>
        </w:rPr>
      </w:pPr>
    </w:p>
    <w:p w14:paraId="76D5B613">
      <w:pPr>
        <w:spacing w:line="360" w:lineRule="auto"/>
        <w:rPr>
          <w:rFonts w:ascii="宋体" w:hAnsi="宋体" w:eastAsia="宋体" w:cs="宋体"/>
          <w:color w:val="auto"/>
          <w:sz w:val="28"/>
          <w:szCs w:val="28"/>
          <w:highlight w:val="none"/>
        </w:rPr>
      </w:pPr>
    </w:p>
    <w:p w14:paraId="1EB43D13">
      <w:pPr>
        <w:tabs>
          <w:tab w:val="left" w:pos="6219"/>
        </w:tabs>
        <w:spacing w:line="360" w:lineRule="auto"/>
        <w:jc w:val="center"/>
        <w:rPr>
          <w:rFonts w:ascii="宋体" w:hAnsi="宋体" w:eastAsia="宋体" w:cs="宋体"/>
          <w:bCs/>
          <w:color w:val="auto"/>
          <w:w w:val="99"/>
          <w:sz w:val="28"/>
          <w:szCs w:val="28"/>
          <w:highlight w:val="none"/>
        </w:rPr>
      </w:pPr>
      <w:r>
        <w:rPr>
          <w:rFonts w:hint="eastAsia" w:ascii="宋体" w:hAnsi="宋体" w:eastAsia="宋体" w:cs="宋体"/>
          <w:bCs/>
          <w:color w:val="auto"/>
          <w:w w:val="99"/>
          <w:sz w:val="28"/>
          <w:szCs w:val="28"/>
          <w:highlight w:val="none"/>
        </w:rPr>
        <w:t>投  标  人：</w:t>
      </w:r>
      <w:r>
        <w:rPr>
          <w:rFonts w:hint="eastAsia" w:ascii="宋体" w:hAnsi="宋体" w:eastAsia="宋体" w:cs="宋体"/>
          <w:bCs/>
          <w:color w:val="auto"/>
          <w:w w:val="99"/>
          <w:sz w:val="28"/>
          <w:szCs w:val="28"/>
          <w:highlight w:val="none"/>
          <w:u w:val="single"/>
          <w:lang w:val="en-US" w:eastAsia="zh-CN"/>
        </w:rPr>
        <w:t xml:space="preserve">                           </w:t>
      </w:r>
      <w:r>
        <w:rPr>
          <w:rFonts w:hint="eastAsia" w:ascii="宋体" w:hAnsi="宋体" w:eastAsia="宋体" w:cs="宋体"/>
          <w:bCs/>
          <w:color w:val="auto"/>
          <w:w w:val="99"/>
          <w:sz w:val="28"/>
          <w:szCs w:val="28"/>
          <w:highlight w:val="none"/>
        </w:rPr>
        <w:t>（</w:t>
      </w:r>
      <w:r>
        <w:rPr>
          <w:rFonts w:hint="eastAsia" w:ascii="宋体" w:hAnsi="宋体" w:eastAsia="宋体" w:cs="宋体"/>
          <w:bCs/>
          <w:color w:val="auto"/>
          <w:w w:val="99"/>
          <w:sz w:val="28"/>
          <w:szCs w:val="28"/>
          <w:highlight w:val="none"/>
          <w:lang w:eastAsia="zh-CN"/>
        </w:rPr>
        <w:t>盖单位公章</w:t>
      </w:r>
      <w:r>
        <w:rPr>
          <w:rFonts w:hint="eastAsia" w:ascii="宋体" w:hAnsi="宋体" w:eastAsia="宋体" w:cs="宋体"/>
          <w:bCs/>
          <w:color w:val="auto"/>
          <w:w w:val="99"/>
          <w:sz w:val="28"/>
          <w:szCs w:val="28"/>
          <w:highlight w:val="none"/>
        </w:rPr>
        <w:t>）</w:t>
      </w:r>
    </w:p>
    <w:p w14:paraId="1FAA3BE7">
      <w:pPr>
        <w:tabs>
          <w:tab w:val="left" w:pos="6252"/>
        </w:tabs>
        <w:spacing w:line="360" w:lineRule="auto"/>
        <w:jc w:val="center"/>
        <w:rPr>
          <w:rFonts w:ascii="宋体" w:hAnsi="宋体" w:eastAsia="宋体" w:cs="宋体"/>
          <w:bCs/>
          <w:color w:val="auto"/>
          <w:w w:val="99"/>
          <w:sz w:val="28"/>
          <w:szCs w:val="28"/>
          <w:highlight w:val="none"/>
        </w:rPr>
      </w:pPr>
      <w:r>
        <w:rPr>
          <w:rFonts w:hint="eastAsia" w:ascii="宋体" w:hAnsi="宋体" w:eastAsia="宋体" w:cs="宋体"/>
          <w:bCs/>
          <w:color w:val="auto"/>
          <w:spacing w:val="8"/>
          <w:sz w:val="28"/>
          <w:szCs w:val="28"/>
          <w:highlight w:val="none"/>
        </w:rPr>
        <w:t>法定代表人（单位负责人）或其委托代理人：</w:t>
      </w:r>
      <w:r>
        <w:rPr>
          <w:rFonts w:hint="eastAsia" w:ascii="宋体" w:hAnsi="宋体" w:eastAsia="宋体" w:cs="宋体"/>
          <w:bCs/>
          <w:color w:val="auto"/>
          <w:sz w:val="28"/>
          <w:szCs w:val="28"/>
          <w:highlight w:val="none"/>
          <w:u w:val="single"/>
        </w:rPr>
        <w:tab/>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w w:val="99"/>
          <w:sz w:val="28"/>
          <w:szCs w:val="28"/>
          <w:highlight w:val="none"/>
        </w:rPr>
        <w:t>（签</w:t>
      </w:r>
      <w:r>
        <w:rPr>
          <w:rFonts w:hint="eastAsia" w:ascii="宋体" w:hAnsi="宋体" w:eastAsia="宋体" w:cs="宋体"/>
          <w:bCs/>
          <w:color w:val="auto"/>
          <w:w w:val="99"/>
          <w:sz w:val="28"/>
          <w:szCs w:val="28"/>
          <w:highlight w:val="none"/>
          <w:lang w:eastAsia="zh-CN"/>
        </w:rPr>
        <w:t>名</w:t>
      </w:r>
      <w:r>
        <w:rPr>
          <w:rFonts w:hint="eastAsia" w:ascii="宋体" w:hAnsi="宋体" w:eastAsia="宋体" w:cs="宋体"/>
          <w:bCs/>
          <w:color w:val="auto"/>
          <w:w w:val="99"/>
          <w:sz w:val="28"/>
          <w:szCs w:val="28"/>
          <w:highlight w:val="none"/>
        </w:rPr>
        <w:t>）</w:t>
      </w:r>
    </w:p>
    <w:p w14:paraId="0924439D">
      <w:pPr>
        <w:spacing w:line="360" w:lineRule="auto"/>
        <w:jc w:val="center"/>
        <w:rPr>
          <w:rFonts w:ascii="宋体" w:hAnsi="宋体" w:eastAsia="宋体" w:cs="宋体"/>
          <w:bCs/>
          <w:color w:val="auto"/>
          <w:highlight w:val="none"/>
        </w:rPr>
      </w:pPr>
    </w:p>
    <w:p w14:paraId="6AE5EA4C">
      <w:pPr>
        <w:spacing w:line="360" w:lineRule="auto"/>
        <w:jc w:val="center"/>
        <w:rPr>
          <w:rFonts w:ascii="宋体" w:hAnsi="宋体" w:eastAsia="宋体" w:cs="宋体"/>
          <w:bCs/>
          <w:color w:val="auto"/>
          <w:highlight w:val="none"/>
        </w:rPr>
      </w:pPr>
    </w:p>
    <w:p w14:paraId="6C5EA5B7">
      <w:pPr>
        <w:spacing w:line="360" w:lineRule="auto"/>
        <w:jc w:val="center"/>
        <w:rPr>
          <w:rFonts w:ascii="宋体" w:hAnsi="宋体" w:eastAsia="宋体" w:cs="宋体"/>
          <w:bCs/>
          <w:color w:val="auto"/>
          <w:highlight w:val="none"/>
        </w:rPr>
      </w:pPr>
    </w:p>
    <w:p w14:paraId="3420DCFD">
      <w:pPr>
        <w:spacing w:line="360" w:lineRule="auto"/>
        <w:rPr>
          <w:rFonts w:ascii="宋体" w:hAnsi="宋体" w:eastAsia="宋体" w:cs="宋体"/>
          <w:bCs/>
          <w:color w:val="auto"/>
          <w:sz w:val="28"/>
          <w:szCs w:val="28"/>
          <w:highlight w:val="none"/>
        </w:rPr>
      </w:pPr>
    </w:p>
    <w:p w14:paraId="4F549467">
      <w:pPr>
        <w:jc w:val="center"/>
        <w:rPr>
          <w:rFonts w:ascii="宋体" w:hAnsi="宋体" w:eastAsia="宋体" w:cs="宋体"/>
          <w:color w:val="auto"/>
          <w:sz w:val="28"/>
          <w:szCs w:val="28"/>
          <w:highlight w:val="none"/>
        </w:rPr>
      </w:pPr>
      <w:r>
        <w:rPr>
          <w:rFonts w:hint="eastAsia" w:ascii="宋体" w:hAnsi="宋体" w:eastAsia="宋体" w:cs="宋体"/>
          <w:bCs/>
          <w:color w:val="auto"/>
          <w:spacing w:val="8"/>
          <w:sz w:val="28"/>
          <w:szCs w:val="28"/>
          <w:highlight w:val="none"/>
        </w:rPr>
        <w:t>年</w:t>
      </w:r>
      <w:r>
        <w:rPr>
          <w:rFonts w:hint="eastAsia" w:ascii="宋体" w:hAnsi="宋体" w:eastAsia="宋体" w:cs="宋体"/>
          <w:bCs/>
          <w:color w:val="auto"/>
          <w:spacing w:val="8"/>
          <w:sz w:val="28"/>
          <w:szCs w:val="28"/>
          <w:highlight w:val="none"/>
          <w:lang w:val="en-US" w:eastAsia="zh-CN"/>
        </w:rPr>
        <w:t xml:space="preserve">  </w:t>
      </w:r>
      <w:r>
        <w:rPr>
          <w:rFonts w:hint="eastAsia" w:ascii="宋体" w:hAnsi="宋体" w:eastAsia="宋体" w:cs="宋体"/>
          <w:bCs/>
          <w:color w:val="auto"/>
          <w:spacing w:val="8"/>
          <w:sz w:val="28"/>
          <w:szCs w:val="28"/>
          <w:highlight w:val="none"/>
        </w:rPr>
        <w:t>月</w:t>
      </w:r>
      <w:r>
        <w:rPr>
          <w:rFonts w:hint="eastAsia" w:ascii="宋体" w:hAnsi="宋体" w:eastAsia="宋体" w:cs="宋体"/>
          <w:bCs/>
          <w:color w:val="auto"/>
          <w:spacing w:val="8"/>
          <w:sz w:val="28"/>
          <w:szCs w:val="28"/>
          <w:highlight w:val="none"/>
          <w:lang w:val="en-US" w:eastAsia="zh-CN"/>
        </w:rPr>
        <w:t xml:space="preserve">  </w:t>
      </w:r>
      <w:r>
        <w:rPr>
          <w:rFonts w:hint="eastAsia" w:ascii="宋体" w:hAnsi="宋体" w:eastAsia="宋体" w:cs="宋体"/>
          <w:bCs/>
          <w:color w:val="auto"/>
          <w:spacing w:val="8"/>
          <w:sz w:val="28"/>
          <w:szCs w:val="28"/>
          <w:highlight w:val="none"/>
        </w:rPr>
        <w:t>日</w:t>
      </w:r>
    </w:p>
    <w:p w14:paraId="57A3A3D1">
      <w:pPr>
        <w:rPr>
          <w:rFonts w:ascii="宋体" w:hAnsi="宋体" w:eastAsia="宋体" w:cs="宋体"/>
          <w:color w:val="auto"/>
          <w:highlight w:val="none"/>
        </w:rPr>
      </w:pPr>
    </w:p>
    <w:p w14:paraId="34A17E24">
      <w:pPr>
        <w:rPr>
          <w:rFonts w:ascii="宋体" w:hAnsi="宋体" w:eastAsia="宋体" w:cs="宋体"/>
          <w:snapToGrid/>
          <w:color w:val="auto"/>
          <w:highlight w:val="none"/>
        </w:rPr>
      </w:pPr>
      <w:r>
        <w:rPr>
          <w:rFonts w:hint="eastAsia" w:ascii="宋体" w:hAnsi="宋体" w:eastAsia="宋体" w:cs="宋体"/>
          <w:snapToGrid/>
          <w:color w:val="auto"/>
          <w:highlight w:val="none"/>
        </w:rPr>
        <w:br w:type="page"/>
      </w:r>
    </w:p>
    <w:p w14:paraId="2D863185">
      <w:pPr>
        <w:spacing w:line="360" w:lineRule="auto"/>
        <w:jc w:val="center"/>
        <w:rPr>
          <w:rFonts w:hint="eastAsia" w:ascii="宋体" w:hAnsi="宋体" w:eastAsia="宋体" w:cs="宋体"/>
          <w:b/>
          <w:bCs/>
          <w:color w:val="auto"/>
          <w:sz w:val="32"/>
          <w:szCs w:val="32"/>
          <w:highlight w:val="none"/>
        </w:rPr>
      </w:pPr>
      <w:bookmarkStart w:id="773" w:name="_Toc224103493"/>
      <w:r>
        <w:rPr>
          <w:rFonts w:hint="eastAsia" w:ascii="宋体" w:hAnsi="宋体" w:eastAsia="宋体" w:cs="宋体"/>
          <w:b/>
          <w:bCs/>
          <w:color w:val="auto"/>
          <w:sz w:val="32"/>
          <w:szCs w:val="32"/>
          <w:highlight w:val="none"/>
        </w:rPr>
        <w:t>目  录</w:t>
      </w:r>
      <w:bookmarkEnd w:id="773"/>
    </w:p>
    <w:p w14:paraId="4773EDD2">
      <w:pPr>
        <w:spacing w:line="360" w:lineRule="auto"/>
        <w:ind w:firstLine="560" w:firstLineChars="200"/>
        <w:rPr>
          <w:color w:val="auto"/>
          <w:sz w:val="28"/>
          <w:szCs w:val="28"/>
          <w:highlight w:val="none"/>
        </w:rPr>
      </w:pPr>
    </w:p>
    <w:p w14:paraId="4C58A2A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eastAsia="宋体"/>
          <w:color w:val="auto"/>
          <w:sz w:val="24"/>
          <w:szCs w:val="24"/>
          <w:highlight w:val="none"/>
          <w:lang w:eastAsia="zh-CN"/>
        </w:rPr>
      </w:pPr>
      <w:r>
        <w:rPr>
          <w:rFonts w:hint="eastAsia"/>
          <w:color w:val="auto"/>
          <w:sz w:val="24"/>
          <w:szCs w:val="24"/>
          <w:highlight w:val="none"/>
          <w:lang w:val="en-US" w:eastAsia="zh-CN"/>
        </w:rPr>
        <w:t>一、</w:t>
      </w:r>
      <w:r>
        <w:rPr>
          <w:rFonts w:hint="eastAsia"/>
          <w:color w:val="auto"/>
          <w:sz w:val="24"/>
          <w:szCs w:val="24"/>
          <w:highlight w:val="none"/>
        </w:rPr>
        <w:t>投标函</w:t>
      </w:r>
      <w:r>
        <w:rPr>
          <w:rFonts w:hint="eastAsia" w:eastAsia="宋体"/>
          <w:color w:val="auto"/>
          <w:sz w:val="24"/>
          <w:szCs w:val="24"/>
          <w:highlight w:val="none"/>
          <w:lang w:eastAsia="zh-CN"/>
        </w:rPr>
        <w:t>；</w:t>
      </w:r>
    </w:p>
    <w:p w14:paraId="2AE2962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color w:val="auto"/>
          <w:sz w:val="24"/>
          <w:szCs w:val="24"/>
          <w:highlight w:val="none"/>
        </w:rPr>
      </w:pPr>
      <w:r>
        <w:rPr>
          <w:rFonts w:hint="eastAsia"/>
          <w:color w:val="auto"/>
          <w:sz w:val="24"/>
          <w:szCs w:val="24"/>
          <w:highlight w:val="none"/>
          <w:lang w:val="en-US" w:eastAsia="zh-CN"/>
        </w:rPr>
        <w:t>二、</w:t>
      </w:r>
      <w:r>
        <w:rPr>
          <w:rFonts w:hint="eastAsia"/>
          <w:color w:val="auto"/>
          <w:sz w:val="24"/>
          <w:szCs w:val="24"/>
          <w:highlight w:val="none"/>
        </w:rPr>
        <w:t>法定代表人身份证明或授权委托书；</w:t>
      </w:r>
    </w:p>
    <w:p w14:paraId="7CEA188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color w:val="auto"/>
          <w:sz w:val="24"/>
          <w:szCs w:val="24"/>
          <w:highlight w:val="none"/>
          <w:lang w:val="en-US" w:eastAsia="zh-CN"/>
        </w:rPr>
      </w:pPr>
      <w:r>
        <w:rPr>
          <w:rFonts w:hint="eastAsia"/>
          <w:color w:val="auto"/>
          <w:sz w:val="24"/>
          <w:szCs w:val="24"/>
          <w:highlight w:val="none"/>
          <w:lang w:val="en-US" w:eastAsia="zh-CN"/>
        </w:rPr>
        <w:t>三、商务部分；</w:t>
      </w:r>
    </w:p>
    <w:p w14:paraId="1041199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color w:val="auto"/>
          <w:sz w:val="24"/>
          <w:szCs w:val="24"/>
          <w:highlight w:val="none"/>
          <w:lang w:val="en-US" w:eastAsia="zh-CN"/>
        </w:rPr>
      </w:pPr>
      <w:r>
        <w:rPr>
          <w:rFonts w:hint="eastAsia"/>
          <w:color w:val="auto"/>
          <w:sz w:val="24"/>
          <w:szCs w:val="24"/>
          <w:highlight w:val="none"/>
          <w:lang w:val="en-US" w:eastAsia="zh-CN"/>
        </w:rPr>
        <w:t>四、技术部分</w:t>
      </w:r>
      <w:r>
        <w:rPr>
          <w:rFonts w:hint="eastAsia"/>
          <w:color w:val="auto"/>
          <w:sz w:val="24"/>
          <w:szCs w:val="24"/>
          <w:highlight w:val="none"/>
        </w:rPr>
        <w:t>；</w:t>
      </w:r>
    </w:p>
    <w:p w14:paraId="7EC8B51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color w:val="auto"/>
          <w:sz w:val="24"/>
          <w:szCs w:val="24"/>
          <w:highlight w:val="none"/>
        </w:rPr>
      </w:pPr>
      <w:r>
        <w:rPr>
          <w:rFonts w:hint="eastAsia"/>
          <w:color w:val="auto"/>
          <w:sz w:val="24"/>
          <w:szCs w:val="24"/>
          <w:highlight w:val="none"/>
          <w:lang w:val="en-US" w:eastAsia="zh-CN"/>
        </w:rPr>
        <w:t>五、</w:t>
      </w:r>
      <w:r>
        <w:rPr>
          <w:rFonts w:hint="eastAsia"/>
          <w:color w:val="auto"/>
          <w:sz w:val="24"/>
          <w:szCs w:val="24"/>
          <w:highlight w:val="none"/>
        </w:rPr>
        <w:t>资格审查资料；</w:t>
      </w:r>
    </w:p>
    <w:p w14:paraId="29751056">
      <w:pPr>
        <w:pStyle w:val="12"/>
        <w:rPr>
          <w:rFonts w:hint="default" w:ascii="Arial" w:hAnsi="Arial" w:eastAsia="Arial" w:cs="Arial"/>
          <w:snapToGrid w:val="0"/>
          <w:color w:val="auto"/>
          <w:sz w:val="24"/>
          <w:szCs w:val="24"/>
          <w:highlight w:val="none"/>
          <w:lang w:val="en-US" w:eastAsia="zh-CN" w:bidi="ar-SA"/>
        </w:rPr>
      </w:pPr>
      <w:r>
        <w:rPr>
          <w:rFonts w:hint="eastAsia" w:eastAsia="宋体"/>
          <w:color w:val="auto"/>
          <w:highlight w:val="none"/>
          <w:lang w:val="en-US" w:eastAsia="zh-CN"/>
        </w:rPr>
        <w:t xml:space="preserve">   </w:t>
      </w:r>
      <w:r>
        <w:rPr>
          <w:rFonts w:hint="eastAsia" w:ascii="Arial" w:hAnsi="Arial" w:eastAsia="Arial" w:cs="Arial"/>
          <w:snapToGrid w:val="0"/>
          <w:color w:val="auto"/>
          <w:sz w:val="24"/>
          <w:szCs w:val="24"/>
          <w:highlight w:val="none"/>
          <w:lang w:val="en-US" w:eastAsia="zh-CN" w:bidi="ar-SA"/>
        </w:rPr>
        <w:t xml:space="preserve"> 六、开标一览表（以电子招投标系统自动生成为准）</w:t>
      </w:r>
    </w:p>
    <w:p w14:paraId="28066892">
      <w:pPr>
        <w:pStyle w:val="12"/>
        <w:rPr>
          <w:rFonts w:ascii="宋体" w:hAnsi="宋体" w:eastAsia="宋体" w:cs="宋体"/>
          <w:color w:val="auto"/>
          <w:szCs w:val="21"/>
          <w:highlight w:val="none"/>
        </w:rPr>
      </w:pPr>
    </w:p>
    <w:p w14:paraId="3EC7FA4C">
      <w:pPr>
        <w:rPr>
          <w:rFonts w:ascii="宋体" w:hAnsi="宋体" w:eastAsia="宋体" w:cs="宋体"/>
          <w:color w:val="auto"/>
          <w:highlight w:val="none"/>
        </w:rPr>
      </w:pPr>
    </w:p>
    <w:p w14:paraId="554B0B2C">
      <w:pPr>
        <w:pStyle w:val="12"/>
        <w:rPr>
          <w:rFonts w:ascii="宋体" w:hAnsi="宋体" w:eastAsia="宋体" w:cs="宋体"/>
          <w:color w:val="auto"/>
          <w:szCs w:val="21"/>
          <w:highlight w:val="none"/>
        </w:rPr>
      </w:pPr>
    </w:p>
    <w:p w14:paraId="7383C196">
      <w:pPr>
        <w:rPr>
          <w:rFonts w:ascii="宋体" w:hAnsi="宋体" w:eastAsia="宋体" w:cs="宋体"/>
          <w:color w:val="auto"/>
          <w:highlight w:val="none"/>
        </w:rPr>
      </w:pPr>
    </w:p>
    <w:p w14:paraId="519DB826">
      <w:pPr>
        <w:pStyle w:val="12"/>
        <w:rPr>
          <w:rFonts w:ascii="宋体" w:hAnsi="宋体" w:eastAsia="宋体" w:cs="宋体"/>
          <w:color w:val="auto"/>
          <w:szCs w:val="21"/>
          <w:highlight w:val="none"/>
        </w:rPr>
      </w:pPr>
    </w:p>
    <w:p w14:paraId="4F9B89B7">
      <w:pPr>
        <w:rPr>
          <w:rFonts w:ascii="宋体" w:hAnsi="宋体" w:eastAsia="宋体" w:cs="宋体"/>
          <w:color w:val="auto"/>
          <w:highlight w:val="none"/>
        </w:rPr>
      </w:pPr>
    </w:p>
    <w:p w14:paraId="7B86D33B">
      <w:pPr>
        <w:pStyle w:val="12"/>
        <w:rPr>
          <w:rFonts w:ascii="宋体" w:hAnsi="宋体" w:eastAsia="宋体" w:cs="宋体"/>
          <w:color w:val="auto"/>
          <w:szCs w:val="21"/>
          <w:highlight w:val="none"/>
        </w:rPr>
      </w:pPr>
    </w:p>
    <w:p w14:paraId="6CF38481">
      <w:pPr>
        <w:rPr>
          <w:rFonts w:ascii="宋体" w:hAnsi="宋体" w:eastAsia="宋体" w:cs="宋体"/>
          <w:color w:val="auto"/>
          <w:highlight w:val="none"/>
        </w:rPr>
      </w:pPr>
    </w:p>
    <w:p w14:paraId="5D62BEB7">
      <w:pPr>
        <w:pStyle w:val="12"/>
        <w:rPr>
          <w:rFonts w:ascii="宋体" w:hAnsi="宋体" w:eastAsia="宋体" w:cs="宋体"/>
          <w:color w:val="auto"/>
          <w:szCs w:val="21"/>
          <w:highlight w:val="none"/>
        </w:rPr>
      </w:pPr>
    </w:p>
    <w:p w14:paraId="5E18FB38">
      <w:pPr>
        <w:rPr>
          <w:rFonts w:ascii="宋体" w:hAnsi="宋体" w:eastAsia="宋体" w:cs="宋体"/>
          <w:color w:val="auto"/>
          <w:highlight w:val="none"/>
        </w:rPr>
      </w:pPr>
    </w:p>
    <w:p w14:paraId="1544E2CA">
      <w:pPr>
        <w:pStyle w:val="12"/>
        <w:rPr>
          <w:rFonts w:ascii="宋体" w:hAnsi="宋体" w:eastAsia="宋体" w:cs="宋体"/>
          <w:color w:val="auto"/>
          <w:szCs w:val="21"/>
          <w:highlight w:val="none"/>
        </w:rPr>
      </w:pPr>
    </w:p>
    <w:p w14:paraId="30D27D5E">
      <w:pPr>
        <w:rPr>
          <w:rFonts w:ascii="宋体" w:hAnsi="宋体" w:eastAsia="宋体" w:cs="宋体"/>
          <w:color w:val="auto"/>
          <w:highlight w:val="none"/>
        </w:rPr>
      </w:pPr>
    </w:p>
    <w:p w14:paraId="38D81E51">
      <w:pPr>
        <w:pStyle w:val="12"/>
        <w:rPr>
          <w:rFonts w:ascii="宋体" w:hAnsi="宋体" w:eastAsia="宋体" w:cs="宋体"/>
          <w:color w:val="auto"/>
          <w:szCs w:val="21"/>
          <w:highlight w:val="none"/>
        </w:rPr>
      </w:pPr>
    </w:p>
    <w:p w14:paraId="2567D7A6">
      <w:pPr>
        <w:rPr>
          <w:rFonts w:ascii="宋体" w:hAnsi="宋体" w:eastAsia="宋体" w:cs="宋体"/>
          <w:color w:val="auto"/>
          <w:highlight w:val="none"/>
        </w:rPr>
      </w:pPr>
    </w:p>
    <w:p w14:paraId="2EE96E66">
      <w:pPr>
        <w:pStyle w:val="12"/>
        <w:rPr>
          <w:rFonts w:ascii="宋体" w:hAnsi="宋体" w:eastAsia="宋体" w:cs="宋体"/>
          <w:color w:val="auto"/>
          <w:szCs w:val="21"/>
          <w:highlight w:val="none"/>
        </w:rPr>
      </w:pPr>
    </w:p>
    <w:p w14:paraId="7D5A56F8">
      <w:pPr>
        <w:rPr>
          <w:rFonts w:ascii="宋体" w:hAnsi="宋体" w:eastAsia="宋体" w:cs="宋体"/>
          <w:color w:val="auto"/>
          <w:highlight w:val="none"/>
        </w:rPr>
      </w:pPr>
    </w:p>
    <w:p w14:paraId="630E1717">
      <w:pPr>
        <w:pStyle w:val="12"/>
        <w:rPr>
          <w:rFonts w:ascii="宋体" w:hAnsi="宋体" w:eastAsia="宋体" w:cs="宋体"/>
          <w:color w:val="auto"/>
          <w:szCs w:val="21"/>
          <w:highlight w:val="none"/>
        </w:rPr>
      </w:pPr>
    </w:p>
    <w:p w14:paraId="2E265A5F">
      <w:pPr>
        <w:rPr>
          <w:rFonts w:ascii="宋体" w:hAnsi="宋体" w:eastAsia="宋体" w:cs="宋体"/>
          <w:color w:val="auto"/>
          <w:highlight w:val="none"/>
        </w:rPr>
      </w:pPr>
    </w:p>
    <w:p w14:paraId="477AFEED">
      <w:pPr>
        <w:pStyle w:val="12"/>
        <w:rPr>
          <w:rFonts w:ascii="宋体" w:hAnsi="宋体" w:eastAsia="宋体" w:cs="宋体"/>
          <w:color w:val="auto"/>
          <w:szCs w:val="21"/>
          <w:highlight w:val="none"/>
        </w:rPr>
      </w:pPr>
    </w:p>
    <w:p w14:paraId="26183DBB">
      <w:pPr>
        <w:rPr>
          <w:rFonts w:ascii="宋体" w:hAnsi="宋体" w:eastAsia="宋体" w:cs="宋体"/>
          <w:color w:val="auto"/>
          <w:highlight w:val="none"/>
        </w:rPr>
      </w:pPr>
    </w:p>
    <w:p w14:paraId="69F15211">
      <w:pPr>
        <w:pStyle w:val="12"/>
        <w:rPr>
          <w:rFonts w:ascii="宋体" w:hAnsi="宋体" w:eastAsia="宋体" w:cs="宋体"/>
          <w:color w:val="auto"/>
          <w:szCs w:val="21"/>
          <w:highlight w:val="none"/>
        </w:rPr>
      </w:pPr>
    </w:p>
    <w:p w14:paraId="007CFA2D">
      <w:pPr>
        <w:rPr>
          <w:rFonts w:ascii="宋体" w:hAnsi="宋体" w:eastAsia="宋体" w:cs="宋体"/>
          <w:color w:val="auto"/>
          <w:highlight w:val="none"/>
        </w:rPr>
      </w:pPr>
    </w:p>
    <w:p w14:paraId="0FB23678">
      <w:pPr>
        <w:pStyle w:val="12"/>
        <w:rPr>
          <w:rFonts w:ascii="宋体" w:hAnsi="宋体" w:eastAsia="宋体" w:cs="宋体"/>
          <w:color w:val="auto"/>
          <w:szCs w:val="21"/>
          <w:highlight w:val="none"/>
        </w:rPr>
      </w:pPr>
    </w:p>
    <w:p w14:paraId="524AC7AA">
      <w:pPr>
        <w:rPr>
          <w:rFonts w:ascii="宋体" w:hAnsi="宋体" w:eastAsia="宋体" w:cs="宋体"/>
          <w:color w:val="auto"/>
          <w:highlight w:val="none"/>
        </w:rPr>
      </w:pPr>
    </w:p>
    <w:p w14:paraId="119F7B33">
      <w:pPr>
        <w:pStyle w:val="12"/>
        <w:rPr>
          <w:rFonts w:ascii="宋体" w:hAnsi="宋体" w:eastAsia="宋体" w:cs="宋体"/>
          <w:color w:val="auto"/>
          <w:szCs w:val="21"/>
          <w:highlight w:val="none"/>
        </w:rPr>
      </w:pPr>
    </w:p>
    <w:p w14:paraId="63DCDE79">
      <w:pPr>
        <w:rPr>
          <w:rFonts w:ascii="宋体" w:hAnsi="宋体" w:eastAsia="宋体" w:cs="宋体"/>
          <w:color w:val="auto"/>
          <w:highlight w:val="none"/>
        </w:rPr>
      </w:pPr>
    </w:p>
    <w:p w14:paraId="36AD80EB">
      <w:pPr>
        <w:rPr>
          <w:rFonts w:ascii="宋体" w:hAnsi="宋体" w:eastAsia="宋体" w:cs="宋体"/>
          <w:color w:val="auto"/>
          <w:szCs w:val="21"/>
          <w:highlight w:val="none"/>
        </w:rPr>
      </w:pPr>
      <w:r>
        <w:rPr>
          <w:rFonts w:ascii="宋体" w:hAnsi="宋体" w:eastAsia="宋体" w:cs="宋体"/>
          <w:color w:val="auto"/>
          <w:szCs w:val="21"/>
          <w:highlight w:val="none"/>
        </w:rPr>
        <w:br w:type="page"/>
      </w:r>
    </w:p>
    <w:p w14:paraId="09EBB351">
      <w:pPr>
        <w:rPr>
          <w:color w:val="auto"/>
          <w:highlight w:val="none"/>
        </w:rPr>
      </w:pPr>
    </w:p>
    <w:p w14:paraId="5B75FA0C">
      <w:pPr>
        <w:pStyle w:val="3"/>
        <w:spacing w:before="156"/>
        <w:jc w:val="center"/>
        <w:rPr>
          <w:rFonts w:hint="eastAsia" w:ascii="宋体" w:hAnsi="宋体" w:eastAsia="黑体" w:cs="宋体"/>
          <w:color w:val="auto"/>
          <w:highlight w:val="none"/>
          <w:lang w:eastAsia="zh-CN"/>
        </w:rPr>
      </w:pPr>
      <w:bookmarkStart w:id="774" w:name="_Toc17112"/>
      <w:bookmarkStart w:id="775" w:name="_Toc29347"/>
      <w:bookmarkStart w:id="776" w:name="_Toc28491"/>
      <w:bookmarkStart w:id="777" w:name="_Toc2152"/>
      <w:r>
        <w:rPr>
          <w:rFonts w:hint="eastAsia"/>
          <w:color w:val="auto"/>
          <w:highlight w:val="none"/>
          <w:lang w:eastAsia="zh-CN"/>
        </w:rPr>
        <w:t>一</w:t>
      </w:r>
      <w:r>
        <w:rPr>
          <w:rFonts w:hint="eastAsia"/>
          <w:color w:val="auto"/>
          <w:highlight w:val="none"/>
        </w:rPr>
        <w:t>、</w:t>
      </w:r>
      <w:r>
        <w:rPr>
          <w:rFonts w:hint="eastAsia"/>
          <w:color w:val="auto"/>
          <w:highlight w:val="none"/>
          <w:lang w:eastAsia="zh-CN"/>
        </w:rPr>
        <w:t>投标函</w:t>
      </w:r>
      <w:bookmarkEnd w:id="774"/>
      <w:bookmarkEnd w:id="775"/>
      <w:bookmarkEnd w:id="776"/>
      <w:bookmarkEnd w:id="777"/>
    </w:p>
    <w:p w14:paraId="3BB73B31">
      <w:pPr>
        <w:spacing w:line="440" w:lineRule="exact"/>
        <w:rPr>
          <w:rFonts w:hint="eastAsia" w:ascii="宋体" w:hAnsi="宋体" w:eastAsia="宋体" w:cs="宋体"/>
          <w:color w:val="auto"/>
          <w:sz w:val="21"/>
          <w:szCs w:val="21"/>
          <w:highlight w:val="none"/>
        </w:rPr>
      </w:pPr>
      <w:bookmarkStart w:id="778" w:name="_Toc246997100"/>
      <w:bookmarkStart w:id="779" w:name="_Toc247085875"/>
      <w:bookmarkStart w:id="780" w:name="_Toc296602603"/>
      <w:bookmarkStart w:id="781" w:name="_Toc152042578"/>
      <w:bookmarkStart w:id="782" w:name="_Toc144974858"/>
      <w:bookmarkStart w:id="783" w:name="_Toc13075"/>
      <w:bookmarkStart w:id="784" w:name="_Toc152045789"/>
      <w:bookmarkStart w:id="785" w:name="_Toc246996357"/>
      <w:bookmarkStart w:id="786" w:name="_Toc179632809"/>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（招标人名称）：</w:t>
      </w:r>
    </w:p>
    <w:p w14:paraId="2B08B10A">
      <w:pPr>
        <w:spacing w:line="440" w:lineRule="exact"/>
        <w:rPr>
          <w:rFonts w:ascii="宋体" w:hAnsi="宋体" w:eastAsia="宋体" w:cs="宋体"/>
          <w:color w:val="auto"/>
          <w:highlight w:val="none"/>
        </w:rPr>
      </w:pPr>
    </w:p>
    <w:p w14:paraId="054B0415">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1．我方已仔细研究了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highlight w:val="none"/>
        </w:rPr>
        <w:t>招标文件的全部内容，愿意以人民币</w:t>
      </w:r>
      <w:r>
        <w:rPr>
          <w:rFonts w:hint="eastAsia" w:ascii="宋体" w:hAnsi="宋体" w:eastAsia="宋体" w:cs="宋体"/>
          <w:color w:val="auto"/>
          <w:highlight w:val="none"/>
          <w:u w:val="single"/>
        </w:rPr>
        <w:t>大写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小写：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元）</w:t>
      </w:r>
      <w:r>
        <w:rPr>
          <w:rFonts w:hint="eastAsia" w:ascii="宋体" w:hAnsi="宋体" w:eastAsia="宋体" w:cs="宋体"/>
          <w:color w:val="auto"/>
          <w:highlight w:val="none"/>
        </w:rPr>
        <w:t>的投标报价</w:t>
      </w:r>
      <w:r>
        <w:rPr>
          <w:rFonts w:hint="eastAsia" w:ascii="宋体" w:hAnsi="宋体" w:eastAsia="宋体" w:cs="宋体"/>
          <w:color w:val="auto"/>
          <w:highlight w:val="none"/>
          <w:lang w:eastAsia="zh-CN"/>
        </w:rPr>
        <w:t>（含税）</w:t>
      </w:r>
      <w:r>
        <w:rPr>
          <w:rFonts w:hint="eastAsia" w:ascii="宋体" w:hAnsi="宋体" w:eastAsia="宋体" w:cs="宋体"/>
          <w:color w:val="auto"/>
          <w:highlight w:val="none"/>
        </w:rPr>
        <w:t>，服务期限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，按合同约定完成本项目。</w:t>
      </w:r>
    </w:p>
    <w:p w14:paraId="3343C904">
      <w:pPr>
        <w:numPr>
          <w:ilvl w:val="255"/>
          <w:numId w:val="0"/>
        </w:numPr>
        <w:spacing w:line="360" w:lineRule="auto"/>
        <w:ind w:firstLine="420" w:firstLineChars="200"/>
        <w:rPr>
          <w:color w:val="auto"/>
          <w:highlight w:val="none"/>
        </w:rPr>
      </w:pPr>
      <w:r>
        <w:rPr>
          <w:rFonts w:hint="eastAsia" w:ascii="宋体" w:hAnsi="宋体" w:cs="宋体"/>
          <w:color w:val="auto"/>
          <w:highlight w:val="none"/>
        </w:rPr>
        <w:t>2</w:t>
      </w:r>
      <w:r>
        <w:rPr>
          <w:rFonts w:hint="eastAsia" w:ascii="宋体" w:hAnsi="宋体" w:eastAsia="宋体" w:cs="宋体"/>
          <w:color w:val="auto"/>
          <w:highlight w:val="none"/>
        </w:rPr>
        <w:t>．</w:t>
      </w:r>
      <w:r>
        <w:rPr>
          <w:color w:val="auto"/>
          <w:highlight w:val="none"/>
        </w:rPr>
        <w:t>我方承诺</w:t>
      </w:r>
      <w:r>
        <w:rPr>
          <w:rFonts w:hint="eastAsia" w:ascii="宋体" w:hAnsi="宋体" w:eastAsia="宋体" w:cs="宋体"/>
          <w:color w:val="auto"/>
          <w:spacing w:val="-3"/>
          <w:highlight w:val="none"/>
        </w:rPr>
        <w:t>符合</w:t>
      </w:r>
      <w:r>
        <w:rPr>
          <w:rFonts w:hint="eastAsia" w:ascii="宋体" w:hAnsi="宋体"/>
          <w:color w:val="auto"/>
          <w:highlight w:val="none"/>
        </w:rPr>
        <w:t>招标文件</w:t>
      </w:r>
      <w:r>
        <w:rPr>
          <w:rFonts w:hint="eastAsia" w:ascii="宋体" w:hAnsi="宋体" w:eastAsia="宋体" w:cs="宋体"/>
          <w:color w:val="auto"/>
          <w:spacing w:val="-3"/>
          <w:highlight w:val="none"/>
        </w:rPr>
        <w:t>第二章“投标人须知”第1.3.3项“质量标准”要求。</w:t>
      </w:r>
    </w:p>
    <w:p w14:paraId="067AA91A">
      <w:pPr>
        <w:numPr>
          <w:ilvl w:val="255"/>
          <w:numId w:val="0"/>
        </w:numPr>
        <w:spacing w:line="360" w:lineRule="auto"/>
        <w:ind w:firstLine="420" w:firstLineChars="200"/>
        <w:rPr>
          <w:color w:val="auto"/>
          <w:highlight w:val="none"/>
        </w:rPr>
      </w:pPr>
      <w:r>
        <w:rPr>
          <w:rFonts w:hint="eastAsia" w:eastAsia="宋体"/>
          <w:color w:val="auto"/>
          <w:highlight w:val="none"/>
        </w:rPr>
        <w:t>3</w:t>
      </w:r>
      <w:r>
        <w:rPr>
          <w:rFonts w:hint="eastAsia" w:ascii="宋体" w:hAnsi="宋体" w:eastAsia="宋体" w:cs="宋体"/>
          <w:color w:val="auto"/>
          <w:highlight w:val="none"/>
        </w:rPr>
        <w:t>．</w:t>
      </w:r>
      <w:r>
        <w:rPr>
          <w:color w:val="auto"/>
          <w:highlight w:val="none"/>
        </w:rPr>
        <w:t>我方承诺</w:t>
      </w:r>
      <w:r>
        <w:rPr>
          <w:rFonts w:hint="eastAsia" w:ascii="宋体" w:hAnsi="宋体"/>
          <w:color w:val="auto"/>
          <w:highlight w:val="none"/>
        </w:rPr>
        <w:t>符合招标文件</w:t>
      </w:r>
      <w:r>
        <w:rPr>
          <w:rFonts w:ascii="宋体" w:hAnsi="宋体" w:eastAsia="宋体" w:cs="Times New Roman"/>
          <w:color w:val="auto"/>
          <w:highlight w:val="none"/>
        </w:rPr>
        <w:t>第四章“合同条款及格式”</w:t>
      </w:r>
      <w:r>
        <w:rPr>
          <w:rFonts w:hint="eastAsia" w:ascii="宋体" w:hAnsi="宋体" w:cs="宋体"/>
          <w:color w:val="auto"/>
          <w:highlight w:val="none"/>
        </w:rPr>
        <w:t>中的实质性要求和条件</w:t>
      </w:r>
      <w:r>
        <w:rPr>
          <w:rFonts w:hint="eastAsia" w:ascii="宋体" w:hAnsi="宋体"/>
          <w:color w:val="auto"/>
          <w:highlight w:val="none"/>
        </w:rPr>
        <w:t>，投标文件中没有贵单位不能接受的条件。</w:t>
      </w:r>
    </w:p>
    <w:p w14:paraId="35D1E406">
      <w:pPr>
        <w:numPr>
          <w:ilvl w:val="255"/>
          <w:numId w:val="0"/>
        </w:numPr>
        <w:spacing w:line="360" w:lineRule="auto"/>
        <w:ind w:firstLine="420" w:firstLineChars="200"/>
        <w:rPr>
          <w:color w:val="auto"/>
          <w:highlight w:val="none"/>
        </w:rPr>
      </w:pPr>
      <w:r>
        <w:rPr>
          <w:rFonts w:hint="eastAsia" w:eastAsia="宋体"/>
          <w:color w:val="auto"/>
          <w:highlight w:val="none"/>
        </w:rPr>
        <w:t>4</w:t>
      </w:r>
      <w:r>
        <w:rPr>
          <w:rFonts w:hint="eastAsia" w:ascii="宋体" w:hAnsi="宋体" w:eastAsia="宋体" w:cs="宋体"/>
          <w:color w:val="auto"/>
          <w:highlight w:val="none"/>
        </w:rPr>
        <w:t>．</w:t>
      </w:r>
      <w:r>
        <w:rPr>
          <w:color w:val="auto"/>
          <w:highlight w:val="none"/>
        </w:rPr>
        <w:t>我方承诺</w:t>
      </w:r>
      <w:r>
        <w:rPr>
          <w:rFonts w:hint="eastAsia" w:ascii="宋体" w:hAnsi="宋体" w:eastAsia="宋体" w:cs="宋体"/>
          <w:color w:val="auto"/>
          <w:highlight w:val="none"/>
        </w:rPr>
        <w:t>符合</w:t>
      </w:r>
      <w:r>
        <w:rPr>
          <w:rFonts w:hint="eastAsia" w:ascii="宋体" w:hAnsi="宋体"/>
          <w:color w:val="auto"/>
          <w:highlight w:val="none"/>
        </w:rPr>
        <w:t>招标文件</w:t>
      </w:r>
      <w:r>
        <w:rPr>
          <w:rFonts w:hint="eastAsia" w:ascii="宋体" w:hAnsi="宋体" w:eastAsia="宋体" w:cs="宋体"/>
          <w:color w:val="auto"/>
          <w:highlight w:val="none"/>
        </w:rPr>
        <w:t>第五章“发包人要求”规定的实质性要求。</w:t>
      </w:r>
    </w:p>
    <w:p w14:paraId="530DE400">
      <w:pPr>
        <w:pStyle w:val="12"/>
        <w:spacing w:line="360" w:lineRule="auto"/>
        <w:ind w:firstLine="420" w:firstLineChars="200"/>
        <w:rPr>
          <w:color w:val="auto"/>
          <w:highlight w:val="none"/>
        </w:rPr>
      </w:pPr>
      <w:r>
        <w:rPr>
          <w:rFonts w:hint="eastAsia" w:ascii="宋体" w:hAnsi="宋体" w:eastAsia="宋体" w:cs="宋体"/>
          <w:color w:val="auto"/>
          <w:szCs w:val="21"/>
          <w:highlight w:val="none"/>
        </w:rPr>
        <w:t>5．我方承诺在招标文件规定的投标有效期内不撤销投标文件，我方响应招标文件的全部要求。</w:t>
      </w:r>
    </w:p>
    <w:p w14:paraId="0F5F5982">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6．随同本投标函提交投标保证金一份，金额为人民币大写</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小写：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w:t>
      </w:r>
    </w:p>
    <w:p w14:paraId="6141BDA2">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7．如我方中标，我方承诺：</w:t>
      </w:r>
    </w:p>
    <w:p w14:paraId="756F6746">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（1）在收到中标通知书后，在中标通知书规定的期限内与你方签订合同；</w:t>
      </w:r>
    </w:p>
    <w:p w14:paraId="133C97D4">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（2）在签订合同时不向你方提出附加条件；</w:t>
      </w:r>
    </w:p>
    <w:p w14:paraId="32E9C812">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（3）按照招标文件要求提交履约担保；</w:t>
      </w:r>
    </w:p>
    <w:p w14:paraId="7B62EF87">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（4）在合同约定的期限内完成合同规定的全部义务。</w:t>
      </w:r>
    </w:p>
    <w:p w14:paraId="3E889CB7">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8．我方在此声明，所递交的投标文件及有关资料内容完整、真实和准确，且不存在第二章“投标人须知”第1.4.3项规定的任何一种情形。</w:t>
      </w:r>
    </w:p>
    <w:p w14:paraId="0FA770E6">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（其他补充说明）。</w:t>
      </w:r>
    </w:p>
    <w:p w14:paraId="40E51F05">
      <w:pPr>
        <w:spacing w:line="360" w:lineRule="auto"/>
        <w:jc w:val="both"/>
        <w:rPr>
          <w:rFonts w:ascii="宋体" w:hAnsi="宋体" w:eastAsia="宋体" w:cs="宋体"/>
          <w:color w:val="auto"/>
          <w:highlight w:val="none"/>
        </w:rPr>
      </w:pPr>
    </w:p>
    <w:p w14:paraId="151D6594">
      <w:pPr>
        <w:tabs>
          <w:tab w:val="left" w:pos="7140"/>
          <w:tab w:val="left" w:pos="7560"/>
          <w:tab w:val="left" w:pos="8300"/>
        </w:tabs>
        <w:adjustRightInd w:val="0"/>
        <w:spacing w:line="312" w:lineRule="auto"/>
        <w:ind w:firstLine="480"/>
        <w:rPr>
          <w:rFonts w:ascii="宋体" w:hAnsi="宋体"/>
          <w:snapToGrid w:val="0"/>
          <w:color w:val="auto"/>
          <w:kern w:val="0"/>
          <w:szCs w:val="21"/>
          <w:highlight w:val="none"/>
        </w:rPr>
      </w:pPr>
      <w:r>
        <w:rPr>
          <w:rFonts w:hint="eastAsia" w:ascii="宋体" w:hAnsi="宋体" w:eastAsia="宋体"/>
          <w:snapToGrid w:val="0"/>
          <w:color w:val="auto"/>
          <w:kern w:val="0"/>
          <w:szCs w:val="21"/>
          <w:highlight w:val="none"/>
          <w:lang w:eastAsia="zh-CN"/>
        </w:rPr>
        <w:t>投</w:t>
      </w:r>
      <w:r>
        <w:rPr>
          <w:rFonts w:ascii="宋体" w:hAnsi="宋体"/>
          <w:snapToGrid w:val="0"/>
          <w:color w:val="auto"/>
          <w:kern w:val="0"/>
          <w:szCs w:val="21"/>
          <w:highlight w:val="none"/>
        </w:rPr>
        <w:t xml:space="preserve">  </w:t>
      </w:r>
      <w:r>
        <w:rPr>
          <w:rFonts w:hint="eastAsia" w:ascii="宋体" w:hAnsi="宋体" w:eastAsia="宋体"/>
          <w:snapToGrid w:val="0"/>
          <w:color w:val="auto"/>
          <w:kern w:val="0"/>
          <w:szCs w:val="21"/>
          <w:highlight w:val="none"/>
          <w:lang w:eastAsia="zh-CN"/>
        </w:rPr>
        <w:t>标</w:t>
      </w:r>
      <w:r>
        <w:rPr>
          <w:rFonts w:ascii="宋体" w:hAnsi="宋体"/>
          <w:snapToGrid w:val="0"/>
          <w:color w:val="auto"/>
          <w:kern w:val="0"/>
          <w:szCs w:val="21"/>
          <w:highlight w:val="none"/>
        </w:rPr>
        <w:t xml:space="preserve">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eastAsia="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rPr>
        <w:t>（</w:t>
      </w:r>
      <w:r>
        <w:rPr>
          <w:rFonts w:hint="eastAsia" w:ascii="宋体" w:hAnsi="宋体" w:eastAsia="宋体"/>
          <w:snapToGrid w:val="0"/>
          <w:color w:val="auto"/>
          <w:kern w:val="0"/>
          <w:szCs w:val="21"/>
          <w:highlight w:val="none"/>
          <w:lang w:eastAsia="zh-CN"/>
        </w:rPr>
        <w:t>盖单位公章</w:t>
      </w:r>
      <w:r>
        <w:rPr>
          <w:rFonts w:ascii="宋体" w:hAnsi="宋体"/>
          <w:snapToGrid w:val="0"/>
          <w:color w:val="auto"/>
          <w:kern w:val="0"/>
          <w:szCs w:val="21"/>
          <w:highlight w:val="none"/>
        </w:rPr>
        <w:t xml:space="preserve">） </w:t>
      </w:r>
    </w:p>
    <w:p w14:paraId="42A987EA">
      <w:pPr>
        <w:tabs>
          <w:tab w:val="left" w:pos="7140"/>
          <w:tab w:val="left" w:pos="7560"/>
          <w:tab w:val="left" w:pos="8300"/>
        </w:tabs>
        <w:adjustRightInd w:val="0"/>
        <w:spacing w:line="312" w:lineRule="auto"/>
        <w:ind w:firstLine="48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04B4E1A4">
      <w:pPr>
        <w:tabs>
          <w:tab w:val="left" w:pos="7035"/>
          <w:tab w:val="left" w:pos="7560"/>
          <w:tab w:val="left" w:pos="8300"/>
        </w:tabs>
        <w:adjustRightInd w:val="0"/>
        <w:spacing w:line="312" w:lineRule="auto"/>
        <w:ind w:firstLine="48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620A4602">
      <w:pPr>
        <w:tabs>
          <w:tab w:val="left" w:pos="8300"/>
        </w:tabs>
        <w:adjustRightInd w:val="0"/>
        <w:spacing w:line="312" w:lineRule="auto"/>
        <w:ind w:firstLine="48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07321676">
      <w:pPr>
        <w:tabs>
          <w:tab w:val="left" w:pos="8300"/>
        </w:tabs>
        <w:adjustRightInd w:val="0"/>
        <w:spacing w:line="312" w:lineRule="auto"/>
        <w:ind w:firstLine="480"/>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6CBB78C9">
      <w:pPr>
        <w:tabs>
          <w:tab w:val="left" w:pos="8300"/>
        </w:tabs>
        <w:adjustRightInd w:val="0"/>
        <w:spacing w:line="312" w:lineRule="auto"/>
        <w:ind w:firstLine="48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7BA48579">
      <w:pPr>
        <w:tabs>
          <w:tab w:val="left" w:pos="8300"/>
        </w:tabs>
        <w:adjustRightInd w:val="0"/>
        <w:spacing w:line="312" w:lineRule="auto"/>
        <w:ind w:firstLine="48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57FDC0D3">
      <w:pPr>
        <w:spacing w:line="312" w:lineRule="auto"/>
        <w:ind w:firstLine="420"/>
        <w:jc w:val="right"/>
        <w:rPr>
          <w:rFonts w:ascii="宋体" w:hAnsi="宋体" w:cs="宋体"/>
          <w:color w:val="auto"/>
          <w:sz w:val="21"/>
          <w:szCs w:val="21"/>
          <w:highlight w:val="none"/>
        </w:rPr>
      </w:pPr>
    </w:p>
    <w:p w14:paraId="03A281AB">
      <w:pPr>
        <w:spacing w:line="312" w:lineRule="auto"/>
        <w:ind w:firstLine="420"/>
        <w:jc w:val="right"/>
        <w:rPr>
          <w:rFonts w:ascii="宋体" w:hAnsi="宋体" w:cs="宋体"/>
          <w:color w:val="auto"/>
          <w:sz w:val="21"/>
          <w:szCs w:val="21"/>
          <w:highlight w:val="none"/>
        </w:rPr>
      </w:pP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日</w:t>
      </w:r>
    </w:p>
    <w:bookmarkEnd w:id="778"/>
    <w:bookmarkEnd w:id="779"/>
    <w:bookmarkEnd w:id="780"/>
    <w:bookmarkEnd w:id="781"/>
    <w:bookmarkEnd w:id="782"/>
    <w:bookmarkEnd w:id="783"/>
    <w:bookmarkEnd w:id="784"/>
    <w:bookmarkEnd w:id="785"/>
    <w:bookmarkEnd w:id="786"/>
    <w:p w14:paraId="44156A64">
      <w:pPr>
        <w:rPr>
          <w:rFonts w:hint="eastAsia"/>
          <w:color w:val="auto"/>
          <w:highlight w:val="none"/>
        </w:rPr>
      </w:pPr>
      <w:bookmarkStart w:id="787" w:name="_Toc152042579"/>
      <w:bookmarkStart w:id="788" w:name="_Toc246996358"/>
      <w:bookmarkStart w:id="789" w:name="_Toc247085876"/>
      <w:bookmarkStart w:id="790" w:name="_Toc296602604"/>
      <w:bookmarkStart w:id="791" w:name="_Toc246997101"/>
      <w:bookmarkStart w:id="792" w:name="_Toc144974859"/>
      <w:bookmarkStart w:id="793" w:name="_Toc179632810"/>
      <w:bookmarkStart w:id="794" w:name="_Toc152045790"/>
      <w:bookmarkStart w:id="795" w:name="_Toc18396"/>
      <w:bookmarkStart w:id="796" w:name="_Toc30251"/>
      <w:bookmarkStart w:id="797" w:name="_Toc277082645"/>
      <w:bookmarkStart w:id="798" w:name="_Toc287607869"/>
      <w:bookmarkStart w:id="799" w:name="_Toc287620816"/>
      <w:bookmarkStart w:id="800" w:name="_Toc224103497"/>
      <w:bookmarkStart w:id="801" w:name="_Toc430530532"/>
      <w:bookmarkStart w:id="802" w:name="_Toc14056"/>
      <w:r>
        <w:rPr>
          <w:rFonts w:hint="eastAsia"/>
          <w:color w:val="auto"/>
          <w:highlight w:val="none"/>
        </w:rPr>
        <w:br w:type="page"/>
      </w:r>
    </w:p>
    <w:bookmarkEnd w:id="787"/>
    <w:bookmarkEnd w:id="788"/>
    <w:bookmarkEnd w:id="789"/>
    <w:bookmarkEnd w:id="790"/>
    <w:bookmarkEnd w:id="791"/>
    <w:bookmarkEnd w:id="792"/>
    <w:bookmarkEnd w:id="793"/>
    <w:bookmarkEnd w:id="794"/>
    <w:p w14:paraId="331B6C8D">
      <w:pPr>
        <w:rPr>
          <w:rFonts w:hint="eastAsia"/>
          <w:color w:val="auto"/>
          <w:highlight w:val="none"/>
        </w:rPr>
      </w:pPr>
    </w:p>
    <w:p w14:paraId="3CACFC90">
      <w:pPr>
        <w:pStyle w:val="3"/>
        <w:spacing w:before="156"/>
        <w:jc w:val="center"/>
        <w:rPr>
          <w:color w:val="auto"/>
          <w:highlight w:val="none"/>
        </w:rPr>
      </w:pPr>
      <w:bookmarkStart w:id="803" w:name="_Toc23723"/>
      <w:bookmarkStart w:id="804" w:name="_Toc29151"/>
      <w:bookmarkStart w:id="805" w:name="_Toc4943"/>
      <w:bookmarkStart w:id="806" w:name="_Toc31036"/>
      <w:r>
        <w:rPr>
          <w:rFonts w:hint="eastAsia"/>
          <w:color w:val="auto"/>
          <w:highlight w:val="none"/>
          <w:lang w:eastAsia="zh-CN"/>
        </w:rPr>
        <w:t>二</w:t>
      </w:r>
      <w:r>
        <w:rPr>
          <w:rFonts w:hint="eastAsia"/>
          <w:color w:val="auto"/>
          <w:highlight w:val="none"/>
        </w:rPr>
        <w:t>、法定代表人身份证明或授权委托书</w:t>
      </w:r>
      <w:bookmarkEnd w:id="795"/>
      <w:bookmarkEnd w:id="796"/>
      <w:bookmarkEnd w:id="803"/>
      <w:bookmarkEnd w:id="804"/>
      <w:bookmarkEnd w:id="805"/>
      <w:bookmarkEnd w:id="806"/>
    </w:p>
    <w:p w14:paraId="15D7D6AA">
      <w:pPr>
        <w:pStyle w:val="4"/>
        <w:spacing w:before="156"/>
        <w:jc w:val="center"/>
        <w:rPr>
          <w:color w:val="auto"/>
          <w:highlight w:val="none"/>
        </w:rPr>
      </w:pPr>
      <w:bookmarkStart w:id="807" w:name="_Toc8308"/>
      <w:bookmarkStart w:id="808" w:name="_Toc20857"/>
      <w:bookmarkStart w:id="809" w:name="_Toc23627"/>
      <w:bookmarkStart w:id="810" w:name="_Toc25885"/>
      <w:r>
        <w:rPr>
          <w:rFonts w:hint="eastAsia"/>
          <w:color w:val="auto"/>
          <w:highlight w:val="none"/>
        </w:rPr>
        <w:t>（一）法定代表人身份证明</w:t>
      </w:r>
      <w:bookmarkEnd w:id="807"/>
      <w:bookmarkEnd w:id="808"/>
      <w:bookmarkEnd w:id="809"/>
      <w:bookmarkEnd w:id="810"/>
    </w:p>
    <w:p w14:paraId="67E6192D">
      <w:pPr>
        <w:spacing w:line="480" w:lineRule="auto"/>
        <w:jc w:val="center"/>
        <w:rPr>
          <w:rFonts w:ascii="宋体" w:hAnsi="宋体" w:eastAsia="宋体" w:cs="宋体"/>
          <w:color w:val="auto"/>
          <w:highlight w:val="none"/>
        </w:rPr>
      </w:pPr>
    </w:p>
    <w:p w14:paraId="7DA10401">
      <w:pPr>
        <w:spacing w:line="600" w:lineRule="exact"/>
        <w:rPr>
          <w:rFonts w:hint="eastAsia" w:ascii="宋体" w:hAnsi="宋体" w:eastAsia="宋体" w:cs="宋体"/>
          <w:color w:val="auto"/>
          <w:highlight w:val="none"/>
          <w:u w:val="single"/>
        </w:rPr>
      </w:pP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人</w:t>
      </w:r>
      <w:r>
        <w:rPr>
          <w:rFonts w:ascii="宋体" w:hAnsi="宋体" w:eastAsia="宋体" w:cs="宋体"/>
          <w:color w:val="auto"/>
          <w:highlight w:val="none"/>
        </w:rPr>
        <w:t xml:space="preserve">名称： </w:t>
      </w:r>
      <w:r>
        <w:rPr>
          <w:rFonts w:hint="eastAsia" w:ascii="宋体" w:hAnsi="宋体" w:eastAsia="宋体" w:cs="宋体"/>
          <w:color w:val="auto"/>
          <w:highlight w:val="none"/>
          <w:u w:val="single"/>
        </w:rPr>
        <w:t xml:space="preserve">                                    </w:t>
      </w:r>
    </w:p>
    <w:p w14:paraId="32F63C8C">
      <w:pPr>
        <w:spacing w:line="600" w:lineRule="exact"/>
        <w:rPr>
          <w:rFonts w:hint="eastAsia" w:ascii="宋体" w:hAnsi="宋体" w:eastAsia="宋体" w:cs="宋体"/>
          <w:color w:val="auto"/>
          <w:highlight w:val="none"/>
        </w:rPr>
      </w:pPr>
      <w:r>
        <w:rPr>
          <w:rFonts w:ascii="宋体" w:hAnsi="宋体" w:eastAsia="宋体" w:cs="宋体"/>
          <w:color w:val="auto"/>
          <w:highlight w:val="none"/>
        </w:rPr>
        <w:t>姓名：</w:t>
      </w:r>
      <w:r>
        <w:rPr>
          <w:rFonts w:ascii="宋体" w:hAnsi="宋体" w:eastAsia="宋体" w:cs="宋体"/>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ascii="宋体" w:hAnsi="宋体" w:eastAsia="宋体" w:cs="宋体"/>
          <w:color w:val="auto"/>
          <w:highlight w:val="none"/>
        </w:rPr>
        <w:t>性别：</w:t>
      </w:r>
      <w:r>
        <w:rPr>
          <w:rFonts w:hint="eastAsia" w:ascii="宋体" w:hAnsi="宋体" w:eastAsia="宋体" w:cs="宋体"/>
          <w:color w:val="auto"/>
          <w:highlight w:val="none"/>
          <w:u w:val="single"/>
        </w:rPr>
        <w:t xml:space="preserve">      </w:t>
      </w:r>
      <w:r>
        <w:rPr>
          <w:rFonts w:ascii="宋体" w:hAnsi="宋体" w:eastAsia="宋体" w:cs="宋体"/>
          <w:color w:val="auto"/>
          <w:highlight w:val="none"/>
          <w:u w:val="single"/>
        </w:rPr>
        <w:t xml:space="preserve"> </w:t>
      </w:r>
      <w:r>
        <w:rPr>
          <w:rFonts w:ascii="宋体" w:hAnsi="宋体" w:eastAsia="宋体" w:cs="宋体"/>
          <w:color w:val="auto"/>
          <w:highlight w:val="none"/>
        </w:rPr>
        <w:t>年龄：</w:t>
      </w:r>
      <w:r>
        <w:rPr>
          <w:rFonts w:hint="eastAsia" w:ascii="宋体" w:hAnsi="宋体" w:eastAsia="宋体" w:cs="宋体"/>
          <w:color w:val="auto"/>
          <w:highlight w:val="none"/>
          <w:u w:val="single"/>
        </w:rPr>
        <w:t xml:space="preserve">      </w:t>
      </w:r>
      <w:r>
        <w:rPr>
          <w:rFonts w:ascii="宋体" w:hAnsi="宋体" w:eastAsia="宋体" w:cs="宋体"/>
          <w:color w:val="auto"/>
          <w:highlight w:val="none"/>
          <w:u w:val="single"/>
        </w:rPr>
        <w:t xml:space="preserve"> </w:t>
      </w:r>
      <w:r>
        <w:rPr>
          <w:rFonts w:ascii="宋体" w:hAnsi="宋体" w:eastAsia="宋体" w:cs="宋体"/>
          <w:color w:val="auto"/>
          <w:highlight w:val="none"/>
        </w:rPr>
        <w:t>职务：</w:t>
      </w:r>
      <w:r>
        <w:rPr>
          <w:rFonts w:hint="eastAsia" w:ascii="宋体" w:hAnsi="宋体" w:eastAsia="宋体" w:cs="宋体"/>
          <w:color w:val="auto"/>
          <w:highlight w:val="none"/>
          <w:u w:val="single"/>
        </w:rPr>
        <w:t xml:space="preserve">              </w:t>
      </w:r>
      <w:r>
        <w:rPr>
          <w:rFonts w:ascii="宋体" w:hAnsi="宋体" w:eastAsia="宋体" w:cs="宋体"/>
          <w:color w:val="auto"/>
          <w:highlight w:val="none"/>
          <w:u w:val="single"/>
        </w:rPr>
        <w:t xml:space="preserve"> </w:t>
      </w:r>
    </w:p>
    <w:p w14:paraId="72F6057F">
      <w:pPr>
        <w:spacing w:line="600" w:lineRule="exact"/>
        <w:rPr>
          <w:rFonts w:hint="eastAsia" w:ascii="宋体" w:hAnsi="宋体" w:eastAsia="宋体" w:cs="宋体"/>
          <w:color w:val="auto"/>
          <w:highlight w:val="none"/>
        </w:rPr>
      </w:pPr>
      <w:r>
        <w:rPr>
          <w:rFonts w:ascii="宋体" w:hAnsi="宋体" w:eastAsia="宋体" w:cs="宋体"/>
          <w:color w:val="auto"/>
          <w:highlight w:val="none"/>
        </w:rPr>
        <w:t>系</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ascii="宋体" w:hAnsi="宋体" w:eastAsia="宋体" w:cs="宋体"/>
          <w:color w:val="auto"/>
          <w:highlight w:val="none"/>
          <w:u w:val="single"/>
        </w:rPr>
        <w:t xml:space="preserve"> </w:t>
      </w:r>
      <w:r>
        <w:rPr>
          <w:rFonts w:ascii="宋体" w:hAnsi="宋体" w:eastAsia="宋体" w:cs="宋体"/>
          <w:color w:val="auto"/>
          <w:highlight w:val="none"/>
        </w:rPr>
        <w:t>（</w:t>
      </w: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人</w:t>
      </w:r>
      <w:r>
        <w:rPr>
          <w:rFonts w:ascii="宋体" w:hAnsi="宋体" w:eastAsia="宋体" w:cs="宋体"/>
          <w:color w:val="auto"/>
          <w:highlight w:val="none"/>
        </w:rPr>
        <w:t>名称）的法定代表人。</w:t>
      </w:r>
    </w:p>
    <w:p w14:paraId="3AF6E5ED">
      <w:pPr>
        <w:spacing w:line="600" w:lineRule="exact"/>
        <w:rPr>
          <w:rFonts w:hint="eastAsia" w:ascii="宋体" w:hAnsi="宋体" w:eastAsia="宋体" w:cs="宋体"/>
          <w:color w:val="auto"/>
          <w:highlight w:val="none"/>
        </w:rPr>
      </w:pPr>
      <w:r>
        <w:rPr>
          <w:rFonts w:ascii="宋体" w:hAnsi="宋体" w:eastAsia="宋体" w:cs="宋体"/>
          <w:color w:val="auto"/>
          <w:highlight w:val="none"/>
        </w:rPr>
        <w:t>特此证明。</w:t>
      </w:r>
    </w:p>
    <w:p w14:paraId="012C73F1">
      <w:pPr>
        <w:spacing w:line="600" w:lineRule="exact"/>
        <w:rPr>
          <w:rFonts w:hint="eastAsia" w:ascii="宋体" w:hAnsi="宋体" w:eastAsia="宋体" w:cs="宋体"/>
          <w:color w:val="auto"/>
          <w:highlight w:val="none"/>
        </w:rPr>
      </w:pPr>
      <w:r>
        <w:rPr>
          <w:rFonts w:hint="eastAsia" w:ascii="宋体" w:hAnsi="宋体" w:eastAsia="宋体" w:cs="宋体"/>
          <w:color w:val="auto"/>
          <w:highlight w:val="none"/>
        </w:rPr>
        <w:t>附：法定代表人身份证扫描件（双面）</w:t>
      </w:r>
    </w:p>
    <w:p w14:paraId="5547C8CA">
      <w:pPr>
        <w:spacing w:line="360" w:lineRule="auto"/>
        <w:rPr>
          <w:rFonts w:ascii="宋体" w:hAnsi="宋体" w:eastAsia="宋体" w:cs="宋体"/>
          <w:color w:val="auto"/>
          <w:highlight w:val="none"/>
        </w:rPr>
      </w:pPr>
    </w:p>
    <w:p w14:paraId="41E2816D">
      <w:pPr>
        <w:pStyle w:val="12"/>
        <w:spacing w:after="0" w:line="360" w:lineRule="auto"/>
        <w:rPr>
          <w:rFonts w:ascii="宋体" w:hAnsi="宋体" w:eastAsia="宋体" w:cs="宋体"/>
          <w:color w:val="auto"/>
          <w:szCs w:val="21"/>
          <w:highlight w:val="none"/>
        </w:rPr>
      </w:pPr>
    </w:p>
    <w:p w14:paraId="264EA00A">
      <w:pPr>
        <w:pStyle w:val="12"/>
        <w:spacing w:after="0" w:line="360" w:lineRule="auto"/>
        <w:rPr>
          <w:rFonts w:ascii="宋体" w:hAnsi="宋体" w:eastAsia="宋体" w:cs="宋体"/>
          <w:color w:val="auto"/>
          <w:szCs w:val="21"/>
          <w:highlight w:val="none"/>
        </w:rPr>
      </w:pPr>
    </w:p>
    <w:p w14:paraId="4116319D">
      <w:pPr>
        <w:pStyle w:val="12"/>
        <w:spacing w:after="0" w:line="360" w:lineRule="auto"/>
        <w:rPr>
          <w:rFonts w:ascii="宋体" w:hAnsi="宋体" w:eastAsia="宋体" w:cs="宋体"/>
          <w:color w:val="auto"/>
          <w:szCs w:val="21"/>
          <w:highlight w:val="none"/>
        </w:rPr>
      </w:pPr>
    </w:p>
    <w:p w14:paraId="7B583307">
      <w:pPr>
        <w:rPr>
          <w:color w:val="auto"/>
          <w:highlight w:val="none"/>
        </w:rPr>
      </w:pPr>
    </w:p>
    <w:p w14:paraId="64061E6F">
      <w:pPr>
        <w:pStyle w:val="12"/>
        <w:spacing w:after="0" w:line="360" w:lineRule="auto"/>
        <w:rPr>
          <w:rFonts w:ascii="宋体" w:hAnsi="宋体" w:eastAsia="宋体" w:cs="宋体"/>
          <w:color w:val="auto"/>
          <w:szCs w:val="21"/>
          <w:highlight w:val="none"/>
        </w:rPr>
      </w:pPr>
    </w:p>
    <w:p w14:paraId="6924B7E1">
      <w:pPr>
        <w:pStyle w:val="12"/>
        <w:spacing w:after="0" w:line="360" w:lineRule="auto"/>
        <w:rPr>
          <w:rFonts w:ascii="宋体" w:hAnsi="宋体" w:eastAsia="宋体" w:cs="宋体"/>
          <w:color w:val="auto"/>
          <w:szCs w:val="21"/>
          <w:highlight w:val="none"/>
        </w:rPr>
      </w:pPr>
    </w:p>
    <w:p w14:paraId="1BB8FF35">
      <w:pPr>
        <w:tabs>
          <w:tab w:val="left" w:pos="5475"/>
        </w:tabs>
        <w:spacing w:line="480" w:lineRule="auto"/>
        <w:ind w:firstLine="390" w:firstLineChars="186"/>
        <w:rPr>
          <w:rFonts w:ascii="宋体" w:hAnsi="宋体" w:eastAsia="宋体" w:cs="宋体"/>
          <w:color w:val="auto"/>
          <w:highlight w:val="none"/>
        </w:rPr>
      </w:pPr>
    </w:p>
    <w:p w14:paraId="6CA22D05">
      <w:pPr>
        <w:tabs>
          <w:tab w:val="left" w:pos="5460"/>
        </w:tabs>
        <w:spacing w:line="480" w:lineRule="auto"/>
        <w:ind w:firstLine="2100"/>
        <w:jc w:val="right"/>
        <w:rPr>
          <w:rFonts w:ascii="宋体" w:hAnsi="宋体" w:eastAsia="宋体" w:cs="宋体"/>
          <w:color w:val="auto"/>
          <w:highlight w:val="none"/>
        </w:rPr>
      </w:pPr>
      <w:r>
        <w:rPr>
          <w:rFonts w:hint="eastAsia" w:ascii="宋体" w:hAnsi="宋体" w:eastAsia="宋体" w:cs="宋体"/>
          <w:color w:val="auto"/>
          <w:highlight w:val="none"/>
        </w:rPr>
        <w:t>投标</w:t>
      </w:r>
      <w:r>
        <w:rPr>
          <w:rFonts w:hint="eastAsia" w:ascii="宋体" w:hAnsi="宋体" w:eastAsia="宋体" w:cs="宋体"/>
          <w:color w:val="auto"/>
          <w:spacing w:val="-1"/>
          <w:highlight w:val="none"/>
        </w:rPr>
        <w:t>人</w:t>
      </w:r>
      <w:r>
        <w:rPr>
          <w:rFonts w:hint="eastAsia" w:ascii="宋体" w:hAnsi="宋体" w:eastAsia="宋体" w:cs="宋体"/>
          <w:color w:val="auto"/>
          <w:highlight w:val="none"/>
        </w:rPr>
        <w:t>：</w:t>
      </w:r>
      <w:r>
        <w:rPr>
          <w:rFonts w:hint="eastAsia" w:ascii="宋体" w:hAnsi="宋体" w:eastAsia="宋体" w:cs="宋体"/>
          <w:color w:val="auto"/>
          <w:highlight w:val="none"/>
          <w:u w:val="single"/>
        </w:rPr>
        <w:tab/>
      </w:r>
      <w:r>
        <w:rPr>
          <w:rFonts w:hint="eastAsia" w:ascii="宋体" w:hAnsi="宋体" w:eastAsia="宋体" w:cs="宋体"/>
          <w:color w:val="auto"/>
          <w:spacing w:val="-1"/>
          <w:highlight w:val="none"/>
        </w:rPr>
        <w:t>（</w:t>
      </w:r>
      <w:r>
        <w:rPr>
          <w:rFonts w:hint="eastAsia" w:ascii="宋体" w:hAnsi="宋体" w:eastAsia="宋体" w:cs="宋体"/>
          <w:color w:val="auto"/>
          <w:highlight w:val="none"/>
          <w:lang w:eastAsia="zh-CN"/>
        </w:rPr>
        <w:t>盖单位公章</w:t>
      </w:r>
      <w:r>
        <w:rPr>
          <w:rFonts w:hint="eastAsia" w:ascii="宋体" w:hAnsi="宋体" w:eastAsia="宋体" w:cs="宋体"/>
          <w:color w:val="auto"/>
          <w:highlight w:val="none"/>
        </w:rPr>
        <w:t>）</w:t>
      </w:r>
    </w:p>
    <w:p w14:paraId="03713B04">
      <w:pPr>
        <w:spacing w:line="480" w:lineRule="auto"/>
        <w:rPr>
          <w:rFonts w:ascii="宋体" w:hAnsi="宋体" w:eastAsia="宋体" w:cs="宋体"/>
          <w:color w:val="auto"/>
          <w:highlight w:val="none"/>
        </w:rPr>
      </w:pPr>
    </w:p>
    <w:p w14:paraId="2CC773CD">
      <w:pPr>
        <w:tabs>
          <w:tab w:val="left" w:pos="4935"/>
          <w:tab w:val="left" w:pos="5460"/>
          <w:tab w:val="left" w:pos="6400"/>
        </w:tabs>
        <w:wordWrap w:val="0"/>
        <w:spacing w:line="480" w:lineRule="auto"/>
        <w:ind w:firstLine="3780"/>
        <w:jc w:val="right"/>
        <w:rPr>
          <w:rFonts w:ascii="宋体" w:hAnsi="宋体" w:eastAsia="宋体" w:cs="宋体"/>
          <w:color w:val="auto"/>
          <w:highlight w:val="none"/>
        </w:rPr>
      </w:pP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 xml:space="preserve">日  </w:t>
      </w:r>
    </w:p>
    <w:p w14:paraId="2DB6FF1E">
      <w:pPr>
        <w:spacing w:line="360" w:lineRule="auto"/>
        <w:rPr>
          <w:rFonts w:ascii="宋体" w:hAnsi="宋体" w:eastAsia="宋体" w:cs="宋体"/>
          <w:color w:val="auto"/>
          <w:highlight w:val="none"/>
        </w:rPr>
      </w:pPr>
    </w:p>
    <w:p w14:paraId="01104E14">
      <w:pPr>
        <w:spacing w:line="360" w:lineRule="auto"/>
        <w:rPr>
          <w:rFonts w:ascii="宋体" w:hAnsi="宋体" w:eastAsia="宋体" w:cs="宋体"/>
          <w:color w:val="auto"/>
          <w:highlight w:val="none"/>
        </w:rPr>
      </w:pPr>
    </w:p>
    <w:p w14:paraId="61B77755">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注：法定代表人身份证明需按上述格式填写完整，不可缺少内容。在此基础上增加内容的不影响其有效性。</w:t>
      </w:r>
    </w:p>
    <w:p w14:paraId="31CF82F9">
      <w:pPr>
        <w:rPr>
          <w:rFonts w:ascii="宋体" w:hAnsi="宋体" w:eastAsia="宋体" w:cs="宋体"/>
          <w:color w:val="auto"/>
          <w:highlight w:val="none"/>
        </w:rPr>
      </w:pPr>
      <w:r>
        <w:rPr>
          <w:rFonts w:hint="eastAsia" w:ascii="宋体" w:hAnsi="宋体" w:eastAsia="宋体" w:cs="宋体"/>
          <w:color w:val="auto"/>
          <w:highlight w:val="none"/>
        </w:rPr>
        <w:br w:type="page"/>
      </w:r>
    </w:p>
    <w:bookmarkEnd w:id="797"/>
    <w:bookmarkEnd w:id="798"/>
    <w:bookmarkEnd w:id="799"/>
    <w:bookmarkEnd w:id="800"/>
    <w:bookmarkEnd w:id="801"/>
    <w:bookmarkEnd w:id="802"/>
    <w:p w14:paraId="65E18F6E">
      <w:pPr>
        <w:pStyle w:val="4"/>
        <w:bidi w:val="0"/>
        <w:jc w:val="center"/>
        <w:rPr>
          <w:rFonts w:hint="eastAsia"/>
          <w:color w:val="auto"/>
          <w:highlight w:val="none"/>
          <w:lang w:val="en-US" w:eastAsia="zh-CN"/>
        </w:rPr>
      </w:pPr>
      <w:bookmarkStart w:id="811" w:name="_Toc10818"/>
      <w:bookmarkStart w:id="812" w:name="_Toc18315"/>
      <w:bookmarkStart w:id="813" w:name="_Toc26399"/>
      <w:bookmarkStart w:id="814" w:name="_Toc22711"/>
      <w:bookmarkStart w:id="815" w:name="_Toc8348"/>
      <w:r>
        <w:rPr>
          <w:rFonts w:hint="eastAsia"/>
          <w:color w:val="auto"/>
          <w:highlight w:val="none"/>
          <w:lang w:val="en-US" w:eastAsia="zh-CN"/>
        </w:rPr>
        <w:t>（二）</w:t>
      </w:r>
      <w:bookmarkStart w:id="816" w:name="_Toc17278"/>
      <w:r>
        <w:rPr>
          <w:rFonts w:hint="eastAsia"/>
          <w:color w:val="auto"/>
          <w:highlight w:val="none"/>
          <w:lang w:val="en-US" w:eastAsia="zh-CN"/>
        </w:rPr>
        <w:t>授权委托书</w:t>
      </w:r>
      <w:bookmarkEnd w:id="816"/>
      <w:r>
        <w:rPr>
          <w:rFonts w:hint="eastAsia"/>
          <w:color w:val="auto"/>
          <w:highlight w:val="none"/>
          <w:lang w:val="en-US" w:eastAsia="zh-CN"/>
        </w:rPr>
        <w:t>（如有）</w:t>
      </w:r>
      <w:bookmarkEnd w:id="811"/>
      <w:bookmarkEnd w:id="812"/>
      <w:bookmarkEnd w:id="813"/>
      <w:bookmarkEnd w:id="814"/>
    </w:p>
    <w:p w14:paraId="3244C310">
      <w:pPr>
        <w:bidi w:val="0"/>
        <w:jc w:val="center"/>
        <w:rPr>
          <w:rFonts w:hint="eastAsia"/>
          <w:color w:val="auto"/>
          <w:highlight w:val="none"/>
        </w:rPr>
      </w:pPr>
      <w:r>
        <w:rPr>
          <w:rFonts w:hint="eastAsia"/>
          <w:color w:val="auto"/>
          <w:highlight w:val="none"/>
          <w:lang w:val="en-US" w:eastAsia="zh-CN"/>
        </w:rPr>
        <w:t>（</w:t>
      </w:r>
      <w:r>
        <w:rPr>
          <w:rFonts w:hint="default"/>
          <w:color w:val="auto"/>
          <w:highlight w:val="none"/>
          <w:lang w:val="en-US" w:eastAsia="zh-CN"/>
        </w:rPr>
        <w:t>适用于有委托代理人的情况</w:t>
      </w:r>
      <w:r>
        <w:rPr>
          <w:rFonts w:hint="eastAsia"/>
          <w:color w:val="auto"/>
          <w:highlight w:val="none"/>
          <w:lang w:val="en-US" w:eastAsia="zh-CN"/>
        </w:rPr>
        <w:t>时采用）</w:t>
      </w:r>
    </w:p>
    <w:p w14:paraId="34BE5C1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（投标人名称）的法定代表人（单位负责人），现委托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（项目名称）投标文件、签订合同和处理有关事宜，其法律后果由我方承担。</w:t>
      </w:r>
    </w:p>
    <w:p w14:paraId="0A75781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68527E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代理人无转委托权。</w:t>
      </w:r>
    </w:p>
    <w:p w14:paraId="3DB2E31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  标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盖单位公章</w:t>
      </w:r>
      <w:r>
        <w:rPr>
          <w:rFonts w:hint="eastAsia" w:ascii="宋体" w:hAnsi="宋体" w:eastAsia="宋体" w:cs="宋体"/>
          <w:color w:val="auto"/>
          <w:sz w:val="21"/>
          <w:szCs w:val="21"/>
          <w:highlight w:val="none"/>
        </w:rPr>
        <w:t>）</w:t>
      </w:r>
    </w:p>
    <w:p w14:paraId="616821A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w:t>
      </w:r>
      <w:r>
        <w:rPr>
          <w:rFonts w:hint="eastAsia" w:ascii="宋体" w:hAnsi="宋体" w:eastAsia="宋体" w:cs="宋体"/>
          <w:color w:val="auto"/>
          <w:sz w:val="21"/>
          <w:szCs w:val="21"/>
          <w:highlight w:val="none"/>
          <w:lang w:eastAsia="zh-CN"/>
        </w:rPr>
        <w:t>名</w:t>
      </w:r>
      <w:r>
        <w:rPr>
          <w:rFonts w:hint="eastAsia" w:ascii="宋体" w:hAnsi="宋体" w:eastAsia="宋体" w:cs="宋体"/>
          <w:color w:val="auto"/>
          <w:sz w:val="21"/>
          <w:szCs w:val="21"/>
          <w:highlight w:val="none"/>
        </w:rPr>
        <w:t>或盖章）</w:t>
      </w:r>
    </w:p>
    <w:p w14:paraId="797F05B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0EF9E4A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w:t>
      </w:r>
      <w:r>
        <w:rPr>
          <w:rFonts w:hint="eastAsia" w:ascii="宋体" w:hAnsi="宋体" w:eastAsia="宋体" w:cs="宋体"/>
          <w:color w:val="auto"/>
          <w:sz w:val="21"/>
          <w:szCs w:val="21"/>
          <w:highlight w:val="none"/>
          <w:lang w:eastAsia="zh-CN"/>
        </w:rPr>
        <w:t>名</w:t>
      </w:r>
      <w:r>
        <w:rPr>
          <w:rFonts w:hint="eastAsia" w:ascii="宋体" w:hAnsi="宋体" w:eastAsia="宋体" w:cs="宋体"/>
          <w:color w:val="auto"/>
          <w:sz w:val="21"/>
          <w:szCs w:val="21"/>
          <w:highlight w:val="none"/>
        </w:rPr>
        <w:t>）</w:t>
      </w:r>
    </w:p>
    <w:p w14:paraId="13BF31C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1F7C6A67">
      <w:pPr>
        <w:keepNext w:val="0"/>
        <w:keepLines w:val="0"/>
        <w:pageBreakBefore w:val="0"/>
        <w:widowControl w:val="0"/>
        <w:kinsoku/>
        <w:wordWrap/>
        <w:overflowPunct/>
        <w:topLinePunct w:val="0"/>
        <w:autoSpaceDE w:val="0"/>
        <w:autoSpaceDN w:val="0"/>
        <w:bidi w:val="0"/>
        <w:adjustRightInd/>
        <w:snapToGrid/>
        <w:spacing w:line="360" w:lineRule="auto"/>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日 </w:t>
      </w:r>
    </w:p>
    <w:p w14:paraId="327C6C6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附：法定代表人及委托代理人身份证扫描件（双面）</w:t>
      </w:r>
    </w:p>
    <w:p w14:paraId="7FB85E03">
      <w:pPr>
        <w:keepNext w:val="0"/>
        <w:keepLines w:val="0"/>
        <w:pageBreakBefore w:val="0"/>
        <w:widowControl w:val="0"/>
        <w:numPr>
          <w:ilvl w:val="0"/>
          <w:numId w:val="6"/>
        </w:numPr>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法定代表人（单位负责人）身份证扫描件：</w:t>
      </w:r>
    </w:p>
    <w:p w14:paraId="2F6AF48C">
      <w:pPr>
        <w:pStyle w:val="12"/>
        <w:widowControl w:val="0"/>
        <w:numPr>
          <w:ilvl w:val="0"/>
          <w:numId w:val="0"/>
        </w:numPr>
        <w:autoSpaceDE w:val="0"/>
        <w:autoSpaceDN w:val="0"/>
        <w:spacing w:after="120" w:line="600" w:lineRule="exact"/>
        <w:jc w:val="both"/>
        <w:rPr>
          <w:rFonts w:hint="eastAsia"/>
          <w:color w:val="auto"/>
          <w:highlight w:val="none"/>
          <w:lang w:val="en-US" w:eastAsia="zh-CN"/>
        </w:rPr>
      </w:pPr>
    </w:p>
    <w:p w14:paraId="60409D98">
      <w:pPr>
        <w:rPr>
          <w:rFonts w:hint="eastAsia"/>
          <w:color w:val="auto"/>
          <w:highlight w:val="none"/>
          <w:lang w:val="en-US" w:eastAsia="zh-CN"/>
        </w:rPr>
      </w:pPr>
    </w:p>
    <w:p w14:paraId="15AFA5DD">
      <w:pPr>
        <w:rPr>
          <w:rFonts w:hint="eastAsia"/>
          <w:color w:val="auto"/>
          <w:highlight w:val="none"/>
          <w:lang w:val="en-US" w:eastAsia="zh-CN"/>
        </w:rPr>
      </w:pPr>
    </w:p>
    <w:p w14:paraId="61764692">
      <w:pPr>
        <w:keepNext w:val="0"/>
        <w:keepLines w:val="0"/>
        <w:pageBreakBefore w:val="0"/>
        <w:widowControl w:val="0"/>
        <w:numPr>
          <w:ilvl w:val="0"/>
          <w:numId w:val="6"/>
        </w:numPr>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委托代理人身份证扫描件：</w:t>
      </w:r>
    </w:p>
    <w:p w14:paraId="68DD48E1">
      <w:pPr>
        <w:pStyle w:val="12"/>
        <w:widowControl w:val="0"/>
        <w:numPr>
          <w:ilvl w:val="0"/>
          <w:numId w:val="0"/>
        </w:numPr>
        <w:autoSpaceDE w:val="0"/>
        <w:autoSpaceDN w:val="0"/>
        <w:spacing w:after="120" w:line="600" w:lineRule="exact"/>
        <w:jc w:val="both"/>
        <w:rPr>
          <w:rFonts w:hint="eastAsia"/>
          <w:color w:val="auto"/>
          <w:highlight w:val="none"/>
          <w:lang w:val="en-US" w:eastAsia="zh-CN"/>
        </w:rPr>
      </w:pPr>
    </w:p>
    <w:p w14:paraId="3370C820">
      <w:pPr>
        <w:rPr>
          <w:rFonts w:hint="eastAsia"/>
          <w:color w:val="auto"/>
          <w:highlight w:val="none"/>
          <w:lang w:val="en-US" w:eastAsia="zh-CN"/>
        </w:rPr>
      </w:pPr>
    </w:p>
    <w:p w14:paraId="59ED781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p w14:paraId="3F063463">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18F93B02">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2.授权委托书需按上述格式填写完整，不可缺少内容。在此基础上增加内容的不影响其有效性。</w:t>
      </w:r>
    </w:p>
    <w:p w14:paraId="184940A3">
      <w:pPr>
        <w:spacing w:line="360" w:lineRule="auto"/>
        <w:rPr>
          <w:rFonts w:ascii="宋体" w:hAnsi="宋体" w:eastAsia="宋体" w:cs="宋体"/>
          <w:color w:val="auto"/>
          <w:highlight w:val="none"/>
        </w:rPr>
      </w:pPr>
      <w:r>
        <w:rPr>
          <w:rFonts w:hint="eastAsia" w:ascii="宋体" w:hAnsi="宋体" w:eastAsia="宋体" w:cs="宋体"/>
          <w:color w:val="auto"/>
          <w:highlight w:val="none"/>
        </w:rPr>
        <w:br w:type="page"/>
      </w:r>
    </w:p>
    <w:bookmarkEnd w:id="815"/>
    <w:p w14:paraId="76619915">
      <w:pPr>
        <w:pStyle w:val="3"/>
        <w:spacing w:before="156"/>
        <w:jc w:val="center"/>
        <w:rPr>
          <w:color w:val="auto"/>
          <w:highlight w:val="none"/>
        </w:rPr>
      </w:pPr>
      <w:bookmarkStart w:id="817" w:name="_Toc16039"/>
      <w:bookmarkStart w:id="818" w:name="_Toc7451"/>
      <w:bookmarkStart w:id="819" w:name="_Toc16097"/>
      <w:bookmarkStart w:id="820" w:name="_Toc4446"/>
      <w:bookmarkStart w:id="821" w:name="_Toc21884"/>
      <w:bookmarkStart w:id="822" w:name="_Toc32042"/>
      <w:bookmarkStart w:id="823" w:name="_Toc19503"/>
      <w:bookmarkStart w:id="824" w:name="_Toc57796016"/>
      <w:r>
        <w:rPr>
          <w:rFonts w:hint="eastAsia"/>
          <w:color w:val="auto"/>
          <w:highlight w:val="none"/>
          <w:lang w:eastAsia="zh-CN"/>
        </w:rPr>
        <w:t>三</w:t>
      </w:r>
      <w:r>
        <w:rPr>
          <w:rFonts w:hint="eastAsia"/>
          <w:color w:val="auto"/>
          <w:highlight w:val="none"/>
        </w:rPr>
        <w:t>、商务部分</w:t>
      </w:r>
      <w:bookmarkEnd w:id="817"/>
      <w:bookmarkEnd w:id="818"/>
      <w:bookmarkEnd w:id="819"/>
      <w:bookmarkEnd w:id="820"/>
      <w:bookmarkEnd w:id="821"/>
      <w:bookmarkEnd w:id="822"/>
    </w:p>
    <w:p w14:paraId="2A13BA1F">
      <w:pPr>
        <w:jc w:val="center"/>
        <w:rPr>
          <w:rFonts w:hint="eastAsia" w:ascii="宋体" w:hAnsi="宋体" w:eastAsia="宋体" w:cs="宋体"/>
          <w:i/>
          <w:iCs/>
          <w:color w:val="auto"/>
          <w:sz w:val="21"/>
          <w:szCs w:val="21"/>
          <w:highlight w:val="none"/>
          <w:lang w:val="en-US" w:eastAsia="zh-CN"/>
        </w:rPr>
      </w:pPr>
      <w:r>
        <w:rPr>
          <w:rFonts w:hint="eastAsia" w:ascii="宋体" w:hAnsi="宋体" w:eastAsia="宋体" w:cs="宋体"/>
          <w:i/>
          <w:iCs/>
          <w:color w:val="auto"/>
          <w:sz w:val="21"/>
          <w:szCs w:val="21"/>
          <w:highlight w:val="none"/>
          <w:lang w:val="en-US" w:eastAsia="zh-CN"/>
        </w:rPr>
        <w:t>[提示：由投标人根据发包人要求“项目商务要求”及</w:t>
      </w:r>
      <w:r>
        <w:rPr>
          <w:rFonts w:hint="eastAsia"/>
          <w:color w:val="auto"/>
          <w:highlight w:val="none"/>
        </w:rPr>
        <w:t>第三章评标办法（综合评估法）</w:t>
      </w:r>
      <w:r>
        <w:rPr>
          <w:rFonts w:hint="eastAsia" w:ascii="宋体" w:hAnsi="宋体" w:eastAsia="宋体" w:cs="宋体"/>
          <w:i/>
          <w:iCs/>
          <w:color w:val="auto"/>
          <w:sz w:val="21"/>
          <w:szCs w:val="21"/>
          <w:highlight w:val="none"/>
          <w:lang w:val="en-US" w:eastAsia="zh-CN"/>
        </w:rPr>
        <w:t>自行编制]</w:t>
      </w:r>
    </w:p>
    <w:p w14:paraId="3A7997A2">
      <w:pPr>
        <w:spacing w:before="0"/>
        <w:jc w:val="left"/>
        <w:rPr>
          <w:rFonts w:hint="eastAsia" w:eastAsia="宋体"/>
          <w:color w:val="auto"/>
          <w:highlight w:val="none"/>
          <w:lang w:eastAsia="zh-CN"/>
        </w:rPr>
      </w:pPr>
      <w:r>
        <w:rPr>
          <w:rFonts w:hint="eastAsia" w:eastAsia="宋体"/>
          <w:color w:val="auto"/>
          <w:highlight w:val="none"/>
          <w:lang w:eastAsia="zh-CN"/>
        </w:rPr>
        <w:br w:type="page"/>
      </w:r>
    </w:p>
    <w:bookmarkEnd w:id="823"/>
    <w:bookmarkEnd w:id="824"/>
    <w:p w14:paraId="0074E984">
      <w:pPr>
        <w:pStyle w:val="3"/>
        <w:spacing w:before="156"/>
        <w:jc w:val="center"/>
        <w:rPr>
          <w:rFonts w:hint="eastAsia" w:ascii="宋体" w:hAnsi="宋体" w:eastAsia="黑体" w:cs="宋体"/>
          <w:b w:val="0"/>
          <w:color w:val="auto"/>
          <w:sz w:val="21"/>
          <w:szCs w:val="21"/>
          <w:highlight w:val="none"/>
          <w:lang w:eastAsia="zh-CN"/>
        </w:rPr>
      </w:pPr>
      <w:bookmarkStart w:id="825" w:name="_Toc28101"/>
      <w:bookmarkStart w:id="826" w:name="_Toc19905"/>
      <w:bookmarkStart w:id="827" w:name="_Toc7150"/>
      <w:bookmarkStart w:id="828" w:name="_Toc8364"/>
      <w:bookmarkStart w:id="829" w:name="_Toc25198"/>
      <w:bookmarkStart w:id="830" w:name="_Toc5007"/>
      <w:r>
        <w:rPr>
          <w:rFonts w:hint="eastAsia" w:eastAsia="宋体"/>
          <w:color w:val="auto"/>
          <w:highlight w:val="none"/>
          <w:lang w:eastAsia="zh-CN"/>
        </w:rPr>
        <w:t>四</w:t>
      </w:r>
      <w:r>
        <w:rPr>
          <w:rFonts w:hint="eastAsia"/>
          <w:color w:val="auto"/>
          <w:highlight w:val="none"/>
        </w:rPr>
        <w:t>、技术</w:t>
      </w:r>
      <w:bookmarkEnd w:id="825"/>
      <w:bookmarkEnd w:id="826"/>
      <w:r>
        <w:rPr>
          <w:rFonts w:hint="eastAsia"/>
          <w:color w:val="auto"/>
          <w:highlight w:val="none"/>
          <w:lang w:val="en-US" w:eastAsia="zh-CN"/>
        </w:rPr>
        <w:t>部分</w:t>
      </w:r>
      <w:bookmarkEnd w:id="827"/>
      <w:bookmarkEnd w:id="828"/>
      <w:bookmarkEnd w:id="829"/>
      <w:bookmarkEnd w:id="830"/>
    </w:p>
    <w:p w14:paraId="4D8BFFBE">
      <w:pPr>
        <w:jc w:val="center"/>
        <w:rPr>
          <w:rFonts w:hint="eastAsia" w:ascii="宋体" w:hAnsi="宋体" w:eastAsia="宋体" w:cs="宋体"/>
          <w:i/>
          <w:iCs/>
          <w:color w:val="auto"/>
          <w:sz w:val="21"/>
          <w:szCs w:val="21"/>
          <w:highlight w:val="none"/>
          <w:lang w:val="en-US" w:eastAsia="zh-CN"/>
        </w:rPr>
      </w:pPr>
      <w:r>
        <w:rPr>
          <w:rFonts w:hint="eastAsia" w:ascii="宋体" w:hAnsi="宋体" w:eastAsia="宋体" w:cs="宋体"/>
          <w:i/>
          <w:iCs/>
          <w:color w:val="auto"/>
          <w:sz w:val="21"/>
          <w:szCs w:val="21"/>
          <w:highlight w:val="none"/>
          <w:lang w:val="en-US" w:eastAsia="zh-CN"/>
        </w:rPr>
        <w:t>[提示：由投标人根据发包人要求“项目技术服务及质量要求”及</w:t>
      </w:r>
      <w:r>
        <w:rPr>
          <w:rFonts w:hint="eastAsia"/>
          <w:color w:val="auto"/>
          <w:highlight w:val="none"/>
        </w:rPr>
        <w:t>第三章评标办法（综合评估法）</w:t>
      </w:r>
      <w:r>
        <w:rPr>
          <w:rFonts w:hint="eastAsia" w:ascii="宋体" w:hAnsi="宋体" w:eastAsia="宋体" w:cs="宋体"/>
          <w:i/>
          <w:iCs/>
          <w:color w:val="auto"/>
          <w:sz w:val="21"/>
          <w:szCs w:val="21"/>
          <w:highlight w:val="none"/>
          <w:lang w:val="en-US" w:eastAsia="zh-CN"/>
        </w:rPr>
        <w:t>自行编制]</w:t>
      </w:r>
    </w:p>
    <w:p w14:paraId="49C1E6A4">
      <w:pPr>
        <w:rPr>
          <w:rFonts w:ascii="宋体" w:hAnsi="宋体" w:eastAsia="宋体" w:cs="宋体"/>
          <w:color w:val="auto"/>
          <w:highlight w:val="none"/>
        </w:rPr>
      </w:pPr>
      <w:r>
        <w:rPr>
          <w:rFonts w:ascii="宋体" w:hAnsi="宋体" w:eastAsia="宋体" w:cs="宋体"/>
          <w:color w:val="auto"/>
          <w:highlight w:val="none"/>
        </w:rPr>
        <w:br w:type="page"/>
      </w:r>
    </w:p>
    <w:p w14:paraId="6D1EDBE6">
      <w:pPr>
        <w:pStyle w:val="3"/>
        <w:spacing w:before="156"/>
        <w:jc w:val="center"/>
        <w:rPr>
          <w:color w:val="auto"/>
          <w:highlight w:val="none"/>
        </w:rPr>
      </w:pPr>
      <w:bookmarkStart w:id="831" w:name="_Toc14939"/>
      <w:bookmarkStart w:id="832" w:name="_Toc13754"/>
      <w:bookmarkStart w:id="833" w:name="_Toc2480"/>
      <w:bookmarkStart w:id="834" w:name="_Toc548"/>
      <w:bookmarkStart w:id="835" w:name="_Toc2853"/>
      <w:bookmarkStart w:id="836" w:name="_Toc14721"/>
      <w:bookmarkStart w:id="837" w:name="_Toc246997116"/>
      <w:bookmarkStart w:id="838" w:name="_Toc247085891"/>
      <w:bookmarkStart w:id="839" w:name="_Toc179632828"/>
      <w:bookmarkStart w:id="840" w:name="_Toc144974876"/>
      <w:bookmarkStart w:id="841" w:name="_Toc296602618"/>
      <w:bookmarkStart w:id="842" w:name="_Toc152045808"/>
      <w:bookmarkStart w:id="843" w:name="_Toc246996373"/>
      <w:bookmarkStart w:id="844" w:name="_Toc152042597"/>
      <w:r>
        <w:rPr>
          <w:rFonts w:hint="eastAsia"/>
          <w:color w:val="auto"/>
          <w:highlight w:val="none"/>
          <w:lang w:eastAsia="zh-CN"/>
        </w:rPr>
        <w:t>五</w:t>
      </w:r>
      <w:r>
        <w:rPr>
          <w:rFonts w:hint="eastAsia"/>
          <w:color w:val="auto"/>
          <w:highlight w:val="none"/>
        </w:rPr>
        <w:t>、资格审查资料</w:t>
      </w:r>
      <w:bookmarkEnd w:id="831"/>
      <w:bookmarkEnd w:id="832"/>
      <w:bookmarkEnd w:id="833"/>
      <w:bookmarkEnd w:id="834"/>
      <w:bookmarkEnd w:id="835"/>
      <w:bookmarkEnd w:id="836"/>
    </w:p>
    <w:p w14:paraId="1ECABAF6">
      <w:pPr>
        <w:jc w:val="center"/>
        <w:rPr>
          <w:rFonts w:ascii="宋体" w:hAnsi="宋体" w:eastAsia="宋体" w:cs="宋体"/>
          <w:color w:val="auto"/>
          <w:highlight w:val="none"/>
        </w:rPr>
      </w:pPr>
      <w:r>
        <w:rPr>
          <w:rFonts w:hint="eastAsia" w:ascii="宋体" w:hAnsi="宋体" w:eastAsia="宋体" w:cs="宋体"/>
          <w:color w:val="auto"/>
          <w:highlight w:val="none"/>
        </w:rPr>
        <w:br w:type="page"/>
      </w:r>
    </w:p>
    <w:p w14:paraId="32C893E5">
      <w:pPr>
        <w:pStyle w:val="4"/>
        <w:spacing w:before="156"/>
        <w:jc w:val="center"/>
        <w:rPr>
          <w:color w:val="auto"/>
          <w:highlight w:val="none"/>
        </w:rPr>
      </w:pPr>
      <w:bookmarkStart w:id="845" w:name="_Toc19083"/>
      <w:bookmarkStart w:id="846" w:name="_Toc5403"/>
      <w:bookmarkStart w:id="847" w:name="_Toc16244"/>
      <w:bookmarkStart w:id="848" w:name="_Toc26237"/>
      <w:r>
        <w:rPr>
          <w:rFonts w:hint="eastAsia"/>
          <w:color w:val="auto"/>
          <w:highlight w:val="none"/>
        </w:rPr>
        <w:t>（一）</w:t>
      </w:r>
      <w:r>
        <w:rPr>
          <w:rFonts w:hint="eastAsia" w:cs="Times New Roman" w:asciiTheme="minorEastAsia" w:hAnsiTheme="minorEastAsia" w:eastAsiaTheme="minorEastAsia"/>
          <w:snapToGrid/>
          <w:color w:val="auto"/>
          <w:kern w:val="2"/>
          <w:sz w:val="24"/>
          <w:szCs w:val="24"/>
          <w:highlight w:val="none"/>
        </w:rPr>
        <w:t>资质要求</w:t>
      </w:r>
      <w:r>
        <w:rPr>
          <w:rFonts w:hint="eastAsia" w:ascii="宋体" w:hAnsi="宋体" w:eastAsia="宋体" w:cs="宋体"/>
          <w:snapToGrid/>
          <w:color w:val="auto"/>
          <w:kern w:val="2"/>
          <w:sz w:val="24"/>
          <w:szCs w:val="24"/>
          <w:highlight w:val="none"/>
        </w:rPr>
        <w:t>及营业执照</w:t>
      </w:r>
      <w:bookmarkEnd w:id="837"/>
      <w:bookmarkEnd w:id="838"/>
      <w:bookmarkEnd w:id="839"/>
      <w:bookmarkEnd w:id="840"/>
      <w:bookmarkEnd w:id="841"/>
      <w:bookmarkEnd w:id="842"/>
      <w:bookmarkEnd w:id="843"/>
      <w:bookmarkEnd w:id="844"/>
      <w:bookmarkEnd w:id="845"/>
      <w:bookmarkEnd w:id="846"/>
      <w:bookmarkEnd w:id="847"/>
      <w:bookmarkEnd w:id="848"/>
    </w:p>
    <w:p w14:paraId="621A0E50">
      <w:pPr>
        <w:topLinePunct/>
        <w:spacing w:line="440" w:lineRule="exact"/>
        <w:rPr>
          <w:rFonts w:ascii="宋体" w:hAnsi="宋体" w:eastAsia="宋体" w:cs="宋体"/>
          <w:color w:val="auto"/>
          <w:highlight w:val="none"/>
        </w:rPr>
      </w:pPr>
    </w:p>
    <w:p w14:paraId="76F74802">
      <w:pPr>
        <w:topLinePunct/>
        <w:spacing w:line="440" w:lineRule="exact"/>
        <w:jc w:val="center"/>
        <w:rPr>
          <w:rFonts w:hint="eastAsia" w:ascii="Arial" w:hAnsi="Arial" w:eastAsia="黑体" w:cs="Arial"/>
          <w:color w:val="auto"/>
          <w:sz w:val="20"/>
          <w:szCs w:val="20"/>
          <w:highlight w:val="none"/>
        </w:rPr>
      </w:pPr>
      <w:r>
        <w:rPr>
          <w:rFonts w:hint="eastAsia" w:ascii="Arial" w:hAnsi="Arial" w:eastAsia="黑体" w:cs="Arial"/>
          <w:color w:val="auto"/>
          <w:sz w:val="20"/>
          <w:szCs w:val="20"/>
          <w:highlight w:val="none"/>
        </w:rPr>
        <w:t>注：根据投标人须知1.4.1</w:t>
      </w:r>
      <w:r>
        <w:rPr>
          <w:rFonts w:hint="eastAsia" w:ascii="Arial" w:hAnsi="Arial" w:eastAsia="黑体" w:cs="Arial"/>
          <w:snapToGrid w:val="0"/>
          <w:color w:val="auto"/>
          <w:kern w:val="0"/>
          <w:sz w:val="20"/>
          <w:szCs w:val="20"/>
          <w:highlight w:val="none"/>
        </w:rPr>
        <w:t>资质要求及营业执照</w:t>
      </w:r>
      <w:r>
        <w:rPr>
          <w:rFonts w:hint="eastAsia" w:ascii="Arial" w:hAnsi="Arial" w:eastAsia="黑体" w:cs="Arial"/>
          <w:snapToGrid w:val="0"/>
          <w:color w:val="auto"/>
          <w:kern w:val="0"/>
          <w:sz w:val="20"/>
          <w:szCs w:val="20"/>
          <w:highlight w:val="none"/>
          <w:lang w:val="en-US" w:eastAsia="zh-CN"/>
        </w:rPr>
        <w:t>要求</w:t>
      </w:r>
      <w:r>
        <w:rPr>
          <w:rFonts w:hint="eastAsia" w:ascii="Arial" w:hAnsi="Arial" w:eastAsia="黑体" w:cs="Arial"/>
          <w:color w:val="auto"/>
          <w:sz w:val="20"/>
          <w:szCs w:val="20"/>
          <w:highlight w:val="none"/>
        </w:rPr>
        <w:t>，投标人应附相关证明材料扫描件。</w:t>
      </w:r>
    </w:p>
    <w:p w14:paraId="3CC6E0F3">
      <w:pPr>
        <w:spacing w:line="440" w:lineRule="exact"/>
        <w:ind w:firstLine="525" w:firstLineChars="250"/>
        <w:jc w:val="center"/>
        <w:rPr>
          <w:rFonts w:ascii="宋体" w:hAnsi="宋体" w:eastAsia="宋体" w:cs="宋体"/>
          <w:color w:val="auto"/>
          <w:highlight w:val="none"/>
        </w:rPr>
      </w:pPr>
      <w:r>
        <w:rPr>
          <w:rFonts w:hint="eastAsia" w:ascii="宋体" w:hAnsi="宋体" w:eastAsia="宋体" w:cs="宋体"/>
          <w:color w:val="auto"/>
          <w:highlight w:val="none"/>
        </w:rPr>
        <w:br w:type="page"/>
      </w:r>
      <w:bookmarkStart w:id="849" w:name="_Toc179632833"/>
      <w:bookmarkStart w:id="850" w:name="_Toc144974881"/>
      <w:bookmarkStart w:id="851" w:name="_Toc152045813"/>
      <w:bookmarkStart w:id="852" w:name="_Toc152042602"/>
    </w:p>
    <w:p w14:paraId="087001F1">
      <w:pPr>
        <w:spacing w:before="156"/>
        <w:jc w:val="center"/>
        <w:rPr>
          <w:rFonts w:hint="eastAsia" w:cs="Arial"/>
          <w:color w:val="auto"/>
          <w:sz w:val="24"/>
          <w:szCs w:val="20"/>
          <w:highlight w:val="none"/>
          <w:lang w:eastAsia="zh-CN"/>
        </w:rPr>
      </w:pPr>
      <w:bookmarkStart w:id="853" w:name="_Toc11516"/>
      <w:bookmarkStart w:id="854" w:name="_Toc246997117"/>
      <w:bookmarkStart w:id="855" w:name="_Toc7963"/>
      <w:bookmarkStart w:id="856" w:name="_Toc246996374"/>
      <w:bookmarkStart w:id="857" w:name="_Toc296602622"/>
      <w:bookmarkStart w:id="858" w:name="_Toc247085892"/>
    </w:p>
    <w:bookmarkEnd w:id="849"/>
    <w:bookmarkEnd w:id="850"/>
    <w:bookmarkEnd w:id="851"/>
    <w:bookmarkEnd w:id="852"/>
    <w:bookmarkEnd w:id="853"/>
    <w:bookmarkEnd w:id="854"/>
    <w:bookmarkEnd w:id="855"/>
    <w:bookmarkEnd w:id="856"/>
    <w:bookmarkEnd w:id="857"/>
    <w:bookmarkEnd w:id="858"/>
    <w:p w14:paraId="6CFC2672">
      <w:pPr>
        <w:numPr>
          <w:ilvl w:val="0"/>
          <w:numId w:val="0"/>
        </w:numPr>
        <w:ind w:left="0" w:leftChars="0" w:firstLine="482" w:firstLineChars="200"/>
        <w:rPr>
          <w:rFonts w:hint="eastAsia" w:ascii="黑体" w:hAnsi="黑体" w:eastAsia="宋体" w:cs="Arial"/>
          <w:b/>
          <w:snapToGrid w:val="0"/>
          <w:color w:val="auto"/>
          <w:sz w:val="24"/>
          <w:szCs w:val="20"/>
          <w:highlight w:val="none"/>
          <w:lang w:val="en-US" w:eastAsia="zh-CN" w:bidi="ar-SA"/>
        </w:rPr>
      </w:pPr>
      <w:r>
        <w:rPr>
          <w:rFonts w:hint="eastAsia" w:ascii="黑体" w:hAnsi="黑体" w:eastAsia="宋体" w:cs="Arial"/>
          <w:b/>
          <w:snapToGrid w:val="0"/>
          <w:color w:val="auto"/>
          <w:sz w:val="24"/>
          <w:szCs w:val="20"/>
          <w:highlight w:val="none"/>
          <w:lang w:val="en-US" w:eastAsia="zh-CN" w:bidi="ar-SA"/>
        </w:rPr>
        <w:t>（二）承诺</w:t>
      </w:r>
    </w:p>
    <w:p w14:paraId="1AB5C40F">
      <w:pPr>
        <w:keepNext/>
        <w:keepLines/>
        <w:spacing w:before="260" w:after="260" w:line="412" w:lineRule="auto"/>
        <w:ind w:firstLine="137" w:firstLineChars="49"/>
        <w:jc w:val="center"/>
        <w:outlineLvl w:val="2"/>
        <w:rPr>
          <w:rFonts w:eastAsia="黑体"/>
          <w:color w:val="auto"/>
          <w:sz w:val="28"/>
          <w:szCs w:val="20"/>
          <w:highlight w:val="none"/>
        </w:rPr>
      </w:pPr>
      <w:r>
        <w:rPr>
          <w:rFonts w:hint="eastAsia" w:eastAsia="黑体"/>
          <w:color w:val="auto"/>
          <w:sz w:val="28"/>
          <w:szCs w:val="20"/>
          <w:highlight w:val="none"/>
        </w:rPr>
        <w:t>承诺函</w:t>
      </w:r>
    </w:p>
    <w:p w14:paraId="7BBFB62F">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（招标人名称）：</w:t>
      </w:r>
    </w:p>
    <w:p w14:paraId="7ED89C81">
      <w:pPr>
        <w:keepNext w:val="0"/>
        <w:keepLines w:val="0"/>
        <w:pageBreakBefore w:val="0"/>
        <w:widowControl w:val="0"/>
        <w:kinsoku/>
        <w:wordWrap/>
        <w:overflowPunct/>
        <w:topLinePunct w:val="0"/>
        <w:bidi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我公司</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（投标人名称）      </w:t>
      </w:r>
      <w:r>
        <w:rPr>
          <w:rFonts w:hint="eastAsia" w:ascii="宋体" w:hAnsi="宋体"/>
          <w:color w:val="auto"/>
          <w:szCs w:val="21"/>
          <w:highlight w:val="none"/>
        </w:rPr>
        <w:t>参加了贵单位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（招标项目名称）       </w:t>
      </w:r>
      <w:r>
        <w:rPr>
          <w:rFonts w:hint="eastAsia" w:ascii="宋体" w:hAnsi="宋体"/>
          <w:color w:val="auto"/>
          <w:szCs w:val="21"/>
          <w:highlight w:val="none"/>
        </w:rPr>
        <w:t>的投标，自愿作出以下承诺：</w:t>
      </w:r>
    </w:p>
    <w:p w14:paraId="3859010C">
      <w:pPr>
        <w:keepNext w:val="0"/>
        <w:keepLines w:val="0"/>
        <w:pageBreakBefore w:val="0"/>
        <w:widowControl w:val="0"/>
        <w:kinsoku/>
        <w:wordWrap/>
        <w:overflowPunct/>
        <w:topLinePunct w:val="0"/>
        <w:bidi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color w:val="auto"/>
          <w:szCs w:val="21"/>
          <w:highlight w:val="none"/>
        </w:rPr>
        <w:t>我方具有良好的商业信誉和健全的财务会计制度，具有履行合同所必需的设备和专业技术能力，具有依法缴纳税收和社会保障金的良好记录，参加本项目采购活动前三年内无重大违法活动记录。</w:t>
      </w:r>
    </w:p>
    <w:p w14:paraId="29B31584">
      <w:pPr>
        <w:keepNext w:val="0"/>
        <w:keepLines w:val="0"/>
        <w:pageBreakBefore w:val="0"/>
        <w:widowControl w:val="0"/>
        <w:kinsoku/>
        <w:wordWrap/>
        <w:overflowPunct/>
        <w:topLinePunct w:val="0"/>
        <w:bidi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w:t>
      </w:r>
      <w:r>
        <w:rPr>
          <w:rFonts w:hint="eastAsia" w:ascii="宋体" w:hAnsi="宋体"/>
          <w:color w:val="auto"/>
          <w:szCs w:val="21"/>
          <w:highlight w:val="none"/>
        </w:rPr>
        <w:t>我方未列入在信用中国网站（www.creditchina.gov.cn）“失信被执行人”、“重大税收违法案件当事人名单”中，也未列入中国政府采购网（www.ccgp.gov.cn）“政府采购严重违法失信行为记录名单”中。</w:t>
      </w:r>
    </w:p>
    <w:p w14:paraId="2FC1F8CF">
      <w:pPr>
        <w:keepNext w:val="0"/>
        <w:keepLines w:val="0"/>
        <w:pageBreakBefore w:val="0"/>
        <w:widowControl w:val="0"/>
        <w:kinsoku/>
        <w:wordWrap/>
        <w:overflowPunct/>
        <w:topLinePunct w:val="0"/>
        <w:bidi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w:t>
      </w:r>
      <w:r>
        <w:rPr>
          <w:rFonts w:hint="eastAsia" w:ascii="宋体" w:hAnsi="宋体"/>
          <w:color w:val="auto"/>
          <w:szCs w:val="21"/>
          <w:highlight w:val="none"/>
        </w:rPr>
        <w:t>我方在采购项目评审（评标）环节结束后，随时接受</w:t>
      </w:r>
      <w:r>
        <w:rPr>
          <w:rFonts w:hint="eastAsia" w:ascii="宋体" w:hAnsi="宋体"/>
          <w:color w:val="auto"/>
          <w:szCs w:val="21"/>
          <w:highlight w:val="none"/>
          <w:lang w:eastAsia="zh-CN"/>
        </w:rPr>
        <w:t>招标人</w:t>
      </w:r>
      <w:r>
        <w:rPr>
          <w:rFonts w:hint="eastAsia" w:ascii="宋体" w:hAnsi="宋体"/>
          <w:color w:val="auto"/>
          <w:szCs w:val="21"/>
          <w:highlight w:val="none"/>
        </w:rPr>
        <w:t>、</w:t>
      </w:r>
      <w:r>
        <w:rPr>
          <w:rFonts w:hint="eastAsia" w:ascii="宋体" w:hAnsi="宋体"/>
          <w:color w:val="auto"/>
          <w:szCs w:val="21"/>
          <w:highlight w:val="none"/>
          <w:lang w:eastAsia="zh-CN"/>
        </w:rPr>
        <w:t>招标代理</w:t>
      </w:r>
      <w:r>
        <w:rPr>
          <w:rFonts w:hint="eastAsia" w:ascii="宋体" w:hAnsi="宋体"/>
          <w:color w:val="auto"/>
          <w:szCs w:val="21"/>
          <w:highlight w:val="none"/>
        </w:rPr>
        <w:t>机构的检查验证，配合提供相关证明材料，证明符合</w:t>
      </w:r>
      <w:r>
        <w:rPr>
          <w:rFonts w:hint="eastAsia" w:ascii="宋体" w:hAnsi="宋体"/>
          <w:color w:val="auto"/>
          <w:szCs w:val="21"/>
          <w:highlight w:val="none"/>
          <w:lang w:eastAsia="zh-CN"/>
        </w:rPr>
        <w:t>招标文件</w:t>
      </w:r>
      <w:r>
        <w:rPr>
          <w:rFonts w:hint="eastAsia" w:ascii="宋体" w:hAnsi="宋体"/>
          <w:color w:val="auto"/>
          <w:szCs w:val="21"/>
          <w:highlight w:val="none"/>
        </w:rPr>
        <w:t>规定的</w:t>
      </w:r>
      <w:r>
        <w:rPr>
          <w:rFonts w:hint="eastAsia" w:ascii="宋体" w:hAnsi="宋体"/>
          <w:color w:val="auto"/>
          <w:szCs w:val="21"/>
          <w:highlight w:val="none"/>
          <w:lang w:eastAsia="zh-CN"/>
        </w:rPr>
        <w:t>投标人</w:t>
      </w:r>
      <w:r>
        <w:rPr>
          <w:rFonts w:hint="eastAsia" w:ascii="宋体" w:hAnsi="宋体"/>
          <w:color w:val="auto"/>
          <w:szCs w:val="21"/>
          <w:highlight w:val="none"/>
        </w:rPr>
        <w:t>基本资格条件。</w:t>
      </w:r>
    </w:p>
    <w:p w14:paraId="1308F5DF">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我公司</w:t>
      </w:r>
      <w:r>
        <w:rPr>
          <w:rFonts w:hint="eastAsia" w:ascii="宋体" w:hAnsi="宋体"/>
          <w:color w:val="auto"/>
          <w:szCs w:val="21"/>
          <w:highlight w:val="none"/>
        </w:rPr>
        <w:t>承诺在本资格审查部分中的相关证明材料真实有效，不存在弄虚作假情形。</w:t>
      </w:r>
      <w:r>
        <w:rPr>
          <w:rFonts w:hint="eastAsia" w:ascii="宋体" w:hAnsi="宋体"/>
          <w:color w:val="auto"/>
          <w:szCs w:val="21"/>
          <w:highlight w:val="none"/>
          <w:lang w:val="en-US" w:eastAsia="zh-CN"/>
        </w:rPr>
        <w:t>贵单位</w:t>
      </w:r>
      <w:r>
        <w:rPr>
          <w:rFonts w:hint="eastAsia" w:ascii="宋体" w:hAnsi="宋体"/>
          <w:color w:val="auto"/>
          <w:szCs w:val="21"/>
          <w:highlight w:val="none"/>
        </w:rPr>
        <w:t>在合同签订前均有权对</w:t>
      </w:r>
      <w:r>
        <w:rPr>
          <w:rFonts w:hint="eastAsia" w:ascii="宋体" w:hAnsi="宋体"/>
          <w:color w:val="auto"/>
          <w:szCs w:val="21"/>
          <w:highlight w:val="none"/>
          <w:lang w:val="en-US" w:eastAsia="zh-CN"/>
        </w:rPr>
        <w:t>我公司</w:t>
      </w:r>
      <w:r>
        <w:rPr>
          <w:rFonts w:hint="eastAsia" w:ascii="宋体" w:hAnsi="宋体"/>
          <w:color w:val="auto"/>
          <w:szCs w:val="21"/>
          <w:highlight w:val="none"/>
        </w:rPr>
        <w:t>提供的资料进行核实，若发现弄虚作假，</w:t>
      </w:r>
      <w:r>
        <w:rPr>
          <w:rFonts w:hint="eastAsia" w:ascii="宋体" w:hAnsi="宋体"/>
          <w:color w:val="auto"/>
          <w:szCs w:val="21"/>
          <w:highlight w:val="none"/>
          <w:lang w:val="en-US" w:eastAsia="zh-CN"/>
        </w:rPr>
        <w:t>按相关规定</w:t>
      </w:r>
      <w:r>
        <w:rPr>
          <w:rFonts w:hint="eastAsia" w:ascii="宋体" w:hAnsi="宋体"/>
          <w:color w:val="auto"/>
          <w:szCs w:val="21"/>
          <w:highlight w:val="none"/>
        </w:rPr>
        <w:t>取消</w:t>
      </w:r>
      <w:r>
        <w:rPr>
          <w:rFonts w:hint="eastAsia" w:ascii="宋体" w:hAnsi="宋体"/>
          <w:color w:val="auto"/>
          <w:szCs w:val="21"/>
          <w:highlight w:val="none"/>
          <w:lang w:val="en-US" w:eastAsia="zh-CN"/>
        </w:rPr>
        <w:t>我公司</w:t>
      </w:r>
      <w:r>
        <w:rPr>
          <w:rFonts w:hint="eastAsia" w:ascii="宋体" w:hAnsi="宋体"/>
          <w:color w:val="auto"/>
          <w:szCs w:val="21"/>
          <w:highlight w:val="none"/>
        </w:rPr>
        <w:t>中标资格，并按相关法律法规报招标投标监督部门，投标保证金不予退还，</w:t>
      </w:r>
      <w:r>
        <w:rPr>
          <w:rFonts w:hint="eastAsia" w:ascii="宋体" w:hAnsi="宋体"/>
          <w:color w:val="auto"/>
          <w:szCs w:val="21"/>
          <w:highlight w:val="none"/>
          <w:lang w:val="en-US" w:eastAsia="zh-CN"/>
        </w:rPr>
        <w:t>我公司</w:t>
      </w:r>
      <w:r>
        <w:rPr>
          <w:rFonts w:hint="eastAsia" w:ascii="宋体" w:hAnsi="宋体"/>
          <w:color w:val="auto"/>
          <w:szCs w:val="21"/>
          <w:highlight w:val="none"/>
        </w:rPr>
        <w:t>自愿承担因此造成的相关责任并赔偿相应损失。</w:t>
      </w:r>
    </w:p>
    <w:p w14:paraId="3C04663A">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lang w:val="en-US" w:eastAsia="zh-CN"/>
        </w:rPr>
        <w:t>5</w:t>
      </w:r>
      <w:r>
        <w:rPr>
          <w:rFonts w:hint="eastAsia" w:ascii="宋体" w:hAnsi="宋体" w:cs="宋体"/>
          <w:color w:val="auto"/>
          <w:kern w:val="0"/>
          <w:highlight w:val="none"/>
        </w:rPr>
        <w:t>、</w:t>
      </w:r>
      <w:r>
        <w:rPr>
          <w:rFonts w:hint="eastAsia" w:ascii="宋体" w:hAnsi="宋体" w:cs="宋体"/>
          <w:color w:val="auto"/>
          <w:kern w:val="0"/>
          <w:highlight w:val="none"/>
          <w:lang w:val="en-US" w:eastAsia="zh-CN"/>
        </w:rPr>
        <w:t>我公司的</w:t>
      </w:r>
      <w:r>
        <w:rPr>
          <w:rFonts w:hint="eastAsia" w:ascii="宋体" w:hAnsi="宋体" w:cs="宋体"/>
          <w:color w:val="auto"/>
          <w:kern w:val="0"/>
          <w:highlight w:val="none"/>
        </w:rPr>
        <w:t>投标文件</w:t>
      </w:r>
      <w:r>
        <w:rPr>
          <w:color w:val="auto"/>
          <w:szCs w:val="22"/>
          <w:highlight w:val="none"/>
        </w:rPr>
        <w:t>符合第四章</w:t>
      </w:r>
      <w:r>
        <w:rPr>
          <w:rFonts w:hint="eastAsia"/>
          <w:color w:val="auto"/>
          <w:szCs w:val="22"/>
          <w:highlight w:val="none"/>
          <w:lang w:eastAsia="zh-CN"/>
        </w:rPr>
        <w:t>“</w:t>
      </w:r>
      <w:r>
        <w:rPr>
          <w:color w:val="auto"/>
          <w:szCs w:val="22"/>
          <w:highlight w:val="none"/>
        </w:rPr>
        <w:t>合同条款及格式</w:t>
      </w:r>
      <w:r>
        <w:rPr>
          <w:rFonts w:hint="eastAsia"/>
          <w:color w:val="auto"/>
          <w:szCs w:val="22"/>
          <w:highlight w:val="none"/>
          <w:lang w:eastAsia="zh-CN"/>
        </w:rPr>
        <w:t>”</w:t>
      </w:r>
      <w:r>
        <w:rPr>
          <w:color w:val="auto"/>
          <w:szCs w:val="22"/>
          <w:highlight w:val="none"/>
        </w:rPr>
        <w:t>中的实质性要求和条件</w:t>
      </w:r>
      <w:r>
        <w:rPr>
          <w:rFonts w:hint="eastAsia" w:ascii="宋体" w:hAnsi="宋体"/>
          <w:color w:val="auto"/>
          <w:szCs w:val="21"/>
          <w:highlight w:val="none"/>
        </w:rPr>
        <w:t>，投标文件未附有</w:t>
      </w:r>
      <w:r>
        <w:rPr>
          <w:rFonts w:hint="eastAsia" w:ascii="宋体" w:hAnsi="宋体"/>
          <w:color w:val="auto"/>
          <w:szCs w:val="21"/>
          <w:highlight w:val="none"/>
          <w:lang w:val="en-US" w:eastAsia="zh-CN"/>
        </w:rPr>
        <w:t>贵单位</w:t>
      </w:r>
      <w:r>
        <w:rPr>
          <w:rFonts w:hint="eastAsia" w:ascii="宋体" w:hAnsi="宋体"/>
          <w:color w:val="auto"/>
          <w:szCs w:val="21"/>
          <w:highlight w:val="none"/>
        </w:rPr>
        <w:t>不能接受的条件。</w:t>
      </w:r>
    </w:p>
    <w:p w14:paraId="1DFEF7CE">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lang w:val="en-US" w:eastAsia="zh-CN"/>
        </w:rPr>
        <w:t>6</w:t>
      </w:r>
      <w:r>
        <w:rPr>
          <w:rFonts w:hint="eastAsia" w:ascii="宋体" w:hAnsi="宋体" w:cs="宋体"/>
          <w:color w:val="auto"/>
          <w:kern w:val="0"/>
          <w:highlight w:val="none"/>
        </w:rPr>
        <w:t>、</w:t>
      </w:r>
      <w:r>
        <w:rPr>
          <w:rFonts w:hint="eastAsia"/>
          <w:color w:val="auto"/>
          <w:szCs w:val="22"/>
          <w:highlight w:val="none"/>
        </w:rPr>
        <w:t>符合第五章“发包人要求”中的实质性要求和条件</w:t>
      </w:r>
      <w:r>
        <w:rPr>
          <w:rFonts w:hint="eastAsia"/>
          <w:color w:val="auto"/>
          <w:szCs w:val="22"/>
          <w:highlight w:val="none"/>
          <w:lang w:eastAsia="zh-CN"/>
        </w:rPr>
        <w:t>。</w:t>
      </w:r>
    </w:p>
    <w:p w14:paraId="4D99623F">
      <w:pPr>
        <w:keepNext w:val="0"/>
        <w:keepLines w:val="0"/>
        <w:pageBreakBefore w:val="0"/>
        <w:widowControl w:val="0"/>
        <w:kinsoku/>
        <w:wordWrap/>
        <w:overflowPunct/>
        <w:topLinePunct w:val="0"/>
        <w:bidi w:val="0"/>
        <w:spacing w:line="400" w:lineRule="exact"/>
        <w:ind w:firstLine="420" w:firstLineChars="200"/>
        <w:textAlignment w:val="auto"/>
        <w:rPr>
          <w:rFonts w:hint="default" w:ascii="宋体" w:hAnsi="宋体" w:eastAsia="宋体"/>
          <w:color w:val="auto"/>
          <w:szCs w:val="21"/>
          <w:highlight w:val="none"/>
          <w:lang w:val="en-US" w:eastAsia="zh-CN"/>
        </w:rPr>
      </w:pPr>
      <w:r>
        <w:rPr>
          <w:rFonts w:hint="eastAsia" w:ascii="宋体" w:hAnsi="宋体" w:cs="宋体"/>
          <w:color w:val="auto"/>
          <w:kern w:val="0"/>
          <w:highlight w:val="none"/>
          <w:lang w:val="en-US" w:eastAsia="zh-CN"/>
        </w:rPr>
        <w:t>7</w:t>
      </w:r>
      <w:r>
        <w:rPr>
          <w:rFonts w:hint="eastAsia" w:ascii="宋体" w:hAnsi="宋体" w:cs="宋体"/>
          <w:color w:val="auto"/>
          <w:kern w:val="0"/>
          <w:highlight w:val="none"/>
        </w:rPr>
        <w:t>、</w:t>
      </w:r>
      <w:r>
        <w:rPr>
          <w:rFonts w:hint="eastAsia" w:ascii="宋体" w:hAnsi="宋体" w:cs="宋体"/>
          <w:color w:val="auto"/>
          <w:kern w:val="0"/>
          <w:highlight w:val="none"/>
          <w:lang w:val="en-US" w:eastAsia="zh-CN"/>
        </w:rPr>
        <w:t>我公司</w:t>
      </w:r>
      <w:r>
        <w:rPr>
          <w:rFonts w:hint="eastAsia" w:ascii="宋体" w:hAnsi="宋体" w:cs="宋体"/>
          <w:color w:val="auto"/>
          <w:kern w:val="0"/>
          <w:highlight w:val="none"/>
        </w:rPr>
        <w:t>承诺</w:t>
      </w:r>
      <w:r>
        <w:rPr>
          <w:rFonts w:ascii="宋体" w:hAnsi="宋体" w:cs="宋体"/>
          <w:color w:val="auto"/>
          <w:kern w:val="0"/>
          <w:highlight w:val="none"/>
        </w:rPr>
        <w:t>不存在第二章</w:t>
      </w: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投标人须知</w:t>
      </w: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第</w:t>
      </w:r>
      <w:r>
        <w:rPr>
          <w:rFonts w:hint="eastAsia" w:ascii="宋体" w:hAnsi="宋体" w:cs="宋体"/>
          <w:color w:val="auto"/>
          <w:kern w:val="0"/>
          <w:highlight w:val="none"/>
        </w:rPr>
        <w:t>1.4.3</w:t>
      </w:r>
      <w:r>
        <w:rPr>
          <w:rFonts w:hint="eastAsia" w:ascii="宋体" w:hAnsi="宋体" w:cs="宋体"/>
          <w:color w:val="auto"/>
          <w:kern w:val="0"/>
          <w:highlight w:val="none"/>
          <w:lang w:val="en-US" w:eastAsia="zh-CN"/>
        </w:rPr>
        <w:t>项规定的任何一种情形。</w:t>
      </w:r>
    </w:p>
    <w:p w14:paraId="59175895">
      <w:pPr>
        <w:pStyle w:val="12"/>
        <w:keepNext w:val="0"/>
        <w:keepLines w:val="0"/>
        <w:pageBreakBefore w:val="0"/>
        <w:widowControl w:val="0"/>
        <w:kinsoku/>
        <w:wordWrap/>
        <w:overflowPunct/>
        <w:topLinePunct w:val="0"/>
        <w:bidi w:val="0"/>
        <w:spacing w:after="0" w:line="400" w:lineRule="exact"/>
        <w:ind w:firstLine="420" w:firstLineChars="200"/>
        <w:textAlignment w:val="auto"/>
        <w:rPr>
          <w:color w:val="auto"/>
          <w:highlight w:val="none"/>
        </w:rPr>
      </w:pPr>
    </w:p>
    <w:p w14:paraId="2D774704">
      <w:pPr>
        <w:pStyle w:val="12"/>
        <w:keepNext w:val="0"/>
        <w:keepLines w:val="0"/>
        <w:pageBreakBefore w:val="0"/>
        <w:widowControl w:val="0"/>
        <w:kinsoku/>
        <w:wordWrap/>
        <w:overflowPunct/>
        <w:topLinePunct w:val="0"/>
        <w:bidi w:val="0"/>
        <w:spacing w:after="0" w:line="400" w:lineRule="exact"/>
        <w:ind w:firstLine="420" w:firstLineChars="200"/>
        <w:textAlignment w:val="auto"/>
        <w:rPr>
          <w:color w:val="auto"/>
          <w:highlight w:val="none"/>
        </w:rPr>
      </w:pPr>
    </w:p>
    <w:p w14:paraId="1DE26B17">
      <w:pPr>
        <w:keepNext w:val="0"/>
        <w:keepLines w:val="0"/>
        <w:pageBreakBefore w:val="0"/>
        <w:widowControl w:val="0"/>
        <w:kinsoku/>
        <w:wordWrap/>
        <w:overflowPunct/>
        <w:topLinePunct w:val="0"/>
        <w:bidi w:val="0"/>
        <w:spacing w:line="400" w:lineRule="exact"/>
        <w:ind w:firstLine="420" w:firstLineChars="200"/>
        <w:jc w:val="right"/>
        <w:textAlignment w:val="auto"/>
        <w:rPr>
          <w:rFonts w:ascii="宋体" w:hAnsi="宋体"/>
          <w:color w:val="auto"/>
          <w:kern w:val="0"/>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w:t>
      </w:r>
      <w:r>
        <w:rPr>
          <w:rFonts w:hint="eastAsia" w:ascii="宋体" w:hAnsi="宋体"/>
          <w:color w:val="auto"/>
          <w:spacing w:val="-1"/>
          <w:kern w:val="0"/>
          <w:szCs w:val="21"/>
          <w:highlight w:val="none"/>
        </w:rPr>
        <w:t>盖单位法人章</w:t>
      </w:r>
      <w:r>
        <w:rPr>
          <w:rFonts w:hint="eastAsia" w:ascii="宋体" w:hAnsi="宋体"/>
          <w:color w:val="auto"/>
          <w:kern w:val="0"/>
          <w:szCs w:val="21"/>
          <w:highlight w:val="none"/>
        </w:rPr>
        <w:t>）</w:t>
      </w:r>
    </w:p>
    <w:p w14:paraId="42A8B940">
      <w:pPr>
        <w:keepNext w:val="0"/>
        <w:keepLines w:val="0"/>
        <w:pageBreakBefore w:val="0"/>
        <w:widowControl w:val="0"/>
        <w:kinsoku/>
        <w:wordWrap/>
        <w:overflowPunct/>
        <w:topLinePunct w:val="0"/>
        <w:bidi w:val="0"/>
        <w:spacing w:line="400" w:lineRule="exact"/>
        <w:ind w:firstLine="420" w:firstLineChars="200"/>
        <w:jc w:val="right"/>
        <w:textAlignment w:val="auto"/>
        <w:rPr>
          <w:rFonts w:ascii="宋体" w:hAnsi="宋体"/>
          <w:color w:val="auto"/>
          <w:kern w:val="0"/>
          <w:szCs w:val="21"/>
          <w:highlight w:val="none"/>
        </w:rPr>
      </w:pPr>
      <w:r>
        <w:rPr>
          <w:rFonts w:hint="eastAsia" w:ascii="宋体" w:hAnsi="宋体"/>
          <w:color w:val="auto"/>
          <w:kern w:val="0"/>
          <w:szCs w:val="21"/>
          <w:highlight w:val="none"/>
        </w:rPr>
        <w:t>法定代表人：</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（签名或盖章）</w:t>
      </w:r>
    </w:p>
    <w:p w14:paraId="7ABEBB77">
      <w:pPr>
        <w:keepNext w:val="0"/>
        <w:keepLines w:val="0"/>
        <w:pageBreakBefore w:val="0"/>
        <w:widowControl w:val="0"/>
        <w:kinsoku/>
        <w:wordWrap/>
        <w:overflowPunct/>
        <w:topLinePunct w:val="0"/>
        <w:bidi w:val="0"/>
        <w:spacing w:line="400" w:lineRule="exact"/>
        <w:ind w:firstLine="420" w:firstLineChars="200"/>
        <w:jc w:val="right"/>
        <w:textAlignment w:val="auto"/>
        <w:rPr>
          <w:rFonts w:hint="eastAsia" w:ascii="宋体" w:hAnsi="宋体"/>
          <w:color w:val="auto"/>
          <w:kern w:val="0"/>
          <w:szCs w:val="21"/>
          <w:highlight w:val="none"/>
        </w:rPr>
      </w:pP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日</w:t>
      </w:r>
    </w:p>
    <w:p w14:paraId="63074328">
      <w:pPr>
        <w:rPr>
          <w:rFonts w:hint="eastAsia"/>
          <w:color w:val="auto"/>
          <w:highlight w:val="none"/>
          <w:lang w:eastAsia="zh-CN"/>
        </w:rPr>
      </w:pPr>
      <w:r>
        <w:rPr>
          <w:rFonts w:hint="eastAsia"/>
          <w:color w:val="auto"/>
          <w:highlight w:val="none"/>
          <w:lang w:eastAsia="zh-CN"/>
        </w:rPr>
        <w:br w:type="page"/>
      </w:r>
    </w:p>
    <w:p w14:paraId="3AE95914">
      <w:pPr>
        <w:keepNext/>
        <w:keepLines/>
        <w:spacing w:before="260" w:after="260" w:line="412" w:lineRule="auto"/>
        <w:ind w:firstLine="137" w:firstLineChars="49"/>
        <w:jc w:val="center"/>
        <w:outlineLvl w:val="2"/>
        <w:rPr>
          <w:rFonts w:eastAsia="黑体"/>
          <w:color w:val="auto"/>
          <w:sz w:val="28"/>
          <w:szCs w:val="20"/>
          <w:highlight w:val="none"/>
        </w:rPr>
      </w:pPr>
      <w:bookmarkStart w:id="859" w:name="_Toc17466"/>
      <w:r>
        <w:rPr>
          <w:rFonts w:hint="eastAsia" w:eastAsia="黑体"/>
          <w:color w:val="auto"/>
          <w:sz w:val="28"/>
          <w:szCs w:val="20"/>
          <w:highlight w:val="none"/>
          <w:lang w:eastAsia="zh-CN"/>
        </w:rPr>
        <w:t>（三）</w:t>
      </w:r>
      <w:r>
        <w:rPr>
          <w:rFonts w:hint="eastAsia" w:eastAsia="黑体"/>
          <w:color w:val="auto"/>
          <w:sz w:val="28"/>
          <w:szCs w:val="20"/>
          <w:highlight w:val="none"/>
        </w:rPr>
        <w:t>其他资料</w:t>
      </w:r>
      <w:bookmarkEnd w:id="859"/>
    </w:p>
    <w:p w14:paraId="23338E2E">
      <w:pPr>
        <w:keepNext w:val="0"/>
        <w:keepLines w:val="0"/>
        <w:pageBreakBefore w:val="0"/>
        <w:widowControl w:val="0"/>
        <w:kinsoku/>
        <w:wordWrap/>
        <w:overflowPunct/>
        <w:topLinePunct w:val="0"/>
        <w:autoSpaceDE/>
        <w:autoSpaceDN/>
        <w:bidi w:val="0"/>
        <w:adjustRightInd w:val="0"/>
        <w:snapToGrid/>
        <w:spacing w:line="600" w:lineRule="exact"/>
        <w:ind w:firstLine="420" w:firstLineChars="200"/>
        <w:jc w:val="both"/>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b/>
          <w:bCs/>
          <w:i w:val="0"/>
          <w:iCs/>
          <w:color w:val="auto"/>
          <w:sz w:val="21"/>
          <w:szCs w:val="21"/>
          <w:highlight w:val="none"/>
          <w:lang w:val="en-US" w:eastAsia="zh-CN"/>
        </w:rPr>
        <w:t>1.</w:t>
      </w:r>
      <w:r>
        <w:rPr>
          <w:rFonts w:hint="eastAsia"/>
          <w:b/>
          <w:bCs/>
          <w:color w:val="auto"/>
          <w:highlight w:val="none"/>
          <w:lang w:eastAsia="zh-CN"/>
        </w:rPr>
        <w:t>其他投标资料（如有）</w:t>
      </w:r>
    </w:p>
    <w:p w14:paraId="1349FB2D">
      <w:pPr>
        <w:rPr>
          <w:rFonts w:hint="eastAsia"/>
          <w:color w:val="auto"/>
          <w:highlight w:val="none"/>
          <w:lang w:eastAsia="zh-CN"/>
        </w:rPr>
      </w:pPr>
    </w:p>
    <w:p w14:paraId="6D581A5B">
      <w:pPr>
        <w:rPr>
          <w:rFonts w:hint="eastAsia"/>
          <w:color w:val="auto"/>
          <w:highlight w:val="none"/>
          <w:lang w:eastAsia="zh-CN"/>
        </w:rPr>
      </w:pPr>
      <w:r>
        <w:rPr>
          <w:rFonts w:hint="eastAsia"/>
          <w:color w:val="auto"/>
          <w:highlight w:val="none"/>
          <w:lang w:eastAsia="zh-CN"/>
        </w:rPr>
        <w:br w:type="page"/>
      </w:r>
    </w:p>
    <w:p w14:paraId="7DB2CAE5">
      <w:pPr>
        <w:pStyle w:val="3"/>
        <w:bidi w:val="0"/>
        <w:jc w:val="center"/>
        <w:rPr>
          <w:rFonts w:hint="eastAsia"/>
          <w:lang w:val="en-US" w:eastAsia="zh-CN"/>
        </w:rPr>
      </w:pPr>
      <w:bookmarkStart w:id="860" w:name="_Toc23868"/>
      <w:r>
        <w:rPr>
          <w:rFonts w:hint="eastAsia"/>
          <w:lang w:val="en-US" w:eastAsia="zh-CN"/>
        </w:rPr>
        <w:t>六、开标一览表</w:t>
      </w:r>
      <w:bookmarkEnd w:id="860"/>
    </w:p>
    <w:p w14:paraId="039F7EA0">
      <w:pPr>
        <w:numPr>
          <w:ilvl w:val="0"/>
          <w:numId w:val="0"/>
        </w:numPr>
        <w:rPr>
          <w:rFonts w:hint="eastAsia"/>
          <w:color w:val="auto"/>
          <w:highlight w:val="none"/>
          <w:lang w:val="en-US" w:eastAsia="zh-CN"/>
        </w:rPr>
      </w:pPr>
    </w:p>
    <w:p w14:paraId="7A84271E">
      <w:pPr>
        <w:pStyle w:val="12"/>
        <w:numPr>
          <w:ilvl w:val="0"/>
          <w:numId w:val="0"/>
        </w:numPr>
        <w:ind w:leftChars="200" w:firstLine="1440" w:firstLineChars="600"/>
        <w:rPr>
          <w:rFonts w:hint="default" w:ascii="Arial" w:hAnsi="Arial" w:eastAsia="Arial" w:cs="Arial"/>
          <w:snapToGrid w:val="0"/>
          <w:color w:val="auto"/>
          <w:sz w:val="24"/>
          <w:szCs w:val="24"/>
          <w:highlight w:val="none"/>
          <w:lang w:val="en-US" w:eastAsia="zh-CN" w:bidi="ar-SA"/>
        </w:rPr>
      </w:pPr>
      <w:r>
        <w:rPr>
          <w:rFonts w:hint="eastAsia" w:ascii="Arial" w:hAnsi="Arial" w:eastAsia="Arial" w:cs="Arial"/>
          <w:snapToGrid w:val="0"/>
          <w:color w:val="auto"/>
          <w:sz w:val="24"/>
          <w:szCs w:val="24"/>
          <w:highlight w:val="none"/>
          <w:lang w:val="en-US" w:eastAsia="zh-CN" w:bidi="ar-SA"/>
        </w:rPr>
        <w:t>（以电子招投标系统自动生成为准）</w:t>
      </w:r>
    </w:p>
    <w:p w14:paraId="05DE1FDD">
      <w:pPr>
        <w:rPr>
          <w:rFonts w:hint="eastAsia"/>
          <w:color w:val="auto"/>
          <w:highlight w:val="none"/>
          <w:lang w:eastAsia="zh-CN"/>
        </w:rPr>
      </w:pPr>
    </w:p>
    <w:sectPr>
      <w:footerReference r:id="rId5" w:type="default"/>
      <w:pgSz w:w="11906" w:h="16838"/>
      <w:pgMar w:top="1440" w:right="1800" w:bottom="1440" w:left="1803" w:header="851" w:footer="992" w:gutter="0"/>
      <w:pgNumType w:fmt="decimal" w:start="4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50D79">
    <w:pPr>
      <w:pStyle w:val="17"/>
      <w:jc w:val="both"/>
    </w:pPr>
    <w:r>
      <w:rPr>
        <w:sz w:val="18"/>
      </w:rPr>
      <w:pict>
        <v:shape id="_x0000_s1035" o:spid="_x0000_s103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214EC64">
                <w:pPr>
                  <w:pStyle w:val="17"/>
                </w:pPr>
                <w:r>
                  <w:fldChar w:fldCharType="begin"/>
                </w:r>
                <w:r>
                  <w:instrText xml:space="preserve"> PAGE  \* MERGEFORMAT </w:instrText>
                </w:r>
                <w:r>
                  <w:fldChar w:fldCharType="separate"/>
                </w:r>
                <w:r>
                  <w:t>- 1 -</w:t>
                </w:r>
                <w:r>
                  <w:fldChar w:fldCharType="end"/>
                </w:r>
              </w:p>
            </w:txbxContent>
          </v:textbox>
        </v:shape>
      </w:pict>
    </w: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14:paraId="6AF5F1CC"/>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F3CEA">
    <w:pPr>
      <w:pStyle w:val="17"/>
      <w:jc w:val="both"/>
    </w:pPr>
    <w:r>
      <w:rPr>
        <w:sz w:val="18"/>
      </w:rPr>
      <w:pict>
        <v:shape id="_x0000_s1045" o:spid="_x0000_s104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DF473A7">
                <w:pPr>
                  <w:pStyle w:val="17"/>
                </w:pPr>
                <w:r>
                  <w:fldChar w:fldCharType="begin"/>
                </w:r>
                <w:r>
                  <w:instrText xml:space="preserve"> PAGE  \* MERGEFORMAT </w:instrText>
                </w:r>
                <w:r>
                  <w:fldChar w:fldCharType="separate"/>
                </w:r>
                <w:r>
                  <w:t>- 1 -</w:t>
                </w:r>
                <w:r>
                  <w:fldChar w:fldCharType="end"/>
                </w:r>
              </w:p>
            </w:txbxContent>
          </v:textbox>
        </v:shape>
      </w:pict>
    </w:r>
    <w:r>
      <w:pict>
        <v:shape id="_x0000_s1046" o:spid="_x0000_s104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14:paraId="0C608A0A"/>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E9DCF">
    <w:pPr>
      <w:pStyle w:val="18"/>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98958"/>
    <w:multiLevelType w:val="singleLevel"/>
    <w:tmpl w:val="86098958"/>
    <w:lvl w:ilvl="0" w:tentative="0">
      <w:start w:val="1"/>
      <w:numFmt w:val="decimal"/>
      <w:lvlText w:val="%1."/>
      <w:lvlJc w:val="left"/>
      <w:pPr>
        <w:tabs>
          <w:tab w:val="left" w:pos="312"/>
        </w:tabs>
      </w:pPr>
    </w:lvl>
  </w:abstractNum>
  <w:abstractNum w:abstractNumId="1">
    <w:nsid w:val="BB03392E"/>
    <w:multiLevelType w:val="singleLevel"/>
    <w:tmpl w:val="BB03392E"/>
    <w:lvl w:ilvl="0" w:tentative="0">
      <w:start w:val="1"/>
      <w:numFmt w:val="chineseCounting"/>
      <w:suff w:val="nothing"/>
      <w:lvlText w:val="%1、"/>
      <w:lvlJc w:val="left"/>
      <w:rPr>
        <w:rFonts w:hint="eastAsia"/>
      </w:rPr>
    </w:lvl>
  </w:abstractNum>
  <w:abstractNum w:abstractNumId="2">
    <w:nsid w:val="EF182018"/>
    <w:multiLevelType w:val="singleLevel"/>
    <w:tmpl w:val="EF182018"/>
    <w:lvl w:ilvl="0" w:tentative="0">
      <w:start w:val="1"/>
      <w:numFmt w:val="decimal"/>
      <w:suff w:val="space"/>
      <w:lvlText w:val="%1."/>
      <w:lvlJc w:val="left"/>
    </w:lvl>
  </w:abstractNum>
  <w:abstractNum w:abstractNumId="3">
    <w:nsid w:val="1A260374"/>
    <w:multiLevelType w:val="singleLevel"/>
    <w:tmpl w:val="1A260374"/>
    <w:lvl w:ilvl="0" w:tentative="0">
      <w:start w:val="2"/>
      <w:numFmt w:val="chineseCounting"/>
      <w:suff w:val="nothing"/>
      <w:lvlText w:val="%1、"/>
      <w:lvlJc w:val="left"/>
      <w:rPr>
        <w:rFonts w:hint="eastAsia"/>
      </w:rPr>
    </w:lvl>
  </w:abstractNum>
  <w:abstractNum w:abstractNumId="4">
    <w:nsid w:val="29417E9C"/>
    <w:multiLevelType w:val="singleLevel"/>
    <w:tmpl w:val="29417E9C"/>
    <w:lvl w:ilvl="0" w:tentative="0">
      <w:start w:val="2"/>
      <w:numFmt w:val="decimal"/>
      <w:suff w:val="nothing"/>
      <w:lvlText w:val="%1、"/>
      <w:lvlJc w:val="left"/>
    </w:lvl>
  </w:abstractNum>
  <w:abstractNum w:abstractNumId="5">
    <w:nsid w:val="3974A372"/>
    <w:multiLevelType w:val="singleLevel"/>
    <w:tmpl w:val="3974A372"/>
    <w:lvl w:ilvl="0" w:tentative="0">
      <w:start w:val="7"/>
      <w:numFmt w:val="chineseCounting"/>
      <w:suff w:val="nothing"/>
      <w:lvlText w:val="（%1）"/>
      <w:lvlJc w:val="left"/>
      <w:rPr>
        <w:rFonts w:hint="eastAsia"/>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Y1MWJjYjc3Y2ZiMDQ2Y2ZlNDU5NjM1ZGQ5OWI4YTkifQ=="/>
  </w:docVars>
  <w:rsids>
    <w:rsidRoot w:val="37B660B6"/>
    <w:rsid w:val="00013654"/>
    <w:rsid w:val="0002561E"/>
    <w:rsid w:val="00067361"/>
    <w:rsid w:val="000757F9"/>
    <w:rsid w:val="000A002F"/>
    <w:rsid w:val="000A0EB0"/>
    <w:rsid w:val="000B6D9D"/>
    <w:rsid w:val="000C024B"/>
    <w:rsid w:val="000C1376"/>
    <w:rsid w:val="000C433E"/>
    <w:rsid w:val="000D14CD"/>
    <w:rsid w:val="000D41E2"/>
    <w:rsid w:val="000E7B1F"/>
    <w:rsid w:val="001079BA"/>
    <w:rsid w:val="001127B8"/>
    <w:rsid w:val="0011760F"/>
    <w:rsid w:val="0012138F"/>
    <w:rsid w:val="00133CF6"/>
    <w:rsid w:val="0014055C"/>
    <w:rsid w:val="00145F5C"/>
    <w:rsid w:val="00151C9B"/>
    <w:rsid w:val="0015727C"/>
    <w:rsid w:val="0016699C"/>
    <w:rsid w:val="001743CF"/>
    <w:rsid w:val="00184E25"/>
    <w:rsid w:val="001A5746"/>
    <w:rsid w:val="001A6B60"/>
    <w:rsid w:val="001A7E8B"/>
    <w:rsid w:val="001B223C"/>
    <w:rsid w:val="001C048E"/>
    <w:rsid w:val="001C1764"/>
    <w:rsid w:val="00204B5F"/>
    <w:rsid w:val="00205814"/>
    <w:rsid w:val="002105E7"/>
    <w:rsid w:val="00230F30"/>
    <w:rsid w:val="002410F1"/>
    <w:rsid w:val="00247343"/>
    <w:rsid w:val="00257EC5"/>
    <w:rsid w:val="002613C6"/>
    <w:rsid w:val="00266A4F"/>
    <w:rsid w:val="00267A5B"/>
    <w:rsid w:val="0027404F"/>
    <w:rsid w:val="00282155"/>
    <w:rsid w:val="002851E1"/>
    <w:rsid w:val="00295F30"/>
    <w:rsid w:val="002B06D1"/>
    <w:rsid w:val="002C0BF6"/>
    <w:rsid w:val="002C4449"/>
    <w:rsid w:val="002C6BF5"/>
    <w:rsid w:val="002D269B"/>
    <w:rsid w:val="002E1BAA"/>
    <w:rsid w:val="002E5839"/>
    <w:rsid w:val="002E6413"/>
    <w:rsid w:val="002F6879"/>
    <w:rsid w:val="003051ED"/>
    <w:rsid w:val="00305EA7"/>
    <w:rsid w:val="003105C6"/>
    <w:rsid w:val="00311A5F"/>
    <w:rsid w:val="00320A6C"/>
    <w:rsid w:val="00327CB1"/>
    <w:rsid w:val="00330064"/>
    <w:rsid w:val="00337843"/>
    <w:rsid w:val="00362D3B"/>
    <w:rsid w:val="00370826"/>
    <w:rsid w:val="00372B5F"/>
    <w:rsid w:val="00380548"/>
    <w:rsid w:val="00381201"/>
    <w:rsid w:val="0038180D"/>
    <w:rsid w:val="00384B9C"/>
    <w:rsid w:val="00390482"/>
    <w:rsid w:val="003A6B66"/>
    <w:rsid w:val="003B643A"/>
    <w:rsid w:val="003C6EBF"/>
    <w:rsid w:val="003D1FFC"/>
    <w:rsid w:val="003D2DE7"/>
    <w:rsid w:val="003F417C"/>
    <w:rsid w:val="00416146"/>
    <w:rsid w:val="00423C6D"/>
    <w:rsid w:val="004336DD"/>
    <w:rsid w:val="0044321D"/>
    <w:rsid w:val="0044432E"/>
    <w:rsid w:val="004615F5"/>
    <w:rsid w:val="0046178D"/>
    <w:rsid w:val="0046685F"/>
    <w:rsid w:val="004672B9"/>
    <w:rsid w:val="004761EC"/>
    <w:rsid w:val="00491A43"/>
    <w:rsid w:val="00495265"/>
    <w:rsid w:val="00496DA9"/>
    <w:rsid w:val="004A141D"/>
    <w:rsid w:val="004C5530"/>
    <w:rsid w:val="004D4AEB"/>
    <w:rsid w:val="004E4D94"/>
    <w:rsid w:val="004F7444"/>
    <w:rsid w:val="00505EAD"/>
    <w:rsid w:val="0050638A"/>
    <w:rsid w:val="00506BF2"/>
    <w:rsid w:val="00512A76"/>
    <w:rsid w:val="005216F3"/>
    <w:rsid w:val="00522102"/>
    <w:rsid w:val="005319D6"/>
    <w:rsid w:val="00546473"/>
    <w:rsid w:val="0055574E"/>
    <w:rsid w:val="00570DBA"/>
    <w:rsid w:val="005714C6"/>
    <w:rsid w:val="005855CD"/>
    <w:rsid w:val="00586FEC"/>
    <w:rsid w:val="005A7208"/>
    <w:rsid w:val="005B1637"/>
    <w:rsid w:val="005B35EF"/>
    <w:rsid w:val="005B55CD"/>
    <w:rsid w:val="005B5E21"/>
    <w:rsid w:val="005D203B"/>
    <w:rsid w:val="005D4209"/>
    <w:rsid w:val="005D4603"/>
    <w:rsid w:val="005E23EE"/>
    <w:rsid w:val="006014BD"/>
    <w:rsid w:val="006050E7"/>
    <w:rsid w:val="00612345"/>
    <w:rsid w:val="00625745"/>
    <w:rsid w:val="00630A1B"/>
    <w:rsid w:val="00640759"/>
    <w:rsid w:val="00645991"/>
    <w:rsid w:val="0065201F"/>
    <w:rsid w:val="00670D7A"/>
    <w:rsid w:val="0067722F"/>
    <w:rsid w:val="006911F9"/>
    <w:rsid w:val="006A16AE"/>
    <w:rsid w:val="006B346D"/>
    <w:rsid w:val="006B6D1F"/>
    <w:rsid w:val="006C1A6A"/>
    <w:rsid w:val="006D6F3B"/>
    <w:rsid w:val="006E08C4"/>
    <w:rsid w:val="006E6E8E"/>
    <w:rsid w:val="00700915"/>
    <w:rsid w:val="0070752A"/>
    <w:rsid w:val="00724DD9"/>
    <w:rsid w:val="00726300"/>
    <w:rsid w:val="00735C6D"/>
    <w:rsid w:val="00741237"/>
    <w:rsid w:val="00742021"/>
    <w:rsid w:val="0075312F"/>
    <w:rsid w:val="00784D08"/>
    <w:rsid w:val="007C2228"/>
    <w:rsid w:val="007F6C6F"/>
    <w:rsid w:val="00813B54"/>
    <w:rsid w:val="00824B02"/>
    <w:rsid w:val="008322BB"/>
    <w:rsid w:val="00844285"/>
    <w:rsid w:val="00847DE1"/>
    <w:rsid w:val="00867C54"/>
    <w:rsid w:val="00880255"/>
    <w:rsid w:val="00895790"/>
    <w:rsid w:val="00895E83"/>
    <w:rsid w:val="008A366D"/>
    <w:rsid w:val="008B73C2"/>
    <w:rsid w:val="008C0B59"/>
    <w:rsid w:val="008D138C"/>
    <w:rsid w:val="008D32CC"/>
    <w:rsid w:val="008D4EE8"/>
    <w:rsid w:val="008E586B"/>
    <w:rsid w:val="00900F98"/>
    <w:rsid w:val="009114BD"/>
    <w:rsid w:val="009224FE"/>
    <w:rsid w:val="00936C09"/>
    <w:rsid w:val="009444C8"/>
    <w:rsid w:val="00945239"/>
    <w:rsid w:val="00945A81"/>
    <w:rsid w:val="0095072A"/>
    <w:rsid w:val="00951FEE"/>
    <w:rsid w:val="009624BD"/>
    <w:rsid w:val="00975D66"/>
    <w:rsid w:val="00976EAF"/>
    <w:rsid w:val="00977B14"/>
    <w:rsid w:val="009A5857"/>
    <w:rsid w:val="009B7136"/>
    <w:rsid w:val="009C4D99"/>
    <w:rsid w:val="009E0EA3"/>
    <w:rsid w:val="009E34BD"/>
    <w:rsid w:val="009E5347"/>
    <w:rsid w:val="009F2E6D"/>
    <w:rsid w:val="009F61A0"/>
    <w:rsid w:val="00A010BF"/>
    <w:rsid w:val="00A12741"/>
    <w:rsid w:val="00A14261"/>
    <w:rsid w:val="00A2660F"/>
    <w:rsid w:val="00A35BA5"/>
    <w:rsid w:val="00A42012"/>
    <w:rsid w:val="00A42228"/>
    <w:rsid w:val="00A46801"/>
    <w:rsid w:val="00A62861"/>
    <w:rsid w:val="00A641FB"/>
    <w:rsid w:val="00AA1423"/>
    <w:rsid w:val="00AA37F9"/>
    <w:rsid w:val="00AA5AB0"/>
    <w:rsid w:val="00AB1C1A"/>
    <w:rsid w:val="00AC070B"/>
    <w:rsid w:val="00AD10E6"/>
    <w:rsid w:val="00B0507A"/>
    <w:rsid w:val="00B152FD"/>
    <w:rsid w:val="00B2494E"/>
    <w:rsid w:val="00B30C2D"/>
    <w:rsid w:val="00B40216"/>
    <w:rsid w:val="00B405C0"/>
    <w:rsid w:val="00B406C6"/>
    <w:rsid w:val="00B61CFE"/>
    <w:rsid w:val="00B66451"/>
    <w:rsid w:val="00B86B4C"/>
    <w:rsid w:val="00B92181"/>
    <w:rsid w:val="00BA4988"/>
    <w:rsid w:val="00BB3B7E"/>
    <w:rsid w:val="00BC2C49"/>
    <w:rsid w:val="00C447A8"/>
    <w:rsid w:val="00C50B26"/>
    <w:rsid w:val="00C614C2"/>
    <w:rsid w:val="00C66176"/>
    <w:rsid w:val="00C73C90"/>
    <w:rsid w:val="00C84172"/>
    <w:rsid w:val="00C96A93"/>
    <w:rsid w:val="00CA7EEA"/>
    <w:rsid w:val="00CC043D"/>
    <w:rsid w:val="00CC08D2"/>
    <w:rsid w:val="00CF10DB"/>
    <w:rsid w:val="00CF5500"/>
    <w:rsid w:val="00D23242"/>
    <w:rsid w:val="00D310A6"/>
    <w:rsid w:val="00D36788"/>
    <w:rsid w:val="00D44867"/>
    <w:rsid w:val="00D63CCB"/>
    <w:rsid w:val="00D70504"/>
    <w:rsid w:val="00D743B5"/>
    <w:rsid w:val="00D92392"/>
    <w:rsid w:val="00DB20F7"/>
    <w:rsid w:val="00DB7CE7"/>
    <w:rsid w:val="00DC653B"/>
    <w:rsid w:val="00DD3AC4"/>
    <w:rsid w:val="00DE5743"/>
    <w:rsid w:val="00DF07A7"/>
    <w:rsid w:val="00E13486"/>
    <w:rsid w:val="00E25747"/>
    <w:rsid w:val="00E40880"/>
    <w:rsid w:val="00E43E33"/>
    <w:rsid w:val="00E5318F"/>
    <w:rsid w:val="00E80919"/>
    <w:rsid w:val="00E85564"/>
    <w:rsid w:val="00E85D89"/>
    <w:rsid w:val="00E92EB6"/>
    <w:rsid w:val="00EB1C0E"/>
    <w:rsid w:val="00EB7E60"/>
    <w:rsid w:val="00F147F2"/>
    <w:rsid w:val="00F264F5"/>
    <w:rsid w:val="00F306F9"/>
    <w:rsid w:val="00F6557B"/>
    <w:rsid w:val="00F66F31"/>
    <w:rsid w:val="00F70394"/>
    <w:rsid w:val="00F77767"/>
    <w:rsid w:val="00FB2B5A"/>
    <w:rsid w:val="00FB62F5"/>
    <w:rsid w:val="00FC3E1B"/>
    <w:rsid w:val="00FD2E23"/>
    <w:rsid w:val="010158D6"/>
    <w:rsid w:val="01017684"/>
    <w:rsid w:val="01086C64"/>
    <w:rsid w:val="010A3F8C"/>
    <w:rsid w:val="010F7FF3"/>
    <w:rsid w:val="011078C7"/>
    <w:rsid w:val="011253ED"/>
    <w:rsid w:val="011473B7"/>
    <w:rsid w:val="01161381"/>
    <w:rsid w:val="0119677B"/>
    <w:rsid w:val="011B0745"/>
    <w:rsid w:val="011E1FE4"/>
    <w:rsid w:val="01203FAE"/>
    <w:rsid w:val="01213882"/>
    <w:rsid w:val="01227D26"/>
    <w:rsid w:val="01233A9E"/>
    <w:rsid w:val="0123584C"/>
    <w:rsid w:val="01261A8C"/>
    <w:rsid w:val="01284C10"/>
    <w:rsid w:val="012A0989"/>
    <w:rsid w:val="012B4701"/>
    <w:rsid w:val="012B64AF"/>
    <w:rsid w:val="012F41F1"/>
    <w:rsid w:val="01300309"/>
    <w:rsid w:val="013435B5"/>
    <w:rsid w:val="01395070"/>
    <w:rsid w:val="013E2686"/>
    <w:rsid w:val="014001AC"/>
    <w:rsid w:val="014557C2"/>
    <w:rsid w:val="014A102B"/>
    <w:rsid w:val="014C4DA3"/>
    <w:rsid w:val="014F6641"/>
    <w:rsid w:val="01514167"/>
    <w:rsid w:val="0156177E"/>
    <w:rsid w:val="015B4FE6"/>
    <w:rsid w:val="015B6D94"/>
    <w:rsid w:val="015C2B0C"/>
    <w:rsid w:val="015D0D5E"/>
    <w:rsid w:val="015F4DAB"/>
    <w:rsid w:val="015F5F58"/>
    <w:rsid w:val="016245C6"/>
    <w:rsid w:val="01655E65"/>
    <w:rsid w:val="016D6AC7"/>
    <w:rsid w:val="017716F4"/>
    <w:rsid w:val="017D31AE"/>
    <w:rsid w:val="018067FB"/>
    <w:rsid w:val="01822573"/>
    <w:rsid w:val="018502B5"/>
    <w:rsid w:val="01964270"/>
    <w:rsid w:val="0196601E"/>
    <w:rsid w:val="019B1886"/>
    <w:rsid w:val="019D115B"/>
    <w:rsid w:val="01A544B3"/>
    <w:rsid w:val="01A56261"/>
    <w:rsid w:val="01A7022B"/>
    <w:rsid w:val="01B464A4"/>
    <w:rsid w:val="01B77F31"/>
    <w:rsid w:val="01B813C1"/>
    <w:rsid w:val="01BA61B0"/>
    <w:rsid w:val="01BD188F"/>
    <w:rsid w:val="01C25065"/>
    <w:rsid w:val="01C40DDD"/>
    <w:rsid w:val="01C6008B"/>
    <w:rsid w:val="01C761D7"/>
    <w:rsid w:val="01CA3F1A"/>
    <w:rsid w:val="01CB20B8"/>
    <w:rsid w:val="01CC7C92"/>
    <w:rsid w:val="01CE3A0A"/>
    <w:rsid w:val="01D34B7C"/>
    <w:rsid w:val="01D46B46"/>
    <w:rsid w:val="01D6466C"/>
    <w:rsid w:val="01D6494A"/>
    <w:rsid w:val="01D86637"/>
    <w:rsid w:val="01DA23AF"/>
    <w:rsid w:val="01DB7ED5"/>
    <w:rsid w:val="01DD59FB"/>
    <w:rsid w:val="01E4322D"/>
    <w:rsid w:val="01E44FDB"/>
    <w:rsid w:val="01E52FAF"/>
    <w:rsid w:val="01E66FA5"/>
    <w:rsid w:val="01EA0118"/>
    <w:rsid w:val="01EA4250"/>
    <w:rsid w:val="01EA6D3B"/>
    <w:rsid w:val="01F1594A"/>
    <w:rsid w:val="01F179F2"/>
    <w:rsid w:val="01F42B4F"/>
    <w:rsid w:val="01F77F95"/>
    <w:rsid w:val="01FA5486"/>
    <w:rsid w:val="01FD7E4B"/>
    <w:rsid w:val="01FE5971"/>
    <w:rsid w:val="0200793B"/>
    <w:rsid w:val="020411DA"/>
    <w:rsid w:val="0204567E"/>
    <w:rsid w:val="02083BFD"/>
    <w:rsid w:val="020F7B7E"/>
    <w:rsid w:val="021358C1"/>
    <w:rsid w:val="02160F0D"/>
    <w:rsid w:val="02251150"/>
    <w:rsid w:val="022573A2"/>
    <w:rsid w:val="0227311A"/>
    <w:rsid w:val="02274EC8"/>
    <w:rsid w:val="02287486"/>
    <w:rsid w:val="02290C40"/>
    <w:rsid w:val="02331ABF"/>
    <w:rsid w:val="023B0973"/>
    <w:rsid w:val="02445A7A"/>
    <w:rsid w:val="02477318"/>
    <w:rsid w:val="024A0BB7"/>
    <w:rsid w:val="024E06A7"/>
    <w:rsid w:val="024E4B4B"/>
    <w:rsid w:val="02502671"/>
    <w:rsid w:val="025832D3"/>
    <w:rsid w:val="025B2DC4"/>
    <w:rsid w:val="0261487E"/>
    <w:rsid w:val="0261662C"/>
    <w:rsid w:val="026B3007"/>
    <w:rsid w:val="026E2AF7"/>
    <w:rsid w:val="026E6F9B"/>
    <w:rsid w:val="02714395"/>
    <w:rsid w:val="02727ED8"/>
    <w:rsid w:val="02743F39"/>
    <w:rsid w:val="02750329"/>
    <w:rsid w:val="02753E85"/>
    <w:rsid w:val="027C26CB"/>
    <w:rsid w:val="027C3466"/>
    <w:rsid w:val="027C5214"/>
    <w:rsid w:val="027D0F8C"/>
    <w:rsid w:val="0281175E"/>
    <w:rsid w:val="02873BB9"/>
    <w:rsid w:val="02881E0B"/>
    <w:rsid w:val="029167E5"/>
    <w:rsid w:val="02922C89"/>
    <w:rsid w:val="02924A37"/>
    <w:rsid w:val="029702A0"/>
    <w:rsid w:val="0297204E"/>
    <w:rsid w:val="02985DC6"/>
    <w:rsid w:val="029D45D5"/>
    <w:rsid w:val="029F53A6"/>
    <w:rsid w:val="02A1111E"/>
    <w:rsid w:val="02A12ECC"/>
    <w:rsid w:val="02A227A1"/>
    <w:rsid w:val="02A46519"/>
    <w:rsid w:val="02A76009"/>
    <w:rsid w:val="02AB5AF9"/>
    <w:rsid w:val="02AD1871"/>
    <w:rsid w:val="02AD7AC3"/>
    <w:rsid w:val="02B26E88"/>
    <w:rsid w:val="02B349AE"/>
    <w:rsid w:val="02B524D4"/>
    <w:rsid w:val="02B80216"/>
    <w:rsid w:val="02B81FC4"/>
    <w:rsid w:val="02B96468"/>
    <w:rsid w:val="02BC7D06"/>
    <w:rsid w:val="02C1356F"/>
    <w:rsid w:val="02CE17E8"/>
    <w:rsid w:val="02D36DFE"/>
    <w:rsid w:val="02D432A2"/>
    <w:rsid w:val="02D908B8"/>
    <w:rsid w:val="02E1151B"/>
    <w:rsid w:val="02E121B3"/>
    <w:rsid w:val="02E32D09"/>
    <w:rsid w:val="02E62FD5"/>
    <w:rsid w:val="02E903CF"/>
    <w:rsid w:val="02EC54FC"/>
    <w:rsid w:val="02ED1C6E"/>
    <w:rsid w:val="02EF596E"/>
    <w:rsid w:val="02F254D6"/>
    <w:rsid w:val="02F27C2D"/>
    <w:rsid w:val="02F72AEC"/>
    <w:rsid w:val="02F94AB6"/>
    <w:rsid w:val="02FF7BF3"/>
    <w:rsid w:val="03015719"/>
    <w:rsid w:val="03035935"/>
    <w:rsid w:val="030376E3"/>
    <w:rsid w:val="03060F81"/>
    <w:rsid w:val="03086AA8"/>
    <w:rsid w:val="03100052"/>
    <w:rsid w:val="031418F0"/>
    <w:rsid w:val="031E276F"/>
    <w:rsid w:val="031E451D"/>
    <w:rsid w:val="03231B33"/>
    <w:rsid w:val="03265180"/>
    <w:rsid w:val="0328539C"/>
    <w:rsid w:val="032A1114"/>
    <w:rsid w:val="03323B24"/>
    <w:rsid w:val="03353615"/>
    <w:rsid w:val="03364ED1"/>
    <w:rsid w:val="03393105"/>
    <w:rsid w:val="033C0E47"/>
    <w:rsid w:val="033F57F7"/>
    <w:rsid w:val="03411FE4"/>
    <w:rsid w:val="03433F84"/>
    <w:rsid w:val="03451AAA"/>
    <w:rsid w:val="03483348"/>
    <w:rsid w:val="034C72DC"/>
    <w:rsid w:val="034F0B7A"/>
    <w:rsid w:val="035241C7"/>
    <w:rsid w:val="03577A2F"/>
    <w:rsid w:val="035937A7"/>
    <w:rsid w:val="03597303"/>
    <w:rsid w:val="035E2B6B"/>
    <w:rsid w:val="035E4919"/>
    <w:rsid w:val="03600692"/>
    <w:rsid w:val="0361440A"/>
    <w:rsid w:val="036363D4"/>
    <w:rsid w:val="03667CDC"/>
    <w:rsid w:val="03675EC4"/>
    <w:rsid w:val="036A59B4"/>
    <w:rsid w:val="036F4D79"/>
    <w:rsid w:val="03710AF1"/>
    <w:rsid w:val="03727414"/>
    <w:rsid w:val="03791753"/>
    <w:rsid w:val="03795BF7"/>
    <w:rsid w:val="037E4FBC"/>
    <w:rsid w:val="03800D34"/>
    <w:rsid w:val="0381685A"/>
    <w:rsid w:val="03906A9D"/>
    <w:rsid w:val="039609ED"/>
    <w:rsid w:val="03977E2B"/>
    <w:rsid w:val="03990047"/>
    <w:rsid w:val="039E11BA"/>
    <w:rsid w:val="03A03184"/>
    <w:rsid w:val="03A604C6"/>
    <w:rsid w:val="03B409DD"/>
    <w:rsid w:val="03B64756"/>
    <w:rsid w:val="03B7227C"/>
    <w:rsid w:val="03BB6210"/>
    <w:rsid w:val="03BB7608"/>
    <w:rsid w:val="03C6665F"/>
    <w:rsid w:val="03C9309C"/>
    <w:rsid w:val="03CC5D27"/>
    <w:rsid w:val="03CE7CF1"/>
    <w:rsid w:val="03D1158F"/>
    <w:rsid w:val="03D1333D"/>
    <w:rsid w:val="03D472D2"/>
    <w:rsid w:val="03DD1CE2"/>
    <w:rsid w:val="03DD6186"/>
    <w:rsid w:val="03DE5A5A"/>
    <w:rsid w:val="03DF41DD"/>
    <w:rsid w:val="03E77005"/>
    <w:rsid w:val="03E868D9"/>
    <w:rsid w:val="03E94B2B"/>
    <w:rsid w:val="03EA43FF"/>
    <w:rsid w:val="03EC0177"/>
    <w:rsid w:val="03EE2141"/>
    <w:rsid w:val="03EE5607"/>
    <w:rsid w:val="03F11C32"/>
    <w:rsid w:val="03F92894"/>
    <w:rsid w:val="03FA61DB"/>
    <w:rsid w:val="03FF434E"/>
    <w:rsid w:val="03FF5FEC"/>
    <w:rsid w:val="04001E75"/>
    <w:rsid w:val="040C25C7"/>
    <w:rsid w:val="040F43A0"/>
    <w:rsid w:val="0414147C"/>
    <w:rsid w:val="041651F4"/>
    <w:rsid w:val="04206073"/>
    <w:rsid w:val="04221DEB"/>
    <w:rsid w:val="04277401"/>
    <w:rsid w:val="04293179"/>
    <w:rsid w:val="042A6EF2"/>
    <w:rsid w:val="043164D2"/>
    <w:rsid w:val="04357D70"/>
    <w:rsid w:val="043A5387"/>
    <w:rsid w:val="043D09D3"/>
    <w:rsid w:val="043F299D"/>
    <w:rsid w:val="04417874"/>
    <w:rsid w:val="04421433"/>
    <w:rsid w:val="0442423B"/>
    <w:rsid w:val="04447FB3"/>
    <w:rsid w:val="04477AA3"/>
    <w:rsid w:val="044B1342"/>
    <w:rsid w:val="044B7594"/>
    <w:rsid w:val="045126D0"/>
    <w:rsid w:val="045521C0"/>
    <w:rsid w:val="045A1585"/>
    <w:rsid w:val="045A3333"/>
    <w:rsid w:val="045F1328"/>
    <w:rsid w:val="04602913"/>
    <w:rsid w:val="04613C48"/>
    <w:rsid w:val="04620439"/>
    <w:rsid w:val="04651CD8"/>
    <w:rsid w:val="046643CE"/>
    <w:rsid w:val="04673CA2"/>
    <w:rsid w:val="04697A1A"/>
    <w:rsid w:val="046B3792"/>
    <w:rsid w:val="047168CE"/>
    <w:rsid w:val="04762137"/>
    <w:rsid w:val="0479335F"/>
    <w:rsid w:val="047A39D5"/>
    <w:rsid w:val="047C599F"/>
    <w:rsid w:val="047D34C5"/>
    <w:rsid w:val="0482288A"/>
    <w:rsid w:val="048B5BE2"/>
    <w:rsid w:val="048E122E"/>
    <w:rsid w:val="048E7480"/>
    <w:rsid w:val="04934A97"/>
    <w:rsid w:val="049525BD"/>
    <w:rsid w:val="04952B38"/>
    <w:rsid w:val="049A5E25"/>
    <w:rsid w:val="049F168E"/>
    <w:rsid w:val="049F51EA"/>
    <w:rsid w:val="04A22F2C"/>
    <w:rsid w:val="04A46CA4"/>
    <w:rsid w:val="04A62A1C"/>
    <w:rsid w:val="04A96068"/>
    <w:rsid w:val="04AD3DAA"/>
    <w:rsid w:val="04AD7E25"/>
    <w:rsid w:val="04B213C1"/>
    <w:rsid w:val="04B769D7"/>
    <w:rsid w:val="04B844FD"/>
    <w:rsid w:val="04BD7D66"/>
    <w:rsid w:val="04C133B2"/>
    <w:rsid w:val="04C17856"/>
    <w:rsid w:val="04C410F4"/>
    <w:rsid w:val="04C609C8"/>
    <w:rsid w:val="04C74740"/>
    <w:rsid w:val="04C82992"/>
    <w:rsid w:val="04C904B8"/>
    <w:rsid w:val="04CB2483"/>
    <w:rsid w:val="04CC1D57"/>
    <w:rsid w:val="04CE1F73"/>
    <w:rsid w:val="04DA26C6"/>
    <w:rsid w:val="04DC643E"/>
    <w:rsid w:val="04DD3F64"/>
    <w:rsid w:val="04DF5F2E"/>
    <w:rsid w:val="04DF7CDC"/>
    <w:rsid w:val="04E13A54"/>
    <w:rsid w:val="04E5637F"/>
    <w:rsid w:val="04E6106A"/>
    <w:rsid w:val="04E62E18"/>
    <w:rsid w:val="04E946B7"/>
    <w:rsid w:val="04EB6A93"/>
    <w:rsid w:val="04ED064B"/>
    <w:rsid w:val="04EE596D"/>
    <w:rsid w:val="04F01EE9"/>
    <w:rsid w:val="04F217BD"/>
    <w:rsid w:val="04F574FF"/>
    <w:rsid w:val="04F96FF0"/>
    <w:rsid w:val="04FF3EDA"/>
    <w:rsid w:val="050140F6"/>
    <w:rsid w:val="05080FE1"/>
    <w:rsid w:val="050E015C"/>
    <w:rsid w:val="05123C0E"/>
    <w:rsid w:val="05143E2A"/>
    <w:rsid w:val="0515545E"/>
    <w:rsid w:val="051554AC"/>
    <w:rsid w:val="05177476"/>
    <w:rsid w:val="051E5080"/>
    <w:rsid w:val="052027CE"/>
    <w:rsid w:val="0523406D"/>
    <w:rsid w:val="05237BC9"/>
    <w:rsid w:val="05243941"/>
    <w:rsid w:val="052851DF"/>
    <w:rsid w:val="052971A9"/>
    <w:rsid w:val="0532605E"/>
    <w:rsid w:val="05355B4E"/>
    <w:rsid w:val="05373674"/>
    <w:rsid w:val="053A4F12"/>
    <w:rsid w:val="053C6EDC"/>
    <w:rsid w:val="053E2C54"/>
    <w:rsid w:val="053F077B"/>
    <w:rsid w:val="05410997"/>
    <w:rsid w:val="054162A1"/>
    <w:rsid w:val="054304DC"/>
    <w:rsid w:val="054364BD"/>
    <w:rsid w:val="0548762F"/>
    <w:rsid w:val="054A15F9"/>
    <w:rsid w:val="05504736"/>
    <w:rsid w:val="05524952"/>
    <w:rsid w:val="055406CA"/>
    <w:rsid w:val="05542478"/>
    <w:rsid w:val="05575AC4"/>
    <w:rsid w:val="05595CE0"/>
    <w:rsid w:val="05597A8E"/>
    <w:rsid w:val="055A7363"/>
    <w:rsid w:val="055B3806"/>
    <w:rsid w:val="055E6E53"/>
    <w:rsid w:val="055F2BCB"/>
    <w:rsid w:val="05600E1D"/>
    <w:rsid w:val="056326BB"/>
    <w:rsid w:val="056621AB"/>
    <w:rsid w:val="05663F59"/>
    <w:rsid w:val="056C5A14"/>
    <w:rsid w:val="057378BD"/>
    <w:rsid w:val="05777F14"/>
    <w:rsid w:val="05793C8D"/>
    <w:rsid w:val="057C19CF"/>
    <w:rsid w:val="05834B0B"/>
    <w:rsid w:val="05852631"/>
    <w:rsid w:val="05856AD5"/>
    <w:rsid w:val="05860158"/>
    <w:rsid w:val="058A5E9A"/>
    <w:rsid w:val="058F1702"/>
    <w:rsid w:val="05900FD6"/>
    <w:rsid w:val="05962A91"/>
    <w:rsid w:val="059B1E55"/>
    <w:rsid w:val="059C5BCD"/>
    <w:rsid w:val="059C797B"/>
    <w:rsid w:val="059E1945"/>
    <w:rsid w:val="05A20F79"/>
    <w:rsid w:val="05A625A8"/>
    <w:rsid w:val="05AA02EA"/>
    <w:rsid w:val="05AF3B52"/>
    <w:rsid w:val="05AF5900"/>
    <w:rsid w:val="05B14F8B"/>
    <w:rsid w:val="05B9677F"/>
    <w:rsid w:val="05BC001D"/>
    <w:rsid w:val="05BD626F"/>
    <w:rsid w:val="05BE1FE7"/>
    <w:rsid w:val="05BE3D95"/>
    <w:rsid w:val="05C26DA0"/>
    <w:rsid w:val="05C313AC"/>
    <w:rsid w:val="05C416C0"/>
    <w:rsid w:val="05C70E9C"/>
    <w:rsid w:val="05C72C4A"/>
    <w:rsid w:val="05C818B8"/>
    <w:rsid w:val="05CA273A"/>
    <w:rsid w:val="05CB200E"/>
    <w:rsid w:val="05DC421B"/>
    <w:rsid w:val="05DD06BF"/>
    <w:rsid w:val="05E517A7"/>
    <w:rsid w:val="05E732EC"/>
    <w:rsid w:val="05EB486B"/>
    <w:rsid w:val="05ED01D7"/>
    <w:rsid w:val="05EF03F3"/>
    <w:rsid w:val="05EF3F4F"/>
    <w:rsid w:val="05F872A7"/>
    <w:rsid w:val="05FD2B10"/>
    <w:rsid w:val="060043AE"/>
    <w:rsid w:val="06053772"/>
    <w:rsid w:val="06071298"/>
    <w:rsid w:val="060A0D89"/>
    <w:rsid w:val="060C4B01"/>
    <w:rsid w:val="060C68AF"/>
    <w:rsid w:val="060E0879"/>
    <w:rsid w:val="060E6ACB"/>
    <w:rsid w:val="06135E8F"/>
    <w:rsid w:val="061439B5"/>
    <w:rsid w:val="06160B1E"/>
    <w:rsid w:val="0616597F"/>
    <w:rsid w:val="061B4D44"/>
    <w:rsid w:val="06224324"/>
    <w:rsid w:val="062260D2"/>
    <w:rsid w:val="0624009C"/>
    <w:rsid w:val="06255BC2"/>
    <w:rsid w:val="062736E9"/>
    <w:rsid w:val="062B48CF"/>
    <w:rsid w:val="062C6F51"/>
    <w:rsid w:val="06304C93"/>
    <w:rsid w:val="06314567"/>
    <w:rsid w:val="0633208D"/>
    <w:rsid w:val="06345E06"/>
    <w:rsid w:val="063858F6"/>
    <w:rsid w:val="0639166E"/>
    <w:rsid w:val="063A78C0"/>
    <w:rsid w:val="063B17F3"/>
    <w:rsid w:val="063B3638"/>
    <w:rsid w:val="063D115E"/>
    <w:rsid w:val="063F4ED6"/>
    <w:rsid w:val="063F6C84"/>
    <w:rsid w:val="06434952"/>
    <w:rsid w:val="0644429B"/>
    <w:rsid w:val="064969C8"/>
    <w:rsid w:val="064A387B"/>
    <w:rsid w:val="06585F98"/>
    <w:rsid w:val="065B5A88"/>
    <w:rsid w:val="065E2E82"/>
    <w:rsid w:val="0661309E"/>
    <w:rsid w:val="06674F75"/>
    <w:rsid w:val="066F6FA2"/>
    <w:rsid w:val="0673692E"/>
    <w:rsid w:val="06744454"/>
    <w:rsid w:val="067508F8"/>
    <w:rsid w:val="067526A6"/>
    <w:rsid w:val="067F3525"/>
    <w:rsid w:val="06846D8D"/>
    <w:rsid w:val="068648B3"/>
    <w:rsid w:val="068723D9"/>
    <w:rsid w:val="068943A3"/>
    <w:rsid w:val="06897EFF"/>
    <w:rsid w:val="068B1EC9"/>
    <w:rsid w:val="06903CCC"/>
    <w:rsid w:val="06905732"/>
    <w:rsid w:val="069074E0"/>
    <w:rsid w:val="06913258"/>
    <w:rsid w:val="06915006"/>
    <w:rsid w:val="06986394"/>
    <w:rsid w:val="069C40D7"/>
    <w:rsid w:val="069F4940"/>
    <w:rsid w:val="06A50AB1"/>
    <w:rsid w:val="06A74829"/>
    <w:rsid w:val="06AE5BB8"/>
    <w:rsid w:val="06B036DE"/>
    <w:rsid w:val="06B56F46"/>
    <w:rsid w:val="06B62CBE"/>
    <w:rsid w:val="06BA27AF"/>
    <w:rsid w:val="06BD5DFB"/>
    <w:rsid w:val="06C54CB0"/>
    <w:rsid w:val="06C947A0"/>
    <w:rsid w:val="06D33870"/>
    <w:rsid w:val="06D373CC"/>
    <w:rsid w:val="06D73361"/>
    <w:rsid w:val="06D82C35"/>
    <w:rsid w:val="06DE46EF"/>
    <w:rsid w:val="06DF3FC3"/>
    <w:rsid w:val="06E11AE9"/>
    <w:rsid w:val="06E45A7E"/>
    <w:rsid w:val="06E64108"/>
    <w:rsid w:val="06E710CA"/>
    <w:rsid w:val="06EB1AB6"/>
    <w:rsid w:val="06EE2458"/>
    <w:rsid w:val="06F07F7E"/>
    <w:rsid w:val="06F16DB8"/>
    <w:rsid w:val="06F4271B"/>
    <w:rsid w:val="06F537E7"/>
    <w:rsid w:val="06FA704F"/>
    <w:rsid w:val="06FC6923"/>
    <w:rsid w:val="07013F3A"/>
    <w:rsid w:val="070659F4"/>
    <w:rsid w:val="0709503F"/>
    <w:rsid w:val="070B6B66"/>
    <w:rsid w:val="070C28DE"/>
    <w:rsid w:val="070D0B30"/>
    <w:rsid w:val="071C5217"/>
    <w:rsid w:val="071D4AEC"/>
    <w:rsid w:val="0721282E"/>
    <w:rsid w:val="07222102"/>
    <w:rsid w:val="072639A0"/>
    <w:rsid w:val="07283BBC"/>
    <w:rsid w:val="072916E2"/>
    <w:rsid w:val="072B0FB7"/>
    <w:rsid w:val="0730481F"/>
    <w:rsid w:val="073065CD"/>
    <w:rsid w:val="07351E35"/>
    <w:rsid w:val="07372051"/>
    <w:rsid w:val="07373DFF"/>
    <w:rsid w:val="073A744C"/>
    <w:rsid w:val="073D27EE"/>
    <w:rsid w:val="073F0F06"/>
    <w:rsid w:val="073F2CB4"/>
    <w:rsid w:val="074327A4"/>
    <w:rsid w:val="07465DF0"/>
    <w:rsid w:val="07481B68"/>
    <w:rsid w:val="0748600C"/>
    <w:rsid w:val="07487DBA"/>
    <w:rsid w:val="0749768F"/>
    <w:rsid w:val="074A1D85"/>
    <w:rsid w:val="074A3B33"/>
    <w:rsid w:val="074B1659"/>
    <w:rsid w:val="074B3407"/>
    <w:rsid w:val="074D3623"/>
    <w:rsid w:val="074D53D1"/>
    <w:rsid w:val="07504EC1"/>
    <w:rsid w:val="07520C39"/>
    <w:rsid w:val="0754675F"/>
    <w:rsid w:val="075C3866"/>
    <w:rsid w:val="075C73C2"/>
    <w:rsid w:val="075E138C"/>
    <w:rsid w:val="075E313A"/>
    <w:rsid w:val="075F6EB2"/>
    <w:rsid w:val="07612C2A"/>
    <w:rsid w:val="07634BF4"/>
    <w:rsid w:val="076444C8"/>
    <w:rsid w:val="076B1CFB"/>
    <w:rsid w:val="076B3AA9"/>
    <w:rsid w:val="07746BCF"/>
    <w:rsid w:val="0777244E"/>
    <w:rsid w:val="077A1F3E"/>
    <w:rsid w:val="07830DF3"/>
    <w:rsid w:val="07832BA1"/>
    <w:rsid w:val="078801B7"/>
    <w:rsid w:val="078A2181"/>
    <w:rsid w:val="078F7797"/>
    <w:rsid w:val="079052BE"/>
    <w:rsid w:val="07966D78"/>
    <w:rsid w:val="07972AF0"/>
    <w:rsid w:val="07A07BF6"/>
    <w:rsid w:val="07A31495"/>
    <w:rsid w:val="07A33243"/>
    <w:rsid w:val="07A5520D"/>
    <w:rsid w:val="07A56FBB"/>
    <w:rsid w:val="07AD40C1"/>
    <w:rsid w:val="07AD418F"/>
    <w:rsid w:val="07B13BB2"/>
    <w:rsid w:val="07B436A2"/>
    <w:rsid w:val="07B70A9C"/>
    <w:rsid w:val="07B90CB8"/>
    <w:rsid w:val="07B92A66"/>
    <w:rsid w:val="07BE1E2B"/>
    <w:rsid w:val="07C1191B"/>
    <w:rsid w:val="07C17B6D"/>
    <w:rsid w:val="07C22B6F"/>
    <w:rsid w:val="07C25DCB"/>
    <w:rsid w:val="07C37441"/>
    <w:rsid w:val="07C5765D"/>
    <w:rsid w:val="07C66F31"/>
    <w:rsid w:val="07C84A57"/>
    <w:rsid w:val="07CB4548"/>
    <w:rsid w:val="07CD4764"/>
    <w:rsid w:val="07D17DB0"/>
    <w:rsid w:val="07D653C6"/>
    <w:rsid w:val="07D72EEC"/>
    <w:rsid w:val="07D773FC"/>
    <w:rsid w:val="07DB478B"/>
    <w:rsid w:val="07DD49A7"/>
    <w:rsid w:val="07E1307F"/>
    <w:rsid w:val="07E13D6B"/>
    <w:rsid w:val="07E51AAD"/>
    <w:rsid w:val="07E850FA"/>
    <w:rsid w:val="07EC6998"/>
    <w:rsid w:val="07EF46DA"/>
    <w:rsid w:val="07F13FAE"/>
    <w:rsid w:val="07F4584C"/>
    <w:rsid w:val="07F65A68"/>
    <w:rsid w:val="07F752A5"/>
    <w:rsid w:val="07FD6DF7"/>
    <w:rsid w:val="07FE491D"/>
    <w:rsid w:val="07FE66CB"/>
    <w:rsid w:val="08000695"/>
    <w:rsid w:val="080041F1"/>
    <w:rsid w:val="08033CE1"/>
    <w:rsid w:val="08055CAB"/>
    <w:rsid w:val="08065580"/>
    <w:rsid w:val="080A1514"/>
    <w:rsid w:val="080C0DE8"/>
    <w:rsid w:val="080D2DB2"/>
    <w:rsid w:val="081128A2"/>
    <w:rsid w:val="08144141"/>
    <w:rsid w:val="08147C9D"/>
    <w:rsid w:val="0817778D"/>
    <w:rsid w:val="08191757"/>
    <w:rsid w:val="081B102B"/>
    <w:rsid w:val="081B727D"/>
    <w:rsid w:val="081E0B1B"/>
    <w:rsid w:val="08202AE5"/>
    <w:rsid w:val="08330197"/>
    <w:rsid w:val="083420ED"/>
    <w:rsid w:val="083640B7"/>
    <w:rsid w:val="08387E2F"/>
    <w:rsid w:val="08400A92"/>
    <w:rsid w:val="08406CE4"/>
    <w:rsid w:val="084367D4"/>
    <w:rsid w:val="084C38DA"/>
    <w:rsid w:val="085207C5"/>
    <w:rsid w:val="0854278F"/>
    <w:rsid w:val="08564759"/>
    <w:rsid w:val="08585DDB"/>
    <w:rsid w:val="085C6ED9"/>
    <w:rsid w:val="085D7896"/>
    <w:rsid w:val="08633B80"/>
    <w:rsid w:val="08687FE8"/>
    <w:rsid w:val="086A1FB2"/>
    <w:rsid w:val="086C1887"/>
    <w:rsid w:val="086E1503"/>
    <w:rsid w:val="086E3851"/>
    <w:rsid w:val="086E55FF"/>
    <w:rsid w:val="086F75C9"/>
    <w:rsid w:val="087406B4"/>
    <w:rsid w:val="08752E31"/>
    <w:rsid w:val="08760957"/>
    <w:rsid w:val="08762705"/>
    <w:rsid w:val="0878022B"/>
    <w:rsid w:val="087921F6"/>
    <w:rsid w:val="087A532A"/>
    <w:rsid w:val="087E15BA"/>
    <w:rsid w:val="087F5A5E"/>
    <w:rsid w:val="088017D6"/>
    <w:rsid w:val="088C1F29"/>
    <w:rsid w:val="088E5CA1"/>
    <w:rsid w:val="088F37C7"/>
    <w:rsid w:val="08915791"/>
    <w:rsid w:val="08931509"/>
    <w:rsid w:val="08935065"/>
    <w:rsid w:val="089808CE"/>
    <w:rsid w:val="089D4136"/>
    <w:rsid w:val="089E3A0A"/>
    <w:rsid w:val="08A234FA"/>
    <w:rsid w:val="08A70B11"/>
    <w:rsid w:val="08AF5C17"/>
    <w:rsid w:val="08B1198F"/>
    <w:rsid w:val="08B1661A"/>
    <w:rsid w:val="08B71CBC"/>
    <w:rsid w:val="08B7391C"/>
    <w:rsid w:val="08BA0844"/>
    <w:rsid w:val="08BD20E2"/>
    <w:rsid w:val="08BD6586"/>
    <w:rsid w:val="08BF40AC"/>
    <w:rsid w:val="08C01BD2"/>
    <w:rsid w:val="08C276F9"/>
    <w:rsid w:val="08C571E9"/>
    <w:rsid w:val="08CB0CA3"/>
    <w:rsid w:val="08CC0577"/>
    <w:rsid w:val="08CE2541"/>
    <w:rsid w:val="08D538D0"/>
    <w:rsid w:val="08D833C0"/>
    <w:rsid w:val="08DF02AB"/>
    <w:rsid w:val="08E73603"/>
    <w:rsid w:val="08E91129"/>
    <w:rsid w:val="08E9737B"/>
    <w:rsid w:val="08EB280C"/>
    <w:rsid w:val="08EB4EA1"/>
    <w:rsid w:val="08ED6E6B"/>
    <w:rsid w:val="08EE6740"/>
    <w:rsid w:val="08F57ACE"/>
    <w:rsid w:val="08F80C9F"/>
    <w:rsid w:val="08FD2E27"/>
    <w:rsid w:val="08FF6B9F"/>
    <w:rsid w:val="09016473"/>
    <w:rsid w:val="09067F2D"/>
    <w:rsid w:val="09077801"/>
    <w:rsid w:val="090B72F2"/>
    <w:rsid w:val="090E5BA6"/>
    <w:rsid w:val="09102B5A"/>
    <w:rsid w:val="09104908"/>
    <w:rsid w:val="09114527"/>
    <w:rsid w:val="09150170"/>
    <w:rsid w:val="09151F1E"/>
    <w:rsid w:val="09187C60"/>
    <w:rsid w:val="091C163A"/>
    <w:rsid w:val="091D0DD3"/>
    <w:rsid w:val="091D7025"/>
    <w:rsid w:val="09212671"/>
    <w:rsid w:val="09293C1C"/>
    <w:rsid w:val="092959CA"/>
    <w:rsid w:val="09297778"/>
    <w:rsid w:val="092B34F0"/>
    <w:rsid w:val="092D370C"/>
    <w:rsid w:val="092D54BA"/>
    <w:rsid w:val="09322AD0"/>
    <w:rsid w:val="09371E95"/>
    <w:rsid w:val="093F51ED"/>
    <w:rsid w:val="09410F65"/>
    <w:rsid w:val="09497E1A"/>
    <w:rsid w:val="094B5940"/>
    <w:rsid w:val="095567BF"/>
    <w:rsid w:val="09572537"/>
    <w:rsid w:val="0958005D"/>
    <w:rsid w:val="095962AF"/>
    <w:rsid w:val="095A3DD5"/>
    <w:rsid w:val="095C18FB"/>
    <w:rsid w:val="095C5D9F"/>
    <w:rsid w:val="095C7B4D"/>
    <w:rsid w:val="095E1B17"/>
    <w:rsid w:val="095F3199"/>
    <w:rsid w:val="0963712E"/>
    <w:rsid w:val="09644C54"/>
    <w:rsid w:val="09646A02"/>
    <w:rsid w:val="09677ECA"/>
    <w:rsid w:val="096864F2"/>
    <w:rsid w:val="09697C41"/>
    <w:rsid w:val="096C5132"/>
    <w:rsid w:val="09722ECD"/>
    <w:rsid w:val="09734E97"/>
    <w:rsid w:val="09750C0F"/>
    <w:rsid w:val="09774987"/>
    <w:rsid w:val="097F55EA"/>
    <w:rsid w:val="09815E0C"/>
    <w:rsid w:val="0983157E"/>
    <w:rsid w:val="098350DA"/>
    <w:rsid w:val="098A46BA"/>
    <w:rsid w:val="098B3F8E"/>
    <w:rsid w:val="0992531D"/>
    <w:rsid w:val="09976DD7"/>
    <w:rsid w:val="09977B04"/>
    <w:rsid w:val="099C3ED5"/>
    <w:rsid w:val="099F7A3A"/>
    <w:rsid w:val="09A339CE"/>
    <w:rsid w:val="09A6526C"/>
    <w:rsid w:val="09B30D57"/>
    <w:rsid w:val="09B94F9F"/>
    <w:rsid w:val="09BF0A3A"/>
    <w:rsid w:val="09BF1E8A"/>
    <w:rsid w:val="09C3197A"/>
    <w:rsid w:val="09C3710A"/>
    <w:rsid w:val="09C6146A"/>
    <w:rsid w:val="09C86F91"/>
    <w:rsid w:val="09CA0F5B"/>
    <w:rsid w:val="09D21BBD"/>
    <w:rsid w:val="09D34230"/>
    <w:rsid w:val="09D5345C"/>
    <w:rsid w:val="09DB4F16"/>
    <w:rsid w:val="09E244F6"/>
    <w:rsid w:val="09E47B84"/>
    <w:rsid w:val="09E813E1"/>
    <w:rsid w:val="09E87633"/>
    <w:rsid w:val="09EA6F07"/>
    <w:rsid w:val="09F558AC"/>
    <w:rsid w:val="09FB7366"/>
    <w:rsid w:val="0A00497C"/>
    <w:rsid w:val="0A051F93"/>
    <w:rsid w:val="0A067AB9"/>
    <w:rsid w:val="0A075D0B"/>
    <w:rsid w:val="0A0C3321"/>
    <w:rsid w:val="0A0E3BED"/>
    <w:rsid w:val="0A1421D6"/>
    <w:rsid w:val="0A1500F3"/>
    <w:rsid w:val="0A1C108A"/>
    <w:rsid w:val="0A261F09"/>
    <w:rsid w:val="0A283ED3"/>
    <w:rsid w:val="0A2E0C9A"/>
    <w:rsid w:val="0A2F0DBE"/>
    <w:rsid w:val="0A2F5262"/>
    <w:rsid w:val="0A3463D4"/>
    <w:rsid w:val="0A382368"/>
    <w:rsid w:val="0A391C3C"/>
    <w:rsid w:val="0A3B7763"/>
    <w:rsid w:val="0A432ABB"/>
    <w:rsid w:val="0A434869"/>
    <w:rsid w:val="0A4800D1"/>
    <w:rsid w:val="0A4A3E4A"/>
    <w:rsid w:val="0A4C1970"/>
    <w:rsid w:val="0A4E393A"/>
    <w:rsid w:val="0A516F86"/>
    <w:rsid w:val="0A544CC8"/>
    <w:rsid w:val="0A586566"/>
    <w:rsid w:val="0A5922DF"/>
    <w:rsid w:val="0A59408D"/>
    <w:rsid w:val="0A5B7E05"/>
    <w:rsid w:val="0A5F5B47"/>
    <w:rsid w:val="0A5F67C4"/>
    <w:rsid w:val="0A60541B"/>
    <w:rsid w:val="0A6273E5"/>
    <w:rsid w:val="0A634F0B"/>
    <w:rsid w:val="0A670558"/>
    <w:rsid w:val="0A682522"/>
    <w:rsid w:val="0A6842D0"/>
    <w:rsid w:val="0A690774"/>
    <w:rsid w:val="0A6C0264"/>
    <w:rsid w:val="0A6C2012"/>
    <w:rsid w:val="0A6D18E6"/>
    <w:rsid w:val="0A6F38B0"/>
    <w:rsid w:val="0A6F565E"/>
    <w:rsid w:val="0A7669ED"/>
    <w:rsid w:val="0A7C035C"/>
    <w:rsid w:val="0A7D5FCD"/>
    <w:rsid w:val="0A8235E3"/>
    <w:rsid w:val="0A851326"/>
    <w:rsid w:val="0A8A06EA"/>
    <w:rsid w:val="0A8C6210"/>
    <w:rsid w:val="0A8E01DA"/>
    <w:rsid w:val="0A913826"/>
    <w:rsid w:val="0A943317"/>
    <w:rsid w:val="0A9450C5"/>
    <w:rsid w:val="0A9D041D"/>
    <w:rsid w:val="0A9D21CB"/>
    <w:rsid w:val="0A9D7A6A"/>
    <w:rsid w:val="0AA25A34"/>
    <w:rsid w:val="0AAE262A"/>
    <w:rsid w:val="0AB1211B"/>
    <w:rsid w:val="0AB15C77"/>
    <w:rsid w:val="0AB47515"/>
    <w:rsid w:val="0ABA0FCF"/>
    <w:rsid w:val="0ABB4D47"/>
    <w:rsid w:val="0ABB6AF5"/>
    <w:rsid w:val="0ABD0ABF"/>
    <w:rsid w:val="0ABD461B"/>
    <w:rsid w:val="0ABF0394"/>
    <w:rsid w:val="0ABF65E6"/>
    <w:rsid w:val="0AC0410C"/>
    <w:rsid w:val="0ACA6D38"/>
    <w:rsid w:val="0ACB4F8A"/>
    <w:rsid w:val="0ACF434F"/>
    <w:rsid w:val="0AD24468"/>
    <w:rsid w:val="0ADB0F46"/>
    <w:rsid w:val="0ADB13B6"/>
    <w:rsid w:val="0ADD081A"/>
    <w:rsid w:val="0AE53B72"/>
    <w:rsid w:val="0AE778EA"/>
    <w:rsid w:val="0AE95411"/>
    <w:rsid w:val="0AEC3153"/>
    <w:rsid w:val="0AEC6CAF"/>
    <w:rsid w:val="0AEE0C79"/>
    <w:rsid w:val="0AF0679F"/>
    <w:rsid w:val="0AF81AF7"/>
    <w:rsid w:val="0AFA13CC"/>
    <w:rsid w:val="0AFC15E8"/>
    <w:rsid w:val="0AFE70B8"/>
    <w:rsid w:val="0B0009AC"/>
    <w:rsid w:val="0B023186"/>
    <w:rsid w:val="0B064214"/>
    <w:rsid w:val="0B09160F"/>
    <w:rsid w:val="0B097861"/>
    <w:rsid w:val="0B0B182B"/>
    <w:rsid w:val="0B0B35D9"/>
    <w:rsid w:val="0B106E41"/>
    <w:rsid w:val="0B1526A9"/>
    <w:rsid w:val="0B1A1A6E"/>
    <w:rsid w:val="0B1C57E6"/>
    <w:rsid w:val="0B1D2390"/>
    <w:rsid w:val="0B1D330C"/>
    <w:rsid w:val="0B1F7084"/>
    <w:rsid w:val="0B237943"/>
    <w:rsid w:val="0B246449"/>
    <w:rsid w:val="0B266665"/>
    <w:rsid w:val="0B2947E7"/>
    <w:rsid w:val="0B2E5519"/>
    <w:rsid w:val="0B310B66"/>
    <w:rsid w:val="0B386398"/>
    <w:rsid w:val="0B3A2110"/>
    <w:rsid w:val="0B3F14D4"/>
    <w:rsid w:val="0B3F3282"/>
    <w:rsid w:val="0B41178A"/>
    <w:rsid w:val="0B420FC5"/>
    <w:rsid w:val="0B440899"/>
    <w:rsid w:val="0B464611"/>
    <w:rsid w:val="0B494101"/>
    <w:rsid w:val="0B4D3BF1"/>
    <w:rsid w:val="0B52713F"/>
    <w:rsid w:val="0B536D2E"/>
    <w:rsid w:val="0B584344"/>
    <w:rsid w:val="0B5C3E34"/>
    <w:rsid w:val="0B5F1B77"/>
    <w:rsid w:val="0B5F3925"/>
    <w:rsid w:val="0B6B051B"/>
    <w:rsid w:val="0B6E3B68"/>
    <w:rsid w:val="0B7078E0"/>
    <w:rsid w:val="0B7218AA"/>
    <w:rsid w:val="0B745622"/>
    <w:rsid w:val="0B7471EA"/>
    <w:rsid w:val="0B776EC0"/>
    <w:rsid w:val="0B7A250D"/>
    <w:rsid w:val="0B7C44D7"/>
    <w:rsid w:val="0B85016F"/>
    <w:rsid w:val="0B8769D7"/>
    <w:rsid w:val="0B884C29"/>
    <w:rsid w:val="0B903ADE"/>
    <w:rsid w:val="0B941820"/>
    <w:rsid w:val="0BA31A63"/>
    <w:rsid w:val="0BA36C32"/>
    <w:rsid w:val="0BA852CC"/>
    <w:rsid w:val="0BA94BA0"/>
    <w:rsid w:val="0BB2614A"/>
    <w:rsid w:val="0BB35A1E"/>
    <w:rsid w:val="0BB772BD"/>
    <w:rsid w:val="0BB974D9"/>
    <w:rsid w:val="0BBB4532"/>
    <w:rsid w:val="0BC55E7E"/>
    <w:rsid w:val="0BC753E1"/>
    <w:rsid w:val="0BCB0FBA"/>
    <w:rsid w:val="0BCB2D68"/>
    <w:rsid w:val="0BCC11C3"/>
    <w:rsid w:val="0BCD088E"/>
    <w:rsid w:val="0BCE4606"/>
    <w:rsid w:val="0BD065D0"/>
    <w:rsid w:val="0BD22349"/>
    <w:rsid w:val="0BD25EA5"/>
    <w:rsid w:val="0BD51E39"/>
    <w:rsid w:val="0BD7170D"/>
    <w:rsid w:val="0BD762D6"/>
    <w:rsid w:val="0BD82880"/>
    <w:rsid w:val="0BDA2FAB"/>
    <w:rsid w:val="0BDC4F59"/>
    <w:rsid w:val="0BDC6D23"/>
    <w:rsid w:val="0BDF6813"/>
    <w:rsid w:val="0BE24B2A"/>
    <w:rsid w:val="0BE36304"/>
    <w:rsid w:val="0BE61950"/>
    <w:rsid w:val="0BE76017"/>
    <w:rsid w:val="0BEB340A"/>
    <w:rsid w:val="0BEB51B8"/>
    <w:rsid w:val="0BEC5BDC"/>
    <w:rsid w:val="0BED2CDE"/>
    <w:rsid w:val="0BEF6A57"/>
    <w:rsid w:val="0BF5465F"/>
    <w:rsid w:val="0BF7590B"/>
    <w:rsid w:val="0BFA364D"/>
    <w:rsid w:val="0BFC1173"/>
    <w:rsid w:val="0BFC73C5"/>
    <w:rsid w:val="0BFF2A12"/>
    <w:rsid w:val="0C040028"/>
    <w:rsid w:val="0C0836D9"/>
    <w:rsid w:val="0C087B18"/>
    <w:rsid w:val="0C0B7609"/>
    <w:rsid w:val="0C0F0EA7"/>
    <w:rsid w:val="0C111038"/>
    <w:rsid w:val="0C1741FF"/>
    <w:rsid w:val="0C177D5B"/>
    <w:rsid w:val="0C191D25"/>
    <w:rsid w:val="0C193AD3"/>
    <w:rsid w:val="0C1C1816"/>
    <w:rsid w:val="0C1C35C4"/>
    <w:rsid w:val="0C201306"/>
    <w:rsid w:val="0C210BDA"/>
    <w:rsid w:val="0C224FC1"/>
    <w:rsid w:val="0C272694"/>
    <w:rsid w:val="0C2A700E"/>
    <w:rsid w:val="0C2B1A59"/>
    <w:rsid w:val="0C2D757F"/>
    <w:rsid w:val="0C3703FE"/>
    <w:rsid w:val="0C3B1C9C"/>
    <w:rsid w:val="0C415546"/>
    <w:rsid w:val="0C450D6C"/>
    <w:rsid w:val="0C48085D"/>
    <w:rsid w:val="0C4A1EDF"/>
    <w:rsid w:val="0C4D5E73"/>
    <w:rsid w:val="0C4D7C21"/>
    <w:rsid w:val="0C4E6409"/>
    <w:rsid w:val="0C50326D"/>
    <w:rsid w:val="0C5B233E"/>
    <w:rsid w:val="0C5B757D"/>
    <w:rsid w:val="0C5D60B6"/>
    <w:rsid w:val="0C5E598A"/>
    <w:rsid w:val="0C607954"/>
    <w:rsid w:val="0C61547A"/>
    <w:rsid w:val="0C637445"/>
    <w:rsid w:val="0C656D19"/>
    <w:rsid w:val="0C684A5B"/>
    <w:rsid w:val="0C6C62F9"/>
    <w:rsid w:val="0C6D2071"/>
    <w:rsid w:val="0C6D3E1F"/>
    <w:rsid w:val="0C721436"/>
    <w:rsid w:val="0C721E1F"/>
    <w:rsid w:val="0C760F26"/>
    <w:rsid w:val="0C7C7FF7"/>
    <w:rsid w:val="0C7D3B59"/>
    <w:rsid w:val="0C7D5BCC"/>
    <w:rsid w:val="0C7E602C"/>
    <w:rsid w:val="0C803B53"/>
    <w:rsid w:val="0C8278CB"/>
    <w:rsid w:val="0C8464EF"/>
    <w:rsid w:val="0C87510A"/>
    <w:rsid w:val="0C8E2713"/>
    <w:rsid w:val="0C8F3D96"/>
    <w:rsid w:val="0C917B0E"/>
    <w:rsid w:val="0C937D2A"/>
    <w:rsid w:val="0C963376"/>
    <w:rsid w:val="0C9B273A"/>
    <w:rsid w:val="0CAC0DEC"/>
    <w:rsid w:val="0CB11F5E"/>
    <w:rsid w:val="0CBE28CD"/>
    <w:rsid w:val="0CC021A1"/>
    <w:rsid w:val="0CC2416B"/>
    <w:rsid w:val="0CC872A8"/>
    <w:rsid w:val="0CCC323C"/>
    <w:rsid w:val="0CCC6D98"/>
    <w:rsid w:val="0CD65E68"/>
    <w:rsid w:val="0CDB2461"/>
    <w:rsid w:val="0CDB347F"/>
    <w:rsid w:val="0CDE6ACB"/>
    <w:rsid w:val="0CE20369"/>
    <w:rsid w:val="0CE42333"/>
    <w:rsid w:val="0CE75980"/>
    <w:rsid w:val="0CE916F8"/>
    <w:rsid w:val="0CEE31B2"/>
    <w:rsid w:val="0CF12CA2"/>
    <w:rsid w:val="0CF167FE"/>
    <w:rsid w:val="0CF34325"/>
    <w:rsid w:val="0CFB142B"/>
    <w:rsid w:val="0CFD33F5"/>
    <w:rsid w:val="0D077DD0"/>
    <w:rsid w:val="0D093B48"/>
    <w:rsid w:val="0D0B5B12"/>
    <w:rsid w:val="0D0E115E"/>
    <w:rsid w:val="0D181FDD"/>
    <w:rsid w:val="0D1C7D1F"/>
    <w:rsid w:val="0D1F15BD"/>
    <w:rsid w:val="0D240982"/>
    <w:rsid w:val="0D244E26"/>
    <w:rsid w:val="0D261E54"/>
    <w:rsid w:val="0D2766C4"/>
    <w:rsid w:val="0D286D68"/>
    <w:rsid w:val="0D2C3CDA"/>
    <w:rsid w:val="0D30275D"/>
    <w:rsid w:val="0D3037CB"/>
    <w:rsid w:val="0D31155B"/>
    <w:rsid w:val="0D314E4D"/>
    <w:rsid w:val="0D330BC5"/>
    <w:rsid w:val="0D336E17"/>
    <w:rsid w:val="0D35493D"/>
    <w:rsid w:val="0D38442D"/>
    <w:rsid w:val="0D397CED"/>
    <w:rsid w:val="0D3B5CCB"/>
    <w:rsid w:val="0D3C216F"/>
    <w:rsid w:val="0D3D7C96"/>
    <w:rsid w:val="0D4032E2"/>
    <w:rsid w:val="0D40647F"/>
    <w:rsid w:val="0D4252AC"/>
    <w:rsid w:val="0D42705A"/>
    <w:rsid w:val="0D474670"/>
    <w:rsid w:val="0D480F23"/>
    <w:rsid w:val="0D49663A"/>
    <w:rsid w:val="0D4B2102"/>
    <w:rsid w:val="0D4B23B2"/>
    <w:rsid w:val="0D4C1C87"/>
    <w:rsid w:val="0D4C612B"/>
    <w:rsid w:val="0D5079C9"/>
    <w:rsid w:val="0D554FDF"/>
    <w:rsid w:val="0D556D8D"/>
    <w:rsid w:val="0D5C636E"/>
    <w:rsid w:val="0D5F7C0C"/>
    <w:rsid w:val="0D645222"/>
    <w:rsid w:val="0D7511DD"/>
    <w:rsid w:val="0D7A67F4"/>
    <w:rsid w:val="0D7D0092"/>
    <w:rsid w:val="0D802482"/>
    <w:rsid w:val="0D8458C4"/>
    <w:rsid w:val="0D870F11"/>
    <w:rsid w:val="0D8B6C53"/>
    <w:rsid w:val="0D8E229F"/>
    <w:rsid w:val="0D921D8F"/>
    <w:rsid w:val="0D9755F8"/>
    <w:rsid w:val="0D9A50E8"/>
    <w:rsid w:val="0D9A7B19"/>
    <w:rsid w:val="0D9C2C0E"/>
    <w:rsid w:val="0D9F26FE"/>
    <w:rsid w:val="0D9F44AC"/>
    <w:rsid w:val="0D9F625A"/>
    <w:rsid w:val="0DA47D15"/>
    <w:rsid w:val="0DA73361"/>
    <w:rsid w:val="0DAE649D"/>
    <w:rsid w:val="0DB241E0"/>
    <w:rsid w:val="0DB461AA"/>
    <w:rsid w:val="0DB717F6"/>
    <w:rsid w:val="0DBC5B20"/>
    <w:rsid w:val="0DC14423"/>
    <w:rsid w:val="0DC67C8B"/>
    <w:rsid w:val="0DC7755F"/>
    <w:rsid w:val="0DC83A03"/>
    <w:rsid w:val="0DCD1019"/>
    <w:rsid w:val="0DCE08EE"/>
    <w:rsid w:val="0DD04666"/>
    <w:rsid w:val="0DD61B3B"/>
    <w:rsid w:val="0DD759F4"/>
    <w:rsid w:val="0DD95C10"/>
    <w:rsid w:val="0DD979BE"/>
    <w:rsid w:val="0DDA3736"/>
    <w:rsid w:val="0DDF0D4D"/>
    <w:rsid w:val="0DDF2AFB"/>
    <w:rsid w:val="0DE34399"/>
    <w:rsid w:val="0DE46363"/>
    <w:rsid w:val="0DE87C01"/>
    <w:rsid w:val="0DE93979"/>
    <w:rsid w:val="0DEA1BCB"/>
    <w:rsid w:val="0DED16BC"/>
    <w:rsid w:val="0DED6FC6"/>
    <w:rsid w:val="0DF06AB6"/>
    <w:rsid w:val="0DF35855"/>
    <w:rsid w:val="0DF90060"/>
    <w:rsid w:val="0DFA16E3"/>
    <w:rsid w:val="0DFB23C6"/>
    <w:rsid w:val="0DFE5677"/>
    <w:rsid w:val="0DFE793B"/>
    <w:rsid w:val="0DFF319D"/>
    <w:rsid w:val="0DFF4F4B"/>
    <w:rsid w:val="0E016F15"/>
    <w:rsid w:val="0E033729"/>
    <w:rsid w:val="0E06277D"/>
    <w:rsid w:val="0E0802A4"/>
    <w:rsid w:val="0E0D1416"/>
    <w:rsid w:val="0E0D58BA"/>
    <w:rsid w:val="0E0E518E"/>
    <w:rsid w:val="0E1409F6"/>
    <w:rsid w:val="0E15476E"/>
    <w:rsid w:val="0E181F8C"/>
    <w:rsid w:val="0E197DBB"/>
    <w:rsid w:val="0E1A3B33"/>
    <w:rsid w:val="0E1B7FD7"/>
    <w:rsid w:val="0E1C5AFD"/>
    <w:rsid w:val="0E1E3623"/>
    <w:rsid w:val="0E1E7AC7"/>
    <w:rsid w:val="0E230C39"/>
    <w:rsid w:val="0E236E8B"/>
    <w:rsid w:val="0E252C04"/>
    <w:rsid w:val="0E286250"/>
    <w:rsid w:val="0E2D7D0A"/>
    <w:rsid w:val="0E303356"/>
    <w:rsid w:val="0E305316"/>
    <w:rsid w:val="0E320E7D"/>
    <w:rsid w:val="0E325320"/>
    <w:rsid w:val="0E3270CE"/>
    <w:rsid w:val="0E341099"/>
    <w:rsid w:val="0E3746E5"/>
    <w:rsid w:val="0E3E1F17"/>
    <w:rsid w:val="0E40223A"/>
    <w:rsid w:val="0E415563"/>
    <w:rsid w:val="0E440BB0"/>
    <w:rsid w:val="0E4532A6"/>
    <w:rsid w:val="0E4534DB"/>
    <w:rsid w:val="0E455054"/>
    <w:rsid w:val="0E4806A0"/>
    <w:rsid w:val="0E4B0190"/>
    <w:rsid w:val="0E4D215A"/>
    <w:rsid w:val="0E4F5ED2"/>
    <w:rsid w:val="0E5057A7"/>
    <w:rsid w:val="0E5139F9"/>
    <w:rsid w:val="0E547045"/>
    <w:rsid w:val="0E5928AD"/>
    <w:rsid w:val="0E5C239D"/>
    <w:rsid w:val="0E5C414B"/>
    <w:rsid w:val="0E6354DA"/>
    <w:rsid w:val="0E6A6868"/>
    <w:rsid w:val="0E745939"/>
    <w:rsid w:val="0E7476E7"/>
    <w:rsid w:val="0E765A96"/>
    <w:rsid w:val="0E770F85"/>
    <w:rsid w:val="0E7C47EE"/>
    <w:rsid w:val="0E87566C"/>
    <w:rsid w:val="0E922F72"/>
    <w:rsid w:val="0E9438E5"/>
    <w:rsid w:val="0E947D89"/>
    <w:rsid w:val="0E96765D"/>
    <w:rsid w:val="0E975183"/>
    <w:rsid w:val="0E9953A0"/>
    <w:rsid w:val="0E9B4C74"/>
    <w:rsid w:val="0E9C279A"/>
    <w:rsid w:val="0E9E29B6"/>
    <w:rsid w:val="0E9E6512"/>
    <w:rsid w:val="0EA224A6"/>
    <w:rsid w:val="0EA55AF2"/>
    <w:rsid w:val="0EA7186A"/>
    <w:rsid w:val="0EA855E3"/>
    <w:rsid w:val="0EAA135B"/>
    <w:rsid w:val="0EAC50D3"/>
    <w:rsid w:val="0EB2020F"/>
    <w:rsid w:val="0EB45D35"/>
    <w:rsid w:val="0EB9334C"/>
    <w:rsid w:val="0EBA66B5"/>
    <w:rsid w:val="0EC266A4"/>
    <w:rsid w:val="0EC3241C"/>
    <w:rsid w:val="0EC341CA"/>
    <w:rsid w:val="0ECA37AB"/>
    <w:rsid w:val="0ECA7307"/>
    <w:rsid w:val="0ECE5049"/>
    <w:rsid w:val="0ED43D0B"/>
    <w:rsid w:val="0ED65CAC"/>
    <w:rsid w:val="0EDB32C2"/>
    <w:rsid w:val="0EDB7766"/>
    <w:rsid w:val="0EDD528C"/>
    <w:rsid w:val="0EE26D46"/>
    <w:rsid w:val="0EE30E43"/>
    <w:rsid w:val="0EE77EB9"/>
    <w:rsid w:val="0EE829F7"/>
    <w:rsid w:val="0EEA79A9"/>
    <w:rsid w:val="0EEE7499"/>
    <w:rsid w:val="0EF16F8A"/>
    <w:rsid w:val="0EF83E74"/>
    <w:rsid w:val="0EF97BEC"/>
    <w:rsid w:val="0EFE3455"/>
    <w:rsid w:val="0F040A6B"/>
    <w:rsid w:val="0F0C791F"/>
    <w:rsid w:val="0F0E3698"/>
    <w:rsid w:val="0F0F5662"/>
    <w:rsid w:val="0F1113DA"/>
    <w:rsid w:val="0F114F36"/>
    <w:rsid w:val="0F152C78"/>
    <w:rsid w:val="0F184516"/>
    <w:rsid w:val="0F1A028E"/>
    <w:rsid w:val="0F1B4006"/>
    <w:rsid w:val="0F1B5DB5"/>
    <w:rsid w:val="0F1D1B2D"/>
    <w:rsid w:val="0F1F58A5"/>
    <w:rsid w:val="0F220EF1"/>
    <w:rsid w:val="0F225395"/>
    <w:rsid w:val="0F234C69"/>
    <w:rsid w:val="0F264E85"/>
    <w:rsid w:val="0F274759"/>
    <w:rsid w:val="0F2A424A"/>
    <w:rsid w:val="0F2C1D70"/>
    <w:rsid w:val="0F2E5AE8"/>
    <w:rsid w:val="0F331350"/>
    <w:rsid w:val="0F3330FE"/>
    <w:rsid w:val="0F386966"/>
    <w:rsid w:val="0F3943A0"/>
    <w:rsid w:val="0F3A0931"/>
    <w:rsid w:val="0F3D21CF"/>
    <w:rsid w:val="0F3F1AA3"/>
    <w:rsid w:val="0F3F5F47"/>
    <w:rsid w:val="0F4446C6"/>
    <w:rsid w:val="0F4870A8"/>
    <w:rsid w:val="0F501F02"/>
    <w:rsid w:val="0F515C7A"/>
    <w:rsid w:val="0F5337A0"/>
    <w:rsid w:val="0F53554E"/>
    <w:rsid w:val="0F543075"/>
    <w:rsid w:val="0F566DED"/>
    <w:rsid w:val="0F5A4B2F"/>
    <w:rsid w:val="0F5D017B"/>
    <w:rsid w:val="0F625791"/>
    <w:rsid w:val="0F64150A"/>
    <w:rsid w:val="0F657030"/>
    <w:rsid w:val="0F6A2898"/>
    <w:rsid w:val="0F6D64A3"/>
    <w:rsid w:val="0F6E05DA"/>
    <w:rsid w:val="0F6E4136"/>
    <w:rsid w:val="0F713C26"/>
    <w:rsid w:val="0F7557BE"/>
    <w:rsid w:val="0F7A2ADB"/>
    <w:rsid w:val="0F7C2CF7"/>
    <w:rsid w:val="0F7E5CE7"/>
    <w:rsid w:val="0F7F6343"/>
    <w:rsid w:val="0F827BE2"/>
    <w:rsid w:val="0F8306C9"/>
    <w:rsid w:val="0F841BAC"/>
    <w:rsid w:val="0F8B2F3A"/>
    <w:rsid w:val="0F931DEF"/>
    <w:rsid w:val="0F933B9D"/>
    <w:rsid w:val="0F977B31"/>
    <w:rsid w:val="0F9A13CF"/>
    <w:rsid w:val="0F9C5147"/>
    <w:rsid w:val="0F9D2C6D"/>
    <w:rsid w:val="0F9D4A1B"/>
    <w:rsid w:val="0FA062BA"/>
    <w:rsid w:val="0FA1450C"/>
    <w:rsid w:val="0FA77648"/>
    <w:rsid w:val="0FA80F53"/>
    <w:rsid w:val="0FA83DE2"/>
    <w:rsid w:val="0FA933C0"/>
    <w:rsid w:val="0FB26719"/>
    <w:rsid w:val="0FC24482"/>
    <w:rsid w:val="0FC41FA8"/>
    <w:rsid w:val="0FC4644C"/>
    <w:rsid w:val="0FC5304C"/>
    <w:rsid w:val="0FC87CEA"/>
    <w:rsid w:val="0FD03043"/>
    <w:rsid w:val="0FD171A3"/>
    <w:rsid w:val="0FD3043D"/>
    <w:rsid w:val="0FD61CDB"/>
    <w:rsid w:val="0FD83CA6"/>
    <w:rsid w:val="0FDE750E"/>
    <w:rsid w:val="0FDF3286"/>
    <w:rsid w:val="0FE20680"/>
    <w:rsid w:val="0FE34B24"/>
    <w:rsid w:val="0FE73405"/>
    <w:rsid w:val="0FE73EE9"/>
    <w:rsid w:val="0FE91A0F"/>
    <w:rsid w:val="0FE97876"/>
    <w:rsid w:val="0FE97C61"/>
    <w:rsid w:val="0FEB39D9"/>
    <w:rsid w:val="0FEE5277"/>
    <w:rsid w:val="0FEF171B"/>
    <w:rsid w:val="0FF122B8"/>
    <w:rsid w:val="0FF54858"/>
    <w:rsid w:val="0FF56606"/>
    <w:rsid w:val="0FFC3E38"/>
    <w:rsid w:val="0FFE195E"/>
    <w:rsid w:val="0FFF7484"/>
    <w:rsid w:val="10014FAA"/>
    <w:rsid w:val="10021B5E"/>
    <w:rsid w:val="1004704F"/>
    <w:rsid w:val="10060813"/>
    <w:rsid w:val="100625C1"/>
    <w:rsid w:val="10090303"/>
    <w:rsid w:val="100B7BD7"/>
    <w:rsid w:val="100D394F"/>
    <w:rsid w:val="100F5919"/>
    <w:rsid w:val="10101691"/>
    <w:rsid w:val="10125409"/>
    <w:rsid w:val="101747CE"/>
    <w:rsid w:val="101C1DE4"/>
    <w:rsid w:val="1021389E"/>
    <w:rsid w:val="102173FB"/>
    <w:rsid w:val="10242327"/>
    <w:rsid w:val="1025513D"/>
    <w:rsid w:val="10282537"/>
    <w:rsid w:val="102B2027"/>
    <w:rsid w:val="10321608"/>
    <w:rsid w:val="103435D2"/>
    <w:rsid w:val="10345380"/>
    <w:rsid w:val="10352EA6"/>
    <w:rsid w:val="103B4960"/>
    <w:rsid w:val="103E71E0"/>
    <w:rsid w:val="103E7FAD"/>
    <w:rsid w:val="10437371"/>
    <w:rsid w:val="104B091B"/>
    <w:rsid w:val="104B17E4"/>
    <w:rsid w:val="104D4694"/>
    <w:rsid w:val="104F21BA"/>
    <w:rsid w:val="104F3F68"/>
    <w:rsid w:val="1053332C"/>
    <w:rsid w:val="1054157E"/>
    <w:rsid w:val="105552F6"/>
    <w:rsid w:val="10615A49"/>
    <w:rsid w:val="10635C65"/>
    <w:rsid w:val="1065378B"/>
    <w:rsid w:val="10667503"/>
    <w:rsid w:val="1068327B"/>
    <w:rsid w:val="10757746"/>
    <w:rsid w:val="10765998"/>
    <w:rsid w:val="10790FE5"/>
    <w:rsid w:val="107C6D27"/>
    <w:rsid w:val="1081433D"/>
    <w:rsid w:val="108300B5"/>
    <w:rsid w:val="10853E2D"/>
    <w:rsid w:val="108A1444"/>
    <w:rsid w:val="108A4FA0"/>
    <w:rsid w:val="108F25B6"/>
    <w:rsid w:val="10914580"/>
    <w:rsid w:val="10953945"/>
    <w:rsid w:val="109B71AD"/>
    <w:rsid w:val="109C2F25"/>
    <w:rsid w:val="109D794B"/>
    <w:rsid w:val="10A51DDA"/>
    <w:rsid w:val="10AB3168"/>
    <w:rsid w:val="10AB4BCF"/>
    <w:rsid w:val="10AF0EAA"/>
    <w:rsid w:val="10B06C1A"/>
    <w:rsid w:val="10B1077E"/>
    <w:rsid w:val="10B4201D"/>
    <w:rsid w:val="10B44742"/>
    <w:rsid w:val="10B464C1"/>
    <w:rsid w:val="10B77D5F"/>
    <w:rsid w:val="10B93AD7"/>
    <w:rsid w:val="10BA0B8E"/>
    <w:rsid w:val="10BA77FB"/>
    <w:rsid w:val="10C556C7"/>
    <w:rsid w:val="10C61D50"/>
    <w:rsid w:val="10C77FA2"/>
    <w:rsid w:val="10C81F6C"/>
    <w:rsid w:val="10CA5CE4"/>
    <w:rsid w:val="10CC6629"/>
    <w:rsid w:val="10CD1330"/>
    <w:rsid w:val="10CD7582"/>
    <w:rsid w:val="10D0497D"/>
    <w:rsid w:val="10D34B99"/>
    <w:rsid w:val="10D64689"/>
    <w:rsid w:val="10D75D0B"/>
    <w:rsid w:val="10D920F8"/>
    <w:rsid w:val="10DD5A17"/>
    <w:rsid w:val="10DE52EC"/>
    <w:rsid w:val="10E30B54"/>
    <w:rsid w:val="10E32902"/>
    <w:rsid w:val="10EA0134"/>
    <w:rsid w:val="10EA3C90"/>
    <w:rsid w:val="10EC5C5A"/>
    <w:rsid w:val="10EE19D3"/>
    <w:rsid w:val="10F1501F"/>
    <w:rsid w:val="10F468BD"/>
    <w:rsid w:val="10F7015B"/>
    <w:rsid w:val="10FB6ED7"/>
    <w:rsid w:val="10FD39C4"/>
    <w:rsid w:val="10FE14EA"/>
    <w:rsid w:val="1102547E"/>
    <w:rsid w:val="1102722C"/>
    <w:rsid w:val="11032FA4"/>
    <w:rsid w:val="110765F0"/>
    <w:rsid w:val="1108690A"/>
    <w:rsid w:val="1111746F"/>
    <w:rsid w:val="11124F95"/>
    <w:rsid w:val="11131439"/>
    <w:rsid w:val="11136BC9"/>
    <w:rsid w:val="11140D0D"/>
    <w:rsid w:val="11162CD7"/>
    <w:rsid w:val="11164A85"/>
    <w:rsid w:val="11166833"/>
    <w:rsid w:val="11177E66"/>
    <w:rsid w:val="11186A50"/>
    <w:rsid w:val="11194576"/>
    <w:rsid w:val="111B02EE"/>
    <w:rsid w:val="111C620F"/>
    <w:rsid w:val="111E1B8C"/>
    <w:rsid w:val="111F7DDE"/>
    <w:rsid w:val="112076B2"/>
    <w:rsid w:val="1122342A"/>
    <w:rsid w:val="112278CE"/>
    <w:rsid w:val="11270A41"/>
    <w:rsid w:val="11274A63"/>
    <w:rsid w:val="11274EE5"/>
    <w:rsid w:val="112847B9"/>
    <w:rsid w:val="112A22DF"/>
    <w:rsid w:val="112C42A9"/>
    <w:rsid w:val="112F3D99"/>
    <w:rsid w:val="11323006"/>
    <w:rsid w:val="11360C84"/>
    <w:rsid w:val="113969C6"/>
    <w:rsid w:val="113D5EFB"/>
    <w:rsid w:val="113D64B6"/>
    <w:rsid w:val="1142587A"/>
    <w:rsid w:val="114333A1"/>
    <w:rsid w:val="114535BD"/>
    <w:rsid w:val="114F7F97"/>
    <w:rsid w:val="11513D10"/>
    <w:rsid w:val="11531836"/>
    <w:rsid w:val="11544F10"/>
    <w:rsid w:val="11553800"/>
    <w:rsid w:val="1158509E"/>
    <w:rsid w:val="115B4B8E"/>
    <w:rsid w:val="115D26B4"/>
    <w:rsid w:val="115E0B93"/>
    <w:rsid w:val="11621A79"/>
    <w:rsid w:val="11627CCB"/>
    <w:rsid w:val="11673533"/>
    <w:rsid w:val="116A47D1"/>
    <w:rsid w:val="116E48C1"/>
    <w:rsid w:val="1178129C"/>
    <w:rsid w:val="117A3266"/>
    <w:rsid w:val="11823EC9"/>
    <w:rsid w:val="11845E93"/>
    <w:rsid w:val="11877731"/>
    <w:rsid w:val="1188055B"/>
    <w:rsid w:val="118E286E"/>
    <w:rsid w:val="118E6D12"/>
    <w:rsid w:val="118F44E5"/>
    <w:rsid w:val="119013C7"/>
    <w:rsid w:val="119360D6"/>
    <w:rsid w:val="11965BC6"/>
    <w:rsid w:val="11967974"/>
    <w:rsid w:val="119836EC"/>
    <w:rsid w:val="11987B90"/>
    <w:rsid w:val="11994D85"/>
    <w:rsid w:val="11A227BD"/>
    <w:rsid w:val="11A42091"/>
    <w:rsid w:val="11A46535"/>
    <w:rsid w:val="11A7392F"/>
    <w:rsid w:val="11A93B4C"/>
    <w:rsid w:val="11AC0F46"/>
    <w:rsid w:val="11AD363C"/>
    <w:rsid w:val="11BD13A5"/>
    <w:rsid w:val="11C646FD"/>
    <w:rsid w:val="11C73FD2"/>
    <w:rsid w:val="11C75D80"/>
    <w:rsid w:val="11C91AF8"/>
    <w:rsid w:val="11C92723"/>
    <w:rsid w:val="11D010D8"/>
    <w:rsid w:val="11D1131F"/>
    <w:rsid w:val="11D47339"/>
    <w:rsid w:val="11D72467"/>
    <w:rsid w:val="11DA3D05"/>
    <w:rsid w:val="11DC7A7D"/>
    <w:rsid w:val="11DF30C9"/>
    <w:rsid w:val="11DF756D"/>
    <w:rsid w:val="11E46932"/>
    <w:rsid w:val="11F1104F"/>
    <w:rsid w:val="11F34DC7"/>
    <w:rsid w:val="11FC2BE7"/>
    <w:rsid w:val="12045226"/>
    <w:rsid w:val="120668A8"/>
    <w:rsid w:val="12072620"/>
    <w:rsid w:val="12074A4D"/>
    <w:rsid w:val="1209283C"/>
    <w:rsid w:val="12096398"/>
    <w:rsid w:val="120D40DA"/>
    <w:rsid w:val="12130FC5"/>
    <w:rsid w:val="121420F8"/>
    <w:rsid w:val="12154D3D"/>
    <w:rsid w:val="12174F59"/>
    <w:rsid w:val="121A2353"/>
    <w:rsid w:val="121D1E44"/>
    <w:rsid w:val="121E62E8"/>
    <w:rsid w:val="122356AC"/>
    <w:rsid w:val="122469F0"/>
    <w:rsid w:val="1226519C"/>
    <w:rsid w:val="122945CF"/>
    <w:rsid w:val="122B27B2"/>
    <w:rsid w:val="122B630F"/>
    <w:rsid w:val="122F6C43"/>
    <w:rsid w:val="12301B77"/>
    <w:rsid w:val="12325681"/>
    <w:rsid w:val="12331667"/>
    <w:rsid w:val="12353631"/>
    <w:rsid w:val="12380A2C"/>
    <w:rsid w:val="12380D43"/>
    <w:rsid w:val="12394ECF"/>
    <w:rsid w:val="123A29F6"/>
    <w:rsid w:val="123C49C0"/>
    <w:rsid w:val="12413D84"/>
    <w:rsid w:val="12437AFC"/>
    <w:rsid w:val="124473D0"/>
    <w:rsid w:val="124A70DD"/>
    <w:rsid w:val="124D097B"/>
    <w:rsid w:val="124D44D7"/>
    <w:rsid w:val="124F777A"/>
    <w:rsid w:val="12505D75"/>
    <w:rsid w:val="125515DD"/>
    <w:rsid w:val="125910CE"/>
    <w:rsid w:val="125A6BF4"/>
    <w:rsid w:val="125C6E10"/>
    <w:rsid w:val="12647A72"/>
    <w:rsid w:val="12681311"/>
    <w:rsid w:val="126A32DB"/>
    <w:rsid w:val="126E269F"/>
    <w:rsid w:val="127203E1"/>
    <w:rsid w:val="127952CC"/>
    <w:rsid w:val="127C6B6A"/>
    <w:rsid w:val="12863E8D"/>
    <w:rsid w:val="12883761"/>
    <w:rsid w:val="128B3251"/>
    <w:rsid w:val="128B4FFF"/>
    <w:rsid w:val="1290609D"/>
    <w:rsid w:val="12922832"/>
    <w:rsid w:val="129465AA"/>
    <w:rsid w:val="129E2F84"/>
    <w:rsid w:val="129E4D32"/>
    <w:rsid w:val="12A165D1"/>
    <w:rsid w:val="12A367ED"/>
    <w:rsid w:val="12A83E03"/>
    <w:rsid w:val="12A85BB1"/>
    <w:rsid w:val="12AA36D7"/>
    <w:rsid w:val="12AB744F"/>
    <w:rsid w:val="12B02CB8"/>
    <w:rsid w:val="12B427A8"/>
    <w:rsid w:val="12B502CE"/>
    <w:rsid w:val="12B620EE"/>
    <w:rsid w:val="12B97DBE"/>
    <w:rsid w:val="12BB3B36"/>
    <w:rsid w:val="12BC165D"/>
    <w:rsid w:val="12BC340B"/>
    <w:rsid w:val="12BD67FA"/>
    <w:rsid w:val="12C16C73"/>
    <w:rsid w:val="12C81DAF"/>
    <w:rsid w:val="12CA3D79"/>
    <w:rsid w:val="12D15108"/>
    <w:rsid w:val="12D20E80"/>
    <w:rsid w:val="12D469A6"/>
    <w:rsid w:val="12D9220E"/>
    <w:rsid w:val="12DB709D"/>
    <w:rsid w:val="12DC585B"/>
    <w:rsid w:val="12DE15D3"/>
    <w:rsid w:val="12E11965"/>
    <w:rsid w:val="12E56E05"/>
    <w:rsid w:val="12E60488"/>
    <w:rsid w:val="12EC0194"/>
    <w:rsid w:val="12EF558E"/>
    <w:rsid w:val="12F17558"/>
    <w:rsid w:val="12F232D0"/>
    <w:rsid w:val="12F901BB"/>
    <w:rsid w:val="12FB03D7"/>
    <w:rsid w:val="13001549"/>
    <w:rsid w:val="13054DB2"/>
    <w:rsid w:val="130628D8"/>
    <w:rsid w:val="13066480"/>
    <w:rsid w:val="13070B2A"/>
    <w:rsid w:val="130848A2"/>
    <w:rsid w:val="131200EF"/>
    <w:rsid w:val="13144FF5"/>
    <w:rsid w:val="13196AAF"/>
    <w:rsid w:val="131D034D"/>
    <w:rsid w:val="13222DD7"/>
    <w:rsid w:val="13223BB5"/>
    <w:rsid w:val="13280AA0"/>
    <w:rsid w:val="13294F44"/>
    <w:rsid w:val="132C019B"/>
    <w:rsid w:val="1336140F"/>
    <w:rsid w:val="13363E1E"/>
    <w:rsid w:val="13367661"/>
    <w:rsid w:val="13370CE3"/>
    <w:rsid w:val="13390EFF"/>
    <w:rsid w:val="133E02C4"/>
    <w:rsid w:val="13421B62"/>
    <w:rsid w:val="13453400"/>
    <w:rsid w:val="134C29E0"/>
    <w:rsid w:val="134C478E"/>
    <w:rsid w:val="134D0507"/>
    <w:rsid w:val="13561AB1"/>
    <w:rsid w:val="135875D7"/>
    <w:rsid w:val="13596EAB"/>
    <w:rsid w:val="135D4BEE"/>
    <w:rsid w:val="13644227"/>
    <w:rsid w:val="13682FCA"/>
    <w:rsid w:val="136917E4"/>
    <w:rsid w:val="1369556C"/>
    <w:rsid w:val="136A2E67"/>
    <w:rsid w:val="13710699"/>
    <w:rsid w:val="137D0DEC"/>
    <w:rsid w:val="13854D45"/>
    <w:rsid w:val="138A3509"/>
    <w:rsid w:val="138A52B7"/>
    <w:rsid w:val="13951998"/>
    <w:rsid w:val="1399374C"/>
    <w:rsid w:val="139A199E"/>
    <w:rsid w:val="139A7BF0"/>
    <w:rsid w:val="139B5716"/>
    <w:rsid w:val="139D323C"/>
    <w:rsid w:val="139D431D"/>
    <w:rsid w:val="13A04ADA"/>
    <w:rsid w:val="13A26E3E"/>
    <w:rsid w:val="13A445CA"/>
    <w:rsid w:val="13A46379"/>
    <w:rsid w:val="13A46D46"/>
    <w:rsid w:val="13AE234B"/>
    <w:rsid w:val="13AE71F7"/>
    <w:rsid w:val="13B011C1"/>
    <w:rsid w:val="13B3480E"/>
    <w:rsid w:val="13BA2040"/>
    <w:rsid w:val="13BA5B9C"/>
    <w:rsid w:val="13BF1404"/>
    <w:rsid w:val="13BF31B2"/>
    <w:rsid w:val="13BF7656"/>
    <w:rsid w:val="13C0517C"/>
    <w:rsid w:val="13C133CE"/>
    <w:rsid w:val="13C702B9"/>
    <w:rsid w:val="13C95DDF"/>
    <w:rsid w:val="13CC3B21"/>
    <w:rsid w:val="13CC58CF"/>
    <w:rsid w:val="13CE33F5"/>
    <w:rsid w:val="13CF3EA2"/>
    <w:rsid w:val="13D12EE6"/>
    <w:rsid w:val="13D61F2A"/>
    <w:rsid w:val="13D824C6"/>
    <w:rsid w:val="13D84274"/>
    <w:rsid w:val="13E40E6B"/>
    <w:rsid w:val="13EC7D20"/>
    <w:rsid w:val="13F05A62"/>
    <w:rsid w:val="13F15336"/>
    <w:rsid w:val="13F310AE"/>
    <w:rsid w:val="13F35552"/>
    <w:rsid w:val="13F82B68"/>
    <w:rsid w:val="13FA068E"/>
    <w:rsid w:val="13FA41EA"/>
    <w:rsid w:val="13FF5CA5"/>
    <w:rsid w:val="14011A1D"/>
    <w:rsid w:val="140137CB"/>
    <w:rsid w:val="14027543"/>
    <w:rsid w:val="14055F2A"/>
    <w:rsid w:val="14072DAB"/>
    <w:rsid w:val="14074B59"/>
    <w:rsid w:val="140B464A"/>
    <w:rsid w:val="140C03C2"/>
    <w:rsid w:val="140E413A"/>
    <w:rsid w:val="14103A0E"/>
    <w:rsid w:val="14117786"/>
    <w:rsid w:val="141554C8"/>
    <w:rsid w:val="14157276"/>
    <w:rsid w:val="141A663B"/>
    <w:rsid w:val="142179C9"/>
    <w:rsid w:val="1424395D"/>
    <w:rsid w:val="142851FC"/>
    <w:rsid w:val="14290F74"/>
    <w:rsid w:val="14292D22"/>
    <w:rsid w:val="14294AD0"/>
    <w:rsid w:val="142E658A"/>
    <w:rsid w:val="143811B7"/>
    <w:rsid w:val="14394E19"/>
    <w:rsid w:val="143C677F"/>
    <w:rsid w:val="14414D4A"/>
    <w:rsid w:val="14423DE3"/>
    <w:rsid w:val="14465682"/>
    <w:rsid w:val="1448764C"/>
    <w:rsid w:val="14495172"/>
    <w:rsid w:val="144B2C98"/>
    <w:rsid w:val="144E09DA"/>
    <w:rsid w:val="144E0ECA"/>
    <w:rsid w:val="14504752"/>
    <w:rsid w:val="14506500"/>
    <w:rsid w:val="145204CA"/>
    <w:rsid w:val="14537D9F"/>
    <w:rsid w:val="14575AE1"/>
    <w:rsid w:val="1457788F"/>
    <w:rsid w:val="145A2EDB"/>
    <w:rsid w:val="145C6C53"/>
    <w:rsid w:val="145E56A4"/>
    <w:rsid w:val="1461070D"/>
    <w:rsid w:val="14627FE2"/>
    <w:rsid w:val="14647DD5"/>
    <w:rsid w:val="14651265"/>
    <w:rsid w:val="1468384A"/>
    <w:rsid w:val="146B158C"/>
    <w:rsid w:val="146E4BD8"/>
    <w:rsid w:val="14700951"/>
    <w:rsid w:val="147026FF"/>
    <w:rsid w:val="14773A8D"/>
    <w:rsid w:val="14777F31"/>
    <w:rsid w:val="147A532B"/>
    <w:rsid w:val="147C72F5"/>
    <w:rsid w:val="147E4E1C"/>
    <w:rsid w:val="14830684"/>
    <w:rsid w:val="14861F22"/>
    <w:rsid w:val="14922675"/>
    <w:rsid w:val="1494463F"/>
    <w:rsid w:val="1497412F"/>
    <w:rsid w:val="149F2FE4"/>
    <w:rsid w:val="14A10B0A"/>
    <w:rsid w:val="14A405FA"/>
    <w:rsid w:val="14A625C4"/>
    <w:rsid w:val="14AA20B4"/>
    <w:rsid w:val="14AB3737"/>
    <w:rsid w:val="14AD5701"/>
    <w:rsid w:val="14B545B5"/>
    <w:rsid w:val="14B7032D"/>
    <w:rsid w:val="14BA7E1E"/>
    <w:rsid w:val="14BC1DE8"/>
    <w:rsid w:val="14BC3B96"/>
    <w:rsid w:val="14BD497F"/>
    <w:rsid w:val="14C36CD2"/>
    <w:rsid w:val="14C64A14"/>
    <w:rsid w:val="14C8078D"/>
    <w:rsid w:val="14CB3DD9"/>
    <w:rsid w:val="14CB5B87"/>
    <w:rsid w:val="14D0319D"/>
    <w:rsid w:val="14D507B4"/>
    <w:rsid w:val="14D62EA9"/>
    <w:rsid w:val="14DC1B42"/>
    <w:rsid w:val="14DC5FE6"/>
    <w:rsid w:val="14E05AD6"/>
    <w:rsid w:val="14E31122"/>
    <w:rsid w:val="14E4797E"/>
    <w:rsid w:val="14E54E9B"/>
    <w:rsid w:val="14E8498B"/>
    <w:rsid w:val="14EF1875"/>
    <w:rsid w:val="14F25809"/>
    <w:rsid w:val="14F450DE"/>
    <w:rsid w:val="14F75FA0"/>
    <w:rsid w:val="14F926F4"/>
    <w:rsid w:val="14FE7D0A"/>
    <w:rsid w:val="15001CD4"/>
    <w:rsid w:val="15015A4D"/>
    <w:rsid w:val="15053175"/>
    <w:rsid w:val="15080B89"/>
    <w:rsid w:val="150A2B53"/>
    <w:rsid w:val="150A4901"/>
    <w:rsid w:val="150B6FE7"/>
    <w:rsid w:val="151237B6"/>
    <w:rsid w:val="151439D2"/>
    <w:rsid w:val="15190FE8"/>
    <w:rsid w:val="151915EB"/>
    <w:rsid w:val="15194B44"/>
    <w:rsid w:val="151A266A"/>
    <w:rsid w:val="151E65FF"/>
    <w:rsid w:val="15233C15"/>
    <w:rsid w:val="1525173B"/>
    <w:rsid w:val="152A4FA3"/>
    <w:rsid w:val="152A6D51"/>
    <w:rsid w:val="15334D63"/>
    <w:rsid w:val="1534197E"/>
    <w:rsid w:val="15347683"/>
    <w:rsid w:val="153876C0"/>
    <w:rsid w:val="15393438"/>
    <w:rsid w:val="153E45AB"/>
    <w:rsid w:val="154222ED"/>
    <w:rsid w:val="15436065"/>
    <w:rsid w:val="154A11A2"/>
    <w:rsid w:val="1557566D"/>
    <w:rsid w:val="15581B10"/>
    <w:rsid w:val="155B515D"/>
    <w:rsid w:val="156009C5"/>
    <w:rsid w:val="156A0E93"/>
    <w:rsid w:val="156A1844"/>
    <w:rsid w:val="156F6E5A"/>
    <w:rsid w:val="1574621E"/>
    <w:rsid w:val="15766853"/>
    <w:rsid w:val="15785D0F"/>
    <w:rsid w:val="15793835"/>
    <w:rsid w:val="157955E3"/>
    <w:rsid w:val="157B75AD"/>
    <w:rsid w:val="157C32A8"/>
    <w:rsid w:val="1582093B"/>
    <w:rsid w:val="15875F52"/>
    <w:rsid w:val="15883A78"/>
    <w:rsid w:val="158C3568"/>
    <w:rsid w:val="158F3058"/>
    <w:rsid w:val="158F4E06"/>
    <w:rsid w:val="15910B7E"/>
    <w:rsid w:val="15932B49"/>
    <w:rsid w:val="159771E1"/>
    <w:rsid w:val="15995C85"/>
    <w:rsid w:val="15997A33"/>
    <w:rsid w:val="159E329B"/>
    <w:rsid w:val="15A07014"/>
    <w:rsid w:val="15A46B04"/>
    <w:rsid w:val="15B30AF5"/>
    <w:rsid w:val="15B66837"/>
    <w:rsid w:val="15B8610B"/>
    <w:rsid w:val="15BA6327"/>
    <w:rsid w:val="15BD5E17"/>
    <w:rsid w:val="15BE749A"/>
    <w:rsid w:val="15C03212"/>
    <w:rsid w:val="15C2314D"/>
    <w:rsid w:val="15C35517"/>
    <w:rsid w:val="15C42D02"/>
    <w:rsid w:val="15C9656A"/>
    <w:rsid w:val="15CB6628"/>
    <w:rsid w:val="15CC605B"/>
    <w:rsid w:val="15CE3B81"/>
    <w:rsid w:val="15D60C87"/>
    <w:rsid w:val="15D66ED9"/>
    <w:rsid w:val="15DA2525"/>
    <w:rsid w:val="15DE2644"/>
    <w:rsid w:val="15E02379"/>
    <w:rsid w:val="15E2762C"/>
    <w:rsid w:val="15E55FD2"/>
    <w:rsid w:val="15EA028F"/>
    <w:rsid w:val="15EA64E1"/>
    <w:rsid w:val="15EF58A5"/>
    <w:rsid w:val="15F555B1"/>
    <w:rsid w:val="15FA2BC8"/>
    <w:rsid w:val="15FA4976"/>
    <w:rsid w:val="15FB06EE"/>
    <w:rsid w:val="15FC6940"/>
    <w:rsid w:val="160B0931"/>
    <w:rsid w:val="160B6B83"/>
    <w:rsid w:val="160F7CF5"/>
    <w:rsid w:val="16135A37"/>
    <w:rsid w:val="161A0B74"/>
    <w:rsid w:val="161A5018"/>
    <w:rsid w:val="161B48EC"/>
    <w:rsid w:val="161D0664"/>
    <w:rsid w:val="161E34FC"/>
    <w:rsid w:val="161F262E"/>
    <w:rsid w:val="16235803"/>
    <w:rsid w:val="162437A1"/>
    <w:rsid w:val="16297009"/>
    <w:rsid w:val="162C6AF9"/>
    <w:rsid w:val="162E0AC3"/>
    <w:rsid w:val="162E2871"/>
    <w:rsid w:val="16300397"/>
    <w:rsid w:val="1633712C"/>
    <w:rsid w:val="16351E52"/>
    <w:rsid w:val="163559AE"/>
    <w:rsid w:val="163634D4"/>
    <w:rsid w:val="163836F0"/>
    <w:rsid w:val="16387AF3"/>
    <w:rsid w:val="163A1216"/>
    <w:rsid w:val="163A2FC4"/>
    <w:rsid w:val="164107F7"/>
    <w:rsid w:val="16414353"/>
    <w:rsid w:val="16465E0D"/>
    <w:rsid w:val="16473933"/>
    <w:rsid w:val="164B3423"/>
    <w:rsid w:val="164B51D1"/>
    <w:rsid w:val="16557DFE"/>
    <w:rsid w:val="165C118C"/>
    <w:rsid w:val="165D6CB3"/>
    <w:rsid w:val="16610551"/>
    <w:rsid w:val="16612C47"/>
    <w:rsid w:val="16663DB9"/>
    <w:rsid w:val="166718DF"/>
    <w:rsid w:val="166E2C6E"/>
    <w:rsid w:val="1672275E"/>
    <w:rsid w:val="1675224E"/>
    <w:rsid w:val="16781D3E"/>
    <w:rsid w:val="16783AEC"/>
    <w:rsid w:val="167D7355"/>
    <w:rsid w:val="1683496B"/>
    <w:rsid w:val="168626AD"/>
    <w:rsid w:val="16875606"/>
    <w:rsid w:val="168D3A3C"/>
    <w:rsid w:val="16921052"/>
    <w:rsid w:val="16922E00"/>
    <w:rsid w:val="1699418F"/>
    <w:rsid w:val="169968A2"/>
    <w:rsid w:val="169A1CB5"/>
    <w:rsid w:val="16A3500D"/>
    <w:rsid w:val="16A57FA8"/>
    <w:rsid w:val="16AB5C70"/>
    <w:rsid w:val="16B014D8"/>
    <w:rsid w:val="16B26FFE"/>
    <w:rsid w:val="16B94831"/>
    <w:rsid w:val="16BC1C2B"/>
    <w:rsid w:val="16BF34C9"/>
    <w:rsid w:val="16C15493"/>
    <w:rsid w:val="16C3120C"/>
    <w:rsid w:val="16C44F84"/>
    <w:rsid w:val="16C531D6"/>
    <w:rsid w:val="16C62AAA"/>
    <w:rsid w:val="16CA07EC"/>
    <w:rsid w:val="16CA259A"/>
    <w:rsid w:val="16CF2191"/>
    <w:rsid w:val="16D927DD"/>
    <w:rsid w:val="16E276A1"/>
    <w:rsid w:val="16E42F30"/>
    <w:rsid w:val="16EB2510"/>
    <w:rsid w:val="16ED6288"/>
    <w:rsid w:val="16F2179B"/>
    <w:rsid w:val="16F2564D"/>
    <w:rsid w:val="16F30739"/>
    <w:rsid w:val="16F615E1"/>
    <w:rsid w:val="16F77107"/>
    <w:rsid w:val="17081314"/>
    <w:rsid w:val="170A6E3A"/>
    <w:rsid w:val="170B4961"/>
    <w:rsid w:val="170F0FFB"/>
    <w:rsid w:val="170F4451"/>
    <w:rsid w:val="171001C9"/>
    <w:rsid w:val="17141A67"/>
    <w:rsid w:val="17143815"/>
    <w:rsid w:val="1715758D"/>
    <w:rsid w:val="171952CF"/>
    <w:rsid w:val="171B4C60"/>
    <w:rsid w:val="17231B69"/>
    <w:rsid w:val="17233A58"/>
    <w:rsid w:val="17237EFC"/>
    <w:rsid w:val="1725287C"/>
    <w:rsid w:val="17253C74"/>
    <w:rsid w:val="1726179A"/>
    <w:rsid w:val="172779EC"/>
    <w:rsid w:val="172A128B"/>
    <w:rsid w:val="172B6DB1"/>
    <w:rsid w:val="17321EED"/>
    <w:rsid w:val="17342109"/>
    <w:rsid w:val="17367C2F"/>
    <w:rsid w:val="173750F5"/>
    <w:rsid w:val="173B5246"/>
    <w:rsid w:val="173B6FF4"/>
    <w:rsid w:val="17400AAE"/>
    <w:rsid w:val="1740285C"/>
    <w:rsid w:val="17424826"/>
    <w:rsid w:val="174560C4"/>
    <w:rsid w:val="1747089A"/>
    <w:rsid w:val="17471E3D"/>
    <w:rsid w:val="1748046E"/>
    <w:rsid w:val="17481711"/>
    <w:rsid w:val="174F0CF1"/>
    <w:rsid w:val="174F484D"/>
    <w:rsid w:val="1750389F"/>
    <w:rsid w:val="175C51BC"/>
    <w:rsid w:val="176127D3"/>
    <w:rsid w:val="1763654B"/>
    <w:rsid w:val="176C18A3"/>
    <w:rsid w:val="176F4EEF"/>
    <w:rsid w:val="177249E0"/>
    <w:rsid w:val="177644D0"/>
    <w:rsid w:val="1776627E"/>
    <w:rsid w:val="17780248"/>
    <w:rsid w:val="177B1AE6"/>
    <w:rsid w:val="177E5132"/>
    <w:rsid w:val="177E548D"/>
    <w:rsid w:val="178423A3"/>
    <w:rsid w:val="17885FB1"/>
    <w:rsid w:val="178A3A30"/>
    <w:rsid w:val="17944956"/>
    <w:rsid w:val="179901BE"/>
    <w:rsid w:val="17996410"/>
    <w:rsid w:val="179E3A27"/>
    <w:rsid w:val="17A0154D"/>
    <w:rsid w:val="17A70B2D"/>
    <w:rsid w:val="17A96653"/>
    <w:rsid w:val="17AA23CB"/>
    <w:rsid w:val="17AA4179"/>
    <w:rsid w:val="17AA5F28"/>
    <w:rsid w:val="17B172B6"/>
    <w:rsid w:val="17B31280"/>
    <w:rsid w:val="17B44FF8"/>
    <w:rsid w:val="17B5012D"/>
    <w:rsid w:val="17B9260F"/>
    <w:rsid w:val="17B943BD"/>
    <w:rsid w:val="17C3523B"/>
    <w:rsid w:val="17C74D2B"/>
    <w:rsid w:val="17CE60BA"/>
    <w:rsid w:val="17D411F6"/>
    <w:rsid w:val="17D86F39"/>
    <w:rsid w:val="17D905BB"/>
    <w:rsid w:val="17D9680D"/>
    <w:rsid w:val="17DA4A5F"/>
    <w:rsid w:val="17DD62FD"/>
    <w:rsid w:val="17E7717C"/>
    <w:rsid w:val="17EC02EE"/>
    <w:rsid w:val="17F83137"/>
    <w:rsid w:val="17FA6EAF"/>
    <w:rsid w:val="18016469"/>
    <w:rsid w:val="18041ADC"/>
    <w:rsid w:val="18095344"/>
    <w:rsid w:val="180A4C18"/>
    <w:rsid w:val="180C0990"/>
    <w:rsid w:val="180E4708"/>
    <w:rsid w:val="181066D2"/>
    <w:rsid w:val="18147845"/>
    <w:rsid w:val="181B0BD3"/>
    <w:rsid w:val="181D5976"/>
    <w:rsid w:val="181E2472"/>
    <w:rsid w:val="18215D1E"/>
    <w:rsid w:val="1824217E"/>
    <w:rsid w:val="18266FBF"/>
    <w:rsid w:val="18267CA4"/>
    <w:rsid w:val="182E0907"/>
    <w:rsid w:val="18300B23"/>
    <w:rsid w:val="183121A5"/>
    <w:rsid w:val="18390C2F"/>
    <w:rsid w:val="1839219B"/>
    <w:rsid w:val="183A72AB"/>
    <w:rsid w:val="183D4FEE"/>
    <w:rsid w:val="18425057"/>
    <w:rsid w:val="184762F8"/>
    <w:rsid w:val="184839F8"/>
    <w:rsid w:val="184C3483"/>
    <w:rsid w:val="184E2D57"/>
    <w:rsid w:val="18506ACF"/>
    <w:rsid w:val="185540E5"/>
    <w:rsid w:val="18591E4E"/>
    <w:rsid w:val="185D11EC"/>
    <w:rsid w:val="185F4F64"/>
    <w:rsid w:val="18602A8A"/>
    <w:rsid w:val="18616F2E"/>
    <w:rsid w:val="1869193F"/>
    <w:rsid w:val="18754787"/>
    <w:rsid w:val="18756535"/>
    <w:rsid w:val="18786866"/>
    <w:rsid w:val="1881137E"/>
    <w:rsid w:val="18860743"/>
    <w:rsid w:val="188744BB"/>
    <w:rsid w:val="18876269"/>
    <w:rsid w:val="1888270D"/>
    <w:rsid w:val="18890233"/>
    <w:rsid w:val="18891FE1"/>
    <w:rsid w:val="18893D8F"/>
    <w:rsid w:val="1890511D"/>
    <w:rsid w:val="18956BD8"/>
    <w:rsid w:val="189643C9"/>
    <w:rsid w:val="18972950"/>
    <w:rsid w:val="189746FE"/>
    <w:rsid w:val="18982224"/>
    <w:rsid w:val="189866C8"/>
    <w:rsid w:val="189A2440"/>
    <w:rsid w:val="189B3AC2"/>
    <w:rsid w:val="18A230A3"/>
    <w:rsid w:val="18A24E51"/>
    <w:rsid w:val="18A84B5D"/>
    <w:rsid w:val="18AD3F21"/>
    <w:rsid w:val="18B31317"/>
    <w:rsid w:val="18B3705E"/>
    <w:rsid w:val="18B54B84"/>
    <w:rsid w:val="18B84674"/>
    <w:rsid w:val="18BA4890"/>
    <w:rsid w:val="18BC23B6"/>
    <w:rsid w:val="18BD1C8B"/>
    <w:rsid w:val="18BD66DB"/>
    <w:rsid w:val="18D47700"/>
    <w:rsid w:val="18D524FF"/>
    <w:rsid w:val="18DA283C"/>
    <w:rsid w:val="18DC65B5"/>
    <w:rsid w:val="18DF42F7"/>
    <w:rsid w:val="18E11E1D"/>
    <w:rsid w:val="18E15979"/>
    <w:rsid w:val="18E436BB"/>
    <w:rsid w:val="18E45469"/>
    <w:rsid w:val="18E611E1"/>
    <w:rsid w:val="18EB4A4A"/>
    <w:rsid w:val="18ED6A14"/>
    <w:rsid w:val="18EE62E8"/>
    <w:rsid w:val="18F002B2"/>
    <w:rsid w:val="18F112B9"/>
    <w:rsid w:val="18F41B50"/>
    <w:rsid w:val="18F6176D"/>
    <w:rsid w:val="18F64932"/>
    <w:rsid w:val="18FF04F5"/>
    <w:rsid w:val="1908435F"/>
    <w:rsid w:val="190A3122"/>
    <w:rsid w:val="190F4842"/>
    <w:rsid w:val="19102702"/>
    <w:rsid w:val="191221E7"/>
    <w:rsid w:val="1912647A"/>
    <w:rsid w:val="19151AC7"/>
    <w:rsid w:val="191E4E1F"/>
    <w:rsid w:val="19202945"/>
    <w:rsid w:val="192A5572"/>
    <w:rsid w:val="192B3098"/>
    <w:rsid w:val="193261D5"/>
    <w:rsid w:val="19355CC5"/>
    <w:rsid w:val="19371A3D"/>
    <w:rsid w:val="193957B5"/>
    <w:rsid w:val="193A152D"/>
    <w:rsid w:val="193E0D50"/>
    <w:rsid w:val="19467ED2"/>
    <w:rsid w:val="194F322A"/>
    <w:rsid w:val="194F6D87"/>
    <w:rsid w:val="19510D51"/>
    <w:rsid w:val="19526877"/>
    <w:rsid w:val="195720DF"/>
    <w:rsid w:val="19573E8D"/>
    <w:rsid w:val="19595E57"/>
    <w:rsid w:val="195A572B"/>
    <w:rsid w:val="195E16BF"/>
    <w:rsid w:val="196D1903"/>
    <w:rsid w:val="196D36B1"/>
    <w:rsid w:val="19706CFD"/>
    <w:rsid w:val="197113F3"/>
    <w:rsid w:val="19712A08"/>
    <w:rsid w:val="19744A3F"/>
    <w:rsid w:val="19762565"/>
    <w:rsid w:val="197762DD"/>
    <w:rsid w:val="197C38F4"/>
    <w:rsid w:val="197D7D98"/>
    <w:rsid w:val="19866520"/>
    <w:rsid w:val="1988673C"/>
    <w:rsid w:val="198A4263"/>
    <w:rsid w:val="198C1D89"/>
    <w:rsid w:val="198D4848"/>
    <w:rsid w:val="19904D0E"/>
    <w:rsid w:val="1991739F"/>
    <w:rsid w:val="19940C3D"/>
    <w:rsid w:val="19946E8F"/>
    <w:rsid w:val="19955EE9"/>
    <w:rsid w:val="19960E59"/>
    <w:rsid w:val="199649B5"/>
    <w:rsid w:val="1997072D"/>
    <w:rsid w:val="1998697F"/>
    <w:rsid w:val="199A59BC"/>
    <w:rsid w:val="199C02DC"/>
    <w:rsid w:val="19A1335A"/>
    <w:rsid w:val="19A370D2"/>
    <w:rsid w:val="19AE61A3"/>
    <w:rsid w:val="19AF5A77"/>
    <w:rsid w:val="19B117EF"/>
    <w:rsid w:val="19B25567"/>
    <w:rsid w:val="19B27315"/>
    <w:rsid w:val="19B337B9"/>
    <w:rsid w:val="19B60BB4"/>
    <w:rsid w:val="19B66E06"/>
    <w:rsid w:val="19B906A4"/>
    <w:rsid w:val="19BD63E6"/>
    <w:rsid w:val="19C257AA"/>
    <w:rsid w:val="19C5529B"/>
    <w:rsid w:val="19C77265"/>
    <w:rsid w:val="19C808E7"/>
    <w:rsid w:val="19CC03D7"/>
    <w:rsid w:val="19CC487B"/>
    <w:rsid w:val="19CF2F48"/>
    <w:rsid w:val="19D11E91"/>
    <w:rsid w:val="19D159ED"/>
    <w:rsid w:val="19D454DE"/>
    <w:rsid w:val="19D8595E"/>
    <w:rsid w:val="19DA75C9"/>
    <w:rsid w:val="19DD0836"/>
    <w:rsid w:val="19DD25E4"/>
    <w:rsid w:val="19E219A9"/>
    <w:rsid w:val="19E33973"/>
    <w:rsid w:val="19E716B5"/>
    <w:rsid w:val="19E971DB"/>
    <w:rsid w:val="19ED659F"/>
    <w:rsid w:val="19F16090"/>
    <w:rsid w:val="19F17E3E"/>
    <w:rsid w:val="19F31E08"/>
    <w:rsid w:val="19F42210"/>
    <w:rsid w:val="19F811CC"/>
    <w:rsid w:val="19FD4A34"/>
    <w:rsid w:val="19FE07AD"/>
    <w:rsid w:val="1A004525"/>
    <w:rsid w:val="1A023114"/>
    <w:rsid w:val="1A044015"/>
    <w:rsid w:val="1A077661"/>
    <w:rsid w:val="1A0A7151"/>
    <w:rsid w:val="1A0D279E"/>
    <w:rsid w:val="1A0F4768"/>
    <w:rsid w:val="1A11228E"/>
    <w:rsid w:val="1A1A3838"/>
    <w:rsid w:val="1A1A55E6"/>
    <w:rsid w:val="1A1D0C33"/>
    <w:rsid w:val="1A1D6E85"/>
    <w:rsid w:val="1A246465"/>
    <w:rsid w:val="1A27385F"/>
    <w:rsid w:val="1A295829"/>
    <w:rsid w:val="1A310B82"/>
    <w:rsid w:val="1A3348FA"/>
    <w:rsid w:val="1A367F46"/>
    <w:rsid w:val="1A393593"/>
    <w:rsid w:val="1A3B730B"/>
    <w:rsid w:val="1A3D1F3A"/>
    <w:rsid w:val="1A3E4B0B"/>
    <w:rsid w:val="1A472154"/>
    <w:rsid w:val="1A47372A"/>
    <w:rsid w:val="1A4B1C44"/>
    <w:rsid w:val="1A4C1518"/>
    <w:rsid w:val="1A4F2DB6"/>
    <w:rsid w:val="1A512F81"/>
    <w:rsid w:val="1A5328A6"/>
    <w:rsid w:val="1A567B0D"/>
    <w:rsid w:val="1A642D06"/>
    <w:rsid w:val="1A66082C"/>
    <w:rsid w:val="1A6745A4"/>
    <w:rsid w:val="1A676352"/>
    <w:rsid w:val="1A6E148E"/>
    <w:rsid w:val="1A710F7F"/>
    <w:rsid w:val="1A725422"/>
    <w:rsid w:val="1A750A6F"/>
    <w:rsid w:val="1A766595"/>
    <w:rsid w:val="1A7B3BAB"/>
    <w:rsid w:val="1A7C5F3D"/>
    <w:rsid w:val="1A7F18ED"/>
    <w:rsid w:val="1A846F04"/>
    <w:rsid w:val="1A8B64E4"/>
    <w:rsid w:val="1A8C7D14"/>
    <w:rsid w:val="1A8E38DF"/>
    <w:rsid w:val="1A8F0685"/>
    <w:rsid w:val="1A903AFB"/>
    <w:rsid w:val="1A907657"/>
    <w:rsid w:val="1A9133CF"/>
    <w:rsid w:val="1A974E89"/>
    <w:rsid w:val="1A98650B"/>
    <w:rsid w:val="1A9A2283"/>
    <w:rsid w:val="1A9A6727"/>
    <w:rsid w:val="1A9C424D"/>
    <w:rsid w:val="1A9D31D2"/>
    <w:rsid w:val="1AA11864"/>
    <w:rsid w:val="1AA21DE1"/>
    <w:rsid w:val="1AA41354"/>
    <w:rsid w:val="1AA43102"/>
    <w:rsid w:val="1AA50C28"/>
    <w:rsid w:val="1AAB26E2"/>
    <w:rsid w:val="1AAE3F81"/>
    <w:rsid w:val="1AB53561"/>
    <w:rsid w:val="1AB570BD"/>
    <w:rsid w:val="1AB64BE3"/>
    <w:rsid w:val="1ABD4C01"/>
    <w:rsid w:val="1ABF1CEA"/>
    <w:rsid w:val="1AC27A2C"/>
    <w:rsid w:val="1AC54A61"/>
    <w:rsid w:val="1AC63078"/>
    <w:rsid w:val="1AC90DBB"/>
    <w:rsid w:val="1AC94917"/>
    <w:rsid w:val="1ACB41A7"/>
    <w:rsid w:val="1ACD4D47"/>
    <w:rsid w:val="1AD27C6F"/>
    <w:rsid w:val="1ADA4D76"/>
    <w:rsid w:val="1ADE4866"/>
    <w:rsid w:val="1ADF238C"/>
    <w:rsid w:val="1AE41750"/>
    <w:rsid w:val="1AE45BF4"/>
    <w:rsid w:val="1AE654C9"/>
    <w:rsid w:val="1AE856E5"/>
    <w:rsid w:val="1AE87493"/>
    <w:rsid w:val="1AE9320B"/>
    <w:rsid w:val="1AEC6857"/>
    <w:rsid w:val="1AEE7C42"/>
    <w:rsid w:val="1AF5395E"/>
    <w:rsid w:val="1AF57E02"/>
    <w:rsid w:val="1AF75928"/>
    <w:rsid w:val="1AF80A52"/>
    <w:rsid w:val="1AF916A0"/>
    <w:rsid w:val="1AFA71C6"/>
    <w:rsid w:val="1AFC1190"/>
    <w:rsid w:val="1AFC2F3E"/>
    <w:rsid w:val="1AFD1CF3"/>
    <w:rsid w:val="1AFF47DC"/>
    <w:rsid w:val="1AFF658A"/>
    <w:rsid w:val="1B012302"/>
    <w:rsid w:val="1B035FF0"/>
    <w:rsid w:val="1B102545"/>
    <w:rsid w:val="1B133F19"/>
    <w:rsid w:val="1B18764C"/>
    <w:rsid w:val="1B1E2EB4"/>
    <w:rsid w:val="1B252495"/>
    <w:rsid w:val="1B291859"/>
    <w:rsid w:val="1B2C6201"/>
    <w:rsid w:val="1B300E3A"/>
    <w:rsid w:val="1B310BE3"/>
    <w:rsid w:val="1B34092A"/>
    <w:rsid w:val="1B375D24"/>
    <w:rsid w:val="1B391A9C"/>
    <w:rsid w:val="1B3C5CF6"/>
    <w:rsid w:val="1B3E3557"/>
    <w:rsid w:val="1B481CDF"/>
    <w:rsid w:val="1B4B7A22"/>
    <w:rsid w:val="1B505038"/>
    <w:rsid w:val="1B520DB0"/>
    <w:rsid w:val="1B5508A0"/>
    <w:rsid w:val="1B55264E"/>
    <w:rsid w:val="1B5C3B9F"/>
    <w:rsid w:val="1B612DA1"/>
    <w:rsid w:val="1B617245"/>
    <w:rsid w:val="1B617893"/>
    <w:rsid w:val="1B6603B7"/>
    <w:rsid w:val="1B66485B"/>
    <w:rsid w:val="1B6F3710"/>
    <w:rsid w:val="1B707488"/>
    <w:rsid w:val="1B721452"/>
    <w:rsid w:val="1B740D26"/>
    <w:rsid w:val="1B754A9E"/>
    <w:rsid w:val="1B7E1BA5"/>
    <w:rsid w:val="1B7E3953"/>
    <w:rsid w:val="1B811695"/>
    <w:rsid w:val="1B860A5A"/>
    <w:rsid w:val="1B862808"/>
    <w:rsid w:val="1B8B42C2"/>
    <w:rsid w:val="1B8C2514"/>
    <w:rsid w:val="1B8E559D"/>
    <w:rsid w:val="1B917B2A"/>
    <w:rsid w:val="1B9273FE"/>
    <w:rsid w:val="1B966EEF"/>
    <w:rsid w:val="1B9C202B"/>
    <w:rsid w:val="1B9F38C9"/>
    <w:rsid w:val="1BA17641"/>
    <w:rsid w:val="1BA333BA"/>
    <w:rsid w:val="1BA3785E"/>
    <w:rsid w:val="1BA45643"/>
    <w:rsid w:val="1BA710FC"/>
    <w:rsid w:val="1BAB04C0"/>
    <w:rsid w:val="1BAD4238"/>
    <w:rsid w:val="1BAF7FB0"/>
    <w:rsid w:val="1BB13D28"/>
    <w:rsid w:val="1BB47375"/>
    <w:rsid w:val="1BB750B7"/>
    <w:rsid w:val="1BBD6EDA"/>
    <w:rsid w:val="1BC25F36"/>
    <w:rsid w:val="1BC872C4"/>
    <w:rsid w:val="1BCC0B62"/>
    <w:rsid w:val="1BCF0653"/>
    <w:rsid w:val="1BD16179"/>
    <w:rsid w:val="1BD23C9F"/>
    <w:rsid w:val="1BDB3B61"/>
    <w:rsid w:val="1BDC68CC"/>
    <w:rsid w:val="1BDD4B1E"/>
    <w:rsid w:val="1BE26B33"/>
    <w:rsid w:val="1BE340FE"/>
    <w:rsid w:val="1BEA548C"/>
    <w:rsid w:val="1BEC5D25"/>
    <w:rsid w:val="1BEC6B0F"/>
    <w:rsid w:val="1BED0AD9"/>
    <w:rsid w:val="1BEF2AA3"/>
    <w:rsid w:val="1BEF65FF"/>
    <w:rsid w:val="1BF41E67"/>
    <w:rsid w:val="1BF956CF"/>
    <w:rsid w:val="1BFE6842"/>
    <w:rsid w:val="1C006A5E"/>
    <w:rsid w:val="1C0A3439"/>
    <w:rsid w:val="1C0A51E7"/>
    <w:rsid w:val="1C0C5403"/>
    <w:rsid w:val="1C0D4CD7"/>
    <w:rsid w:val="1C0E117B"/>
    <w:rsid w:val="1C1222ED"/>
    <w:rsid w:val="1C146065"/>
    <w:rsid w:val="1C16002F"/>
    <w:rsid w:val="1C161DDD"/>
    <w:rsid w:val="1C19367C"/>
    <w:rsid w:val="1C2A5889"/>
    <w:rsid w:val="1C2D1D0B"/>
    <w:rsid w:val="1C35495A"/>
    <w:rsid w:val="1C362480"/>
    <w:rsid w:val="1C3644FE"/>
    <w:rsid w:val="1C387FA6"/>
    <w:rsid w:val="1C3B7A96"/>
    <w:rsid w:val="1C454471"/>
    <w:rsid w:val="1C47468D"/>
    <w:rsid w:val="1C475483"/>
    <w:rsid w:val="1C4E1577"/>
    <w:rsid w:val="1C4E2785"/>
    <w:rsid w:val="1C4F709D"/>
    <w:rsid w:val="1C536B8E"/>
    <w:rsid w:val="1C542906"/>
    <w:rsid w:val="1C5B5A42"/>
    <w:rsid w:val="1C6074FD"/>
    <w:rsid w:val="1C662D65"/>
    <w:rsid w:val="1C725B0E"/>
    <w:rsid w:val="1C737230"/>
    <w:rsid w:val="1C746B04"/>
    <w:rsid w:val="1C760ACE"/>
    <w:rsid w:val="1C790312"/>
    <w:rsid w:val="1C7A05BE"/>
    <w:rsid w:val="1C7B7E93"/>
    <w:rsid w:val="1C7D1E5D"/>
    <w:rsid w:val="1C7F4184"/>
    <w:rsid w:val="1C8431EB"/>
    <w:rsid w:val="1C856F63"/>
    <w:rsid w:val="1C872CDB"/>
    <w:rsid w:val="1C883DA6"/>
    <w:rsid w:val="1C8925AF"/>
    <w:rsid w:val="1C896A53"/>
    <w:rsid w:val="1C897E07"/>
    <w:rsid w:val="1C8E406A"/>
    <w:rsid w:val="1C8E5E18"/>
    <w:rsid w:val="1C99656B"/>
    <w:rsid w:val="1C9F1DD3"/>
    <w:rsid w:val="1C9F6277"/>
    <w:rsid w:val="1CA078F9"/>
    <w:rsid w:val="1CA473E9"/>
    <w:rsid w:val="1CA53161"/>
    <w:rsid w:val="1CA7512B"/>
    <w:rsid w:val="1CAC44F0"/>
    <w:rsid w:val="1CAE2016"/>
    <w:rsid w:val="1CB03FE0"/>
    <w:rsid w:val="1CB05D8E"/>
    <w:rsid w:val="1CB55994"/>
    <w:rsid w:val="1CB6711D"/>
    <w:rsid w:val="1CB810E7"/>
    <w:rsid w:val="1CBC0BD7"/>
    <w:rsid w:val="1CBD04AB"/>
    <w:rsid w:val="1CC01D49"/>
    <w:rsid w:val="1CC161ED"/>
    <w:rsid w:val="1CC41839"/>
    <w:rsid w:val="1CC57360"/>
    <w:rsid w:val="1CC730D8"/>
    <w:rsid w:val="1CC950A2"/>
    <w:rsid w:val="1CCC104A"/>
    <w:rsid w:val="1CDD6D9F"/>
    <w:rsid w:val="1CDF0421"/>
    <w:rsid w:val="1CDF602F"/>
    <w:rsid w:val="1CE343B6"/>
    <w:rsid w:val="1CE601E0"/>
    <w:rsid w:val="1CE912A0"/>
    <w:rsid w:val="1CE974F2"/>
    <w:rsid w:val="1CEC2B3E"/>
    <w:rsid w:val="1CF00444"/>
    <w:rsid w:val="1CFA4A48"/>
    <w:rsid w:val="1CFD4D4B"/>
    <w:rsid w:val="1CFF6D16"/>
    <w:rsid w:val="1D012A8E"/>
    <w:rsid w:val="1D036806"/>
    <w:rsid w:val="1D04257E"/>
    <w:rsid w:val="1D06266A"/>
    <w:rsid w:val="1D063DAB"/>
    <w:rsid w:val="1D076619"/>
    <w:rsid w:val="1D0B1216"/>
    <w:rsid w:val="1D0E6F59"/>
    <w:rsid w:val="1D100F23"/>
    <w:rsid w:val="1D134F1F"/>
    <w:rsid w:val="1D1C32D5"/>
    <w:rsid w:val="1D1F2F14"/>
    <w:rsid w:val="1D1F4CC2"/>
    <w:rsid w:val="1D2A05D5"/>
    <w:rsid w:val="1D2B18B9"/>
    <w:rsid w:val="1D2D5631"/>
    <w:rsid w:val="1D2E3157"/>
    <w:rsid w:val="1D3764AF"/>
    <w:rsid w:val="1D385D84"/>
    <w:rsid w:val="1D3A5FA0"/>
    <w:rsid w:val="1D3C5874"/>
    <w:rsid w:val="1D3D339A"/>
    <w:rsid w:val="1D4110DC"/>
    <w:rsid w:val="1D4209B0"/>
    <w:rsid w:val="1D444728"/>
    <w:rsid w:val="1D4478A7"/>
    <w:rsid w:val="1D46123E"/>
    <w:rsid w:val="1D48246B"/>
    <w:rsid w:val="1D484219"/>
    <w:rsid w:val="1D497F91"/>
    <w:rsid w:val="1D4A26DF"/>
    <w:rsid w:val="1D4D182F"/>
    <w:rsid w:val="1D4E37F9"/>
    <w:rsid w:val="1D507571"/>
    <w:rsid w:val="1D5232E9"/>
    <w:rsid w:val="1D552DD9"/>
    <w:rsid w:val="1D556936"/>
    <w:rsid w:val="1D570900"/>
    <w:rsid w:val="1D5801D4"/>
    <w:rsid w:val="1D594678"/>
    <w:rsid w:val="1D5A219E"/>
    <w:rsid w:val="1D614705"/>
    <w:rsid w:val="1D6923E1"/>
    <w:rsid w:val="1D6D0123"/>
    <w:rsid w:val="1D6D1ED1"/>
    <w:rsid w:val="1D6D3C7F"/>
    <w:rsid w:val="1D7019C1"/>
    <w:rsid w:val="1D70551D"/>
    <w:rsid w:val="1D725739"/>
    <w:rsid w:val="1D7274E7"/>
    <w:rsid w:val="1D7414B2"/>
    <w:rsid w:val="1D7F39B2"/>
    <w:rsid w:val="1D7F67FE"/>
    <w:rsid w:val="1D864D41"/>
    <w:rsid w:val="1D880AB9"/>
    <w:rsid w:val="1D8A2A83"/>
    <w:rsid w:val="1D8D4321"/>
    <w:rsid w:val="1D8F0099"/>
    <w:rsid w:val="1D905BC0"/>
    <w:rsid w:val="1D92201C"/>
    <w:rsid w:val="1D9236E6"/>
    <w:rsid w:val="1D947594"/>
    <w:rsid w:val="1D975F15"/>
    <w:rsid w:val="1D992CC6"/>
    <w:rsid w:val="1D9A07EC"/>
    <w:rsid w:val="1D9B4C90"/>
    <w:rsid w:val="1D9B6A3E"/>
    <w:rsid w:val="1D9E652E"/>
    <w:rsid w:val="1DAD0520"/>
    <w:rsid w:val="1DAD49C3"/>
    <w:rsid w:val="1DAF24EA"/>
    <w:rsid w:val="1DAF4298"/>
    <w:rsid w:val="1DB01DBE"/>
    <w:rsid w:val="1DB47B00"/>
    <w:rsid w:val="1DB573D4"/>
    <w:rsid w:val="1DB7139E"/>
    <w:rsid w:val="1DB93368"/>
    <w:rsid w:val="1DBA12AF"/>
    <w:rsid w:val="1DC00253"/>
    <w:rsid w:val="1DC31AF1"/>
    <w:rsid w:val="1DC85359"/>
    <w:rsid w:val="1DCA7323"/>
    <w:rsid w:val="1DCB2234"/>
    <w:rsid w:val="1DCC309C"/>
    <w:rsid w:val="1DD0420E"/>
    <w:rsid w:val="1DD106B2"/>
    <w:rsid w:val="1DD2442A"/>
    <w:rsid w:val="1DD71A40"/>
    <w:rsid w:val="1DD94363"/>
    <w:rsid w:val="1DDA6E3B"/>
    <w:rsid w:val="1DE2466D"/>
    <w:rsid w:val="1DE81558"/>
    <w:rsid w:val="1DEF6D8A"/>
    <w:rsid w:val="1DF3687A"/>
    <w:rsid w:val="1DF47EFC"/>
    <w:rsid w:val="1DF93765"/>
    <w:rsid w:val="1E05210A"/>
    <w:rsid w:val="1E075E82"/>
    <w:rsid w:val="1E0F2F88"/>
    <w:rsid w:val="1E124827"/>
    <w:rsid w:val="1E18008F"/>
    <w:rsid w:val="1E200CF1"/>
    <w:rsid w:val="1E2307E2"/>
    <w:rsid w:val="1E2702D2"/>
    <w:rsid w:val="1E285DF8"/>
    <w:rsid w:val="1E29229C"/>
    <w:rsid w:val="1E2C3B3A"/>
    <w:rsid w:val="1E2C7696"/>
    <w:rsid w:val="1E2E78B2"/>
    <w:rsid w:val="1E2F362A"/>
    <w:rsid w:val="1E2F7187"/>
    <w:rsid w:val="1E3D18A3"/>
    <w:rsid w:val="1E3D5D47"/>
    <w:rsid w:val="1E4075E6"/>
    <w:rsid w:val="1E42510C"/>
    <w:rsid w:val="1E4A0464"/>
    <w:rsid w:val="1E4C5F8A"/>
    <w:rsid w:val="1E51534F"/>
    <w:rsid w:val="1E546BED"/>
    <w:rsid w:val="1E562965"/>
    <w:rsid w:val="1E5E7A6C"/>
    <w:rsid w:val="1E6037E4"/>
    <w:rsid w:val="1E635082"/>
    <w:rsid w:val="1E636E30"/>
    <w:rsid w:val="1E6432D4"/>
    <w:rsid w:val="1E645700"/>
    <w:rsid w:val="1E650DFA"/>
    <w:rsid w:val="1E676920"/>
    <w:rsid w:val="1E68467F"/>
    <w:rsid w:val="1E6C3F37"/>
    <w:rsid w:val="1E71779F"/>
    <w:rsid w:val="1E7B061E"/>
    <w:rsid w:val="1E7E3C6A"/>
    <w:rsid w:val="1E805C34"/>
    <w:rsid w:val="1E810F3A"/>
    <w:rsid w:val="1E827BFE"/>
    <w:rsid w:val="1E894AE9"/>
    <w:rsid w:val="1E8A6AB3"/>
    <w:rsid w:val="1E8C282B"/>
    <w:rsid w:val="1E8C6387"/>
    <w:rsid w:val="1E8F40C9"/>
    <w:rsid w:val="1E901E8C"/>
    <w:rsid w:val="1E937715"/>
    <w:rsid w:val="1E9811D0"/>
    <w:rsid w:val="1E9D2342"/>
    <w:rsid w:val="1E9D67E6"/>
    <w:rsid w:val="1E9F18F2"/>
    <w:rsid w:val="1EA2204E"/>
    <w:rsid w:val="1EAF2075"/>
    <w:rsid w:val="1EB61656"/>
    <w:rsid w:val="1EB63404"/>
    <w:rsid w:val="1EB8717C"/>
    <w:rsid w:val="1EBA479D"/>
    <w:rsid w:val="1EC4217D"/>
    <w:rsid w:val="1EC43D73"/>
    <w:rsid w:val="1ECA6EAF"/>
    <w:rsid w:val="1ECC0E79"/>
    <w:rsid w:val="1ECC2C27"/>
    <w:rsid w:val="1ECE074D"/>
    <w:rsid w:val="1ECE2E43"/>
    <w:rsid w:val="1ED32208"/>
    <w:rsid w:val="1ED34FE5"/>
    <w:rsid w:val="1ED63AA6"/>
    <w:rsid w:val="1EDE3955"/>
    <w:rsid w:val="1EDF6DFF"/>
    <w:rsid w:val="1EE00481"/>
    <w:rsid w:val="1EE241F9"/>
    <w:rsid w:val="1EE52BF7"/>
    <w:rsid w:val="1EE61F3B"/>
    <w:rsid w:val="1EE73F05"/>
    <w:rsid w:val="1EE77A61"/>
    <w:rsid w:val="1EEB7551"/>
    <w:rsid w:val="1EF26B32"/>
    <w:rsid w:val="1EF5217E"/>
    <w:rsid w:val="1EFA3C38"/>
    <w:rsid w:val="1EFA59E6"/>
    <w:rsid w:val="1EFB350D"/>
    <w:rsid w:val="1EFB52BB"/>
    <w:rsid w:val="1EFC4C25"/>
    <w:rsid w:val="1EFD1033"/>
    <w:rsid w:val="1EFD54D7"/>
    <w:rsid w:val="1F0028D1"/>
    <w:rsid w:val="1F010FC2"/>
    <w:rsid w:val="1F0423C1"/>
    <w:rsid w:val="1F046865"/>
    <w:rsid w:val="1F070103"/>
    <w:rsid w:val="1F073C5F"/>
    <w:rsid w:val="1F095C2A"/>
    <w:rsid w:val="1F0C1276"/>
    <w:rsid w:val="1F0C74C8"/>
    <w:rsid w:val="1F0E3240"/>
    <w:rsid w:val="1F100D66"/>
    <w:rsid w:val="1F10520A"/>
    <w:rsid w:val="1F106FB8"/>
    <w:rsid w:val="1F122D30"/>
    <w:rsid w:val="1F152820"/>
    <w:rsid w:val="1F172EB5"/>
    <w:rsid w:val="1F1A3993"/>
    <w:rsid w:val="1F1B770B"/>
    <w:rsid w:val="1F1C595D"/>
    <w:rsid w:val="1F274302"/>
    <w:rsid w:val="1F2E38E2"/>
    <w:rsid w:val="1F2E5690"/>
    <w:rsid w:val="1F372797"/>
    <w:rsid w:val="1F38392F"/>
    <w:rsid w:val="1F3F5AEF"/>
    <w:rsid w:val="1F413615"/>
    <w:rsid w:val="1F42113B"/>
    <w:rsid w:val="1F430A42"/>
    <w:rsid w:val="1F444EB4"/>
    <w:rsid w:val="1F486752"/>
    <w:rsid w:val="1F494278"/>
    <w:rsid w:val="1F4E188E"/>
    <w:rsid w:val="1F503858"/>
    <w:rsid w:val="1F505606"/>
    <w:rsid w:val="1F536EA5"/>
    <w:rsid w:val="1F550E6F"/>
    <w:rsid w:val="1F572E39"/>
    <w:rsid w:val="1F576995"/>
    <w:rsid w:val="1F58270D"/>
    <w:rsid w:val="1F5844BB"/>
    <w:rsid w:val="1F5C044F"/>
    <w:rsid w:val="1F5E41C7"/>
    <w:rsid w:val="1F5F3A9B"/>
    <w:rsid w:val="1F6368EB"/>
    <w:rsid w:val="1F6410B2"/>
    <w:rsid w:val="1F647304"/>
    <w:rsid w:val="1F653BA1"/>
    <w:rsid w:val="1F664E2A"/>
    <w:rsid w:val="1F672950"/>
    <w:rsid w:val="1F686DF4"/>
    <w:rsid w:val="1F6B68E4"/>
    <w:rsid w:val="1F6E3CDF"/>
    <w:rsid w:val="1F737547"/>
    <w:rsid w:val="1F746036"/>
    <w:rsid w:val="1F7532BF"/>
    <w:rsid w:val="1F777037"/>
    <w:rsid w:val="1F777932"/>
    <w:rsid w:val="1F7A08D5"/>
    <w:rsid w:val="1F7E2174"/>
    <w:rsid w:val="1F8D685B"/>
    <w:rsid w:val="1F901EA7"/>
    <w:rsid w:val="1F925C1F"/>
    <w:rsid w:val="1F941997"/>
    <w:rsid w:val="1F9C4CF0"/>
    <w:rsid w:val="1FA616CA"/>
    <w:rsid w:val="1FA63478"/>
    <w:rsid w:val="1FA63E40"/>
    <w:rsid w:val="1FA94D17"/>
    <w:rsid w:val="1FAB0A8F"/>
    <w:rsid w:val="1FAB6CE1"/>
    <w:rsid w:val="1FAF4A23"/>
    <w:rsid w:val="1FB04EF2"/>
    <w:rsid w:val="1FB060A5"/>
    <w:rsid w:val="1FB65DB1"/>
    <w:rsid w:val="1FB96708"/>
    <w:rsid w:val="1FBB4BD6"/>
    <w:rsid w:val="1FBC0EEE"/>
    <w:rsid w:val="1FC14756"/>
    <w:rsid w:val="1FC16504"/>
    <w:rsid w:val="1FCB1131"/>
    <w:rsid w:val="1FCD6C57"/>
    <w:rsid w:val="1FCF29CF"/>
    <w:rsid w:val="1FD44489"/>
    <w:rsid w:val="1FD91AA0"/>
    <w:rsid w:val="1FD955FC"/>
    <w:rsid w:val="1FDB75C6"/>
    <w:rsid w:val="1FDC3F0E"/>
    <w:rsid w:val="1FDF3FD0"/>
    <w:rsid w:val="1FEB532F"/>
    <w:rsid w:val="1FF266BE"/>
    <w:rsid w:val="1FF57F5C"/>
    <w:rsid w:val="1FF9186E"/>
    <w:rsid w:val="1FFE32B4"/>
    <w:rsid w:val="2000702C"/>
    <w:rsid w:val="200308CB"/>
    <w:rsid w:val="200A3A07"/>
    <w:rsid w:val="200D34F7"/>
    <w:rsid w:val="200F101E"/>
    <w:rsid w:val="20104D96"/>
    <w:rsid w:val="20112FE8"/>
    <w:rsid w:val="20124FB2"/>
    <w:rsid w:val="201725C8"/>
    <w:rsid w:val="201A55F1"/>
    <w:rsid w:val="201B3E66"/>
    <w:rsid w:val="201C198C"/>
    <w:rsid w:val="201E5705"/>
    <w:rsid w:val="2020147D"/>
    <w:rsid w:val="202251F5"/>
    <w:rsid w:val="20230F6D"/>
    <w:rsid w:val="2027280B"/>
    <w:rsid w:val="202A40A9"/>
    <w:rsid w:val="202A5E57"/>
    <w:rsid w:val="202D5948"/>
    <w:rsid w:val="202D76F6"/>
    <w:rsid w:val="202F16C0"/>
    <w:rsid w:val="203647FC"/>
    <w:rsid w:val="20370574"/>
    <w:rsid w:val="203B62B7"/>
    <w:rsid w:val="203E5DA7"/>
    <w:rsid w:val="204131A1"/>
    <w:rsid w:val="20457135"/>
    <w:rsid w:val="204A02A8"/>
    <w:rsid w:val="204A474C"/>
    <w:rsid w:val="204D7D98"/>
    <w:rsid w:val="20564E9E"/>
    <w:rsid w:val="2059673D"/>
    <w:rsid w:val="205A1343"/>
    <w:rsid w:val="205E3D53"/>
    <w:rsid w:val="206165B6"/>
    <w:rsid w:val="20672C08"/>
    <w:rsid w:val="206C6470"/>
    <w:rsid w:val="20704CAA"/>
    <w:rsid w:val="20711CD8"/>
    <w:rsid w:val="207D067D"/>
    <w:rsid w:val="207D242B"/>
    <w:rsid w:val="20811D89"/>
    <w:rsid w:val="208337BA"/>
    <w:rsid w:val="20847C5E"/>
    <w:rsid w:val="20857532"/>
    <w:rsid w:val="20887022"/>
    <w:rsid w:val="208C6B12"/>
    <w:rsid w:val="208E0233"/>
    <w:rsid w:val="2091237A"/>
    <w:rsid w:val="20931C4F"/>
    <w:rsid w:val="20977E55"/>
    <w:rsid w:val="20987265"/>
    <w:rsid w:val="20994D8B"/>
    <w:rsid w:val="209B0B03"/>
    <w:rsid w:val="20A0611A"/>
    <w:rsid w:val="20A13370"/>
    <w:rsid w:val="20A200E4"/>
    <w:rsid w:val="20A35C0A"/>
    <w:rsid w:val="20A57BD4"/>
    <w:rsid w:val="20AA343C"/>
    <w:rsid w:val="20AC2D10"/>
    <w:rsid w:val="20B00A53"/>
    <w:rsid w:val="20B30D8C"/>
    <w:rsid w:val="20B9542D"/>
    <w:rsid w:val="20BA367F"/>
    <w:rsid w:val="20BE47F2"/>
    <w:rsid w:val="20BF0C96"/>
    <w:rsid w:val="20C04A0E"/>
    <w:rsid w:val="20C27123"/>
    <w:rsid w:val="20C462AC"/>
    <w:rsid w:val="20C53DD2"/>
    <w:rsid w:val="20CC33B3"/>
    <w:rsid w:val="20CC5161"/>
    <w:rsid w:val="20CE2C87"/>
    <w:rsid w:val="20D364EF"/>
    <w:rsid w:val="20D858B3"/>
    <w:rsid w:val="20DD736E"/>
    <w:rsid w:val="20DF4E94"/>
    <w:rsid w:val="20E00C0C"/>
    <w:rsid w:val="20E71F9A"/>
    <w:rsid w:val="20ED6C54"/>
    <w:rsid w:val="20EE3329"/>
    <w:rsid w:val="20EF2BFD"/>
    <w:rsid w:val="20F12E19"/>
    <w:rsid w:val="20F36B91"/>
    <w:rsid w:val="20F546B7"/>
    <w:rsid w:val="20F63F8C"/>
    <w:rsid w:val="21020B82"/>
    <w:rsid w:val="210827FC"/>
    <w:rsid w:val="211469CB"/>
    <w:rsid w:val="21156B08"/>
    <w:rsid w:val="21162880"/>
    <w:rsid w:val="211663DC"/>
    <w:rsid w:val="211D776A"/>
    <w:rsid w:val="211F7986"/>
    <w:rsid w:val="212136FE"/>
    <w:rsid w:val="21224D81"/>
    <w:rsid w:val="21240AF9"/>
    <w:rsid w:val="21244F9D"/>
    <w:rsid w:val="21246D4B"/>
    <w:rsid w:val="21262AC3"/>
    <w:rsid w:val="21272270"/>
    <w:rsid w:val="212B00D9"/>
    <w:rsid w:val="212C3E51"/>
    <w:rsid w:val="212C5BFF"/>
    <w:rsid w:val="212E0A02"/>
    <w:rsid w:val="213276BA"/>
    <w:rsid w:val="213B5E42"/>
    <w:rsid w:val="214473ED"/>
    <w:rsid w:val="21464F13"/>
    <w:rsid w:val="214B077B"/>
    <w:rsid w:val="21521B0A"/>
    <w:rsid w:val="2152522B"/>
    <w:rsid w:val="215C0EAE"/>
    <w:rsid w:val="215C4736"/>
    <w:rsid w:val="215D400B"/>
    <w:rsid w:val="215F4227"/>
    <w:rsid w:val="21611D4D"/>
    <w:rsid w:val="216435EB"/>
    <w:rsid w:val="21645399"/>
    <w:rsid w:val="21664B31"/>
    <w:rsid w:val="21703D3E"/>
    <w:rsid w:val="2173382E"/>
    <w:rsid w:val="2177331E"/>
    <w:rsid w:val="217750CC"/>
    <w:rsid w:val="217952E8"/>
    <w:rsid w:val="217A4BBD"/>
    <w:rsid w:val="217E28FF"/>
    <w:rsid w:val="217E5989"/>
    <w:rsid w:val="2181419D"/>
    <w:rsid w:val="21837F15"/>
    <w:rsid w:val="2186530F"/>
    <w:rsid w:val="21867A05"/>
    <w:rsid w:val="218B0B78"/>
    <w:rsid w:val="218D0C0A"/>
    <w:rsid w:val="218E68BA"/>
    <w:rsid w:val="2190618E"/>
    <w:rsid w:val="219739C1"/>
    <w:rsid w:val="2197576F"/>
    <w:rsid w:val="219E6AFD"/>
    <w:rsid w:val="219F2875"/>
    <w:rsid w:val="21A47E8B"/>
    <w:rsid w:val="21A8172A"/>
    <w:rsid w:val="21AB108C"/>
    <w:rsid w:val="21AB121A"/>
    <w:rsid w:val="21B300CF"/>
    <w:rsid w:val="21B46321"/>
    <w:rsid w:val="21BA76AF"/>
    <w:rsid w:val="21BC51D5"/>
    <w:rsid w:val="21BE0F4D"/>
    <w:rsid w:val="21C127EB"/>
    <w:rsid w:val="21C56547"/>
    <w:rsid w:val="21C916A0"/>
    <w:rsid w:val="21CB3F90"/>
    <w:rsid w:val="21CF315A"/>
    <w:rsid w:val="21D249F9"/>
    <w:rsid w:val="21D4251F"/>
    <w:rsid w:val="21D97B35"/>
    <w:rsid w:val="21DE15EF"/>
    <w:rsid w:val="21DE514B"/>
    <w:rsid w:val="21E64000"/>
    <w:rsid w:val="21F030D1"/>
    <w:rsid w:val="21F229A5"/>
    <w:rsid w:val="21F4496F"/>
    <w:rsid w:val="21F4671D"/>
    <w:rsid w:val="21FC1A76"/>
    <w:rsid w:val="21FC3824"/>
    <w:rsid w:val="21FC7CC7"/>
    <w:rsid w:val="21FF3314"/>
    <w:rsid w:val="2208041A"/>
    <w:rsid w:val="220821C8"/>
    <w:rsid w:val="22085967"/>
    <w:rsid w:val="22097CEF"/>
    <w:rsid w:val="220B3A67"/>
    <w:rsid w:val="220B7F0B"/>
    <w:rsid w:val="220F3557"/>
    <w:rsid w:val="22123047"/>
    <w:rsid w:val="22146DBF"/>
    <w:rsid w:val="22160D89"/>
    <w:rsid w:val="2217240B"/>
    <w:rsid w:val="221768AF"/>
    <w:rsid w:val="221B014E"/>
    <w:rsid w:val="221F7512"/>
    <w:rsid w:val="222114DC"/>
    <w:rsid w:val="22266AF2"/>
    <w:rsid w:val="22274D44"/>
    <w:rsid w:val="22280ABD"/>
    <w:rsid w:val="22284619"/>
    <w:rsid w:val="222A5E3C"/>
    <w:rsid w:val="2235037E"/>
    <w:rsid w:val="22370D00"/>
    <w:rsid w:val="223905D4"/>
    <w:rsid w:val="223B07F0"/>
    <w:rsid w:val="223B259E"/>
    <w:rsid w:val="223B434C"/>
    <w:rsid w:val="22401962"/>
    <w:rsid w:val="22405E06"/>
    <w:rsid w:val="224156DA"/>
    <w:rsid w:val="22462CF1"/>
    <w:rsid w:val="224A458F"/>
    <w:rsid w:val="224F7DF7"/>
    <w:rsid w:val="22513B6F"/>
    <w:rsid w:val="22521696"/>
    <w:rsid w:val="22543660"/>
    <w:rsid w:val="2254540E"/>
    <w:rsid w:val="22597779"/>
    <w:rsid w:val="22603DB2"/>
    <w:rsid w:val="22625D7D"/>
    <w:rsid w:val="226513C9"/>
    <w:rsid w:val="2265761B"/>
    <w:rsid w:val="2268710B"/>
    <w:rsid w:val="226C6BFB"/>
    <w:rsid w:val="226D4721"/>
    <w:rsid w:val="226F0499"/>
    <w:rsid w:val="227930C6"/>
    <w:rsid w:val="227B299A"/>
    <w:rsid w:val="227D5433"/>
    <w:rsid w:val="22821F7B"/>
    <w:rsid w:val="22843E76"/>
    <w:rsid w:val="22851A6B"/>
    <w:rsid w:val="22855D19"/>
    <w:rsid w:val="22883309"/>
    <w:rsid w:val="228A52D3"/>
    <w:rsid w:val="22941CAE"/>
    <w:rsid w:val="229B128E"/>
    <w:rsid w:val="229B4DEB"/>
    <w:rsid w:val="22A31EF1"/>
    <w:rsid w:val="22A53EBB"/>
    <w:rsid w:val="22A719E1"/>
    <w:rsid w:val="22A85759"/>
    <w:rsid w:val="22AE0FC2"/>
    <w:rsid w:val="22B01A03"/>
    <w:rsid w:val="22B10AB2"/>
    <w:rsid w:val="22BD28C6"/>
    <w:rsid w:val="22BE0659"/>
    <w:rsid w:val="22C34341"/>
    <w:rsid w:val="22C667F9"/>
    <w:rsid w:val="22C73E32"/>
    <w:rsid w:val="22C81958"/>
    <w:rsid w:val="22C95DFC"/>
    <w:rsid w:val="22CA56D0"/>
    <w:rsid w:val="22CC769A"/>
    <w:rsid w:val="22CF0F38"/>
    <w:rsid w:val="22D327D6"/>
    <w:rsid w:val="22D402FC"/>
    <w:rsid w:val="22D4654E"/>
    <w:rsid w:val="22D62947"/>
    <w:rsid w:val="22D93B65"/>
    <w:rsid w:val="22DB5B2F"/>
    <w:rsid w:val="22DF73CD"/>
    <w:rsid w:val="22E20C6B"/>
    <w:rsid w:val="22E345E0"/>
    <w:rsid w:val="22E542B8"/>
    <w:rsid w:val="22E70030"/>
    <w:rsid w:val="22E744D4"/>
    <w:rsid w:val="22E9024C"/>
    <w:rsid w:val="22E90452"/>
    <w:rsid w:val="22EC5646"/>
    <w:rsid w:val="22EE13BE"/>
    <w:rsid w:val="22EE5862"/>
    <w:rsid w:val="22EF3388"/>
    <w:rsid w:val="22F015DA"/>
    <w:rsid w:val="22F15352"/>
    <w:rsid w:val="22F369D5"/>
    <w:rsid w:val="22F4099F"/>
    <w:rsid w:val="22F56BF1"/>
    <w:rsid w:val="22F62969"/>
    <w:rsid w:val="22FD5AA5"/>
    <w:rsid w:val="22FD7853"/>
    <w:rsid w:val="22FF35CB"/>
    <w:rsid w:val="230010F2"/>
    <w:rsid w:val="23005595"/>
    <w:rsid w:val="2302130E"/>
    <w:rsid w:val="23037CD2"/>
    <w:rsid w:val="23045086"/>
    <w:rsid w:val="23046E34"/>
    <w:rsid w:val="230B6414"/>
    <w:rsid w:val="230C7A96"/>
    <w:rsid w:val="230E1A60"/>
    <w:rsid w:val="230E380E"/>
    <w:rsid w:val="230E7CB2"/>
    <w:rsid w:val="23130E25"/>
    <w:rsid w:val="231A6657"/>
    <w:rsid w:val="231B23CF"/>
    <w:rsid w:val="231B5F2B"/>
    <w:rsid w:val="23250B58"/>
    <w:rsid w:val="23255AD4"/>
    <w:rsid w:val="232A43C0"/>
    <w:rsid w:val="232A50B4"/>
    <w:rsid w:val="232C2DD6"/>
    <w:rsid w:val="233174FD"/>
    <w:rsid w:val="23384D2F"/>
    <w:rsid w:val="23403BE4"/>
    <w:rsid w:val="23447230"/>
    <w:rsid w:val="23452FA8"/>
    <w:rsid w:val="234731C4"/>
    <w:rsid w:val="23474F72"/>
    <w:rsid w:val="234A05BF"/>
    <w:rsid w:val="234B4A63"/>
    <w:rsid w:val="234C4337"/>
    <w:rsid w:val="234E00AF"/>
    <w:rsid w:val="23502079"/>
    <w:rsid w:val="2355143D"/>
    <w:rsid w:val="23583534"/>
    <w:rsid w:val="2358717F"/>
    <w:rsid w:val="235A4CA6"/>
    <w:rsid w:val="23621DAC"/>
    <w:rsid w:val="2366189C"/>
    <w:rsid w:val="23671171"/>
    <w:rsid w:val="236773C3"/>
    <w:rsid w:val="236A1700"/>
    <w:rsid w:val="236B6EB3"/>
    <w:rsid w:val="236D2C2B"/>
    <w:rsid w:val="23700025"/>
    <w:rsid w:val="237044C9"/>
    <w:rsid w:val="23706277"/>
    <w:rsid w:val="237613B4"/>
    <w:rsid w:val="23773AAF"/>
    <w:rsid w:val="237D6BE6"/>
    <w:rsid w:val="237F64BA"/>
    <w:rsid w:val="23812232"/>
    <w:rsid w:val="2383244E"/>
    <w:rsid w:val="23850E10"/>
    <w:rsid w:val="23901985"/>
    <w:rsid w:val="23902475"/>
    <w:rsid w:val="23931F66"/>
    <w:rsid w:val="23955CDE"/>
    <w:rsid w:val="23963804"/>
    <w:rsid w:val="23A10B26"/>
    <w:rsid w:val="23A15E53"/>
    <w:rsid w:val="23A31CB8"/>
    <w:rsid w:val="23A6613D"/>
    <w:rsid w:val="23A67EEB"/>
    <w:rsid w:val="23A75A11"/>
    <w:rsid w:val="23A777BF"/>
    <w:rsid w:val="23A91789"/>
    <w:rsid w:val="23B048C6"/>
    <w:rsid w:val="23B75C54"/>
    <w:rsid w:val="23BC326A"/>
    <w:rsid w:val="23BC51F1"/>
    <w:rsid w:val="23C16AD3"/>
    <w:rsid w:val="23C6233B"/>
    <w:rsid w:val="23C860B3"/>
    <w:rsid w:val="23CB16FF"/>
    <w:rsid w:val="23D20CE0"/>
    <w:rsid w:val="23D22A8E"/>
    <w:rsid w:val="23D507D0"/>
    <w:rsid w:val="23D5432C"/>
    <w:rsid w:val="23D762F6"/>
    <w:rsid w:val="23DA7B95"/>
    <w:rsid w:val="23DC56BB"/>
    <w:rsid w:val="23E34C9B"/>
    <w:rsid w:val="23E40A13"/>
    <w:rsid w:val="23E60FD3"/>
    <w:rsid w:val="23E629DD"/>
    <w:rsid w:val="23E66539"/>
    <w:rsid w:val="23E7405F"/>
    <w:rsid w:val="23E822B1"/>
    <w:rsid w:val="23EB0F6D"/>
    <w:rsid w:val="23EB7FF4"/>
    <w:rsid w:val="23F0560A"/>
    <w:rsid w:val="23F21382"/>
    <w:rsid w:val="23F23130"/>
    <w:rsid w:val="23F52C20"/>
    <w:rsid w:val="23FA1FE5"/>
    <w:rsid w:val="23FC3FAF"/>
    <w:rsid w:val="23FC7981"/>
    <w:rsid w:val="23FE1AD5"/>
    <w:rsid w:val="23FF584D"/>
    <w:rsid w:val="24012000"/>
    <w:rsid w:val="24092228"/>
    <w:rsid w:val="240D3AC6"/>
    <w:rsid w:val="24107A5A"/>
    <w:rsid w:val="24125580"/>
    <w:rsid w:val="241412F8"/>
    <w:rsid w:val="241430A6"/>
    <w:rsid w:val="24155071"/>
    <w:rsid w:val="241A2687"/>
    <w:rsid w:val="241C63FF"/>
    <w:rsid w:val="241E2177"/>
    <w:rsid w:val="241F37F9"/>
    <w:rsid w:val="242117CE"/>
    <w:rsid w:val="2423778D"/>
    <w:rsid w:val="24264B88"/>
    <w:rsid w:val="24284DA4"/>
    <w:rsid w:val="2432352D"/>
    <w:rsid w:val="2435301D"/>
    <w:rsid w:val="24376D95"/>
    <w:rsid w:val="24392B0D"/>
    <w:rsid w:val="243948BB"/>
    <w:rsid w:val="243C7B16"/>
    <w:rsid w:val="243E45C7"/>
    <w:rsid w:val="243E6375"/>
    <w:rsid w:val="243F3E9B"/>
    <w:rsid w:val="2443398C"/>
    <w:rsid w:val="24455956"/>
    <w:rsid w:val="24457704"/>
    <w:rsid w:val="244B0A92"/>
    <w:rsid w:val="24506B86"/>
    <w:rsid w:val="245416F5"/>
    <w:rsid w:val="24547947"/>
    <w:rsid w:val="245C2C9F"/>
    <w:rsid w:val="246501B2"/>
    <w:rsid w:val="246833F2"/>
    <w:rsid w:val="24724271"/>
    <w:rsid w:val="2472601F"/>
    <w:rsid w:val="24741D97"/>
    <w:rsid w:val="24747FE9"/>
    <w:rsid w:val="24765B0F"/>
    <w:rsid w:val="24822706"/>
    <w:rsid w:val="2483022C"/>
    <w:rsid w:val="24831FDA"/>
    <w:rsid w:val="24853FA4"/>
    <w:rsid w:val="248C70E1"/>
    <w:rsid w:val="248D10AB"/>
    <w:rsid w:val="248D390E"/>
    <w:rsid w:val="248F6BD1"/>
    <w:rsid w:val="249064A5"/>
    <w:rsid w:val="2492221D"/>
    <w:rsid w:val="249917FE"/>
    <w:rsid w:val="249B5576"/>
    <w:rsid w:val="249C4E4A"/>
    <w:rsid w:val="249D12EE"/>
    <w:rsid w:val="249E5066"/>
    <w:rsid w:val="24A00DDE"/>
    <w:rsid w:val="24A02B8C"/>
    <w:rsid w:val="24A3267C"/>
    <w:rsid w:val="24A3442A"/>
    <w:rsid w:val="24A501A2"/>
    <w:rsid w:val="24A563F4"/>
    <w:rsid w:val="24A65CC9"/>
    <w:rsid w:val="24A66AD5"/>
    <w:rsid w:val="24A7216D"/>
    <w:rsid w:val="24AC1531"/>
    <w:rsid w:val="24AC2183"/>
    <w:rsid w:val="24AF4B7D"/>
    <w:rsid w:val="24B623B0"/>
    <w:rsid w:val="24B6415E"/>
    <w:rsid w:val="24B71C84"/>
    <w:rsid w:val="24BB1774"/>
    <w:rsid w:val="24C04FDC"/>
    <w:rsid w:val="24C4748D"/>
    <w:rsid w:val="24C745BD"/>
    <w:rsid w:val="24CA19B7"/>
    <w:rsid w:val="24CC1BD3"/>
    <w:rsid w:val="24CD14A7"/>
    <w:rsid w:val="24D34D0F"/>
    <w:rsid w:val="24D42836"/>
    <w:rsid w:val="24D46CDA"/>
    <w:rsid w:val="24D97E4C"/>
    <w:rsid w:val="24DB3BC4"/>
    <w:rsid w:val="24DB6334"/>
    <w:rsid w:val="24DD793C"/>
    <w:rsid w:val="24DE5462"/>
    <w:rsid w:val="24E011DB"/>
    <w:rsid w:val="24E0567E"/>
    <w:rsid w:val="24E0742D"/>
    <w:rsid w:val="24E16D01"/>
    <w:rsid w:val="24E24F53"/>
    <w:rsid w:val="24E30CCB"/>
    <w:rsid w:val="24E52C95"/>
    <w:rsid w:val="24E567F1"/>
    <w:rsid w:val="24E72569"/>
    <w:rsid w:val="24E94533"/>
    <w:rsid w:val="24EA2059"/>
    <w:rsid w:val="24EA3E07"/>
    <w:rsid w:val="24ED38F7"/>
    <w:rsid w:val="24EF58C2"/>
    <w:rsid w:val="24F1163A"/>
    <w:rsid w:val="24F133E8"/>
    <w:rsid w:val="24F44C86"/>
    <w:rsid w:val="24F609FE"/>
    <w:rsid w:val="24F66C50"/>
    <w:rsid w:val="24F84728"/>
    <w:rsid w:val="24FD3B3B"/>
    <w:rsid w:val="24FE21EF"/>
    <w:rsid w:val="2500187D"/>
    <w:rsid w:val="25050C41"/>
    <w:rsid w:val="250824DF"/>
    <w:rsid w:val="250D7AF6"/>
    <w:rsid w:val="250E3F9A"/>
    <w:rsid w:val="25115838"/>
    <w:rsid w:val="25201F1F"/>
    <w:rsid w:val="25257535"/>
    <w:rsid w:val="25292B82"/>
    <w:rsid w:val="252A06A8"/>
    <w:rsid w:val="252A68FA"/>
    <w:rsid w:val="25330E2E"/>
    <w:rsid w:val="253B28B5"/>
    <w:rsid w:val="253B4663"/>
    <w:rsid w:val="253F73D1"/>
    <w:rsid w:val="25445C0D"/>
    <w:rsid w:val="25453243"/>
    <w:rsid w:val="254554E2"/>
    <w:rsid w:val="25457290"/>
    <w:rsid w:val="25494FD2"/>
    <w:rsid w:val="254B6F9C"/>
    <w:rsid w:val="254C6870"/>
    <w:rsid w:val="254E25E8"/>
    <w:rsid w:val="254E4396"/>
    <w:rsid w:val="25565A1D"/>
    <w:rsid w:val="25592D3B"/>
    <w:rsid w:val="255B4D05"/>
    <w:rsid w:val="255D0A7D"/>
    <w:rsid w:val="255F47F5"/>
    <w:rsid w:val="255F65A3"/>
    <w:rsid w:val="25641E0C"/>
    <w:rsid w:val="256718FC"/>
    <w:rsid w:val="25695674"/>
    <w:rsid w:val="256C0CC0"/>
    <w:rsid w:val="257007B0"/>
    <w:rsid w:val="25710085"/>
    <w:rsid w:val="257139A1"/>
    <w:rsid w:val="257162D7"/>
    <w:rsid w:val="25740E92"/>
    <w:rsid w:val="257A33DD"/>
    <w:rsid w:val="257D2ECD"/>
    <w:rsid w:val="25826736"/>
    <w:rsid w:val="258424AE"/>
    <w:rsid w:val="25853B30"/>
    <w:rsid w:val="25893620"/>
    <w:rsid w:val="258E6E89"/>
    <w:rsid w:val="25900E53"/>
    <w:rsid w:val="259049AF"/>
    <w:rsid w:val="25912940"/>
    <w:rsid w:val="25922CDA"/>
    <w:rsid w:val="25950217"/>
    <w:rsid w:val="25951FC5"/>
    <w:rsid w:val="25956469"/>
    <w:rsid w:val="259A582D"/>
    <w:rsid w:val="25A16BBC"/>
    <w:rsid w:val="25A22934"/>
    <w:rsid w:val="25A71CF8"/>
    <w:rsid w:val="25A77F4A"/>
    <w:rsid w:val="25A91F14"/>
    <w:rsid w:val="25AB3597"/>
    <w:rsid w:val="25AB7A3A"/>
    <w:rsid w:val="25B05051"/>
    <w:rsid w:val="25B12B77"/>
    <w:rsid w:val="25B32729"/>
    <w:rsid w:val="25B54415"/>
    <w:rsid w:val="25B61F3B"/>
    <w:rsid w:val="25BF5294"/>
    <w:rsid w:val="25BF7042"/>
    <w:rsid w:val="25C1100C"/>
    <w:rsid w:val="25C603D0"/>
    <w:rsid w:val="25C7239A"/>
    <w:rsid w:val="25CB3C39"/>
    <w:rsid w:val="25CC21FF"/>
    <w:rsid w:val="25CD79B1"/>
    <w:rsid w:val="25CE197B"/>
    <w:rsid w:val="25D074A1"/>
    <w:rsid w:val="25DA003F"/>
    <w:rsid w:val="25DA20CE"/>
    <w:rsid w:val="25DE1BBE"/>
    <w:rsid w:val="25DF1492"/>
    <w:rsid w:val="25E371D4"/>
    <w:rsid w:val="25E62821"/>
    <w:rsid w:val="25E82A3D"/>
    <w:rsid w:val="25EC3BAF"/>
    <w:rsid w:val="25EE7927"/>
    <w:rsid w:val="25F24B85"/>
    <w:rsid w:val="25F27417"/>
    <w:rsid w:val="25F34F3E"/>
    <w:rsid w:val="25F52A64"/>
    <w:rsid w:val="25FA2770"/>
    <w:rsid w:val="25FF1B34"/>
    <w:rsid w:val="25FF7D86"/>
    <w:rsid w:val="260B04D9"/>
    <w:rsid w:val="260E57EE"/>
    <w:rsid w:val="261750D0"/>
    <w:rsid w:val="261A071C"/>
    <w:rsid w:val="261A696E"/>
    <w:rsid w:val="261C4494"/>
    <w:rsid w:val="261D1FBA"/>
    <w:rsid w:val="26265313"/>
    <w:rsid w:val="2628108B"/>
    <w:rsid w:val="262A4E03"/>
    <w:rsid w:val="26347A30"/>
    <w:rsid w:val="263A0DBE"/>
    <w:rsid w:val="263A491A"/>
    <w:rsid w:val="263B7010"/>
    <w:rsid w:val="263E08AF"/>
    <w:rsid w:val="263E440B"/>
    <w:rsid w:val="263F0183"/>
    <w:rsid w:val="2641214D"/>
    <w:rsid w:val="26431A21"/>
    <w:rsid w:val="26437C73"/>
    <w:rsid w:val="26445799"/>
    <w:rsid w:val="26451C3D"/>
    <w:rsid w:val="264659B5"/>
    <w:rsid w:val="26492DAF"/>
    <w:rsid w:val="264B6B28"/>
    <w:rsid w:val="26526108"/>
    <w:rsid w:val="26575474"/>
    <w:rsid w:val="265754CC"/>
    <w:rsid w:val="26576D15"/>
    <w:rsid w:val="265E685B"/>
    <w:rsid w:val="265F25D3"/>
    <w:rsid w:val="26606A77"/>
    <w:rsid w:val="26630315"/>
    <w:rsid w:val="266320C3"/>
    <w:rsid w:val="26661BB3"/>
    <w:rsid w:val="2668592C"/>
    <w:rsid w:val="266D4CF0"/>
    <w:rsid w:val="266F1FBA"/>
    <w:rsid w:val="2674607E"/>
    <w:rsid w:val="2677791D"/>
    <w:rsid w:val="26795443"/>
    <w:rsid w:val="268362C1"/>
    <w:rsid w:val="268564DD"/>
    <w:rsid w:val="26864004"/>
    <w:rsid w:val="26867B60"/>
    <w:rsid w:val="2687496B"/>
    <w:rsid w:val="26895732"/>
    <w:rsid w:val="268C786C"/>
    <w:rsid w:val="268F15A4"/>
    <w:rsid w:val="268F2EB8"/>
    <w:rsid w:val="269009DE"/>
    <w:rsid w:val="269404CF"/>
    <w:rsid w:val="2694227D"/>
    <w:rsid w:val="26977FBF"/>
    <w:rsid w:val="269B7B47"/>
    <w:rsid w:val="269E134D"/>
    <w:rsid w:val="269E7C09"/>
    <w:rsid w:val="26A35467"/>
    <w:rsid w:val="26A56238"/>
    <w:rsid w:val="26A60202"/>
    <w:rsid w:val="26A85D28"/>
    <w:rsid w:val="26AA1AA0"/>
    <w:rsid w:val="26AC220D"/>
    <w:rsid w:val="26AD333E"/>
    <w:rsid w:val="26B02E2F"/>
    <w:rsid w:val="26B11D6D"/>
    <w:rsid w:val="26B40228"/>
    <w:rsid w:val="26B96187"/>
    <w:rsid w:val="26BE09E6"/>
    <w:rsid w:val="26C1503C"/>
    <w:rsid w:val="26C2328E"/>
    <w:rsid w:val="26C37006"/>
    <w:rsid w:val="26C568DA"/>
    <w:rsid w:val="26C62652"/>
    <w:rsid w:val="26CA2142"/>
    <w:rsid w:val="26CF1507"/>
    <w:rsid w:val="26D7485F"/>
    <w:rsid w:val="26D92385"/>
    <w:rsid w:val="26DA0F79"/>
    <w:rsid w:val="26DB7EAB"/>
    <w:rsid w:val="26DC3C24"/>
    <w:rsid w:val="26E054C2"/>
    <w:rsid w:val="26E27D77"/>
    <w:rsid w:val="26E56F7C"/>
    <w:rsid w:val="26E72CF4"/>
    <w:rsid w:val="26EA00EF"/>
    <w:rsid w:val="26EB4ACF"/>
    <w:rsid w:val="26F471BF"/>
    <w:rsid w:val="26FC6074"/>
    <w:rsid w:val="26FE003E"/>
    <w:rsid w:val="27005865"/>
    <w:rsid w:val="27084A19"/>
    <w:rsid w:val="270C4509"/>
    <w:rsid w:val="270D0281"/>
    <w:rsid w:val="270F3FF9"/>
    <w:rsid w:val="27133AE9"/>
    <w:rsid w:val="2714160F"/>
    <w:rsid w:val="27174C5C"/>
    <w:rsid w:val="27194E78"/>
    <w:rsid w:val="271B0BF0"/>
    <w:rsid w:val="271D04C4"/>
    <w:rsid w:val="271D6716"/>
    <w:rsid w:val="271E423C"/>
    <w:rsid w:val="271F0A4D"/>
    <w:rsid w:val="27233601"/>
    <w:rsid w:val="27280C17"/>
    <w:rsid w:val="272A0E33"/>
    <w:rsid w:val="2734580E"/>
    <w:rsid w:val="273677D8"/>
    <w:rsid w:val="273870AC"/>
    <w:rsid w:val="273B094A"/>
    <w:rsid w:val="27421CD9"/>
    <w:rsid w:val="27427F2B"/>
    <w:rsid w:val="274D34BC"/>
    <w:rsid w:val="274F0899"/>
    <w:rsid w:val="2751016E"/>
    <w:rsid w:val="27547A2C"/>
    <w:rsid w:val="27547C5E"/>
    <w:rsid w:val="27561C28"/>
    <w:rsid w:val="275A1718"/>
    <w:rsid w:val="275F6280"/>
    <w:rsid w:val="275F6D2E"/>
    <w:rsid w:val="27606603"/>
    <w:rsid w:val="27624129"/>
    <w:rsid w:val="27637EA1"/>
    <w:rsid w:val="276460F3"/>
    <w:rsid w:val="27653C19"/>
    <w:rsid w:val="2767173F"/>
    <w:rsid w:val="276C0168"/>
    <w:rsid w:val="276F4A98"/>
    <w:rsid w:val="276F6846"/>
    <w:rsid w:val="277420AE"/>
    <w:rsid w:val="27764078"/>
    <w:rsid w:val="27787DF0"/>
    <w:rsid w:val="277A5916"/>
    <w:rsid w:val="277D0F63"/>
    <w:rsid w:val="277F2F2D"/>
    <w:rsid w:val="27897907"/>
    <w:rsid w:val="27914A0E"/>
    <w:rsid w:val="2794558B"/>
    <w:rsid w:val="27962024"/>
    <w:rsid w:val="279664C8"/>
    <w:rsid w:val="27992E0C"/>
    <w:rsid w:val="27A6670B"/>
    <w:rsid w:val="27A74232"/>
    <w:rsid w:val="27A961FC"/>
    <w:rsid w:val="27AF30E6"/>
    <w:rsid w:val="27B23302"/>
    <w:rsid w:val="27B34984"/>
    <w:rsid w:val="27B54BA0"/>
    <w:rsid w:val="27B626C7"/>
    <w:rsid w:val="27B949B4"/>
    <w:rsid w:val="27B96E2D"/>
    <w:rsid w:val="27BA5D13"/>
    <w:rsid w:val="27BD5803"/>
    <w:rsid w:val="27C748D4"/>
    <w:rsid w:val="27C9064C"/>
    <w:rsid w:val="27D03788"/>
    <w:rsid w:val="27D139D1"/>
    <w:rsid w:val="27D668C5"/>
    <w:rsid w:val="27DC037F"/>
    <w:rsid w:val="27E40FE2"/>
    <w:rsid w:val="27E54A18"/>
    <w:rsid w:val="27E70AD2"/>
    <w:rsid w:val="27E86D24"/>
    <w:rsid w:val="27E930E8"/>
    <w:rsid w:val="27EC60E8"/>
    <w:rsid w:val="27ED433A"/>
    <w:rsid w:val="27EE00B2"/>
    <w:rsid w:val="27F21951"/>
    <w:rsid w:val="27F531EF"/>
    <w:rsid w:val="27F76F67"/>
    <w:rsid w:val="27FA25B3"/>
    <w:rsid w:val="27FF7BCA"/>
    <w:rsid w:val="28002AB0"/>
    <w:rsid w:val="28013942"/>
    <w:rsid w:val="2802590C"/>
    <w:rsid w:val="280653FC"/>
    <w:rsid w:val="280D678A"/>
    <w:rsid w:val="280E0752"/>
    <w:rsid w:val="280E605F"/>
    <w:rsid w:val="28133675"/>
    <w:rsid w:val="281573ED"/>
    <w:rsid w:val="281C4C20"/>
    <w:rsid w:val="28212236"/>
    <w:rsid w:val="28243AD4"/>
    <w:rsid w:val="28245882"/>
    <w:rsid w:val="28247630"/>
    <w:rsid w:val="28292E99"/>
    <w:rsid w:val="282C4737"/>
    <w:rsid w:val="282D2989"/>
    <w:rsid w:val="282E6701"/>
    <w:rsid w:val="282F4953"/>
    <w:rsid w:val="283006CB"/>
    <w:rsid w:val="28302479"/>
    <w:rsid w:val="283118DE"/>
    <w:rsid w:val="28335AC5"/>
    <w:rsid w:val="28355CE1"/>
    <w:rsid w:val="283B713F"/>
    <w:rsid w:val="283F446A"/>
    <w:rsid w:val="28447CD2"/>
    <w:rsid w:val="28471BDE"/>
    <w:rsid w:val="2849353B"/>
    <w:rsid w:val="28497097"/>
    <w:rsid w:val="28497B65"/>
    <w:rsid w:val="284B2E0F"/>
    <w:rsid w:val="284E28FF"/>
    <w:rsid w:val="285223EF"/>
    <w:rsid w:val="28567598"/>
    <w:rsid w:val="285C326E"/>
    <w:rsid w:val="285F2D5E"/>
    <w:rsid w:val="28620159"/>
    <w:rsid w:val="28621E4D"/>
    <w:rsid w:val="286363AA"/>
    <w:rsid w:val="28665E9B"/>
    <w:rsid w:val="286914E7"/>
    <w:rsid w:val="286B525F"/>
    <w:rsid w:val="286E1847"/>
    <w:rsid w:val="28702875"/>
    <w:rsid w:val="28706D19"/>
    <w:rsid w:val="287405B8"/>
    <w:rsid w:val="28753608"/>
    <w:rsid w:val="28757E8C"/>
    <w:rsid w:val="287700A8"/>
    <w:rsid w:val="28773C04"/>
    <w:rsid w:val="2879797C"/>
    <w:rsid w:val="287A6993"/>
    <w:rsid w:val="288051AE"/>
    <w:rsid w:val="28885E11"/>
    <w:rsid w:val="288B0074"/>
    <w:rsid w:val="288F719F"/>
    <w:rsid w:val="2890116A"/>
    <w:rsid w:val="28904CC6"/>
    <w:rsid w:val="289447B6"/>
    <w:rsid w:val="289522DC"/>
    <w:rsid w:val="28996270"/>
    <w:rsid w:val="289B1FE8"/>
    <w:rsid w:val="289B71F2"/>
    <w:rsid w:val="289C7B0E"/>
    <w:rsid w:val="28A95C6F"/>
    <w:rsid w:val="28AA3FD9"/>
    <w:rsid w:val="28AD3ACA"/>
    <w:rsid w:val="28AD5878"/>
    <w:rsid w:val="28B11632"/>
    <w:rsid w:val="28B210E0"/>
    <w:rsid w:val="28B416F4"/>
    <w:rsid w:val="28B66BE5"/>
    <w:rsid w:val="28B704A4"/>
    <w:rsid w:val="28B906C0"/>
    <w:rsid w:val="28B9246E"/>
    <w:rsid w:val="28BC5ABB"/>
    <w:rsid w:val="28C01A4F"/>
    <w:rsid w:val="28C11323"/>
    <w:rsid w:val="28C3509B"/>
    <w:rsid w:val="28C36E49"/>
    <w:rsid w:val="28C57065"/>
    <w:rsid w:val="28C606E7"/>
    <w:rsid w:val="28CA642A"/>
    <w:rsid w:val="28CF57EE"/>
    <w:rsid w:val="28D56B7C"/>
    <w:rsid w:val="28D63020"/>
    <w:rsid w:val="28D9666D"/>
    <w:rsid w:val="28DB23E5"/>
    <w:rsid w:val="28E15521"/>
    <w:rsid w:val="28E374EB"/>
    <w:rsid w:val="28E514B5"/>
    <w:rsid w:val="28E60D8A"/>
    <w:rsid w:val="28E76FDC"/>
    <w:rsid w:val="28E82D54"/>
    <w:rsid w:val="28EA087A"/>
    <w:rsid w:val="28EA2628"/>
    <w:rsid w:val="28ED036A"/>
    <w:rsid w:val="28ED2118"/>
    <w:rsid w:val="28EF7C3E"/>
    <w:rsid w:val="28F039B6"/>
    <w:rsid w:val="28F11C08"/>
    <w:rsid w:val="28F17E5A"/>
    <w:rsid w:val="28F9286B"/>
    <w:rsid w:val="28FB4835"/>
    <w:rsid w:val="29023E15"/>
    <w:rsid w:val="29037B8D"/>
    <w:rsid w:val="29086F52"/>
    <w:rsid w:val="290A2CCA"/>
    <w:rsid w:val="290A4A78"/>
    <w:rsid w:val="290D4568"/>
    <w:rsid w:val="290F02E0"/>
    <w:rsid w:val="290F208E"/>
    <w:rsid w:val="2916166F"/>
    <w:rsid w:val="291853E7"/>
    <w:rsid w:val="291B0A33"/>
    <w:rsid w:val="291C47AB"/>
    <w:rsid w:val="291D29FD"/>
    <w:rsid w:val="2920429C"/>
    <w:rsid w:val="29231FDE"/>
    <w:rsid w:val="292875F4"/>
    <w:rsid w:val="292D0766"/>
    <w:rsid w:val="292D173D"/>
    <w:rsid w:val="2939535D"/>
    <w:rsid w:val="293D6BFB"/>
    <w:rsid w:val="29424EDD"/>
    <w:rsid w:val="2942661E"/>
    <w:rsid w:val="294423CE"/>
    <w:rsid w:val="29453D02"/>
    <w:rsid w:val="29477A7A"/>
    <w:rsid w:val="2948584E"/>
    <w:rsid w:val="29491A44"/>
    <w:rsid w:val="294E0E09"/>
    <w:rsid w:val="294E6051"/>
    <w:rsid w:val="29514455"/>
    <w:rsid w:val="29567CBD"/>
    <w:rsid w:val="295E3016"/>
    <w:rsid w:val="295E4DC4"/>
    <w:rsid w:val="29606D8E"/>
    <w:rsid w:val="2964062C"/>
    <w:rsid w:val="296543A4"/>
    <w:rsid w:val="2967011C"/>
    <w:rsid w:val="296D5007"/>
    <w:rsid w:val="296E14AB"/>
    <w:rsid w:val="296F5223"/>
    <w:rsid w:val="296F6FD1"/>
    <w:rsid w:val="2973261D"/>
    <w:rsid w:val="29736AC1"/>
    <w:rsid w:val="297939AC"/>
    <w:rsid w:val="29804948"/>
    <w:rsid w:val="29826D04"/>
    <w:rsid w:val="29842A7C"/>
    <w:rsid w:val="2984482A"/>
    <w:rsid w:val="298505A2"/>
    <w:rsid w:val="29883BEF"/>
    <w:rsid w:val="29891E41"/>
    <w:rsid w:val="298A5BB9"/>
    <w:rsid w:val="298C36DF"/>
    <w:rsid w:val="298E7457"/>
    <w:rsid w:val="299627B0"/>
    <w:rsid w:val="2996455E"/>
    <w:rsid w:val="299A643C"/>
    <w:rsid w:val="299B1B74"/>
    <w:rsid w:val="299D58EC"/>
    <w:rsid w:val="29A44037"/>
    <w:rsid w:val="29A62DE6"/>
    <w:rsid w:val="29A749BD"/>
    <w:rsid w:val="29AE5D4B"/>
    <w:rsid w:val="29B449E4"/>
    <w:rsid w:val="29BA649E"/>
    <w:rsid w:val="29C235A5"/>
    <w:rsid w:val="29C70BBB"/>
    <w:rsid w:val="29D11A3A"/>
    <w:rsid w:val="29D37560"/>
    <w:rsid w:val="29D532D8"/>
    <w:rsid w:val="29D86924"/>
    <w:rsid w:val="29DD218D"/>
    <w:rsid w:val="29DF4157"/>
    <w:rsid w:val="29DF7CB3"/>
    <w:rsid w:val="29E11C7D"/>
    <w:rsid w:val="29E277A3"/>
    <w:rsid w:val="29E4351B"/>
    <w:rsid w:val="29E51041"/>
    <w:rsid w:val="29E928DF"/>
    <w:rsid w:val="29EA143F"/>
    <w:rsid w:val="29EF3C6E"/>
    <w:rsid w:val="29F01EC0"/>
    <w:rsid w:val="29F15C38"/>
    <w:rsid w:val="29F23E8A"/>
    <w:rsid w:val="29F47AC1"/>
    <w:rsid w:val="29F6324E"/>
    <w:rsid w:val="29F80D74"/>
    <w:rsid w:val="29F86FC6"/>
    <w:rsid w:val="29FA0F90"/>
    <w:rsid w:val="29FA2D3E"/>
    <w:rsid w:val="29FA3933"/>
    <w:rsid w:val="29FC6AB7"/>
    <w:rsid w:val="29FD45DD"/>
    <w:rsid w:val="29FF0355"/>
    <w:rsid w:val="2A021BF3"/>
    <w:rsid w:val="2A024C96"/>
    <w:rsid w:val="2A07545B"/>
    <w:rsid w:val="2A0C4820"/>
    <w:rsid w:val="2A0E0598"/>
    <w:rsid w:val="2A1262DA"/>
    <w:rsid w:val="2A151926"/>
    <w:rsid w:val="2A187669"/>
    <w:rsid w:val="2A1A0CEB"/>
    <w:rsid w:val="2A1A6F3D"/>
    <w:rsid w:val="2A1B43AD"/>
    <w:rsid w:val="2A2102CB"/>
    <w:rsid w:val="2A257690"/>
    <w:rsid w:val="2A27165A"/>
    <w:rsid w:val="2A2D4EC2"/>
    <w:rsid w:val="2A2E4796"/>
    <w:rsid w:val="2A3224D8"/>
    <w:rsid w:val="2A331DAD"/>
    <w:rsid w:val="2A351FC9"/>
    <w:rsid w:val="2A385615"/>
    <w:rsid w:val="2A41096D"/>
    <w:rsid w:val="2A4346E5"/>
    <w:rsid w:val="2A44045E"/>
    <w:rsid w:val="2A4B359A"/>
    <w:rsid w:val="2A4E308A"/>
    <w:rsid w:val="2A511217"/>
    <w:rsid w:val="2A5306A1"/>
    <w:rsid w:val="2A53244F"/>
    <w:rsid w:val="2A554419"/>
    <w:rsid w:val="2A570191"/>
    <w:rsid w:val="2A58434E"/>
    <w:rsid w:val="2A5A37DD"/>
    <w:rsid w:val="2A5A46B6"/>
    <w:rsid w:val="2A5A558B"/>
    <w:rsid w:val="2A5D507B"/>
    <w:rsid w:val="2A602AE0"/>
    <w:rsid w:val="2A614B6C"/>
    <w:rsid w:val="2A61691A"/>
    <w:rsid w:val="2A64465C"/>
    <w:rsid w:val="2A6A7EA4"/>
    <w:rsid w:val="2A6F1145"/>
    <w:rsid w:val="2A701253"/>
    <w:rsid w:val="2A77438F"/>
    <w:rsid w:val="2A7A3E7F"/>
    <w:rsid w:val="2A816FBC"/>
    <w:rsid w:val="2A830F86"/>
    <w:rsid w:val="2A8645D2"/>
    <w:rsid w:val="2A8A2314"/>
    <w:rsid w:val="2A8D1AFD"/>
    <w:rsid w:val="2A8E3487"/>
    <w:rsid w:val="2A946CEF"/>
    <w:rsid w:val="2A9F5694"/>
    <w:rsid w:val="2A9F7442"/>
    <w:rsid w:val="2AA131BA"/>
    <w:rsid w:val="2AA44A58"/>
    <w:rsid w:val="2AA64C74"/>
    <w:rsid w:val="2AAE58D7"/>
    <w:rsid w:val="2AB078A1"/>
    <w:rsid w:val="2AB8768A"/>
    <w:rsid w:val="2ABF7AE4"/>
    <w:rsid w:val="2AC33130"/>
    <w:rsid w:val="2AC86999"/>
    <w:rsid w:val="2ACA0963"/>
    <w:rsid w:val="2ACA2E70"/>
    <w:rsid w:val="2ACF5F79"/>
    <w:rsid w:val="2AD0584D"/>
    <w:rsid w:val="2AD27817"/>
    <w:rsid w:val="2AD6555A"/>
    <w:rsid w:val="2ADB461A"/>
    <w:rsid w:val="2ADE61BC"/>
    <w:rsid w:val="2ADE7F6A"/>
    <w:rsid w:val="2ADF3CE2"/>
    <w:rsid w:val="2AE16E34"/>
    <w:rsid w:val="2AE17A5A"/>
    <w:rsid w:val="2AE31A25"/>
    <w:rsid w:val="2AE5579D"/>
    <w:rsid w:val="2AE5754B"/>
    <w:rsid w:val="2AE82B97"/>
    <w:rsid w:val="2AEC6B2B"/>
    <w:rsid w:val="2AED63FF"/>
    <w:rsid w:val="2AF459E0"/>
    <w:rsid w:val="2AF53506"/>
    <w:rsid w:val="2AF7727E"/>
    <w:rsid w:val="2AF87F55"/>
    <w:rsid w:val="2AFA28CA"/>
    <w:rsid w:val="2AFB4FC0"/>
    <w:rsid w:val="2AFE23BA"/>
    <w:rsid w:val="2B006133"/>
    <w:rsid w:val="2B0379D1"/>
    <w:rsid w:val="2B065713"/>
    <w:rsid w:val="2B0674C1"/>
    <w:rsid w:val="2B084FE7"/>
    <w:rsid w:val="2B0A6FB1"/>
    <w:rsid w:val="2B147E30"/>
    <w:rsid w:val="2B1716CE"/>
    <w:rsid w:val="2B1971F4"/>
    <w:rsid w:val="2B2160A9"/>
    <w:rsid w:val="2B231E21"/>
    <w:rsid w:val="2B25203D"/>
    <w:rsid w:val="2B2D0EF2"/>
    <w:rsid w:val="2B2D2CA0"/>
    <w:rsid w:val="2B2D3A0D"/>
    <w:rsid w:val="2B2D4A4E"/>
    <w:rsid w:val="2B3163EF"/>
    <w:rsid w:val="2B33475A"/>
    <w:rsid w:val="2B361B54"/>
    <w:rsid w:val="2B3E4EAD"/>
    <w:rsid w:val="2B42499D"/>
    <w:rsid w:val="2B434271"/>
    <w:rsid w:val="2B446805"/>
    <w:rsid w:val="2B466771"/>
    <w:rsid w:val="2B520CDA"/>
    <w:rsid w:val="2B603075"/>
    <w:rsid w:val="2B633ADC"/>
    <w:rsid w:val="2B65068C"/>
    <w:rsid w:val="2B6568DD"/>
    <w:rsid w:val="2B66245D"/>
    <w:rsid w:val="2B6761B2"/>
    <w:rsid w:val="2B6A7A50"/>
    <w:rsid w:val="2B6C7C6C"/>
    <w:rsid w:val="2B6E5792"/>
    <w:rsid w:val="2B6F150A"/>
    <w:rsid w:val="2B6F5066"/>
    <w:rsid w:val="2B732DA8"/>
    <w:rsid w:val="2B77216D"/>
    <w:rsid w:val="2B7B1C5D"/>
    <w:rsid w:val="2B7D7783"/>
    <w:rsid w:val="2B7F799F"/>
    <w:rsid w:val="2B811F0D"/>
    <w:rsid w:val="2B822FEC"/>
    <w:rsid w:val="2B876854"/>
    <w:rsid w:val="2B8A1EA0"/>
    <w:rsid w:val="2B8C79C6"/>
    <w:rsid w:val="2B8D6D49"/>
    <w:rsid w:val="2B8F54CD"/>
    <w:rsid w:val="2B8F74B6"/>
    <w:rsid w:val="2B97636B"/>
    <w:rsid w:val="2B9920E3"/>
    <w:rsid w:val="2B9E76FA"/>
    <w:rsid w:val="2BA016C4"/>
    <w:rsid w:val="2BAA2542"/>
    <w:rsid w:val="2BAC62BA"/>
    <w:rsid w:val="2BAF1907"/>
    <w:rsid w:val="2BB62C95"/>
    <w:rsid w:val="2BB70874"/>
    <w:rsid w:val="2BB84C5F"/>
    <w:rsid w:val="2BB86A0D"/>
    <w:rsid w:val="2BBA09D7"/>
    <w:rsid w:val="2BBD4024"/>
    <w:rsid w:val="2BBE7D9C"/>
    <w:rsid w:val="2BC01D66"/>
    <w:rsid w:val="2BC52ED8"/>
    <w:rsid w:val="2BCC4267"/>
    <w:rsid w:val="2BD17ACF"/>
    <w:rsid w:val="2BD96984"/>
    <w:rsid w:val="2BDD0222"/>
    <w:rsid w:val="2BDF21EC"/>
    <w:rsid w:val="2BE05F64"/>
    <w:rsid w:val="2BE23A8A"/>
    <w:rsid w:val="2BE315B0"/>
    <w:rsid w:val="2BE45A54"/>
    <w:rsid w:val="2BE617CC"/>
    <w:rsid w:val="2BE772F2"/>
    <w:rsid w:val="2BE839B4"/>
    <w:rsid w:val="2BF043F9"/>
    <w:rsid w:val="2BF11F1F"/>
    <w:rsid w:val="2BF37A45"/>
    <w:rsid w:val="2BF437BD"/>
    <w:rsid w:val="2BF51A0F"/>
    <w:rsid w:val="2BF8374A"/>
    <w:rsid w:val="2BFA5278"/>
    <w:rsid w:val="2BFB4874"/>
    <w:rsid w:val="2BFC06E9"/>
    <w:rsid w:val="2BFD6B16"/>
    <w:rsid w:val="2BFF288E"/>
    <w:rsid w:val="2C0003B4"/>
    <w:rsid w:val="2C02237E"/>
    <w:rsid w:val="2C027C88"/>
    <w:rsid w:val="2C047EA4"/>
    <w:rsid w:val="2C057779"/>
    <w:rsid w:val="2C0E0D23"/>
    <w:rsid w:val="2C167BD8"/>
    <w:rsid w:val="2C1C51EE"/>
    <w:rsid w:val="2C1F4CDE"/>
    <w:rsid w:val="2C251BC9"/>
    <w:rsid w:val="2C274DE6"/>
    <w:rsid w:val="2C2A71DF"/>
    <w:rsid w:val="2C2B3683"/>
    <w:rsid w:val="2C2B5431"/>
    <w:rsid w:val="2C2C2F57"/>
    <w:rsid w:val="2C2C73FB"/>
    <w:rsid w:val="2C3342E6"/>
    <w:rsid w:val="2C35005E"/>
    <w:rsid w:val="2C35087A"/>
    <w:rsid w:val="2C365B84"/>
    <w:rsid w:val="2C372028"/>
    <w:rsid w:val="2C3A5674"/>
    <w:rsid w:val="2C3D5164"/>
    <w:rsid w:val="2C3F0EDD"/>
    <w:rsid w:val="2C3F2C8B"/>
    <w:rsid w:val="2C44430E"/>
    <w:rsid w:val="2C444745"/>
    <w:rsid w:val="2C464019"/>
    <w:rsid w:val="2C477D91"/>
    <w:rsid w:val="2C4958B7"/>
    <w:rsid w:val="2C4C53A8"/>
    <w:rsid w:val="2C55425C"/>
    <w:rsid w:val="2C5C1A8E"/>
    <w:rsid w:val="2C602C01"/>
    <w:rsid w:val="2C66290D"/>
    <w:rsid w:val="2C672279"/>
    <w:rsid w:val="2C673F8F"/>
    <w:rsid w:val="2C680433"/>
    <w:rsid w:val="2C695F59"/>
    <w:rsid w:val="2C7A0167"/>
    <w:rsid w:val="2C7C3EDF"/>
    <w:rsid w:val="2C7F39CF"/>
    <w:rsid w:val="2C840FE5"/>
    <w:rsid w:val="2C842D93"/>
    <w:rsid w:val="2C866B0B"/>
    <w:rsid w:val="2C8763E0"/>
    <w:rsid w:val="2C8B2374"/>
    <w:rsid w:val="2C8D1785"/>
    <w:rsid w:val="2C8D1C48"/>
    <w:rsid w:val="2C8E776E"/>
    <w:rsid w:val="2C934D84"/>
    <w:rsid w:val="2C9471D1"/>
    <w:rsid w:val="2C956D4E"/>
    <w:rsid w:val="2C972AC7"/>
    <w:rsid w:val="2C9805ED"/>
    <w:rsid w:val="2C994A91"/>
    <w:rsid w:val="2C9A4365"/>
    <w:rsid w:val="2C9B4E57"/>
    <w:rsid w:val="2C9C1E8B"/>
    <w:rsid w:val="2C9E20A7"/>
    <w:rsid w:val="2C9E37D8"/>
    <w:rsid w:val="2CA13945"/>
    <w:rsid w:val="2CA174A1"/>
    <w:rsid w:val="2CA60F5C"/>
    <w:rsid w:val="2CA84CD4"/>
    <w:rsid w:val="2CAB47C4"/>
    <w:rsid w:val="2CAD22EA"/>
    <w:rsid w:val="2CB2345D"/>
    <w:rsid w:val="2CB371D5"/>
    <w:rsid w:val="2CB43679"/>
    <w:rsid w:val="2CB52F4D"/>
    <w:rsid w:val="2CBA4A07"/>
    <w:rsid w:val="2CBE44F7"/>
    <w:rsid w:val="2CC15D95"/>
    <w:rsid w:val="2CC55886"/>
    <w:rsid w:val="2CC66F08"/>
    <w:rsid w:val="2CC70953"/>
    <w:rsid w:val="2CC82C80"/>
    <w:rsid w:val="2CCE400E"/>
    <w:rsid w:val="2CD21D51"/>
    <w:rsid w:val="2CD47877"/>
    <w:rsid w:val="2CD51841"/>
    <w:rsid w:val="2CD71115"/>
    <w:rsid w:val="2CD755B9"/>
    <w:rsid w:val="2CDA29B3"/>
    <w:rsid w:val="2CDD4252"/>
    <w:rsid w:val="2CE221BD"/>
    <w:rsid w:val="2CE43832"/>
    <w:rsid w:val="2CE51A84"/>
    <w:rsid w:val="2CE675AA"/>
    <w:rsid w:val="2CEA52EC"/>
    <w:rsid w:val="2CED6B8B"/>
    <w:rsid w:val="2CF03080"/>
    <w:rsid w:val="2CF25F4F"/>
    <w:rsid w:val="2CFC2D64"/>
    <w:rsid w:val="2CFE2B46"/>
    <w:rsid w:val="2D0004F6"/>
    <w:rsid w:val="2D001B1A"/>
    <w:rsid w:val="2D0143E4"/>
    <w:rsid w:val="2D016192"/>
    <w:rsid w:val="2D031F0A"/>
    <w:rsid w:val="2D085772"/>
    <w:rsid w:val="2D0A3299"/>
    <w:rsid w:val="2D0F08AF"/>
    <w:rsid w:val="2D0F4D53"/>
    <w:rsid w:val="2D1A7254"/>
    <w:rsid w:val="2D202ABC"/>
    <w:rsid w:val="2D241E80"/>
    <w:rsid w:val="2D26209C"/>
    <w:rsid w:val="2D287BC3"/>
    <w:rsid w:val="2D2B320F"/>
    <w:rsid w:val="2D2B7271"/>
    <w:rsid w:val="2D2D6F87"/>
    <w:rsid w:val="2D2F2CFF"/>
    <w:rsid w:val="2D300825"/>
    <w:rsid w:val="2D306A77"/>
    <w:rsid w:val="2D3622E0"/>
    <w:rsid w:val="2D376058"/>
    <w:rsid w:val="2D3D6F30"/>
    <w:rsid w:val="2D3E1194"/>
    <w:rsid w:val="2D3E73E6"/>
    <w:rsid w:val="2D410C84"/>
    <w:rsid w:val="2D412A32"/>
    <w:rsid w:val="2D430559"/>
    <w:rsid w:val="2D483DC1"/>
    <w:rsid w:val="2D4B565F"/>
    <w:rsid w:val="2D4F15F3"/>
    <w:rsid w:val="2D4F33A1"/>
    <w:rsid w:val="2D5269EE"/>
    <w:rsid w:val="2D546C0A"/>
    <w:rsid w:val="2D5704A8"/>
    <w:rsid w:val="2D572256"/>
    <w:rsid w:val="2D595FCE"/>
    <w:rsid w:val="2D5B3AF4"/>
    <w:rsid w:val="2D5B4C0F"/>
    <w:rsid w:val="2D60110A"/>
    <w:rsid w:val="2D6055AE"/>
    <w:rsid w:val="2D616C31"/>
    <w:rsid w:val="2D6230D5"/>
    <w:rsid w:val="2D630BFB"/>
    <w:rsid w:val="2D652BC5"/>
    <w:rsid w:val="2D656721"/>
    <w:rsid w:val="2D6A3D37"/>
    <w:rsid w:val="2D6E3085"/>
    <w:rsid w:val="2D6F134E"/>
    <w:rsid w:val="2D71156A"/>
    <w:rsid w:val="2D720E3E"/>
    <w:rsid w:val="2D766B80"/>
    <w:rsid w:val="2D7E3C87"/>
    <w:rsid w:val="2D870D8D"/>
    <w:rsid w:val="2D8A43D9"/>
    <w:rsid w:val="2D8C0151"/>
    <w:rsid w:val="2D9139BA"/>
    <w:rsid w:val="2D960FD0"/>
    <w:rsid w:val="2D9E60D7"/>
    <w:rsid w:val="2D9E7E85"/>
    <w:rsid w:val="2DA03BFD"/>
    <w:rsid w:val="2DA21723"/>
    <w:rsid w:val="2DA90D03"/>
    <w:rsid w:val="2DAA682A"/>
    <w:rsid w:val="2DB94CBF"/>
    <w:rsid w:val="2DBA2F11"/>
    <w:rsid w:val="2DC25921"/>
    <w:rsid w:val="2DC31699"/>
    <w:rsid w:val="2DC72F38"/>
    <w:rsid w:val="2DC84F02"/>
    <w:rsid w:val="2DCC054E"/>
    <w:rsid w:val="2DCC49F2"/>
    <w:rsid w:val="2DCF003E"/>
    <w:rsid w:val="2DD1025A"/>
    <w:rsid w:val="2DD35D80"/>
    <w:rsid w:val="2DD45655"/>
    <w:rsid w:val="2DD85145"/>
    <w:rsid w:val="2DDB2E87"/>
    <w:rsid w:val="2DE33AEA"/>
    <w:rsid w:val="2DEA131C"/>
    <w:rsid w:val="2DEC6E42"/>
    <w:rsid w:val="2DF31F7F"/>
    <w:rsid w:val="2DF61A6F"/>
    <w:rsid w:val="2DFD4BAB"/>
    <w:rsid w:val="2E051CB2"/>
    <w:rsid w:val="2E053A60"/>
    <w:rsid w:val="2E075A2A"/>
    <w:rsid w:val="2E0C6363"/>
    <w:rsid w:val="2E0E500A"/>
    <w:rsid w:val="2E114AFB"/>
    <w:rsid w:val="2E141EF5"/>
    <w:rsid w:val="2E150147"/>
    <w:rsid w:val="2E165C6D"/>
    <w:rsid w:val="2E1A1DF7"/>
    <w:rsid w:val="2E1A575D"/>
    <w:rsid w:val="2E1B3283"/>
    <w:rsid w:val="2E1F2D74"/>
    <w:rsid w:val="2E2760CC"/>
    <w:rsid w:val="2E2A34C6"/>
    <w:rsid w:val="2E2E2FB7"/>
    <w:rsid w:val="2E2F0632"/>
    <w:rsid w:val="2E2F42CE"/>
    <w:rsid w:val="2E312AA7"/>
    <w:rsid w:val="2E314855"/>
    <w:rsid w:val="2E385BE3"/>
    <w:rsid w:val="2E422F06"/>
    <w:rsid w:val="2E426A62"/>
    <w:rsid w:val="2E444588"/>
    <w:rsid w:val="2E4722CA"/>
    <w:rsid w:val="2E4839E5"/>
    <w:rsid w:val="2E4B3B69"/>
    <w:rsid w:val="2E4C78E1"/>
    <w:rsid w:val="2E4E3659"/>
    <w:rsid w:val="2E532A1D"/>
    <w:rsid w:val="2E5C3FC8"/>
    <w:rsid w:val="2E642E7C"/>
    <w:rsid w:val="2E652751"/>
    <w:rsid w:val="2E67296D"/>
    <w:rsid w:val="2E690493"/>
    <w:rsid w:val="2E6E3CFB"/>
    <w:rsid w:val="2E6E7857"/>
    <w:rsid w:val="2E7035CF"/>
    <w:rsid w:val="2E717347"/>
    <w:rsid w:val="2E731C15"/>
    <w:rsid w:val="2E756E38"/>
    <w:rsid w:val="2E7806D6"/>
    <w:rsid w:val="2E7F3812"/>
    <w:rsid w:val="2E8157DC"/>
    <w:rsid w:val="2E894691"/>
    <w:rsid w:val="2E953036"/>
    <w:rsid w:val="2E982B26"/>
    <w:rsid w:val="2E9848D4"/>
    <w:rsid w:val="2EA2688E"/>
    <w:rsid w:val="2EA414CB"/>
    <w:rsid w:val="2EA80461"/>
    <w:rsid w:val="2EA8720D"/>
    <w:rsid w:val="2EAA4699"/>
    <w:rsid w:val="2EAB2859"/>
    <w:rsid w:val="2EAB6E6A"/>
    <w:rsid w:val="2EAD65D1"/>
    <w:rsid w:val="2EB15996"/>
    <w:rsid w:val="2EB57234"/>
    <w:rsid w:val="2EB60CC4"/>
    <w:rsid w:val="2EBC6814"/>
    <w:rsid w:val="2EBD433B"/>
    <w:rsid w:val="2EC21951"/>
    <w:rsid w:val="2ECD0A22"/>
    <w:rsid w:val="2ECD27D0"/>
    <w:rsid w:val="2ECE479A"/>
    <w:rsid w:val="2ED82B84"/>
    <w:rsid w:val="2EE63891"/>
    <w:rsid w:val="2EE8585B"/>
    <w:rsid w:val="2EE93382"/>
    <w:rsid w:val="2EE95130"/>
    <w:rsid w:val="2EED10C4"/>
    <w:rsid w:val="2EF064BE"/>
    <w:rsid w:val="2EF20488"/>
    <w:rsid w:val="2EF574A4"/>
    <w:rsid w:val="2EF835C5"/>
    <w:rsid w:val="2EF97A69"/>
    <w:rsid w:val="2EFF6701"/>
    <w:rsid w:val="2F032695"/>
    <w:rsid w:val="2F063F34"/>
    <w:rsid w:val="2F0C4D22"/>
    <w:rsid w:val="2F0D5BDD"/>
    <w:rsid w:val="2F1C72B3"/>
    <w:rsid w:val="2F204FF5"/>
    <w:rsid w:val="2F236894"/>
    <w:rsid w:val="2F260132"/>
    <w:rsid w:val="2F266D26"/>
    <w:rsid w:val="2F2E6FE6"/>
    <w:rsid w:val="2F307202"/>
    <w:rsid w:val="2F340AA1"/>
    <w:rsid w:val="2F3445FD"/>
    <w:rsid w:val="2F370591"/>
    <w:rsid w:val="2F38663A"/>
    <w:rsid w:val="2F3A598B"/>
    <w:rsid w:val="2F3E547B"/>
    <w:rsid w:val="2F436F36"/>
    <w:rsid w:val="2F4A02C4"/>
    <w:rsid w:val="2F4F7689"/>
    <w:rsid w:val="2F566C69"/>
    <w:rsid w:val="2F594063"/>
    <w:rsid w:val="2F5C3B54"/>
    <w:rsid w:val="2F5E5B1E"/>
    <w:rsid w:val="2F5F53F2"/>
    <w:rsid w:val="2F601896"/>
    <w:rsid w:val="2F605776"/>
    <w:rsid w:val="2F631386"/>
    <w:rsid w:val="2F666780"/>
    <w:rsid w:val="2F67031E"/>
    <w:rsid w:val="2F68074A"/>
    <w:rsid w:val="2F6B3D97"/>
    <w:rsid w:val="2F6D3FB3"/>
    <w:rsid w:val="2F6F7D2B"/>
    <w:rsid w:val="2F717501"/>
    <w:rsid w:val="2F725125"/>
    <w:rsid w:val="2F74507C"/>
    <w:rsid w:val="2F7470EF"/>
    <w:rsid w:val="2F7610B9"/>
    <w:rsid w:val="2F76174D"/>
    <w:rsid w:val="2F762E67"/>
    <w:rsid w:val="2F7B222C"/>
    <w:rsid w:val="2F7E3ACA"/>
    <w:rsid w:val="2F7E7F6E"/>
    <w:rsid w:val="2F803CE6"/>
    <w:rsid w:val="2F805A94"/>
    <w:rsid w:val="2F807842"/>
    <w:rsid w:val="2F811BAB"/>
    <w:rsid w:val="2F825D66"/>
    <w:rsid w:val="2F920DA2"/>
    <w:rsid w:val="2F9B0B20"/>
    <w:rsid w:val="2F9E416C"/>
    <w:rsid w:val="2F9E7071"/>
    <w:rsid w:val="2FA07EE4"/>
    <w:rsid w:val="2FA23C5C"/>
    <w:rsid w:val="2FA63021"/>
    <w:rsid w:val="2FA66A7B"/>
    <w:rsid w:val="2FA67C14"/>
    <w:rsid w:val="2FAA2B11"/>
    <w:rsid w:val="2FAA48BF"/>
    <w:rsid w:val="2FAF45CB"/>
    <w:rsid w:val="2FB13E9F"/>
    <w:rsid w:val="2FB35E69"/>
    <w:rsid w:val="2FB7522E"/>
    <w:rsid w:val="2FBE480E"/>
    <w:rsid w:val="2FC040E2"/>
    <w:rsid w:val="2FC242FE"/>
    <w:rsid w:val="2FC64924"/>
    <w:rsid w:val="2FD162F0"/>
    <w:rsid w:val="2FD7142C"/>
    <w:rsid w:val="2FD8767E"/>
    <w:rsid w:val="2FD91648"/>
    <w:rsid w:val="2FDB0F1C"/>
    <w:rsid w:val="2FDD2EE6"/>
    <w:rsid w:val="2FDD4C94"/>
    <w:rsid w:val="2FE06533"/>
    <w:rsid w:val="2FE14059"/>
    <w:rsid w:val="2FED29FE"/>
    <w:rsid w:val="2FEE6EA1"/>
    <w:rsid w:val="2FEF2C1A"/>
    <w:rsid w:val="2FEF6776"/>
    <w:rsid w:val="2FF63A03"/>
    <w:rsid w:val="2FF7387C"/>
    <w:rsid w:val="2FF95846"/>
    <w:rsid w:val="2FFD5337"/>
    <w:rsid w:val="30006BD5"/>
    <w:rsid w:val="30010B15"/>
    <w:rsid w:val="300761B5"/>
    <w:rsid w:val="30085A89"/>
    <w:rsid w:val="300C7328"/>
    <w:rsid w:val="301461DC"/>
    <w:rsid w:val="30183F1E"/>
    <w:rsid w:val="30185CCC"/>
    <w:rsid w:val="301B57BD"/>
    <w:rsid w:val="301D7787"/>
    <w:rsid w:val="30201025"/>
    <w:rsid w:val="30204B81"/>
    <w:rsid w:val="302208F9"/>
    <w:rsid w:val="302E54F0"/>
    <w:rsid w:val="302F3016"/>
    <w:rsid w:val="30314FE0"/>
    <w:rsid w:val="3034062C"/>
    <w:rsid w:val="3034687E"/>
    <w:rsid w:val="303625F7"/>
    <w:rsid w:val="3038636F"/>
    <w:rsid w:val="30393E95"/>
    <w:rsid w:val="303C35C6"/>
    <w:rsid w:val="303E14AB"/>
    <w:rsid w:val="303F76FD"/>
    <w:rsid w:val="30420F9B"/>
    <w:rsid w:val="30470360"/>
    <w:rsid w:val="304940D8"/>
    <w:rsid w:val="304A60A2"/>
    <w:rsid w:val="304A7E50"/>
    <w:rsid w:val="304D122A"/>
    <w:rsid w:val="304E16EE"/>
    <w:rsid w:val="30515682"/>
    <w:rsid w:val="305D4027"/>
    <w:rsid w:val="305F7D9F"/>
    <w:rsid w:val="306453B6"/>
    <w:rsid w:val="30647164"/>
    <w:rsid w:val="306B04F2"/>
    <w:rsid w:val="306C6018"/>
    <w:rsid w:val="30711881"/>
    <w:rsid w:val="30782C0F"/>
    <w:rsid w:val="307849BD"/>
    <w:rsid w:val="307B44AD"/>
    <w:rsid w:val="307B625B"/>
    <w:rsid w:val="307D6477"/>
    <w:rsid w:val="307F7AFA"/>
    <w:rsid w:val="30817D16"/>
    <w:rsid w:val="308570DA"/>
    <w:rsid w:val="308710A4"/>
    <w:rsid w:val="30874C00"/>
    <w:rsid w:val="308C0468"/>
    <w:rsid w:val="30901D07"/>
    <w:rsid w:val="30913CD1"/>
    <w:rsid w:val="30915A7F"/>
    <w:rsid w:val="3095731D"/>
    <w:rsid w:val="30970232"/>
    <w:rsid w:val="309B06AC"/>
    <w:rsid w:val="309C4B4F"/>
    <w:rsid w:val="309C68FD"/>
    <w:rsid w:val="30A532D8"/>
    <w:rsid w:val="30A9101A"/>
    <w:rsid w:val="30AE4883"/>
    <w:rsid w:val="30B67293"/>
    <w:rsid w:val="30B74C4B"/>
    <w:rsid w:val="30BD0622"/>
    <w:rsid w:val="30BF083E"/>
    <w:rsid w:val="30C16364"/>
    <w:rsid w:val="30D51E0F"/>
    <w:rsid w:val="30D53BBD"/>
    <w:rsid w:val="30DC4F4C"/>
    <w:rsid w:val="30DD0CC4"/>
    <w:rsid w:val="30DD2A72"/>
    <w:rsid w:val="30E31097"/>
    <w:rsid w:val="30E43E01"/>
    <w:rsid w:val="30E725E9"/>
    <w:rsid w:val="30E81B43"/>
    <w:rsid w:val="30E91417"/>
    <w:rsid w:val="30EA6399"/>
    <w:rsid w:val="30EE2ED1"/>
    <w:rsid w:val="30F4201C"/>
    <w:rsid w:val="30FA1876"/>
    <w:rsid w:val="30FA3624"/>
    <w:rsid w:val="30FC739C"/>
    <w:rsid w:val="30FD4EC2"/>
    <w:rsid w:val="30FE335C"/>
    <w:rsid w:val="30FF6E8C"/>
    <w:rsid w:val="31012C04"/>
    <w:rsid w:val="310271F1"/>
    <w:rsid w:val="31061FC9"/>
    <w:rsid w:val="310B5831"/>
    <w:rsid w:val="31101099"/>
    <w:rsid w:val="311441D7"/>
    <w:rsid w:val="311566B0"/>
    <w:rsid w:val="31182B58"/>
    <w:rsid w:val="311A1F18"/>
    <w:rsid w:val="311F308B"/>
    <w:rsid w:val="31215DD3"/>
    <w:rsid w:val="312468F3"/>
    <w:rsid w:val="31271F3F"/>
    <w:rsid w:val="312D57A8"/>
    <w:rsid w:val="312E32CE"/>
    <w:rsid w:val="313B4368"/>
    <w:rsid w:val="313C1E8F"/>
    <w:rsid w:val="313C59EB"/>
    <w:rsid w:val="31413001"/>
    <w:rsid w:val="31422F43"/>
    <w:rsid w:val="31480833"/>
    <w:rsid w:val="314B20D2"/>
    <w:rsid w:val="314B3E80"/>
    <w:rsid w:val="31552F50"/>
    <w:rsid w:val="31554CFE"/>
    <w:rsid w:val="315C608D"/>
    <w:rsid w:val="315E1E05"/>
    <w:rsid w:val="315F792B"/>
    <w:rsid w:val="31615451"/>
    <w:rsid w:val="316339BD"/>
    <w:rsid w:val="3163741B"/>
    <w:rsid w:val="31682CA0"/>
    <w:rsid w:val="316B4522"/>
    <w:rsid w:val="316E7B6E"/>
    <w:rsid w:val="316F36A1"/>
    <w:rsid w:val="316F5DC0"/>
    <w:rsid w:val="31720046"/>
    <w:rsid w:val="31794E91"/>
    <w:rsid w:val="317E4255"/>
    <w:rsid w:val="318020A2"/>
    <w:rsid w:val="318850D4"/>
    <w:rsid w:val="318F6462"/>
    <w:rsid w:val="3196159F"/>
    <w:rsid w:val="31975317"/>
    <w:rsid w:val="31993D59"/>
    <w:rsid w:val="31A17F44"/>
    <w:rsid w:val="31A43590"/>
    <w:rsid w:val="31A517E2"/>
    <w:rsid w:val="31AB491E"/>
    <w:rsid w:val="31AD0696"/>
    <w:rsid w:val="31B1462B"/>
    <w:rsid w:val="31B71515"/>
    <w:rsid w:val="31B934DF"/>
    <w:rsid w:val="31BE7540"/>
    <w:rsid w:val="31C205E6"/>
    <w:rsid w:val="31C3435E"/>
    <w:rsid w:val="31C53C32"/>
    <w:rsid w:val="31C7024A"/>
    <w:rsid w:val="31C83722"/>
    <w:rsid w:val="31CD0D39"/>
    <w:rsid w:val="31CD2AE7"/>
    <w:rsid w:val="31CF685F"/>
    <w:rsid w:val="31D04385"/>
    <w:rsid w:val="31D200FD"/>
    <w:rsid w:val="31D9592F"/>
    <w:rsid w:val="31DB16A7"/>
    <w:rsid w:val="31DB7B50"/>
    <w:rsid w:val="31E00A6C"/>
    <w:rsid w:val="31E3230A"/>
    <w:rsid w:val="31E362E2"/>
    <w:rsid w:val="31EA3699"/>
    <w:rsid w:val="31EE13DB"/>
    <w:rsid w:val="31EF6F01"/>
    <w:rsid w:val="31F23206"/>
    <w:rsid w:val="31F77B64"/>
    <w:rsid w:val="31F91B2E"/>
    <w:rsid w:val="3201186B"/>
    <w:rsid w:val="32056724"/>
    <w:rsid w:val="32075FF9"/>
    <w:rsid w:val="320D7387"/>
    <w:rsid w:val="320E382B"/>
    <w:rsid w:val="320F75A3"/>
    <w:rsid w:val="32147273"/>
    <w:rsid w:val="32171FB4"/>
    <w:rsid w:val="3220530C"/>
    <w:rsid w:val="322272D6"/>
    <w:rsid w:val="32250B75"/>
    <w:rsid w:val="322F37A1"/>
    <w:rsid w:val="322F554F"/>
    <w:rsid w:val="322F72FD"/>
    <w:rsid w:val="32326DEE"/>
    <w:rsid w:val="323E5792"/>
    <w:rsid w:val="32454D73"/>
    <w:rsid w:val="32470AEB"/>
    <w:rsid w:val="32496611"/>
    <w:rsid w:val="324A2389"/>
    <w:rsid w:val="32546D64"/>
    <w:rsid w:val="326162E8"/>
    <w:rsid w:val="32625925"/>
    <w:rsid w:val="326351F9"/>
    <w:rsid w:val="32670A19"/>
    <w:rsid w:val="326E7E26"/>
    <w:rsid w:val="32792E2E"/>
    <w:rsid w:val="32794A1C"/>
    <w:rsid w:val="327D275F"/>
    <w:rsid w:val="327E2C3F"/>
    <w:rsid w:val="3286013B"/>
    <w:rsid w:val="32863FA2"/>
    <w:rsid w:val="328B3E16"/>
    <w:rsid w:val="3296737C"/>
    <w:rsid w:val="32977AF8"/>
    <w:rsid w:val="32992418"/>
    <w:rsid w:val="329F0927"/>
    <w:rsid w:val="32A4752B"/>
    <w:rsid w:val="32A55811"/>
    <w:rsid w:val="32AC4DF2"/>
    <w:rsid w:val="32AC6BA0"/>
    <w:rsid w:val="32AF043E"/>
    <w:rsid w:val="32B1065A"/>
    <w:rsid w:val="32B141B6"/>
    <w:rsid w:val="32B53CA7"/>
    <w:rsid w:val="32B75C71"/>
    <w:rsid w:val="32B819E9"/>
    <w:rsid w:val="32C57C62"/>
    <w:rsid w:val="32C65EB4"/>
    <w:rsid w:val="32C739DA"/>
    <w:rsid w:val="32D71E8C"/>
    <w:rsid w:val="32D81743"/>
    <w:rsid w:val="32DF11FF"/>
    <w:rsid w:val="32DF2AD1"/>
    <w:rsid w:val="32E225C2"/>
    <w:rsid w:val="32E3095D"/>
    <w:rsid w:val="32E60304"/>
    <w:rsid w:val="32E620B2"/>
    <w:rsid w:val="32EB1476"/>
    <w:rsid w:val="32EB3B6C"/>
    <w:rsid w:val="32F26CA9"/>
    <w:rsid w:val="32F56799"/>
    <w:rsid w:val="32F70262"/>
    <w:rsid w:val="32F80037"/>
    <w:rsid w:val="32F81DE5"/>
    <w:rsid w:val="32FA3DAF"/>
    <w:rsid w:val="33042538"/>
    <w:rsid w:val="33044C2E"/>
    <w:rsid w:val="330662B0"/>
    <w:rsid w:val="33077D57"/>
    <w:rsid w:val="33092244"/>
    <w:rsid w:val="330C5891"/>
    <w:rsid w:val="33152997"/>
    <w:rsid w:val="33154745"/>
    <w:rsid w:val="331C1F78"/>
    <w:rsid w:val="332350B4"/>
    <w:rsid w:val="33264BA4"/>
    <w:rsid w:val="33266952"/>
    <w:rsid w:val="33272AD6"/>
    <w:rsid w:val="332E2F02"/>
    <w:rsid w:val="33305A23"/>
    <w:rsid w:val="33324454"/>
    <w:rsid w:val="33354DE7"/>
    <w:rsid w:val="33386686"/>
    <w:rsid w:val="333F17C2"/>
    <w:rsid w:val="3341378C"/>
    <w:rsid w:val="3342592F"/>
    <w:rsid w:val="33435D4D"/>
    <w:rsid w:val="334B63B9"/>
    <w:rsid w:val="334D791B"/>
    <w:rsid w:val="3353526D"/>
    <w:rsid w:val="33596D28"/>
    <w:rsid w:val="335C6818"/>
    <w:rsid w:val="335E60EC"/>
    <w:rsid w:val="335F1E64"/>
    <w:rsid w:val="335F3C12"/>
    <w:rsid w:val="3361798A"/>
    <w:rsid w:val="3364747B"/>
    <w:rsid w:val="336631F3"/>
    <w:rsid w:val="336851BD"/>
    <w:rsid w:val="33694A91"/>
    <w:rsid w:val="33705E1F"/>
    <w:rsid w:val="337376BE"/>
    <w:rsid w:val="337551E4"/>
    <w:rsid w:val="33792F26"/>
    <w:rsid w:val="337F6063"/>
    <w:rsid w:val="3381002D"/>
    <w:rsid w:val="33857D5D"/>
    <w:rsid w:val="338673F1"/>
    <w:rsid w:val="33890C8F"/>
    <w:rsid w:val="338A5133"/>
    <w:rsid w:val="338B2C59"/>
    <w:rsid w:val="339064C2"/>
    <w:rsid w:val="33923FE8"/>
    <w:rsid w:val="33941B0E"/>
    <w:rsid w:val="33A06705"/>
    <w:rsid w:val="33A37FA3"/>
    <w:rsid w:val="33A87367"/>
    <w:rsid w:val="33AB32FB"/>
    <w:rsid w:val="33AD2BD0"/>
    <w:rsid w:val="33B26438"/>
    <w:rsid w:val="33B421B0"/>
    <w:rsid w:val="33B43F5E"/>
    <w:rsid w:val="33B57CD6"/>
    <w:rsid w:val="33B9293B"/>
    <w:rsid w:val="33BC1065"/>
    <w:rsid w:val="33C30645"/>
    <w:rsid w:val="33C61EE3"/>
    <w:rsid w:val="33CD5020"/>
    <w:rsid w:val="33CF0D98"/>
    <w:rsid w:val="33D740F0"/>
    <w:rsid w:val="33DB598F"/>
    <w:rsid w:val="33DC1707"/>
    <w:rsid w:val="33DE0FDB"/>
    <w:rsid w:val="33DF6B01"/>
    <w:rsid w:val="33E12879"/>
    <w:rsid w:val="33EA5BD2"/>
    <w:rsid w:val="33EA7980"/>
    <w:rsid w:val="33EB36F8"/>
    <w:rsid w:val="33EB6F0B"/>
    <w:rsid w:val="33ED121E"/>
    <w:rsid w:val="33EF4F96"/>
    <w:rsid w:val="33F055DB"/>
    <w:rsid w:val="33F24A86"/>
    <w:rsid w:val="33F3569D"/>
    <w:rsid w:val="33F97BC3"/>
    <w:rsid w:val="33FB7DDF"/>
    <w:rsid w:val="33FC76B3"/>
    <w:rsid w:val="33FE342B"/>
    <w:rsid w:val="34060532"/>
    <w:rsid w:val="340978C3"/>
    <w:rsid w:val="340A1DD0"/>
    <w:rsid w:val="340D366E"/>
    <w:rsid w:val="34106DC9"/>
    <w:rsid w:val="34120C85"/>
    <w:rsid w:val="34131D24"/>
    <w:rsid w:val="341B5D8B"/>
    <w:rsid w:val="341F1AE9"/>
    <w:rsid w:val="342015F4"/>
    <w:rsid w:val="34272982"/>
    <w:rsid w:val="342A4220"/>
    <w:rsid w:val="342B1D46"/>
    <w:rsid w:val="342F5CDB"/>
    <w:rsid w:val="3430573E"/>
    <w:rsid w:val="34313801"/>
    <w:rsid w:val="34337579"/>
    <w:rsid w:val="34426EE0"/>
    <w:rsid w:val="344352E2"/>
    <w:rsid w:val="3444697A"/>
    <w:rsid w:val="34476B80"/>
    <w:rsid w:val="344828F8"/>
    <w:rsid w:val="34496D9C"/>
    <w:rsid w:val="344A6670"/>
    <w:rsid w:val="34545741"/>
    <w:rsid w:val="34563267"/>
    <w:rsid w:val="34565015"/>
    <w:rsid w:val="34580D8D"/>
    <w:rsid w:val="345968B4"/>
    <w:rsid w:val="345B1D3C"/>
    <w:rsid w:val="345C05FB"/>
    <w:rsid w:val="345D2848"/>
    <w:rsid w:val="346040E6"/>
    <w:rsid w:val="34605E94"/>
    <w:rsid w:val="346516FC"/>
    <w:rsid w:val="34670FD0"/>
    <w:rsid w:val="346C65E7"/>
    <w:rsid w:val="34713BFD"/>
    <w:rsid w:val="34727975"/>
    <w:rsid w:val="34733E19"/>
    <w:rsid w:val="3474193F"/>
    <w:rsid w:val="347D6A46"/>
    <w:rsid w:val="34831B82"/>
    <w:rsid w:val="348558FB"/>
    <w:rsid w:val="348B76D9"/>
    <w:rsid w:val="348C4FA4"/>
    <w:rsid w:val="348E0C53"/>
    <w:rsid w:val="348F6779"/>
    <w:rsid w:val="349124F1"/>
    <w:rsid w:val="3491429F"/>
    <w:rsid w:val="3491604D"/>
    <w:rsid w:val="34945B3E"/>
    <w:rsid w:val="3498562E"/>
    <w:rsid w:val="349B3370"/>
    <w:rsid w:val="349D2C44"/>
    <w:rsid w:val="349D49F2"/>
    <w:rsid w:val="349E2F7E"/>
    <w:rsid w:val="34A22009"/>
    <w:rsid w:val="34A42225"/>
    <w:rsid w:val="34B14942"/>
    <w:rsid w:val="34B32468"/>
    <w:rsid w:val="34BA06FF"/>
    <w:rsid w:val="34BD5094"/>
    <w:rsid w:val="34BD6E42"/>
    <w:rsid w:val="34C208FD"/>
    <w:rsid w:val="34C5219B"/>
    <w:rsid w:val="34C53F49"/>
    <w:rsid w:val="34C603ED"/>
    <w:rsid w:val="34C71A6F"/>
    <w:rsid w:val="34C77CC1"/>
    <w:rsid w:val="34C957E7"/>
    <w:rsid w:val="34CB5A03"/>
    <w:rsid w:val="34D36666"/>
    <w:rsid w:val="34D61C7F"/>
    <w:rsid w:val="34D67F04"/>
    <w:rsid w:val="34DA79F4"/>
    <w:rsid w:val="34DB1A90"/>
    <w:rsid w:val="34DD5737"/>
    <w:rsid w:val="34E02B31"/>
    <w:rsid w:val="34E15227"/>
    <w:rsid w:val="34E16D92"/>
    <w:rsid w:val="34E42621"/>
    <w:rsid w:val="34E46AC5"/>
    <w:rsid w:val="34E55713"/>
    <w:rsid w:val="34E70363"/>
    <w:rsid w:val="34E95E89"/>
    <w:rsid w:val="34EC597A"/>
    <w:rsid w:val="34EE16F2"/>
    <w:rsid w:val="34EF6DCD"/>
    <w:rsid w:val="34F07A5F"/>
    <w:rsid w:val="34F52A80"/>
    <w:rsid w:val="34FA1E45"/>
    <w:rsid w:val="34FD36E3"/>
    <w:rsid w:val="35011425"/>
    <w:rsid w:val="35020CF9"/>
    <w:rsid w:val="35070AAD"/>
    <w:rsid w:val="35076310"/>
    <w:rsid w:val="3509652C"/>
    <w:rsid w:val="3509656F"/>
    <w:rsid w:val="350C3926"/>
    <w:rsid w:val="350C7DCA"/>
    <w:rsid w:val="350E58F0"/>
    <w:rsid w:val="351078BA"/>
    <w:rsid w:val="35134CB4"/>
    <w:rsid w:val="35154ED0"/>
    <w:rsid w:val="351729F7"/>
    <w:rsid w:val="35186A4E"/>
    <w:rsid w:val="351D5B33"/>
    <w:rsid w:val="351F5D4F"/>
    <w:rsid w:val="35215623"/>
    <w:rsid w:val="352549E8"/>
    <w:rsid w:val="35325A82"/>
    <w:rsid w:val="35327BBE"/>
    <w:rsid w:val="3538296D"/>
    <w:rsid w:val="353A66E5"/>
    <w:rsid w:val="353A7DC6"/>
    <w:rsid w:val="35414B78"/>
    <w:rsid w:val="3546508A"/>
    <w:rsid w:val="35466E38"/>
    <w:rsid w:val="354873D0"/>
    <w:rsid w:val="35507CB7"/>
    <w:rsid w:val="35521C81"/>
    <w:rsid w:val="35523A2F"/>
    <w:rsid w:val="355377A7"/>
    <w:rsid w:val="355C665B"/>
    <w:rsid w:val="355F7EFA"/>
    <w:rsid w:val="356419B4"/>
    <w:rsid w:val="35696FCA"/>
    <w:rsid w:val="35700359"/>
    <w:rsid w:val="35780FBB"/>
    <w:rsid w:val="3578170C"/>
    <w:rsid w:val="357D65D2"/>
    <w:rsid w:val="35814314"/>
    <w:rsid w:val="35867B7C"/>
    <w:rsid w:val="358D0F0B"/>
    <w:rsid w:val="358D4A67"/>
    <w:rsid w:val="358F4C83"/>
    <w:rsid w:val="35902FF5"/>
    <w:rsid w:val="359758E5"/>
    <w:rsid w:val="359A4DCA"/>
    <w:rsid w:val="359A7184"/>
    <w:rsid w:val="359E6C74"/>
    <w:rsid w:val="35B04BF9"/>
    <w:rsid w:val="35B30245"/>
    <w:rsid w:val="35B9585C"/>
    <w:rsid w:val="35C30488"/>
    <w:rsid w:val="35C3492C"/>
    <w:rsid w:val="35C366DA"/>
    <w:rsid w:val="35C91817"/>
    <w:rsid w:val="35CB1A33"/>
    <w:rsid w:val="35CB37E1"/>
    <w:rsid w:val="35CB558F"/>
    <w:rsid w:val="35CD57AB"/>
    <w:rsid w:val="35CF1523"/>
    <w:rsid w:val="35CF507F"/>
    <w:rsid w:val="35D501BC"/>
    <w:rsid w:val="35D73F34"/>
    <w:rsid w:val="35D741FC"/>
    <w:rsid w:val="35D95EFE"/>
    <w:rsid w:val="35DA3A24"/>
    <w:rsid w:val="35DC779C"/>
    <w:rsid w:val="35DE3514"/>
    <w:rsid w:val="35DF103A"/>
    <w:rsid w:val="35E36D7D"/>
    <w:rsid w:val="35E46651"/>
    <w:rsid w:val="35E548A3"/>
    <w:rsid w:val="35EA010B"/>
    <w:rsid w:val="35EA1EB9"/>
    <w:rsid w:val="35EB79DF"/>
    <w:rsid w:val="35ED7BFB"/>
    <w:rsid w:val="35F42D38"/>
    <w:rsid w:val="36070589"/>
    <w:rsid w:val="36070CBD"/>
    <w:rsid w:val="360B0081"/>
    <w:rsid w:val="36140CE4"/>
    <w:rsid w:val="3619279E"/>
    <w:rsid w:val="361C403D"/>
    <w:rsid w:val="361C5DEB"/>
    <w:rsid w:val="361E1B63"/>
    <w:rsid w:val="36201D7F"/>
    <w:rsid w:val="362058DB"/>
    <w:rsid w:val="3621689F"/>
    <w:rsid w:val="36274EBB"/>
    <w:rsid w:val="362829E1"/>
    <w:rsid w:val="362A675A"/>
    <w:rsid w:val="362C0724"/>
    <w:rsid w:val="362D624A"/>
    <w:rsid w:val="36301896"/>
    <w:rsid w:val="36323860"/>
    <w:rsid w:val="3632560E"/>
    <w:rsid w:val="36341386"/>
    <w:rsid w:val="363650FE"/>
    <w:rsid w:val="36383696"/>
    <w:rsid w:val="36394BEF"/>
    <w:rsid w:val="364610BA"/>
    <w:rsid w:val="364C2B74"/>
    <w:rsid w:val="364C66D0"/>
    <w:rsid w:val="364D4530"/>
    <w:rsid w:val="364F4412"/>
    <w:rsid w:val="36527A5E"/>
    <w:rsid w:val="36581519"/>
    <w:rsid w:val="3660217B"/>
    <w:rsid w:val="36625EF3"/>
    <w:rsid w:val="36695095"/>
    <w:rsid w:val="366C0B20"/>
    <w:rsid w:val="366C4FC4"/>
    <w:rsid w:val="366F0610"/>
    <w:rsid w:val="366F0F07"/>
    <w:rsid w:val="366F23BE"/>
    <w:rsid w:val="367125DA"/>
    <w:rsid w:val="36714388"/>
    <w:rsid w:val="36722144"/>
    <w:rsid w:val="3676374D"/>
    <w:rsid w:val="367D2D2D"/>
    <w:rsid w:val="36841C9D"/>
    <w:rsid w:val="36853990"/>
    <w:rsid w:val="368E4F3A"/>
    <w:rsid w:val="36914A2B"/>
    <w:rsid w:val="369242A1"/>
    <w:rsid w:val="36962041"/>
    <w:rsid w:val="36987B67"/>
    <w:rsid w:val="369B7657"/>
    <w:rsid w:val="36A007CA"/>
    <w:rsid w:val="36A05164"/>
    <w:rsid w:val="36A06A1C"/>
    <w:rsid w:val="36A111C5"/>
    <w:rsid w:val="36AE1139"/>
    <w:rsid w:val="36B50719"/>
    <w:rsid w:val="36B97ADD"/>
    <w:rsid w:val="36BB1AA7"/>
    <w:rsid w:val="36BB3856"/>
    <w:rsid w:val="36C00E6C"/>
    <w:rsid w:val="36C02C1A"/>
    <w:rsid w:val="36C26992"/>
    <w:rsid w:val="36C46BAE"/>
    <w:rsid w:val="36C56482"/>
    <w:rsid w:val="36C61A50"/>
    <w:rsid w:val="36C941C4"/>
    <w:rsid w:val="36C95F72"/>
    <w:rsid w:val="36C97D20"/>
    <w:rsid w:val="36CF7301"/>
    <w:rsid w:val="36D13079"/>
    <w:rsid w:val="36D3294D"/>
    <w:rsid w:val="36D36DF1"/>
    <w:rsid w:val="36DA1F2E"/>
    <w:rsid w:val="36E0506A"/>
    <w:rsid w:val="36E54FD9"/>
    <w:rsid w:val="36E70D89"/>
    <w:rsid w:val="36E7289C"/>
    <w:rsid w:val="36E763F9"/>
    <w:rsid w:val="36EF52AD"/>
    <w:rsid w:val="36F01751"/>
    <w:rsid w:val="36F17277"/>
    <w:rsid w:val="36F32FEF"/>
    <w:rsid w:val="36F40B16"/>
    <w:rsid w:val="36FF1994"/>
    <w:rsid w:val="37021484"/>
    <w:rsid w:val="37022D60"/>
    <w:rsid w:val="370276D6"/>
    <w:rsid w:val="37052D23"/>
    <w:rsid w:val="37060F75"/>
    <w:rsid w:val="370B658B"/>
    <w:rsid w:val="370E1BD7"/>
    <w:rsid w:val="37164F30"/>
    <w:rsid w:val="37182A56"/>
    <w:rsid w:val="371B42F4"/>
    <w:rsid w:val="371C0798"/>
    <w:rsid w:val="37213AEB"/>
    <w:rsid w:val="3723640B"/>
    <w:rsid w:val="37240FDC"/>
    <w:rsid w:val="37270EEB"/>
    <w:rsid w:val="37272C99"/>
    <w:rsid w:val="372E04CB"/>
    <w:rsid w:val="37335AE2"/>
    <w:rsid w:val="37337890"/>
    <w:rsid w:val="37362EDC"/>
    <w:rsid w:val="373830F8"/>
    <w:rsid w:val="373B04F2"/>
    <w:rsid w:val="373D24BC"/>
    <w:rsid w:val="373D426B"/>
    <w:rsid w:val="3744384B"/>
    <w:rsid w:val="3747333B"/>
    <w:rsid w:val="374B4BD9"/>
    <w:rsid w:val="374E46CA"/>
    <w:rsid w:val="375021F0"/>
    <w:rsid w:val="37531CE0"/>
    <w:rsid w:val="3757357E"/>
    <w:rsid w:val="3759480E"/>
    <w:rsid w:val="375A306E"/>
    <w:rsid w:val="375F2433"/>
    <w:rsid w:val="375F3A8C"/>
    <w:rsid w:val="37647A49"/>
    <w:rsid w:val="376712E7"/>
    <w:rsid w:val="376B0DD8"/>
    <w:rsid w:val="37702892"/>
    <w:rsid w:val="3776777C"/>
    <w:rsid w:val="377759CE"/>
    <w:rsid w:val="3778539F"/>
    <w:rsid w:val="377A101B"/>
    <w:rsid w:val="377A54BF"/>
    <w:rsid w:val="377A726D"/>
    <w:rsid w:val="377D6D5D"/>
    <w:rsid w:val="377E4FAF"/>
    <w:rsid w:val="377F4883"/>
    <w:rsid w:val="3781684D"/>
    <w:rsid w:val="3787198A"/>
    <w:rsid w:val="378974B0"/>
    <w:rsid w:val="37906A90"/>
    <w:rsid w:val="37924A02"/>
    <w:rsid w:val="37991DE9"/>
    <w:rsid w:val="379A16BD"/>
    <w:rsid w:val="37A10C9D"/>
    <w:rsid w:val="37A147F9"/>
    <w:rsid w:val="37A20571"/>
    <w:rsid w:val="37AC319E"/>
    <w:rsid w:val="37AF33BA"/>
    <w:rsid w:val="37B02C8E"/>
    <w:rsid w:val="37B41CB5"/>
    <w:rsid w:val="37B660B6"/>
    <w:rsid w:val="37B87D95"/>
    <w:rsid w:val="37BC7885"/>
    <w:rsid w:val="37BD1ED8"/>
    <w:rsid w:val="37BE2D67"/>
    <w:rsid w:val="37C01999"/>
    <w:rsid w:val="37C4498C"/>
    <w:rsid w:val="37C64260"/>
    <w:rsid w:val="37C91FA2"/>
    <w:rsid w:val="37C97C00"/>
    <w:rsid w:val="37D03331"/>
    <w:rsid w:val="37D050DF"/>
    <w:rsid w:val="37D7646D"/>
    <w:rsid w:val="37D90437"/>
    <w:rsid w:val="37DD15AA"/>
    <w:rsid w:val="37E76EBA"/>
    <w:rsid w:val="37E868CC"/>
    <w:rsid w:val="37EA2644"/>
    <w:rsid w:val="37EB016A"/>
    <w:rsid w:val="37ED3EE3"/>
    <w:rsid w:val="37EE37B7"/>
    <w:rsid w:val="37F039D3"/>
    <w:rsid w:val="37F05781"/>
    <w:rsid w:val="37F34577"/>
    <w:rsid w:val="37F60FE9"/>
    <w:rsid w:val="37FE39FA"/>
    <w:rsid w:val="37FF59C4"/>
    <w:rsid w:val="37FF7772"/>
    <w:rsid w:val="38003C16"/>
    <w:rsid w:val="3801798E"/>
    <w:rsid w:val="38060B00"/>
    <w:rsid w:val="380729ED"/>
    <w:rsid w:val="38080D1C"/>
    <w:rsid w:val="380B6117"/>
    <w:rsid w:val="380D1E8F"/>
    <w:rsid w:val="380D6333"/>
    <w:rsid w:val="3814146F"/>
    <w:rsid w:val="38170F5F"/>
    <w:rsid w:val="381750B3"/>
    <w:rsid w:val="38176EB9"/>
    <w:rsid w:val="381C20D2"/>
    <w:rsid w:val="381F1BC2"/>
    <w:rsid w:val="38211DDE"/>
    <w:rsid w:val="382316B2"/>
    <w:rsid w:val="3825367C"/>
    <w:rsid w:val="382B0567"/>
    <w:rsid w:val="382D4708"/>
    <w:rsid w:val="382D642F"/>
    <w:rsid w:val="382F62A9"/>
    <w:rsid w:val="3836588A"/>
    <w:rsid w:val="383C09C6"/>
    <w:rsid w:val="384004B6"/>
    <w:rsid w:val="38415FDC"/>
    <w:rsid w:val="3845787B"/>
    <w:rsid w:val="384855BD"/>
    <w:rsid w:val="384D2BD3"/>
    <w:rsid w:val="384D4981"/>
    <w:rsid w:val="38507FCD"/>
    <w:rsid w:val="38547ABE"/>
    <w:rsid w:val="385950D4"/>
    <w:rsid w:val="385C2E16"/>
    <w:rsid w:val="385E6B8E"/>
    <w:rsid w:val="3862042D"/>
    <w:rsid w:val="38653A79"/>
    <w:rsid w:val="3870241E"/>
    <w:rsid w:val="38746E9D"/>
    <w:rsid w:val="38776F5F"/>
    <w:rsid w:val="38795776"/>
    <w:rsid w:val="387B14EE"/>
    <w:rsid w:val="38806B05"/>
    <w:rsid w:val="38832151"/>
    <w:rsid w:val="38855EC9"/>
    <w:rsid w:val="38877E93"/>
    <w:rsid w:val="388867A3"/>
    <w:rsid w:val="388F4F9A"/>
    <w:rsid w:val="38966328"/>
    <w:rsid w:val="38991974"/>
    <w:rsid w:val="389B393F"/>
    <w:rsid w:val="389B749B"/>
    <w:rsid w:val="389E6F8B"/>
    <w:rsid w:val="38A04AB1"/>
    <w:rsid w:val="38A24CCD"/>
    <w:rsid w:val="38A50319"/>
    <w:rsid w:val="38A5656B"/>
    <w:rsid w:val="38A9721D"/>
    <w:rsid w:val="38AA5930"/>
    <w:rsid w:val="38AC5B4C"/>
    <w:rsid w:val="38AE3672"/>
    <w:rsid w:val="38B13162"/>
    <w:rsid w:val="38B16CBE"/>
    <w:rsid w:val="38B30C88"/>
    <w:rsid w:val="38B7004D"/>
    <w:rsid w:val="38B727A6"/>
    <w:rsid w:val="38B8629F"/>
    <w:rsid w:val="38B92017"/>
    <w:rsid w:val="38BE13DB"/>
    <w:rsid w:val="38C34C43"/>
    <w:rsid w:val="38C43E25"/>
    <w:rsid w:val="38C509BB"/>
    <w:rsid w:val="38C8225A"/>
    <w:rsid w:val="38CA5FD2"/>
    <w:rsid w:val="38CC7F9C"/>
    <w:rsid w:val="38CE7AA8"/>
    <w:rsid w:val="38D46E50"/>
    <w:rsid w:val="38D86941"/>
    <w:rsid w:val="38D97FC3"/>
    <w:rsid w:val="38DD5D05"/>
    <w:rsid w:val="38DE55D9"/>
    <w:rsid w:val="38DF7CCF"/>
    <w:rsid w:val="38E075A3"/>
    <w:rsid w:val="38E452E6"/>
    <w:rsid w:val="38E52E0C"/>
    <w:rsid w:val="38E54BBA"/>
    <w:rsid w:val="38EA6674"/>
    <w:rsid w:val="38EC5F48"/>
    <w:rsid w:val="38EE7F12"/>
    <w:rsid w:val="38EF77E6"/>
    <w:rsid w:val="38F34FAE"/>
    <w:rsid w:val="38F4304F"/>
    <w:rsid w:val="39070FD4"/>
    <w:rsid w:val="39095129"/>
    <w:rsid w:val="390E5EBF"/>
    <w:rsid w:val="391060DB"/>
    <w:rsid w:val="39111E53"/>
    <w:rsid w:val="39137979"/>
    <w:rsid w:val="3914549F"/>
    <w:rsid w:val="39161217"/>
    <w:rsid w:val="39180AEB"/>
    <w:rsid w:val="3928041C"/>
    <w:rsid w:val="39311BAD"/>
    <w:rsid w:val="3934169D"/>
    <w:rsid w:val="393618B9"/>
    <w:rsid w:val="393F076E"/>
    <w:rsid w:val="3942200C"/>
    <w:rsid w:val="39477622"/>
    <w:rsid w:val="39495149"/>
    <w:rsid w:val="394C69E7"/>
    <w:rsid w:val="395104A1"/>
    <w:rsid w:val="39565AB7"/>
    <w:rsid w:val="395835DE"/>
    <w:rsid w:val="3958538C"/>
    <w:rsid w:val="395A55A8"/>
    <w:rsid w:val="395A7356"/>
    <w:rsid w:val="395B4E7C"/>
    <w:rsid w:val="395E033E"/>
    <w:rsid w:val="395F496C"/>
    <w:rsid w:val="39671A73"/>
    <w:rsid w:val="39691347"/>
    <w:rsid w:val="39693A3D"/>
    <w:rsid w:val="396C5956"/>
    <w:rsid w:val="396E1053"/>
    <w:rsid w:val="396F26D5"/>
    <w:rsid w:val="39730417"/>
    <w:rsid w:val="397F0222"/>
    <w:rsid w:val="39810D86"/>
    <w:rsid w:val="398268AC"/>
    <w:rsid w:val="398919E9"/>
    <w:rsid w:val="39897C3B"/>
    <w:rsid w:val="398B5761"/>
    <w:rsid w:val="398E34A3"/>
    <w:rsid w:val="39932868"/>
    <w:rsid w:val="39981C2C"/>
    <w:rsid w:val="399A3BF6"/>
    <w:rsid w:val="399A59A4"/>
    <w:rsid w:val="39A46823"/>
    <w:rsid w:val="39A70A4C"/>
    <w:rsid w:val="39A81897"/>
    <w:rsid w:val="39A84565"/>
    <w:rsid w:val="39AB5E03"/>
    <w:rsid w:val="39AD3929"/>
    <w:rsid w:val="39AE76A2"/>
    <w:rsid w:val="39B32F0A"/>
    <w:rsid w:val="39B34CB8"/>
    <w:rsid w:val="39B527DE"/>
    <w:rsid w:val="39B5458C"/>
    <w:rsid w:val="39B60304"/>
    <w:rsid w:val="39B822CE"/>
    <w:rsid w:val="39BF365D"/>
    <w:rsid w:val="39C11183"/>
    <w:rsid w:val="39C42A21"/>
    <w:rsid w:val="39C649EB"/>
    <w:rsid w:val="39C96289"/>
    <w:rsid w:val="39CB0253"/>
    <w:rsid w:val="39D92970"/>
    <w:rsid w:val="39DE7F87"/>
    <w:rsid w:val="39E210F9"/>
    <w:rsid w:val="39E3559D"/>
    <w:rsid w:val="39E430C3"/>
    <w:rsid w:val="39E82BB3"/>
    <w:rsid w:val="39E84962"/>
    <w:rsid w:val="39EB26A4"/>
    <w:rsid w:val="39EF3F42"/>
    <w:rsid w:val="39F26FE1"/>
    <w:rsid w:val="39F33306"/>
    <w:rsid w:val="39F50E2C"/>
    <w:rsid w:val="39F727BE"/>
    <w:rsid w:val="39F74BA5"/>
    <w:rsid w:val="39F96B6F"/>
    <w:rsid w:val="3A074E84"/>
    <w:rsid w:val="3A0E1EEE"/>
    <w:rsid w:val="3A0F6392"/>
    <w:rsid w:val="3A103EB8"/>
    <w:rsid w:val="3A157721"/>
    <w:rsid w:val="3A202E5A"/>
    <w:rsid w:val="3A231E3E"/>
    <w:rsid w:val="3A25040D"/>
    <w:rsid w:val="3A2636DC"/>
    <w:rsid w:val="3A2B0CF2"/>
    <w:rsid w:val="3A2D05C6"/>
    <w:rsid w:val="3A2E433E"/>
    <w:rsid w:val="3A3000B7"/>
    <w:rsid w:val="3A323E2F"/>
    <w:rsid w:val="3A325BDD"/>
    <w:rsid w:val="3A3556CD"/>
    <w:rsid w:val="3A3667C1"/>
    <w:rsid w:val="3A3B7187"/>
    <w:rsid w:val="3A3E7C39"/>
    <w:rsid w:val="3A3F654C"/>
    <w:rsid w:val="3A4678DA"/>
    <w:rsid w:val="3A4B3142"/>
    <w:rsid w:val="3A4D6EBA"/>
    <w:rsid w:val="3A4F2C33"/>
    <w:rsid w:val="3A52002D"/>
    <w:rsid w:val="3A541FF7"/>
    <w:rsid w:val="3A555D6F"/>
    <w:rsid w:val="3A612966"/>
    <w:rsid w:val="3A6A67D9"/>
    <w:rsid w:val="3A6D4E67"/>
    <w:rsid w:val="3A751F6D"/>
    <w:rsid w:val="3A763C53"/>
    <w:rsid w:val="3A797CAF"/>
    <w:rsid w:val="3A7A7584"/>
    <w:rsid w:val="3A7D77A0"/>
    <w:rsid w:val="3A813937"/>
    <w:rsid w:val="3A887EF3"/>
    <w:rsid w:val="3A8A3C6B"/>
    <w:rsid w:val="3A8B353F"/>
    <w:rsid w:val="3A900B55"/>
    <w:rsid w:val="3A920D71"/>
    <w:rsid w:val="3A970136"/>
    <w:rsid w:val="3A981180"/>
    <w:rsid w:val="3A9E14C4"/>
    <w:rsid w:val="3AA52853"/>
    <w:rsid w:val="3AA60379"/>
    <w:rsid w:val="3AA615F1"/>
    <w:rsid w:val="3AAC3BE1"/>
    <w:rsid w:val="3AB17449"/>
    <w:rsid w:val="3AB42A96"/>
    <w:rsid w:val="3AB605BC"/>
    <w:rsid w:val="3AB6680E"/>
    <w:rsid w:val="3ABE1B66"/>
    <w:rsid w:val="3AC058DE"/>
    <w:rsid w:val="3AC23405"/>
    <w:rsid w:val="3AC32CD9"/>
    <w:rsid w:val="3AC70A1B"/>
    <w:rsid w:val="3ACA4067"/>
    <w:rsid w:val="3ACC7DDF"/>
    <w:rsid w:val="3AD273C0"/>
    <w:rsid w:val="3ADB0022"/>
    <w:rsid w:val="3ADB6274"/>
    <w:rsid w:val="3ADD023E"/>
    <w:rsid w:val="3ADE02F2"/>
    <w:rsid w:val="3ADE09A9"/>
    <w:rsid w:val="3AE0388B"/>
    <w:rsid w:val="3AE42A23"/>
    <w:rsid w:val="3AE570F3"/>
    <w:rsid w:val="3AE710BD"/>
    <w:rsid w:val="3AEC222F"/>
    <w:rsid w:val="3AEF3ACE"/>
    <w:rsid w:val="3AF06933"/>
    <w:rsid w:val="3AF13CEA"/>
    <w:rsid w:val="3AF17846"/>
    <w:rsid w:val="3AF235BE"/>
    <w:rsid w:val="3AF37A62"/>
    <w:rsid w:val="3AF410E4"/>
    <w:rsid w:val="3AF85078"/>
    <w:rsid w:val="3AFB06C4"/>
    <w:rsid w:val="3B003F2D"/>
    <w:rsid w:val="3B091033"/>
    <w:rsid w:val="3B0A0908"/>
    <w:rsid w:val="3B0C28D2"/>
    <w:rsid w:val="3B0C4680"/>
    <w:rsid w:val="3B0D21A6"/>
    <w:rsid w:val="3B117EE8"/>
    <w:rsid w:val="3B183024"/>
    <w:rsid w:val="3B1A3241"/>
    <w:rsid w:val="3B1D063B"/>
    <w:rsid w:val="3B1F0857"/>
    <w:rsid w:val="3B20637D"/>
    <w:rsid w:val="3B2714BA"/>
    <w:rsid w:val="3B33651B"/>
    <w:rsid w:val="3B3616FD"/>
    <w:rsid w:val="3B381919"/>
    <w:rsid w:val="3B385475"/>
    <w:rsid w:val="3B3911ED"/>
    <w:rsid w:val="3B39238D"/>
    <w:rsid w:val="3B3D6F2F"/>
    <w:rsid w:val="3B422101"/>
    <w:rsid w:val="3B451940"/>
    <w:rsid w:val="3B4E4C98"/>
    <w:rsid w:val="3B4E63A1"/>
    <w:rsid w:val="3B530501"/>
    <w:rsid w:val="3B567FF1"/>
    <w:rsid w:val="3B5953EB"/>
    <w:rsid w:val="3B5A363D"/>
    <w:rsid w:val="3B5F50F7"/>
    <w:rsid w:val="3B602C1D"/>
    <w:rsid w:val="3B675D5A"/>
    <w:rsid w:val="3B693880"/>
    <w:rsid w:val="3B6A65EA"/>
    <w:rsid w:val="3B6E533A"/>
    <w:rsid w:val="3B6E70E8"/>
    <w:rsid w:val="3B7566C9"/>
    <w:rsid w:val="3B765F9D"/>
    <w:rsid w:val="3B787F67"/>
    <w:rsid w:val="3B81506E"/>
    <w:rsid w:val="3B827442"/>
    <w:rsid w:val="3B8701AA"/>
    <w:rsid w:val="3B8B071B"/>
    <w:rsid w:val="3B8E32E7"/>
    <w:rsid w:val="3B9308FD"/>
    <w:rsid w:val="3B936B4F"/>
    <w:rsid w:val="3B9528C7"/>
    <w:rsid w:val="3B954675"/>
    <w:rsid w:val="3B9D5784"/>
    <w:rsid w:val="3B9F3746"/>
    <w:rsid w:val="3B9F54F4"/>
    <w:rsid w:val="3B9F72A2"/>
    <w:rsid w:val="3BA1126C"/>
    <w:rsid w:val="3BA64AD4"/>
    <w:rsid w:val="3BA66882"/>
    <w:rsid w:val="3BA743A8"/>
    <w:rsid w:val="3BA90120"/>
    <w:rsid w:val="3BA945C4"/>
    <w:rsid w:val="3BAA5C47"/>
    <w:rsid w:val="3BAE3989"/>
    <w:rsid w:val="3BB15227"/>
    <w:rsid w:val="3BB16FD5"/>
    <w:rsid w:val="3BB54D17"/>
    <w:rsid w:val="3BBA0580"/>
    <w:rsid w:val="3BBB7E54"/>
    <w:rsid w:val="3BBD1EF3"/>
    <w:rsid w:val="3BBD3BCC"/>
    <w:rsid w:val="3BBF16F2"/>
    <w:rsid w:val="3BC1546A"/>
    <w:rsid w:val="3BC35686"/>
    <w:rsid w:val="3BCB62E9"/>
    <w:rsid w:val="3BCE402B"/>
    <w:rsid w:val="3BD3519D"/>
    <w:rsid w:val="3BDA477E"/>
    <w:rsid w:val="3BDB4052"/>
    <w:rsid w:val="3BDD426E"/>
    <w:rsid w:val="3BE21884"/>
    <w:rsid w:val="3BE473AB"/>
    <w:rsid w:val="3BE71EC6"/>
    <w:rsid w:val="3BE9103C"/>
    <w:rsid w:val="3BEB0739"/>
    <w:rsid w:val="3BED44B1"/>
    <w:rsid w:val="3BEE0229"/>
    <w:rsid w:val="3BF21AC7"/>
    <w:rsid w:val="3BF26170"/>
    <w:rsid w:val="3BF27D19"/>
    <w:rsid w:val="3BF652BC"/>
    <w:rsid w:val="3BFA6BCE"/>
    <w:rsid w:val="3BFD046C"/>
    <w:rsid w:val="3C0161AE"/>
    <w:rsid w:val="3C0812EB"/>
    <w:rsid w:val="3C0B0DDB"/>
    <w:rsid w:val="3C131A3E"/>
    <w:rsid w:val="3C145EE2"/>
    <w:rsid w:val="3C1732DC"/>
    <w:rsid w:val="3C1A1DC8"/>
    <w:rsid w:val="3C1A2DCC"/>
    <w:rsid w:val="3C1A7270"/>
    <w:rsid w:val="3C1C08F2"/>
    <w:rsid w:val="3C243C4B"/>
    <w:rsid w:val="3C291261"/>
    <w:rsid w:val="3C2B4FD9"/>
    <w:rsid w:val="3C2B6D87"/>
    <w:rsid w:val="3C2D6FA3"/>
    <w:rsid w:val="3C2E0626"/>
    <w:rsid w:val="3C320116"/>
    <w:rsid w:val="3C333E8E"/>
    <w:rsid w:val="3C3C07B7"/>
    <w:rsid w:val="3C3C0F95"/>
    <w:rsid w:val="3C3C2D43"/>
    <w:rsid w:val="3C3E4D0D"/>
    <w:rsid w:val="3C4165AB"/>
    <w:rsid w:val="3C461E13"/>
    <w:rsid w:val="3C4936B2"/>
    <w:rsid w:val="3C4B11D8"/>
    <w:rsid w:val="3C4E2A76"/>
    <w:rsid w:val="3C4F6F1A"/>
    <w:rsid w:val="3C5067EE"/>
    <w:rsid w:val="3C526A0A"/>
    <w:rsid w:val="3C5462DE"/>
    <w:rsid w:val="3C5938F5"/>
    <w:rsid w:val="3C5E62B4"/>
    <w:rsid w:val="3C5E715D"/>
    <w:rsid w:val="3C5F6A31"/>
    <w:rsid w:val="3C634773"/>
    <w:rsid w:val="3C6A5B02"/>
    <w:rsid w:val="3C6D114E"/>
    <w:rsid w:val="3C6F3118"/>
    <w:rsid w:val="3C771FCD"/>
    <w:rsid w:val="3C776471"/>
    <w:rsid w:val="3C7A386B"/>
    <w:rsid w:val="3C7C1C1C"/>
    <w:rsid w:val="3C7E77FF"/>
    <w:rsid w:val="3C805325"/>
    <w:rsid w:val="3C812E4B"/>
    <w:rsid w:val="3C814BF9"/>
    <w:rsid w:val="3C836BC3"/>
    <w:rsid w:val="3C850B8E"/>
    <w:rsid w:val="3C88242C"/>
    <w:rsid w:val="3C8A1D00"/>
    <w:rsid w:val="3C8A7C0A"/>
    <w:rsid w:val="3C8A7F52"/>
    <w:rsid w:val="3C8C1F1C"/>
    <w:rsid w:val="3C8D17A0"/>
    <w:rsid w:val="3C8F5568"/>
    <w:rsid w:val="3C9A5CBB"/>
    <w:rsid w:val="3C9B215F"/>
    <w:rsid w:val="3C9C1A33"/>
    <w:rsid w:val="3C9E39FD"/>
    <w:rsid w:val="3C9F32D2"/>
    <w:rsid w:val="3CA32DC2"/>
    <w:rsid w:val="3CA803D8"/>
    <w:rsid w:val="3CA806D5"/>
    <w:rsid w:val="3CA8487C"/>
    <w:rsid w:val="3CAC61B9"/>
    <w:rsid w:val="3CB13731"/>
    <w:rsid w:val="3CB52AF5"/>
    <w:rsid w:val="3CB75ADD"/>
    <w:rsid w:val="3CBA010B"/>
    <w:rsid w:val="3CBA07BD"/>
    <w:rsid w:val="3CBC3E83"/>
    <w:rsid w:val="3CBE7BFC"/>
    <w:rsid w:val="3CC01BC6"/>
    <w:rsid w:val="3CD613E9"/>
    <w:rsid w:val="3CD66855"/>
    <w:rsid w:val="3CD728B6"/>
    <w:rsid w:val="3CDB07AE"/>
    <w:rsid w:val="3CDB255C"/>
    <w:rsid w:val="3CE010B8"/>
    <w:rsid w:val="3CE24DF8"/>
    <w:rsid w:val="3CE5162C"/>
    <w:rsid w:val="3CE53779"/>
    <w:rsid w:val="3CE84C78"/>
    <w:rsid w:val="3CEA09F1"/>
    <w:rsid w:val="3CEF6007"/>
    <w:rsid w:val="3CF278A5"/>
    <w:rsid w:val="3CF4720D"/>
    <w:rsid w:val="3CF47AC1"/>
    <w:rsid w:val="3CF950D8"/>
    <w:rsid w:val="3CF96E86"/>
    <w:rsid w:val="3CFB49AC"/>
    <w:rsid w:val="3CFC24D2"/>
    <w:rsid w:val="3CFE26EE"/>
    <w:rsid w:val="3D001FC2"/>
    <w:rsid w:val="3D015D3A"/>
    <w:rsid w:val="3D031AB2"/>
    <w:rsid w:val="3D033860"/>
    <w:rsid w:val="3D037D04"/>
    <w:rsid w:val="3D09356D"/>
    <w:rsid w:val="3D0A2E41"/>
    <w:rsid w:val="3D0C4E0B"/>
    <w:rsid w:val="3D0D2931"/>
    <w:rsid w:val="3D121CF5"/>
    <w:rsid w:val="3D145A6E"/>
    <w:rsid w:val="3D18555E"/>
    <w:rsid w:val="3D1C6419"/>
    <w:rsid w:val="3D1D0DC6"/>
    <w:rsid w:val="3D1E4B3E"/>
    <w:rsid w:val="3D224E5C"/>
    <w:rsid w:val="3D2263DC"/>
    <w:rsid w:val="3D232155"/>
    <w:rsid w:val="3D2C725B"/>
    <w:rsid w:val="3D2E2FD3"/>
    <w:rsid w:val="3D2F0AF9"/>
    <w:rsid w:val="3D344362"/>
    <w:rsid w:val="3D3D3216"/>
    <w:rsid w:val="3D3E0D3C"/>
    <w:rsid w:val="3D3E2AEA"/>
    <w:rsid w:val="3D406863"/>
    <w:rsid w:val="3D4445A5"/>
    <w:rsid w:val="3D4C5207"/>
    <w:rsid w:val="3D4D2D2E"/>
    <w:rsid w:val="3D510A70"/>
    <w:rsid w:val="3D5440BC"/>
    <w:rsid w:val="3D587DE5"/>
    <w:rsid w:val="3D5A3DC8"/>
    <w:rsid w:val="3D5B544A"/>
    <w:rsid w:val="3D622C7D"/>
    <w:rsid w:val="3D624A2B"/>
    <w:rsid w:val="3D632551"/>
    <w:rsid w:val="3D65276D"/>
    <w:rsid w:val="3D6562C9"/>
    <w:rsid w:val="3D6C7658"/>
    <w:rsid w:val="3D766728"/>
    <w:rsid w:val="3D7F55DD"/>
    <w:rsid w:val="3D8250CD"/>
    <w:rsid w:val="3D826F22"/>
    <w:rsid w:val="3D840E45"/>
    <w:rsid w:val="3D842BF3"/>
    <w:rsid w:val="3D85696B"/>
    <w:rsid w:val="3D891FB8"/>
    <w:rsid w:val="3D8C1AA8"/>
    <w:rsid w:val="3D8C7CFA"/>
    <w:rsid w:val="3D915310"/>
    <w:rsid w:val="3D9236E4"/>
    <w:rsid w:val="3D932E36"/>
    <w:rsid w:val="3D934BE4"/>
    <w:rsid w:val="3D962926"/>
    <w:rsid w:val="3D9646D4"/>
    <w:rsid w:val="3D98669F"/>
    <w:rsid w:val="3D9D3CB5"/>
    <w:rsid w:val="3D9D5A63"/>
    <w:rsid w:val="3D9F5C7F"/>
    <w:rsid w:val="3DA2751D"/>
    <w:rsid w:val="3DA45043"/>
    <w:rsid w:val="3DA9265A"/>
    <w:rsid w:val="3DAA0180"/>
    <w:rsid w:val="3DAC3EF8"/>
    <w:rsid w:val="3DAD3404"/>
    <w:rsid w:val="3DB01C3A"/>
    <w:rsid w:val="3DB1150E"/>
    <w:rsid w:val="3DB64D77"/>
    <w:rsid w:val="3DB80517"/>
    <w:rsid w:val="3DB80AEF"/>
    <w:rsid w:val="3DB8289D"/>
    <w:rsid w:val="3DBA6615"/>
    <w:rsid w:val="3DBB413B"/>
    <w:rsid w:val="3DBD7EB3"/>
    <w:rsid w:val="3DBE2C48"/>
    <w:rsid w:val="3DC15BF5"/>
    <w:rsid w:val="3DC47494"/>
    <w:rsid w:val="3DC6422B"/>
    <w:rsid w:val="3DCC00F6"/>
    <w:rsid w:val="3DCC0BBD"/>
    <w:rsid w:val="3DCE0312"/>
    <w:rsid w:val="3DD3511F"/>
    <w:rsid w:val="3DD551FD"/>
    <w:rsid w:val="3DD671C7"/>
    <w:rsid w:val="3DD86A9B"/>
    <w:rsid w:val="3DDB658B"/>
    <w:rsid w:val="3DE03BA2"/>
    <w:rsid w:val="3DE10046"/>
    <w:rsid w:val="3DE11DF4"/>
    <w:rsid w:val="3DE22043"/>
    <w:rsid w:val="3DE47CE0"/>
    <w:rsid w:val="3DE511B8"/>
    <w:rsid w:val="3DE74F30"/>
    <w:rsid w:val="3DE90CA8"/>
    <w:rsid w:val="3DEB4836"/>
    <w:rsid w:val="3DF15DAF"/>
    <w:rsid w:val="3DF8538F"/>
    <w:rsid w:val="3DFA2EB5"/>
    <w:rsid w:val="3DFD29A6"/>
    <w:rsid w:val="3E015FF2"/>
    <w:rsid w:val="3E021D6A"/>
    <w:rsid w:val="3E063608"/>
    <w:rsid w:val="3E067AAC"/>
    <w:rsid w:val="3E09759C"/>
    <w:rsid w:val="3E0E070F"/>
    <w:rsid w:val="3E103980"/>
    <w:rsid w:val="3E126451"/>
    <w:rsid w:val="3E135D25"/>
    <w:rsid w:val="3E1D0952"/>
    <w:rsid w:val="3E1D4DF6"/>
    <w:rsid w:val="3E2148E6"/>
    <w:rsid w:val="3E247F32"/>
    <w:rsid w:val="3E261EFC"/>
    <w:rsid w:val="3E2919ED"/>
    <w:rsid w:val="3E2B306F"/>
    <w:rsid w:val="3E2B7513"/>
    <w:rsid w:val="3E3068D7"/>
    <w:rsid w:val="3E344619"/>
    <w:rsid w:val="3E36420B"/>
    <w:rsid w:val="3E371A14"/>
    <w:rsid w:val="3E413EEF"/>
    <w:rsid w:val="3E4203B8"/>
    <w:rsid w:val="3E467EA9"/>
    <w:rsid w:val="3E4D1237"/>
    <w:rsid w:val="3E502AD5"/>
    <w:rsid w:val="3E522CF1"/>
    <w:rsid w:val="3E5527E2"/>
    <w:rsid w:val="3E595E2E"/>
    <w:rsid w:val="3E5E1696"/>
    <w:rsid w:val="3E630A5B"/>
    <w:rsid w:val="3E6447D3"/>
    <w:rsid w:val="3E6622F9"/>
    <w:rsid w:val="3E66679D"/>
    <w:rsid w:val="3E6B790F"/>
    <w:rsid w:val="3E6F5651"/>
    <w:rsid w:val="3E740EBA"/>
    <w:rsid w:val="3E7762B4"/>
    <w:rsid w:val="3E786B8F"/>
    <w:rsid w:val="3E7A2248"/>
    <w:rsid w:val="3E7D1571"/>
    <w:rsid w:val="3E7E5894"/>
    <w:rsid w:val="3E810EE1"/>
    <w:rsid w:val="3E846C23"/>
    <w:rsid w:val="3E84720A"/>
    <w:rsid w:val="3E894239"/>
    <w:rsid w:val="3E8D5AD7"/>
    <w:rsid w:val="3E927592"/>
    <w:rsid w:val="3E94330A"/>
    <w:rsid w:val="3E9450B8"/>
    <w:rsid w:val="3E950E30"/>
    <w:rsid w:val="3E970704"/>
    <w:rsid w:val="3E9B1F29"/>
    <w:rsid w:val="3E9C21BE"/>
    <w:rsid w:val="3EA1096C"/>
    <w:rsid w:val="3EA572C5"/>
    <w:rsid w:val="3EAB41B0"/>
    <w:rsid w:val="3EAD7F28"/>
    <w:rsid w:val="3EB02CBF"/>
    <w:rsid w:val="3EB47508"/>
    <w:rsid w:val="3EBC63BD"/>
    <w:rsid w:val="3EBE2135"/>
    <w:rsid w:val="3EC05EAD"/>
    <w:rsid w:val="3EC11C25"/>
    <w:rsid w:val="3EC139D3"/>
    <w:rsid w:val="3EC3599D"/>
    <w:rsid w:val="3EC456A1"/>
    <w:rsid w:val="3ECB6600"/>
    <w:rsid w:val="3ECD2378"/>
    <w:rsid w:val="3ECF7E9E"/>
    <w:rsid w:val="3ED100BA"/>
    <w:rsid w:val="3ED6747E"/>
    <w:rsid w:val="3ED951C1"/>
    <w:rsid w:val="3EDC6A5F"/>
    <w:rsid w:val="3EDF3E59"/>
    <w:rsid w:val="3EE576C2"/>
    <w:rsid w:val="3EE651E8"/>
    <w:rsid w:val="3EE85404"/>
    <w:rsid w:val="3EED6576"/>
    <w:rsid w:val="3EEF22EE"/>
    <w:rsid w:val="3EF141B2"/>
    <w:rsid w:val="3EF20030"/>
    <w:rsid w:val="3EF773F5"/>
    <w:rsid w:val="3F0062A9"/>
    <w:rsid w:val="3F051B12"/>
    <w:rsid w:val="3F055FB6"/>
    <w:rsid w:val="3F067638"/>
    <w:rsid w:val="3F0A537A"/>
    <w:rsid w:val="3F116709"/>
    <w:rsid w:val="3F171845"/>
    <w:rsid w:val="3F19736B"/>
    <w:rsid w:val="3F204B9E"/>
    <w:rsid w:val="3F23643C"/>
    <w:rsid w:val="3F255D10"/>
    <w:rsid w:val="3F277CDA"/>
    <w:rsid w:val="3F2C52F0"/>
    <w:rsid w:val="3F375A43"/>
    <w:rsid w:val="3F3B5533"/>
    <w:rsid w:val="3F3C12AC"/>
    <w:rsid w:val="3F3D74FE"/>
    <w:rsid w:val="3F402B4A"/>
    <w:rsid w:val="3F4168C2"/>
    <w:rsid w:val="3F43263A"/>
    <w:rsid w:val="3F4343E8"/>
    <w:rsid w:val="3F450160"/>
    <w:rsid w:val="3F451BC8"/>
    <w:rsid w:val="3F473ED8"/>
    <w:rsid w:val="3F485EA2"/>
    <w:rsid w:val="3F4C367C"/>
    <w:rsid w:val="3F4C5993"/>
    <w:rsid w:val="3F4C7741"/>
    <w:rsid w:val="3F4F0FDF"/>
    <w:rsid w:val="3F514D57"/>
    <w:rsid w:val="3F5465F5"/>
    <w:rsid w:val="3F566811"/>
    <w:rsid w:val="3F5B3E28"/>
    <w:rsid w:val="3F5D36FC"/>
    <w:rsid w:val="3F604F9A"/>
    <w:rsid w:val="3F6251B6"/>
    <w:rsid w:val="3F626F64"/>
    <w:rsid w:val="3F656A54"/>
    <w:rsid w:val="3F695775"/>
    <w:rsid w:val="3F6C393F"/>
    <w:rsid w:val="3F6E0157"/>
    <w:rsid w:val="3F710F55"/>
    <w:rsid w:val="3F744EE9"/>
    <w:rsid w:val="3F76656C"/>
    <w:rsid w:val="3F7A2500"/>
    <w:rsid w:val="3F7E3672"/>
    <w:rsid w:val="3F7F7B16"/>
    <w:rsid w:val="3F80388E"/>
    <w:rsid w:val="3F8073EA"/>
    <w:rsid w:val="3F8213B4"/>
    <w:rsid w:val="3F830C89"/>
    <w:rsid w:val="3F852C53"/>
    <w:rsid w:val="3F8769CB"/>
    <w:rsid w:val="3F8A0269"/>
    <w:rsid w:val="3F8E5FAB"/>
    <w:rsid w:val="3F8F762D"/>
    <w:rsid w:val="3F9609BC"/>
    <w:rsid w:val="3F982986"/>
    <w:rsid w:val="3FAA1762"/>
    <w:rsid w:val="3FAE03FB"/>
    <w:rsid w:val="3FAE3F57"/>
    <w:rsid w:val="3FB452E6"/>
    <w:rsid w:val="3FB57663"/>
    <w:rsid w:val="3FB6105E"/>
    <w:rsid w:val="3FB66F27"/>
    <w:rsid w:val="3FBD063E"/>
    <w:rsid w:val="3FBF43B6"/>
    <w:rsid w:val="3FBF6165"/>
    <w:rsid w:val="3FC03C8B"/>
    <w:rsid w:val="3FC217B1"/>
    <w:rsid w:val="3FC613D9"/>
    <w:rsid w:val="3FC76DC7"/>
    <w:rsid w:val="3FC90D91"/>
    <w:rsid w:val="3FCA3682"/>
    <w:rsid w:val="3FCE0156"/>
    <w:rsid w:val="3FD634AE"/>
    <w:rsid w:val="3FD6525C"/>
    <w:rsid w:val="3FDA11F0"/>
    <w:rsid w:val="3FDD2A8F"/>
    <w:rsid w:val="3FE21E53"/>
    <w:rsid w:val="3FE41195"/>
    <w:rsid w:val="3FE47979"/>
    <w:rsid w:val="3FEC2CD2"/>
    <w:rsid w:val="3FEE25A6"/>
    <w:rsid w:val="3FF04570"/>
    <w:rsid w:val="3FF102E8"/>
    <w:rsid w:val="3FF513F5"/>
    <w:rsid w:val="3FF658FE"/>
    <w:rsid w:val="4000052B"/>
    <w:rsid w:val="40041DC9"/>
    <w:rsid w:val="400B13AA"/>
    <w:rsid w:val="400C6ED0"/>
    <w:rsid w:val="400D3374"/>
    <w:rsid w:val="400E3852"/>
    <w:rsid w:val="4012098A"/>
    <w:rsid w:val="401272A7"/>
    <w:rsid w:val="40152228"/>
    <w:rsid w:val="40167D4F"/>
    <w:rsid w:val="401C35B7"/>
    <w:rsid w:val="4021297B"/>
    <w:rsid w:val="40251D40"/>
    <w:rsid w:val="40271F5C"/>
    <w:rsid w:val="40291830"/>
    <w:rsid w:val="40295CD4"/>
    <w:rsid w:val="402E32EA"/>
    <w:rsid w:val="402E5098"/>
    <w:rsid w:val="40300E10"/>
    <w:rsid w:val="40307062"/>
    <w:rsid w:val="40324B88"/>
    <w:rsid w:val="40330901"/>
    <w:rsid w:val="40385F17"/>
    <w:rsid w:val="403A1C8F"/>
    <w:rsid w:val="403B1563"/>
    <w:rsid w:val="403C5A07"/>
    <w:rsid w:val="403E177F"/>
    <w:rsid w:val="403F72A5"/>
    <w:rsid w:val="40414DCB"/>
    <w:rsid w:val="404843AC"/>
    <w:rsid w:val="404B79F8"/>
    <w:rsid w:val="404D3498"/>
    <w:rsid w:val="40514DB4"/>
    <w:rsid w:val="40534AFF"/>
    <w:rsid w:val="40550877"/>
    <w:rsid w:val="40556B20"/>
    <w:rsid w:val="405C1C05"/>
    <w:rsid w:val="405F16F6"/>
    <w:rsid w:val="4061546E"/>
    <w:rsid w:val="40646D0C"/>
    <w:rsid w:val="406665E0"/>
    <w:rsid w:val="406929C0"/>
    <w:rsid w:val="406B009A"/>
    <w:rsid w:val="406B1E48"/>
    <w:rsid w:val="406D3E12"/>
    <w:rsid w:val="406E36E7"/>
    <w:rsid w:val="40703903"/>
    <w:rsid w:val="4070745F"/>
    <w:rsid w:val="40784565"/>
    <w:rsid w:val="407A652F"/>
    <w:rsid w:val="407D392A"/>
    <w:rsid w:val="40880C4C"/>
    <w:rsid w:val="40890521"/>
    <w:rsid w:val="4093139F"/>
    <w:rsid w:val="40980764"/>
    <w:rsid w:val="409969B6"/>
    <w:rsid w:val="409F5F96"/>
    <w:rsid w:val="40A11D0E"/>
    <w:rsid w:val="40A86BF9"/>
    <w:rsid w:val="40A92971"/>
    <w:rsid w:val="40A9471F"/>
    <w:rsid w:val="40AA0BC3"/>
    <w:rsid w:val="40AD06B3"/>
    <w:rsid w:val="40AF442B"/>
    <w:rsid w:val="40B03CFF"/>
    <w:rsid w:val="40B27A77"/>
    <w:rsid w:val="40B530C4"/>
    <w:rsid w:val="40B7508E"/>
    <w:rsid w:val="40B82BB4"/>
    <w:rsid w:val="40B90E06"/>
    <w:rsid w:val="40BF3F42"/>
    <w:rsid w:val="40C357E1"/>
    <w:rsid w:val="40C559FD"/>
    <w:rsid w:val="40C94DC1"/>
    <w:rsid w:val="40CC3E82"/>
    <w:rsid w:val="40CD48B1"/>
    <w:rsid w:val="40CE4185"/>
    <w:rsid w:val="40D0614F"/>
    <w:rsid w:val="40DA0D7C"/>
    <w:rsid w:val="40DF6392"/>
    <w:rsid w:val="40E13F83"/>
    <w:rsid w:val="40EA7211"/>
    <w:rsid w:val="40EE65D6"/>
    <w:rsid w:val="40F40090"/>
    <w:rsid w:val="40F462E2"/>
    <w:rsid w:val="40F94DDB"/>
    <w:rsid w:val="40FC6F44"/>
    <w:rsid w:val="40FD796C"/>
    <w:rsid w:val="40FE2CBD"/>
    <w:rsid w:val="41006A35"/>
    <w:rsid w:val="410127AD"/>
    <w:rsid w:val="4105404B"/>
    <w:rsid w:val="41055DF9"/>
    <w:rsid w:val="41061B71"/>
    <w:rsid w:val="41067DC3"/>
    <w:rsid w:val="410C362B"/>
    <w:rsid w:val="410F4ECA"/>
    <w:rsid w:val="41173D7E"/>
    <w:rsid w:val="41195D48"/>
    <w:rsid w:val="411C3143"/>
    <w:rsid w:val="411E6EBB"/>
    <w:rsid w:val="41200E85"/>
    <w:rsid w:val="41230975"/>
    <w:rsid w:val="412626B7"/>
    <w:rsid w:val="41272213"/>
    <w:rsid w:val="41287D39"/>
    <w:rsid w:val="412A1D04"/>
    <w:rsid w:val="41360A02"/>
    <w:rsid w:val="41362456"/>
    <w:rsid w:val="41393CF5"/>
    <w:rsid w:val="41395AA3"/>
    <w:rsid w:val="413B7A6D"/>
    <w:rsid w:val="41401527"/>
    <w:rsid w:val="41474664"/>
    <w:rsid w:val="414803DC"/>
    <w:rsid w:val="4148218A"/>
    <w:rsid w:val="414D77A0"/>
    <w:rsid w:val="41562AF9"/>
    <w:rsid w:val="415723CD"/>
    <w:rsid w:val="415B010F"/>
    <w:rsid w:val="415B15A7"/>
    <w:rsid w:val="41605725"/>
    <w:rsid w:val="41650F8E"/>
    <w:rsid w:val="41656898"/>
    <w:rsid w:val="41676AB4"/>
    <w:rsid w:val="41686388"/>
    <w:rsid w:val="4169503B"/>
    <w:rsid w:val="416B7C26"/>
    <w:rsid w:val="416D399E"/>
    <w:rsid w:val="41717932"/>
    <w:rsid w:val="417411D1"/>
    <w:rsid w:val="41742F7F"/>
    <w:rsid w:val="41760AA5"/>
    <w:rsid w:val="417A4558"/>
    <w:rsid w:val="417E3DFD"/>
    <w:rsid w:val="418238EE"/>
    <w:rsid w:val="41850CE8"/>
    <w:rsid w:val="418A27A2"/>
    <w:rsid w:val="418C651A"/>
    <w:rsid w:val="41984EBF"/>
    <w:rsid w:val="419D4283"/>
    <w:rsid w:val="419E7FFC"/>
    <w:rsid w:val="41A03D74"/>
    <w:rsid w:val="41A35612"/>
    <w:rsid w:val="41A41AB6"/>
    <w:rsid w:val="41A75102"/>
    <w:rsid w:val="41AA074E"/>
    <w:rsid w:val="41AC2719"/>
    <w:rsid w:val="41B65345"/>
    <w:rsid w:val="41B94E35"/>
    <w:rsid w:val="41C31810"/>
    <w:rsid w:val="41C51A2C"/>
    <w:rsid w:val="41C757A4"/>
    <w:rsid w:val="41C77552"/>
    <w:rsid w:val="41D1217F"/>
    <w:rsid w:val="41D57EC1"/>
    <w:rsid w:val="41D63C39"/>
    <w:rsid w:val="41DB2FFE"/>
    <w:rsid w:val="41DB4DAC"/>
    <w:rsid w:val="41DF2AEE"/>
    <w:rsid w:val="41E06866"/>
    <w:rsid w:val="41E41EB2"/>
    <w:rsid w:val="41E73751"/>
    <w:rsid w:val="41EA4FEF"/>
    <w:rsid w:val="41EC0D67"/>
    <w:rsid w:val="41EE0F83"/>
    <w:rsid w:val="41EF2605"/>
    <w:rsid w:val="41F04E77"/>
    <w:rsid w:val="41F61BE6"/>
    <w:rsid w:val="41FB36A0"/>
    <w:rsid w:val="41FD11C6"/>
    <w:rsid w:val="41FD4D22"/>
    <w:rsid w:val="41FF6CEC"/>
    <w:rsid w:val="42051E29"/>
    <w:rsid w:val="420662CD"/>
    <w:rsid w:val="42073DF3"/>
    <w:rsid w:val="420F2CA7"/>
    <w:rsid w:val="42103F31"/>
    <w:rsid w:val="42154762"/>
    <w:rsid w:val="421B789E"/>
    <w:rsid w:val="421D510F"/>
    <w:rsid w:val="421D53C4"/>
    <w:rsid w:val="42206C63"/>
    <w:rsid w:val="422229DB"/>
    <w:rsid w:val="4226071D"/>
    <w:rsid w:val="42295B17"/>
    <w:rsid w:val="422E0A08"/>
    <w:rsid w:val="422E75D1"/>
    <w:rsid w:val="42312C1E"/>
    <w:rsid w:val="42343402"/>
    <w:rsid w:val="42360234"/>
    <w:rsid w:val="423746D8"/>
    <w:rsid w:val="423821FE"/>
    <w:rsid w:val="423C1CEE"/>
    <w:rsid w:val="423E2FB8"/>
    <w:rsid w:val="42417305"/>
    <w:rsid w:val="4242450A"/>
    <w:rsid w:val="42470693"/>
    <w:rsid w:val="4249440B"/>
    <w:rsid w:val="424B0183"/>
    <w:rsid w:val="424E1A22"/>
    <w:rsid w:val="424E557E"/>
    <w:rsid w:val="42521512"/>
    <w:rsid w:val="4253528A"/>
    <w:rsid w:val="425570BD"/>
    <w:rsid w:val="42576B28"/>
    <w:rsid w:val="425A2175"/>
    <w:rsid w:val="425D1C65"/>
    <w:rsid w:val="42621029"/>
    <w:rsid w:val="4267663F"/>
    <w:rsid w:val="4269060A"/>
    <w:rsid w:val="426923B8"/>
    <w:rsid w:val="42694424"/>
    <w:rsid w:val="426B25D4"/>
    <w:rsid w:val="426C1EA8"/>
    <w:rsid w:val="426D00FA"/>
    <w:rsid w:val="42707588"/>
    <w:rsid w:val="42725710"/>
    <w:rsid w:val="427A6373"/>
    <w:rsid w:val="427D40B5"/>
    <w:rsid w:val="427D5E63"/>
    <w:rsid w:val="42876CE2"/>
    <w:rsid w:val="42890CAC"/>
    <w:rsid w:val="42894808"/>
    <w:rsid w:val="428B67D2"/>
    <w:rsid w:val="42914D4A"/>
    <w:rsid w:val="42976F25"/>
    <w:rsid w:val="42984A4B"/>
    <w:rsid w:val="429C39D4"/>
    <w:rsid w:val="42A33B1C"/>
    <w:rsid w:val="42A67168"/>
    <w:rsid w:val="42A94EAA"/>
    <w:rsid w:val="42AB29D0"/>
    <w:rsid w:val="42B23D5F"/>
    <w:rsid w:val="42B51AA1"/>
    <w:rsid w:val="42B71375"/>
    <w:rsid w:val="42C10446"/>
    <w:rsid w:val="42C121F4"/>
    <w:rsid w:val="42C43A92"/>
    <w:rsid w:val="42C83582"/>
    <w:rsid w:val="42C85330"/>
    <w:rsid w:val="42C910A8"/>
    <w:rsid w:val="42CB6BCE"/>
    <w:rsid w:val="42CD0B98"/>
    <w:rsid w:val="42CD2946"/>
    <w:rsid w:val="42D068DB"/>
    <w:rsid w:val="42D07CF3"/>
    <w:rsid w:val="42D24401"/>
    <w:rsid w:val="42D261AF"/>
    <w:rsid w:val="42D27F5D"/>
    <w:rsid w:val="42D57A4D"/>
    <w:rsid w:val="42D9753D"/>
    <w:rsid w:val="42DC527F"/>
    <w:rsid w:val="42DD6902"/>
    <w:rsid w:val="42E63A08"/>
    <w:rsid w:val="42EA346B"/>
    <w:rsid w:val="42ED123B"/>
    <w:rsid w:val="42F5057E"/>
    <w:rsid w:val="42FB3958"/>
    <w:rsid w:val="42FC147E"/>
    <w:rsid w:val="42FC76D0"/>
    <w:rsid w:val="43014CE6"/>
    <w:rsid w:val="43027690"/>
    <w:rsid w:val="43054D99"/>
    <w:rsid w:val="43056584"/>
    <w:rsid w:val="430A1DED"/>
    <w:rsid w:val="430B16C1"/>
    <w:rsid w:val="43122A4F"/>
    <w:rsid w:val="4315253F"/>
    <w:rsid w:val="43160791"/>
    <w:rsid w:val="431A7B56"/>
    <w:rsid w:val="431E31A2"/>
    <w:rsid w:val="431E7646"/>
    <w:rsid w:val="432033BE"/>
    <w:rsid w:val="43240DFD"/>
    <w:rsid w:val="432A7D99"/>
    <w:rsid w:val="432D5ADB"/>
    <w:rsid w:val="432F1853"/>
    <w:rsid w:val="432F53AF"/>
    <w:rsid w:val="43317379"/>
    <w:rsid w:val="43326C4D"/>
    <w:rsid w:val="433F136A"/>
    <w:rsid w:val="43421586"/>
    <w:rsid w:val="434A3F97"/>
    <w:rsid w:val="435051E9"/>
    <w:rsid w:val="435272F0"/>
    <w:rsid w:val="43566DE0"/>
    <w:rsid w:val="435A0E6C"/>
    <w:rsid w:val="435C016E"/>
    <w:rsid w:val="4360359D"/>
    <w:rsid w:val="43672D9B"/>
    <w:rsid w:val="436F1C50"/>
    <w:rsid w:val="436F7EA2"/>
    <w:rsid w:val="43747266"/>
    <w:rsid w:val="43803E5D"/>
    <w:rsid w:val="4383394D"/>
    <w:rsid w:val="438356FB"/>
    <w:rsid w:val="43882D11"/>
    <w:rsid w:val="43910F3B"/>
    <w:rsid w:val="43963680"/>
    <w:rsid w:val="43972F54"/>
    <w:rsid w:val="439C056B"/>
    <w:rsid w:val="439E2535"/>
    <w:rsid w:val="439E42E3"/>
    <w:rsid w:val="43A37B4B"/>
    <w:rsid w:val="43A473B1"/>
    <w:rsid w:val="43A53412"/>
    <w:rsid w:val="43A63197"/>
    <w:rsid w:val="43A833B4"/>
    <w:rsid w:val="43A85162"/>
    <w:rsid w:val="43A871C2"/>
    <w:rsid w:val="43AC2EA4"/>
    <w:rsid w:val="43AC4C52"/>
    <w:rsid w:val="43AD4526"/>
    <w:rsid w:val="43AE09CA"/>
    <w:rsid w:val="43AF64F0"/>
    <w:rsid w:val="43B81849"/>
    <w:rsid w:val="43B90147"/>
    <w:rsid w:val="43BC29BB"/>
    <w:rsid w:val="43BD6E5F"/>
    <w:rsid w:val="43BF4CF3"/>
    <w:rsid w:val="43C006FD"/>
    <w:rsid w:val="43C33DCA"/>
    <w:rsid w:val="43C71A8C"/>
    <w:rsid w:val="43C755E8"/>
    <w:rsid w:val="43C95804"/>
    <w:rsid w:val="43CA50D8"/>
    <w:rsid w:val="43CE2E1A"/>
    <w:rsid w:val="43CF0940"/>
    <w:rsid w:val="43D83C99"/>
    <w:rsid w:val="43D85A47"/>
    <w:rsid w:val="43DB5537"/>
    <w:rsid w:val="43E066A9"/>
    <w:rsid w:val="43ED0DC6"/>
    <w:rsid w:val="43EF2D90"/>
    <w:rsid w:val="43F108B7"/>
    <w:rsid w:val="43F16B09"/>
    <w:rsid w:val="43F6411F"/>
    <w:rsid w:val="43F66C59"/>
    <w:rsid w:val="43F955DA"/>
    <w:rsid w:val="43FD725B"/>
    <w:rsid w:val="44003C64"/>
    <w:rsid w:val="44054362"/>
    <w:rsid w:val="440A3726"/>
    <w:rsid w:val="440C3A50"/>
    <w:rsid w:val="4416031D"/>
    <w:rsid w:val="441B3B85"/>
    <w:rsid w:val="441D78FE"/>
    <w:rsid w:val="441F72F5"/>
    <w:rsid w:val="442567B2"/>
    <w:rsid w:val="442E1B0B"/>
    <w:rsid w:val="442E38B9"/>
    <w:rsid w:val="44307631"/>
    <w:rsid w:val="4431076F"/>
    <w:rsid w:val="44316F05"/>
    <w:rsid w:val="44352E99"/>
    <w:rsid w:val="44384737"/>
    <w:rsid w:val="443864E5"/>
    <w:rsid w:val="44387892"/>
    <w:rsid w:val="443D287E"/>
    <w:rsid w:val="443F1622"/>
    <w:rsid w:val="44450C02"/>
    <w:rsid w:val="444529B0"/>
    <w:rsid w:val="44496945"/>
    <w:rsid w:val="444B446B"/>
    <w:rsid w:val="444C01E3"/>
    <w:rsid w:val="444C3D3F"/>
    <w:rsid w:val="44511355"/>
    <w:rsid w:val="44550E45"/>
    <w:rsid w:val="44557097"/>
    <w:rsid w:val="445826E4"/>
    <w:rsid w:val="445C6678"/>
    <w:rsid w:val="445F3A72"/>
    <w:rsid w:val="44623109"/>
    <w:rsid w:val="44625310"/>
    <w:rsid w:val="44627A06"/>
    <w:rsid w:val="44654E01"/>
    <w:rsid w:val="446612A5"/>
    <w:rsid w:val="44676DCB"/>
    <w:rsid w:val="44692B43"/>
    <w:rsid w:val="44693BF5"/>
    <w:rsid w:val="446B0669"/>
    <w:rsid w:val="446C43E1"/>
    <w:rsid w:val="446E27FF"/>
    <w:rsid w:val="44735770"/>
    <w:rsid w:val="4473751E"/>
    <w:rsid w:val="44760DBC"/>
    <w:rsid w:val="44765805"/>
    <w:rsid w:val="44827761"/>
    <w:rsid w:val="448636F5"/>
    <w:rsid w:val="44896D41"/>
    <w:rsid w:val="448B0D0B"/>
    <w:rsid w:val="448E07FB"/>
    <w:rsid w:val="449000D0"/>
    <w:rsid w:val="44901E7E"/>
    <w:rsid w:val="44915BF6"/>
    <w:rsid w:val="449D459A"/>
    <w:rsid w:val="44A21BB1"/>
    <w:rsid w:val="44AB4F09"/>
    <w:rsid w:val="44AD6ED3"/>
    <w:rsid w:val="44B042CE"/>
    <w:rsid w:val="44B55D88"/>
    <w:rsid w:val="44B813D4"/>
    <w:rsid w:val="44BA339E"/>
    <w:rsid w:val="44BC6FE9"/>
    <w:rsid w:val="44BC7116"/>
    <w:rsid w:val="44BD69EB"/>
    <w:rsid w:val="44BE2E8F"/>
    <w:rsid w:val="44C4421D"/>
    <w:rsid w:val="44C47D79"/>
    <w:rsid w:val="44C91833"/>
    <w:rsid w:val="44CB55AC"/>
    <w:rsid w:val="44CD30D2"/>
    <w:rsid w:val="44D206E8"/>
    <w:rsid w:val="44D37FBC"/>
    <w:rsid w:val="44D501D8"/>
    <w:rsid w:val="44D65FFB"/>
    <w:rsid w:val="44D75CFE"/>
    <w:rsid w:val="44D75D4A"/>
    <w:rsid w:val="44DD0E3B"/>
    <w:rsid w:val="44E1092B"/>
    <w:rsid w:val="44E16B7D"/>
    <w:rsid w:val="44E65F41"/>
    <w:rsid w:val="44EB17AA"/>
    <w:rsid w:val="44EE129A"/>
    <w:rsid w:val="44F25523"/>
    <w:rsid w:val="44F3065E"/>
    <w:rsid w:val="44F4354A"/>
    <w:rsid w:val="44F527F3"/>
    <w:rsid w:val="44F93EC7"/>
    <w:rsid w:val="44FA3CB5"/>
    <w:rsid w:val="44FC65D5"/>
    <w:rsid w:val="44FF0DB1"/>
    <w:rsid w:val="450611F7"/>
    <w:rsid w:val="45091C30"/>
    <w:rsid w:val="450B3BFA"/>
    <w:rsid w:val="451231DA"/>
    <w:rsid w:val="45156827"/>
    <w:rsid w:val="45172008"/>
    <w:rsid w:val="451A208F"/>
    <w:rsid w:val="451F3201"/>
    <w:rsid w:val="45230F44"/>
    <w:rsid w:val="452A0524"/>
    <w:rsid w:val="452B7DF8"/>
    <w:rsid w:val="45322F35"/>
    <w:rsid w:val="453273D9"/>
    <w:rsid w:val="45336CAD"/>
    <w:rsid w:val="45343151"/>
    <w:rsid w:val="453A628D"/>
    <w:rsid w:val="453E3FCF"/>
    <w:rsid w:val="453F38A4"/>
    <w:rsid w:val="454B049A"/>
    <w:rsid w:val="45513D03"/>
    <w:rsid w:val="4557299B"/>
    <w:rsid w:val="45576E3F"/>
    <w:rsid w:val="45594965"/>
    <w:rsid w:val="455C6204"/>
    <w:rsid w:val="455E0543"/>
    <w:rsid w:val="455F7AA2"/>
    <w:rsid w:val="45603F46"/>
    <w:rsid w:val="45630354"/>
    <w:rsid w:val="456450B8"/>
    <w:rsid w:val="4565330A"/>
    <w:rsid w:val="456631C1"/>
    <w:rsid w:val="456652D4"/>
    <w:rsid w:val="4568104C"/>
    <w:rsid w:val="456926CF"/>
    <w:rsid w:val="456F4189"/>
    <w:rsid w:val="45703A5D"/>
    <w:rsid w:val="45725A27"/>
    <w:rsid w:val="457479F1"/>
    <w:rsid w:val="45753BF9"/>
    <w:rsid w:val="45790B64"/>
    <w:rsid w:val="457C0654"/>
    <w:rsid w:val="457C68A6"/>
    <w:rsid w:val="458361FD"/>
    <w:rsid w:val="458A0FC3"/>
    <w:rsid w:val="458A60D0"/>
    <w:rsid w:val="458B6AE9"/>
    <w:rsid w:val="458D2861"/>
    <w:rsid w:val="45912351"/>
    <w:rsid w:val="45943BEF"/>
    <w:rsid w:val="4594599D"/>
    <w:rsid w:val="45961716"/>
    <w:rsid w:val="459736E0"/>
    <w:rsid w:val="4597723C"/>
    <w:rsid w:val="459B31D0"/>
    <w:rsid w:val="45A33E32"/>
    <w:rsid w:val="45A35BE1"/>
    <w:rsid w:val="45A57BAB"/>
    <w:rsid w:val="45AA6F6F"/>
    <w:rsid w:val="45AB2CE7"/>
    <w:rsid w:val="45AD256B"/>
    <w:rsid w:val="45AD2F03"/>
    <w:rsid w:val="45B20519"/>
    <w:rsid w:val="45B24076"/>
    <w:rsid w:val="45B47DEE"/>
    <w:rsid w:val="45B55914"/>
    <w:rsid w:val="45B61DB8"/>
    <w:rsid w:val="45B778DE"/>
    <w:rsid w:val="45BD253B"/>
    <w:rsid w:val="45C06792"/>
    <w:rsid w:val="45C142B9"/>
    <w:rsid w:val="45C73FC5"/>
    <w:rsid w:val="45C75D73"/>
    <w:rsid w:val="45CC15DB"/>
    <w:rsid w:val="45D16BF2"/>
    <w:rsid w:val="45D17682"/>
    <w:rsid w:val="45D24718"/>
    <w:rsid w:val="45D2778C"/>
    <w:rsid w:val="45DA0487"/>
    <w:rsid w:val="45DB35CC"/>
    <w:rsid w:val="45DC10F2"/>
    <w:rsid w:val="45DD5596"/>
    <w:rsid w:val="45E05087"/>
    <w:rsid w:val="45E15DB7"/>
    <w:rsid w:val="45E2586B"/>
    <w:rsid w:val="45E85CE9"/>
    <w:rsid w:val="45E87A97"/>
    <w:rsid w:val="45EA380F"/>
    <w:rsid w:val="45EC57D9"/>
    <w:rsid w:val="45EE77A4"/>
    <w:rsid w:val="45F4468E"/>
    <w:rsid w:val="45F8417E"/>
    <w:rsid w:val="45FB3C6E"/>
    <w:rsid w:val="46003033"/>
    <w:rsid w:val="46004DE1"/>
    <w:rsid w:val="460743C1"/>
    <w:rsid w:val="46095A4C"/>
    <w:rsid w:val="460A5C60"/>
    <w:rsid w:val="460C7C2A"/>
    <w:rsid w:val="460F771A"/>
    <w:rsid w:val="46116FEE"/>
    <w:rsid w:val="46130FB8"/>
    <w:rsid w:val="46132D66"/>
    <w:rsid w:val="4614088C"/>
    <w:rsid w:val="46146ADE"/>
    <w:rsid w:val="46162856"/>
    <w:rsid w:val="46184820"/>
    <w:rsid w:val="461B7E6D"/>
    <w:rsid w:val="46236D21"/>
    <w:rsid w:val="462C02CC"/>
    <w:rsid w:val="462F1B6A"/>
    <w:rsid w:val="462F3918"/>
    <w:rsid w:val="4631143E"/>
    <w:rsid w:val="46366A55"/>
    <w:rsid w:val="463D4287"/>
    <w:rsid w:val="463D6035"/>
    <w:rsid w:val="464078D3"/>
    <w:rsid w:val="464253F9"/>
    <w:rsid w:val="46445AA3"/>
    <w:rsid w:val="464534A6"/>
    <w:rsid w:val="46470C62"/>
    <w:rsid w:val="464E0242"/>
    <w:rsid w:val="464E1FF0"/>
    <w:rsid w:val="464E3D9E"/>
    <w:rsid w:val="46511AE0"/>
    <w:rsid w:val="4651388E"/>
    <w:rsid w:val="46535859"/>
    <w:rsid w:val="46582E6F"/>
    <w:rsid w:val="465A0995"/>
    <w:rsid w:val="465D66D7"/>
    <w:rsid w:val="46601D24"/>
    <w:rsid w:val="46647A66"/>
    <w:rsid w:val="4665558C"/>
    <w:rsid w:val="4669507C"/>
    <w:rsid w:val="46696E2A"/>
    <w:rsid w:val="466C06C8"/>
    <w:rsid w:val="467001B9"/>
    <w:rsid w:val="46753A21"/>
    <w:rsid w:val="467B090B"/>
    <w:rsid w:val="46853538"/>
    <w:rsid w:val="468772B0"/>
    <w:rsid w:val="468A6DA0"/>
    <w:rsid w:val="468C48C7"/>
    <w:rsid w:val="468E4AE3"/>
    <w:rsid w:val="468E6891"/>
    <w:rsid w:val="469043B7"/>
    <w:rsid w:val="4691012F"/>
    <w:rsid w:val="4698326B"/>
    <w:rsid w:val="469B0FAE"/>
    <w:rsid w:val="469D6BC0"/>
    <w:rsid w:val="46A61E2C"/>
    <w:rsid w:val="46A9191C"/>
    <w:rsid w:val="46AC31BB"/>
    <w:rsid w:val="46AE6F33"/>
    <w:rsid w:val="46B02CAB"/>
    <w:rsid w:val="46B53E1D"/>
    <w:rsid w:val="46BA1434"/>
    <w:rsid w:val="46BD2CD2"/>
    <w:rsid w:val="46BD7176"/>
    <w:rsid w:val="46BF2EEE"/>
    <w:rsid w:val="46C16C66"/>
    <w:rsid w:val="46C2478C"/>
    <w:rsid w:val="46C67DD9"/>
    <w:rsid w:val="46C71DA3"/>
    <w:rsid w:val="46CB1893"/>
    <w:rsid w:val="46CB53EF"/>
    <w:rsid w:val="46D324F5"/>
    <w:rsid w:val="46D71FE6"/>
    <w:rsid w:val="46D85D5E"/>
    <w:rsid w:val="46D87B0C"/>
    <w:rsid w:val="46DA1AD6"/>
    <w:rsid w:val="46DA7D28"/>
    <w:rsid w:val="46DD15C6"/>
    <w:rsid w:val="46DF0E9A"/>
    <w:rsid w:val="46E029D4"/>
    <w:rsid w:val="46E12E64"/>
    <w:rsid w:val="46E22739"/>
    <w:rsid w:val="46E252F4"/>
    <w:rsid w:val="46E91D19"/>
    <w:rsid w:val="46EB5A91"/>
    <w:rsid w:val="46EC35B7"/>
    <w:rsid w:val="46F5246C"/>
    <w:rsid w:val="46FA2178"/>
    <w:rsid w:val="46FD7572"/>
    <w:rsid w:val="46FF32EA"/>
    <w:rsid w:val="47024B89"/>
    <w:rsid w:val="4703102D"/>
    <w:rsid w:val="47040901"/>
    <w:rsid w:val="47044DA5"/>
    <w:rsid w:val="470628CB"/>
    <w:rsid w:val="470703F1"/>
    <w:rsid w:val="470A4990"/>
    <w:rsid w:val="470B1C8F"/>
    <w:rsid w:val="470B7EE1"/>
    <w:rsid w:val="4714323A"/>
    <w:rsid w:val="471548BC"/>
    <w:rsid w:val="47174AD8"/>
    <w:rsid w:val="47176886"/>
    <w:rsid w:val="471D7DA5"/>
    <w:rsid w:val="4723522B"/>
    <w:rsid w:val="472E597E"/>
    <w:rsid w:val="472F1E22"/>
    <w:rsid w:val="47312BC9"/>
    <w:rsid w:val="4734568A"/>
    <w:rsid w:val="47347438"/>
    <w:rsid w:val="47370CD6"/>
    <w:rsid w:val="47392CA0"/>
    <w:rsid w:val="473A4323"/>
    <w:rsid w:val="473D3E13"/>
    <w:rsid w:val="473E2065"/>
    <w:rsid w:val="474451A1"/>
    <w:rsid w:val="475353E4"/>
    <w:rsid w:val="4755115C"/>
    <w:rsid w:val="47555600"/>
    <w:rsid w:val="475573AE"/>
    <w:rsid w:val="47577F36"/>
    <w:rsid w:val="475A317D"/>
    <w:rsid w:val="475A49C5"/>
    <w:rsid w:val="475F15EE"/>
    <w:rsid w:val="47655843"/>
    <w:rsid w:val="476615BC"/>
    <w:rsid w:val="476870E2"/>
    <w:rsid w:val="47694C08"/>
    <w:rsid w:val="476D294A"/>
    <w:rsid w:val="476E221E"/>
    <w:rsid w:val="47721D0E"/>
    <w:rsid w:val="477912EF"/>
    <w:rsid w:val="47794E4B"/>
    <w:rsid w:val="477A0BC3"/>
    <w:rsid w:val="478A34FC"/>
    <w:rsid w:val="478D4D9A"/>
    <w:rsid w:val="478F287A"/>
    <w:rsid w:val="479003E6"/>
    <w:rsid w:val="479460B3"/>
    <w:rsid w:val="479559FD"/>
    <w:rsid w:val="47961EA1"/>
    <w:rsid w:val="4799729B"/>
    <w:rsid w:val="479A3D49"/>
    <w:rsid w:val="479C6D8B"/>
    <w:rsid w:val="47A11F37"/>
    <w:rsid w:val="47A3011A"/>
    <w:rsid w:val="47A36041"/>
    <w:rsid w:val="47A67C0A"/>
    <w:rsid w:val="47A83982"/>
    <w:rsid w:val="47AA14A8"/>
    <w:rsid w:val="47B3266E"/>
    <w:rsid w:val="47B440D5"/>
    <w:rsid w:val="47B57E4D"/>
    <w:rsid w:val="47B6609F"/>
    <w:rsid w:val="47BB1907"/>
    <w:rsid w:val="47BC742D"/>
    <w:rsid w:val="47C00CCC"/>
    <w:rsid w:val="47C02A7A"/>
    <w:rsid w:val="47C06F1E"/>
    <w:rsid w:val="47C167F2"/>
    <w:rsid w:val="47C85DD2"/>
    <w:rsid w:val="47CA7D9C"/>
    <w:rsid w:val="47CF53B3"/>
    <w:rsid w:val="47CF7161"/>
    <w:rsid w:val="47D604EF"/>
    <w:rsid w:val="47DB78B4"/>
    <w:rsid w:val="47DE73A4"/>
    <w:rsid w:val="47E04ECA"/>
    <w:rsid w:val="47E36768"/>
    <w:rsid w:val="47E50732"/>
    <w:rsid w:val="47EA5D49"/>
    <w:rsid w:val="47EA7AF7"/>
    <w:rsid w:val="47F170D7"/>
    <w:rsid w:val="47F46BC7"/>
    <w:rsid w:val="47F866B8"/>
    <w:rsid w:val="47F95F8C"/>
    <w:rsid w:val="47FC782A"/>
    <w:rsid w:val="47FE17F4"/>
    <w:rsid w:val="4800731A"/>
    <w:rsid w:val="48013092"/>
    <w:rsid w:val="480D7C89"/>
    <w:rsid w:val="480E5EDB"/>
    <w:rsid w:val="481159E0"/>
    <w:rsid w:val="481334F1"/>
    <w:rsid w:val="481B4154"/>
    <w:rsid w:val="481D611E"/>
    <w:rsid w:val="481E1E96"/>
    <w:rsid w:val="4820176A"/>
    <w:rsid w:val="48217291"/>
    <w:rsid w:val="482A4397"/>
    <w:rsid w:val="482C6361"/>
    <w:rsid w:val="4832149E"/>
    <w:rsid w:val="48335942"/>
    <w:rsid w:val="48345216"/>
    <w:rsid w:val="48360F8E"/>
    <w:rsid w:val="483B59A8"/>
    <w:rsid w:val="483F42E6"/>
    <w:rsid w:val="4840005F"/>
    <w:rsid w:val="48427933"/>
    <w:rsid w:val="484713ED"/>
    <w:rsid w:val="48494CFC"/>
    <w:rsid w:val="48497FAC"/>
    <w:rsid w:val="484A67E7"/>
    <w:rsid w:val="484C6A03"/>
    <w:rsid w:val="48517B76"/>
    <w:rsid w:val="485633DE"/>
    <w:rsid w:val="48580F04"/>
    <w:rsid w:val="48587156"/>
    <w:rsid w:val="485A1120"/>
    <w:rsid w:val="485B6C46"/>
    <w:rsid w:val="486378A9"/>
    <w:rsid w:val="486614AB"/>
    <w:rsid w:val="48677399"/>
    <w:rsid w:val="48691363"/>
    <w:rsid w:val="486F624E"/>
    <w:rsid w:val="4871646A"/>
    <w:rsid w:val="48723AE3"/>
    <w:rsid w:val="48757D08"/>
    <w:rsid w:val="48763490"/>
    <w:rsid w:val="48763A80"/>
    <w:rsid w:val="4876582E"/>
    <w:rsid w:val="487877F8"/>
    <w:rsid w:val="487939F1"/>
    <w:rsid w:val="487970CD"/>
    <w:rsid w:val="487D4E0F"/>
    <w:rsid w:val="48802209"/>
    <w:rsid w:val="488066AD"/>
    <w:rsid w:val="48831CF9"/>
    <w:rsid w:val="48873598"/>
    <w:rsid w:val="488C32A4"/>
    <w:rsid w:val="488F069E"/>
    <w:rsid w:val="48914416"/>
    <w:rsid w:val="489363E0"/>
    <w:rsid w:val="48967C7F"/>
    <w:rsid w:val="489839F7"/>
    <w:rsid w:val="489A776F"/>
    <w:rsid w:val="489B34E7"/>
    <w:rsid w:val="489B7043"/>
    <w:rsid w:val="48A203D1"/>
    <w:rsid w:val="48A4239B"/>
    <w:rsid w:val="48A44149"/>
    <w:rsid w:val="48A51C70"/>
    <w:rsid w:val="48A56114"/>
    <w:rsid w:val="48AE6D76"/>
    <w:rsid w:val="48B14AB8"/>
    <w:rsid w:val="48B16866"/>
    <w:rsid w:val="48B545A9"/>
    <w:rsid w:val="48B60321"/>
    <w:rsid w:val="48B76708"/>
    <w:rsid w:val="48B819A3"/>
    <w:rsid w:val="48BA1BBF"/>
    <w:rsid w:val="48BB1493"/>
    <w:rsid w:val="48BD520B"/>
    <w:rsid w:val="48BF2D31"/>
    <w:rsid w:val="48C742DC"/>
    <w:rsid w:val="48CC36A0"/>
    <w:rsid w:val="48CC544E"/>
    <w:rsid w:val="48CE11C6"/>
    <w:rsid w:val="48D04F3E"/>
    <w:rsid w:val="48D12A65"/>
    <w:rsid w:val="48D34A2F"/>
    <w:rsid w:val="48D367DD"/>
    <w:rsid w:val="48E64762"/>
    <w:rsid w:val="48EB7171"/>
    <w:rsid w:val="48EB7FCA"/>
    <w:rsid w:val="48F03833"/>
    <w:rsid w:val="48F22F6E"/>
    <w:rsid w:val="48F30C2D"/>
    <w:rsid w:val="490177EE"/>
    <w:rsid w:val="49045382"/>
    <w:rsid w:val="490701F3"/>
    <w:rsid w:val="490966A2"/>
    <w:rsid w:val="490B5F77"/>
    <w:rsid w:val="490E2746"/>
    <w:rsid w:val="490E5A67"/>
    <w:rsid w:val="49107A31"/>
    <w:rsid w:val="49115557"/>
    <w:rsid w:val="491312CF"/>
    <w:rsid w:val="49155047"/>
    <w:rsid w:val="49180694"/>
    <w:rsid w:val="491A265E"/>
    <w:rsid w:val="491C4628"/>
    <w:rsid w:val="49276B29"/>
    <w:rsid w:val="4929464F"/>
    <w:rsid w:val="492E6109"/>
    <w:rsid w:val="49303C2F"/>
    <w:rsid w:val="493059DD"/>
    <w:rsid w:val="4933371F"/>
    <w:rsid w:val="49351245"/>
    <w:rsid w:val="49366D6C"/>
    <w:rsid w:val="493C4382"/>
    <w:rsid w:val="493D634C"/>
    <w:rsid w:val="49441489"/>
    <w:rsid w:val="49465201"/>
    <w:rsid w:val="494871CB"/>
    <w:rsid w:val="49494CF1"/>
    <w:rsid w:val="494B0A69"/>
    <w:rsid w:val="494B2817"/>
    <w:rsid w:val="494B6CBB"/>
    <w:rsid w:val="49543DC1"/>
    <w:rsid w:val="49553696"/>
    <w:rsid w:val="495654B0"/>
    <w:rsid w:val="49575660"/>
    <w:rsid w:val="4957740E"/>
    <w:rsid w:val="49584F34"/>
    <w:rsid w:val="495913D8"/>
    <w:rsid w:val="495B51C5"/>
    <w:rsid w:val="495D254A"/>
    <w:rsid w:val="49635DB3"/>
    <w:rsid w:val="49641B2B"/>
    <w:rsid w:val="49663AF5"/>
    <w:rsid w:val="49697141"/>
    <w:rsid w:val="496D09DF"/>
    <w:rsid w:val="496D6C31"/>
    <w:rsid w:val="49725FF6"/>
    <w:rsid w:val="49746212"/>
    <w:rsid w:val="497D499A"/>
    <w:rsid w:val="498126DD"/>
    <w:rsid w:val="498B70B7"/>
    <w:rsid w:val="498D1081"/>
    <w:rsid w:val="498D2E30"/>
    <w:rsid w:val="49912190"/>
    <w:rsid w:val="499248EA"/>
    <w:rsid w:val="49942410"/>
    <w:rsid w:val="499441BE"/>
    <w:rsid w:val="49951CE4"/>
    <w:rsid w:val="49971F00"/>
    <w:rsid w:val="49975A5C"/>
    <w:rsid w:val="499917D4"/>
    <w:rsid w:val="49995C78"/>
    <w:rsid w:val="499C3073"/>
    <w:rsid w:val="499E503D"/>
    <w:rsid w:val="499E6DEB"/>
    <w:rsid w:val="49A10689"/>
    <w:rsid w:val="49A14B2D"/>
    <w:rsid w:val="49A5461D"/>
    <w:rsid w:val="49A73042"/>
    <w:rsid w:val="49A95790"/>
    <w:rsid w:val="49AB775A"/>
    <w:rsid w:val="49AD34D2"/>
    <w:rsid w:val="49AD5280"/>
    <w:rsid w:val="49B20AE8"/>
    <w:rsid w:val="49B77EAC"/>
    <w:rsid w:val="49B91E77"/>
    <w:rsid w:val="49B93C25"/>
    <w:rsid w:val="49C01457"/>
    <w:rsid w:val="49C12AD9"/>
    <w:rsid w:val="49C34AA3"/>
    <w:rsid w:val="49C56A6D"/>
    <w:rsid w:val="49CD5922"/>
    <w:rsid w:val="49D7054F"/>
    <w:rsid w:val="49DC3DB7"/>
    <w:rsid w:val="49DD4852"/>
    <w:rsid w:val="49DE368B"/>
    <w:rsid w:val="49DF11B1"/>
    <w:rsid w:val="49E54A1A"/>
    <w:rsid w:val="49E8275C"/>
    <w:rsid w:val="49ED1B20"/>
    <w:rsid w:val="49EF7646"/>
    <w:rsid w:val="49F11610"/>
    <w:rsid w:val="49F42AD9"/>
    <w:rsid w:val="49F44C5D"/>
    <w:rsid w:val="49F509D5"/>
    <w:rsid w:val="49F66C27"/>
    <w:rsid w:val="49F75EF8"/>
    <w:rsid w:val="49F92273"/>
    <w:rsid w:val="49FB248F"/>
    <w:rsid w:val="49FE5ADB"/>
    <w:rsid w:val="4A0330F2"/>
    <w:rsid w:val="4A050C18"/>
    <w:rsid w:val="4A0600C1"/>
    <w:rsid w:val="4A0F1A96"/>
    <w:rsid w:val="4A143551"/>
    <w:rsid w:val="4A1A5171"/>
    <w:rsid w:val="4A1B043B"/>
    <w:rsid w:val="4A201EF6"/>
    <w:rsid w:val="4A225C6E"/>
    <w:rsid w:val="4A233794"/>
    <w:rsid w:val="4A286FFC"/>
    <w:rsid w:val="4A2D63C1"/>
    <w:rsid w:val="4A2F2139"/>
    <w:rsid w:val="4A3814BE"/>
    <w:rsid w:val="4A394D65"/>
    <w:rsid w:val="4A3C6604"/>
    <w:rsid w:val="4A4200BE"/>
    <w:rsid w:val="4A435BE4"/>
    <w:rsid w:val="4A4756D4"/>
    <w:rsid w:val="4A4E4B02"/>
    <w:rsid w:val="4A4F27DB"/>
    <w:rsid w:val="4A4F4B74"/>
    <w:rsid w:val="4A54710F"/>
    <w:rsid w:val="4A5D0A54"/>
    <w:rsid w:val="4A6242BC"/>
    <w:rsid w:val="4A64704B"/>
    <w:rsid w:val="4A6C6EE9"/>
    <w:rsid w:val="4A6F415E"/>
    <w:rsid w:val="4A7933B4"/>
    <w:rsid w:val="4A7B35D0"/>
    <w:rsid w:val="4A7D10F6"/>
    <w:rsid w:val="4A7D4C52"/>
    <w:rsid w:val="4A875AD1"/>
    <w:rsid w:val="4A934476"/>
    <w:rsid w:val="4A9621B8"/>
    <w:rsid w:val="4A965D14"/>
    <w:rsid w:val="4A9B157C"/>
    <w:rsid w:val="4A9D3546"/>
    <w:rsid w:val="4A9F106C"/>
    <w:rsid w:val="4A9F72BE"/>
    <w:rsid w:val="4AA03036"/>
    <w:rsid w:val="4AA2290B"/>
    <w:rsid w:val="4AA5064D"/>
    <w:rsid w:val="4AA77F21"/>
    <w:rsid w:val="4AAE5753"/>
    <w:rsid w:val="4AAF6DD6"/>
    <w:rsid w:val="4AB04634"/>
    <w:rsid w:val="4AB10DA0"/>
    <w:rsid w:val="4AB368C6"/>
    <w:rsid w:val="4AB50890"/>
    <w:rsid w:val="4AB80380"/>
    <w:rsid w:val="4ABB577A"/>
    <w:rsid w:val="4ABD7744"/>
    <w:rsid w:val="4AC541C0"/>
    <w:rsid w:val="4AC62A9D"/>
    <w:rsid w:val="4AC97E97"/>
    <w:rsid w:val="4ACC5BD9"/>
    <w:rsid w:val="4AD056CA"/>
    <w:rsid w:val="4AD11442"/>
    <w:rsid w:val="4AD4683C"/>
    <w:rsid w:val="4AD52CE0"/>
    <w:rsid w:val="4AD93E52"/>
    <w:rsid w:val="4ADB7BCB"/>
    <w:rsid w:val="4AE42F23"/>
    <w:rsid w:val="4AE66C9B"/>
    <w:rsid w:val="4AE9678B"/>
    <w:rsid w:val="4AEA6060"/>
    <w:rsid w:val="4AEB42B2"/>
    <w:rsid w:val="4AEE3DA2"/>
    <w:rsid w:val="4AF40C8C"/>
    <w:rsid w:val="4AF64A04"/>
    <w:rsid w:val="4AFF5FAF"/>
    <w:rsid w:val="4B0435C5"/>
    <w:rsid w:val="4B06733D"/>
    <w:rsid w:val="4B09298A"/>
    <w:rsid w:val="4B0B6702"/>
    <w:rsid w:val="4B0C247A"/>
    <w:rsid w:val="4B0E61F2"/>
    <w:rsid w:val="4B133808"/>
    <w:rsid w:val="4B15132F"/>
    <w:rsid w:val="4B1530DD"/>
    <w:rsid w:val="4B1F3F5B"/>
    <w:rsid w:val="4B201A81"/>
    <w:rsid w:val="4B2B0B52"/>
    <w:rsid w:val="4B320132"/>
    <w:rsid w:val="4B321EE0"/>
    <w:rsid w:val="4B370F67"/>
    <w:rsid w:val="4B3814C1"/>
    <w:rsid w:val="4B3B68BB"/>
    <w:rsid w:val="4B3F63AB"/>
    <w:rsid w:val="4B481704"/>
    <w:rsid w:val="4B49722A"/>
    <w:rsid w:val="4B4A5F4D"/>
    <w:rsid w:val="4B5736F5"/>
    <w:rsid w:val="4B5C51AF"/>
    <w:rsid w:val="4B5D6832"/>
    <w:rsid w:val="4B5E0F27"/>
    <w:rsid w:val="4B614574"/>
    <w:rsid w:val="4B663938"/>
    <w:rsid w:val="4B667DDC"/>
    <w:rsid w:val="4B6D116B"/>
    <w:rsid w:val="4B700C5B"/>
    <w:rsid w:val="4B702A09"/>
    <w:rsid w:val="4B725159"/>
    <w:rsid w:val="4B7342A7"/>
    <w:rsid w:val="4B736055"/>
    <w:rsid w:val="4B7F2C4C"/>
    <w:rsid w:val="4B8244EA"/>
    <w:rsid w:val="4B8464B4"/>
    <w:rsid w:val="4B86222C"/>
    <w:rsid w:val="4B865D88"/>
    <w:rsid w:val="4B8E4C43"/>
    <w:rsid w:val="4B9009B5"/>
    <w:rsid w:val="4B92297F"/>
    <w:rsid w:val="4B9805B5"/>
    <w:rsid w:val="4B9A1834"/>
    <w:rsid w:val="4B9E1324"/>
    <w:rsid w:val="4BA10E14"/>
    <w:rsid w:val="4BA32DDE"/>
    <w:rsid w:val="4BA6642B"/>
    <w:rsid w:val="4BAD1567"/>
    <w:rsid w:val="4BAD5A0B"/>
    <w:rsid w:val="4BB01057"/>
    <w:rsid w:val="4BB072A9"/>
    <w:rsid w:val="4BB52B12"/>
    <w:rsid w:val="4BBA1ED6"/>
    <w:rsid w:val="4BBE3774"/>
    <w:rsid w:val="4BC15012"/>
    <w:rsid w:val="4BC32B39"/>
    <w:rsid w:val="4BC6087B"/>
    <w:rsid w:val="4BC66ACD"/>
    <w:rsid w:val="4BC82845"/>
    <w:rsid w:val="4BC845F3"/>
    <w:rsid w:val="4BCA036B"/>
    <w:rsid w:val="4BCB7C3F"/>
    <w:rsid w:val="4BCE14DD"/>
    <w:rsid w:val="4BD5286C"/>
    <w:rsid w:val="4BD56D10"/>
    <w:rsid w:val="4BD905AE"/>
    <w:rsid w:val="4BE07B8E"/>
    <w:rsid w:val="4BE172E5"/>
    <w:rsid w:val="4BE3142D"/>
    <w:rsid w:val="4BE34F89"/>
    <w:rsid w:val="4BE60F1D"/>
    <w:rsid w:val="4BEB208F"/>
    <w:rsid w:val="4BEB7BAC"/>
    <w:rsid w:val="4BEE392E"/>
    <w:rsid w:val="4BF03B4A"/>
    <w:rsid w:val="4BF058F8"/>
    <w:rsid w:val="4BF076A6"/>
    <w:rsid w:val="4BF30F0E"/>
    <w:rsid w:val="4BF4363A"/>
    <w:rsid w:val="4BF47196"/>
    <w:rsid w:val="4BF74ED8"/>
    <w:rsid w:val="4BFB6776"/>
    <w:rsid w:val="4BFE6267"/>
    <w:rsid w:val="4C017B05"/>
    <w:rsid w:val="4C0373D9"/>
    <w:rsid w:val="4C066EC9"/>
    <w:rsid w:val="4C082C41"/>
    <w:rsid w:val="4C0B2731"/>
    <w:rsid w:val="4C0C0983"/>
    <w:rsid w:val="4C0D2006"/>
    <w:rsid w:val="4C0F3FD0"/>
    <w:rsid w:val="4C0F4139"/>
    <w:rsid w:val="4C127068"/>
    <w:rsid w:val="4C181799"/>
    <w:rsid w:val="4C1E4213"/>
    <w:rsid w:val="4C215AB1"/>
    <w:rsid w:val="4C237A7B"/>
    <w:rsid w:val="4C2630C7"/>
    <w:rsid w:val="4C286E40"/>
    <w:rsid w:val="4C2D08FA"/>
    <w:rsid w:val="4C2F4672"/>
    <w:rsid w:val="4C303F46"/>
    <w:rsid w:val="4C324162"/>
    <w:rsid w:val="4C390AD2"/>
    <w:rsid w:val="4C3B4DC5"/>
    <w:rsid w:val="4C3C0B3D"/>
    <w:rsid w:val="4C4023DB"/>
    <w:rsid w:val="4C404189"/>
    <w:rsid w:val="4C433C79"/>
    <w:rsid w:val="4C437C13"/>
    <w:rsid w:val="4C4579F1"/>
    <w:rsid w:val="4C4719BC"/>
    <w:rsid w:val="4C4905C7"/>
    <w:rsid w:val="4C4B0D80"/>
    <w:rsid w:val="4C4D68A6"/>
    <w:rsid w:val="4C51283A"/>
    <w:rsid w:val="4C5479B0"/>
    <w:rsid w:val="4C561BFF"/>
    <w:rsid w:val="4C59349D"/>
    <w:rsid w:val="4C5B5467"/>
    <w:rsid w:val="4C5B7215"/>
    <w:rsid w:val="4C5C4D3B"/>
    <w:rsid w:val="4C5D11DF"/>
    <w:rsid w:val="4C6065D9"/>
    <w:rsid w:val="4C6360CA"/>
    <w:rsid w:val="4C653BF0"/>
    <w:rsid w:val="4C6578C0"/>
    <w:rsid w:val="4C681932"/>
    <w:rsid w:val="4C6836E0"/>
    <w:rsid w:val="4C687B84"/>
    <w:rsid w:val="4C6A7458"/>
    <w:rsid w:val="4C6C1422"/>
    <w:rsid w:val="4C6F0F12"/>
    <w:rsid w:val="4C6F4A6E"/>
    <w:rsid w:val="4C72305B"/>
    <w:rsid w:val="4C746529"/>
    <w:rsid w:val="4C7622A1"/>
    <w:rsid w:val="4C76404F"/>
    <w:rsid w:val="4C800A2A"/>
    <w:rsid w:val="4C87000A"/>
    <w:rsid w:val="4C885B30"/>
    <w:rsid w:val="4C8D1398"/>
    <w:rsid w:val="4C91428E"/>
    <w:rsid w:val="4C9269AF"/>
    <w:rsid w:val="4C96649F"/>
    <w:rsid w:val="4C985CF9"/>
    <w:rsid w:val="4CA3296A"/>
    <w:rsid w:val="4CA54934"/>
    <w:rsid w:val="4CA87F80"/>
    <w:rsid w:val="4CAE37E9"/>
    <w:rsid w:val="4CB16E35"/>
    <w:rsid w:val="4CB30DFF"/>
    <w:rsid w:val="4CBD3A2C"/>
    <w:rsid w:val="4CBE1552"/>
    <w:rsid w:val="4CBF59F6"/>
    <w:rsid w:val="4CC35BEB"/>
    <w:rsid w:val="4CC805CD"/>
    <w:rsid w:val="4CCA6149"/>
    <w:rsid w:val="4CCC3C6F"/>
    <w:rsid w:val="4CD34FFD"/>
    <w:rsid w:val="4CD40D75"/>
    <w:rsid w:val="4CD46FC7"/>
    <w:rsid w:val="4CDD40CE"/>
    <w:rsid w:val="4CDD7C2A"/>
    <w:rsid w:val="4CE76CFB"/>
    <w:rsid w:val="4CEC4311"/>
    <w:rsid w:val="4CEF5BAF"/>
    <w:rsid w:val="4CF17B79"/>
    <w:rsid w:val="4CF5766A"/>
    <w:rsid w:val="4CF82CB6"/>
    <w:rsid w:val="4CFB4554"/>
    <w:rsid w:val="4CFD207A"/>
    <w:rsid w:val="4CFD651E"/>
    <w:rsid w:val="4CFE5DF2"/>
    <w:rsid w:val="4D027691"/>
    <w:rsid w:val="4D07114B"/>
    <w:rsid w:val="4D096C71"/>
    <w:rsid w:val="4D0C49B3"/>
    <w:rsid w:val="4D0E072B"/>
    <w:rsid w:val="4D106251"/>
    <w:rsid w:val="4D135D42"/>
    <w:rsid w:val="4D16313C"/>
    <w:rsid w:val="4D183358"/>
    <w:rsid w:val="4D197532"/>
    <w:rsid w:val="4D1B0752"/>
    <w:rsid w:val="4D1D096E"/>
    <w:rsid w:val="4D2717ED"/>
    <w:rsid w:val="4D2A6BE7"/>
    <w:rsid w:val="4D2C295F"/>
    <w:rsid w:val="4D31441A"/>
    <w:rsid w:val="4D333CEE"/>
    <w:rsid w:val="4D3A1520"/>
    <w:rsid w:val="4D3A32CE"/>
    <w:rsid w:val="4D3A71AE"/>
    <w:rsid w:val="4D3B0DF4"/>
    <w:rsid w:val="4D3F2693"/>
    <w:rsid w:val="4D445EFB"/>
    <w:rsid w:val="4D447CA9"/>
    <w:rsid w:val="4D471547"/>
    <w:rsid w:val="4D477799"/>
    <w:rsid w:val="4D4E0B28"/>
    <w:rsid w:val="4D50664E"/>
    <w:rsid w:val="4D565246"/>
    <w:rsid w:val="4D5F2D35"/>
    <w:rsid w:val="4D607A39"/>
    <w:rsid w:val="4D6640C3"/>
    <w:rsid w:val="4D665E71"/>
    <w:rsid w:val="4D671BE9"/>
    <w:rsid w:val="4D6B3488"/>
    <w:rsid w:val="4D761E2D"/>
    <w:rsid w:val="4D7762D0"/>
    <w:rsid w:val="4D783DF7"/>
    <w:rsid w:val="4D7F7022"/>
    <w:rsid w:val="4D8004B2"/>
    <w:rsid w:val="4D84279B"/>
    <w:rsid w:val="4D862070"/>
    <w:rsid w:val="4D8B58D8"/>
    <w:rsid w:val="4D8E7176"/>
    <w:rsid w:val="4D907392"/>
    <w:rsid w:val="4D9626D8"/>
    <w:rsid w:val="4D9724CF"/>
    <w:rsid w:val="4D9A1FBF"/>
    <w:rsid w:val="4D9A5B1B"/>
    <w:rsid w:val="4DA150FB"/>
    <w:rsid w:val="4DA22C22"/>
    <w:rsid w:val="4DA30E74"/>
    <w:rsid w:val="4DA846DC"/>
    <w:rsid w:val="4DA90454"/>
    <w:rsid w:val="4DA92202"/>
    <w:rsid w:val="4DAB1AD6"/>
    <w:rsid w:val="4DB12E65"/>
    <w:rsid w:val="4DB7491F"/>
    <w:rsid w:val="4DB90697"/>
    <w:rsid w:val="4DBE3EFF"/>
    <w:rsid w:val="4DC4528E"/>
    <w:rsid w:val="4DC808DA"/>
    <w:rsid w:val="4DD03C33"/>
    <w:rsid w:val="4DD23507"/>
    <w:rsid w:val="4DD3102D"/>
    <w:rsid w:val="4DD728CB"/>
    <w:rsid w:val="4DD86643"/>
    <w:rsid w:val="4DDE1EAC"/>
    <w:rsid w:val="4DE44FE8"/>
    <w:rsid w:val="4DEA4CF4"/>
    <w:rsid w:val="4DEB45C9"/>
    <w:rsid w:val="4DEB6377"/>
    <w:rsid w:val="4DED0341"/>
    <w:rsid w:val="4DED6593"/>
    <w:rsid w:val="4DEF40B9"/>
    <w:rsid w:val="4DF3347D"/>
    <w:rsid w:val="4DF53699"/>
    <w:rsid w:val="4DF80A94"/>
    <w:rsid w:val="4DF96CE5"/>
    <w:rsid w:val="4DFE42FC"/>
    <w:rsid w:val="4DFF0074"/>
    <w:rsid w:val="4DFF1E22"/>
    <w:rsid w:val="4E026E39"/>
    <w:rsid w:val="4E0336C0"/>
    <w:rsid w:val="4E035DB6"/>
    <w:rsid w:val="4E047438"/>
    <w:rsid w:val="4E0538DC"/>
    <w:rsid w:val="4E0700DA"/>
    <w:rsid w:val="4E08517B"/>
    <w:rsid w:val="4E0B4C6B"/>
    <w:rsid w:val="4E0F6509"/>
    <w:rsid w:val="4E102281"/>
    <w:rsid w:val="4E127DA7"/>
    <w:rsid w:val="4E151645"/>
    <w:rsid w:val="4E191136"/>
    <w:rsid w:val="4E1A6C5C"/>
    <w:rsid w:val="4E1C6E78"/>
    <w:rsid w:val="4E2077F1"/>
    <w:rsid w:val="4E281379"/>
    <w:rsid w:val="4E2D698F"/>
    <w:rsid w:val="4E2D6CB5"/>
    <w:rsid w:val="4E30647F"/>
    <w:rsid w:val="4E311C06"/>
    <w:rsid w:val="4E323FA5"/>
    <w:rsid w:val="4E353A96"/>
    <w:rsid w:val="4E393F67"/>
    <w:rsid w:val="4E3B72FE"/>
    <w:rsid w:val="4E3E0B9C"/>
    <w:rsid w:val="4E3F66C2"/>
    <w:rsid w:val="4E4361B3"/>
    <w:rsid w:val="4E4461AB"/>
    <w:rsid w:val="4E4759F1"/>
    <w:rsid w:val="4E485577"/>
    <w:rsid w:val="4E4869FD"/>
    <w:rsid w:val="4E4D5283"/>
    <w:rsid w:val="4E4D7031"/>
    <w:rsid w:val="4E4F2DA9"/>
    <w:rsid w:val="4E524648"/>
    <w:rsid w:val="4E5B22A2"/>
    <w:rsid w:val="4E5B79A0"/>
    <w:rsid w:val="4E657666"/>
    <w:rsid w:val="4E6600F3"/>
    <w:rsid w:val="4E676345"/>
    <w:rsid w:val="4E6A7BE3"/>
    <w:rsid w:val="4E6B74B7"/>
    <w:rsid w:val="4E6E6A73"/>
    <w:rsid w:val="4E720846"/>
    <w:rsid w:val="4E766588"/>
    <w:rsid w:val="4E791BD4"/>
    <w:rsid w:val="4E7C16C5"/>
    <w:rsid w:val="4E832A53"/>
    <w:rsid w:val="4E834801"/>
    <w:rsid w:val="4E850579"/>
    <w:rsid w:val="4E8642F1"/>
    <w:rsid w:val="4E881E17"/>
    <w:rsid w:val="4E8A3DE2"/>
    <w:rsid w:val="4E90667E"/>
    <w:rsid w:val="4E915170"/>
    <w:rsid w:val="4E9407BC"/>
    <w:rsid w:val="4E962786"/>
    <w:rsid w:val="4E9904C8"/>
    <w:rsid w:val="4E992277"/>
    <w:rsid w:val="4E9E5ADF"/>
    <w:rsid w:val="4EA12ED9"/>
    <w:rsid w:val="4EA50C1B"/>
    <w:rsid w:val="4EAA6232"/>
    <w:rsid w:val="4EB250E6"/>
    <w:rsid w:val="4EB41693"/>
    <w:rsid w:val="4EC015B1"/>
    <w:rsid w:val="4EC05A55"/>
    <w:rsid w:val="4EC372F3"/>
    <w:rsid w:val="4EC45545"/>
    <w:rsid w:val="4EC5306C"/>
    <w:rsid w:val="4EC92B5C"/>
    <w:rsid w:val="4ECA0682"/>
    <w:rsid w:val="4ED11A10"/>
    <w:rsid w:val="4ED17C62"/>
    <w:rsid w:val="4ED35788"/>
    <w:rsid w:val="4ED67027"/>
    <w:rsid w:val="4ED92673"/>
    <w:rsid w:val="4EDD03B5"/>
    <w:rsid w:val="4EE03A01"/>
    <w:rsid w:val="4EE07EA5"/>
    <w:rsid w:val="4EE5726A"/>
    <w:rsid w:val="4EE74D90"/>
    <w:rsid w:val="4EE80B08"/>
    <w:rsid w:val="4EEA2AD2"/>
    <w:rsid w:val="4EF23735"/>
    <w:rsid w:val="4EF37BD9"/>
    <w:rsid w:val="4EF851EF"/>
    <w:rsid w:val="4EF92D15"/>
    <w:rsid w:val="4EF94AC3"/>
    <w:rsid w:val="4EFE032C"/>
    <w:rsid w:val="4F005E52"/>
    <w:rsid w:val="4F0516BA"/>
    <w:rsid w:val="4F075432"/>
    <w:rsid w:val="4F0C0C9A"/>
    <w:rsid w:val="4F0C47F7"/>
    <w:rsid w:val="4F0E056F"/>
    <w:rsid w:val="4F0E4A13"/>
    <w:rsid w:val="4F132029"/>
    <w:rsid w:val="4F133DD7"/>
    <w:rsid w:val="4F155DA1"/>
    <w:rsid w:val="4F1625D5"/>
    <w:rsid w:val="4F1D07B2"/>
    <w:rsid w:val="4F1D6A04"/>
    <w:rsid w:val="4F2064F4"/>
    <w:rsid w:val="4F253B0A"/>
    <w:rsid w:val="4F271630"/>
    <w:rsid w:val="4F277882"/>
    <w:rsid w:val="4F2A7373"/>
    <w:rsid w:val="4F2C6C47"/>
    <w:rsid w:val="4F310701"/>
    <w:rsid w:val="4F3855EC"/>
    <w:rsid w:val="4F3A75B6"/>
    <w:rsid w:val="4F3B50DC"/>
    <w:rsid w:val="4F3E697A"/>
    <w:rsid w:val="4F3F77C5"/>
    <w:rsid w:val="4F4421E2"/>
    <w:rsid w:val="4F471CD3"/>
    <w:rsid w:val="4F493C9D"/>
    <w:rsid w:val="4F495A4B"/>
    <w:rsid w:val="4F4C1097"/>
    <w:rsid w:val="4F50502B"/>
    <w:rsid w:val="4F5166AD"/>
    <w:rsid w:val="4F532425"/>
    <w:rsid w:val="4F563CC4"/>
    <w:rsid w:val="4F585C8E"/>
    <w:rsid w:val="4F5E38C5"/>
    <w:rsid w:val="4F622668"/>
    <w:rsid w:val="4F652159"/>
    <w:rsid w:val="4F702FD7"/>
    <w:rsid w:val="4F714FA1"/>
    <w:rsid w:val="4F74239C"/>
    <w:rsid w:val="4F756840"/>
    <w:rsid w:val="4F764366"/>
    <w:rsid w:val="4F7725B8"/>
    <w:rsid w:val="4F7800DE"/>
    <w:rsid w:val="4F781E8C"/>
    <w:rsid w:val="4F7B372A"/>
    <w:rsid w:val="4F7F146C"/>
    <w:rsid w:val="4F7F321A"/>
    <w:rsid w:val="4F824AB9"/>
    <w:rsid w:val="4F846A83"/>
    <w:rsid w:val="4F8847C5"/>
    <w:rsid w:val="4F9273F2"/>
    <w:rsid w:val="4F936CC6"/>
    <w:rsid w:val="4F950B0E"/>
    <w:rsid w:val="4F952A3E"/>
    <w:rsid w:val="4F9D7B44"/>
    <w:rsid w:val="4F9F1B0F"/>
    <w:rsid w:val="4F9F38BD"/>
    <w:rsid w:val="4F9F566B"/>
    <w:rsid w:val="4FA113E3"/>
    <w:rsid w:val="4FA233AD"/>
    <w:rsid w:val="4FA40ED3"/>
    <w:rsid w:val="4FA669F9"/>
    <w:rsid w:val="4FA7451F"/>
    <w:rsid w:val="4FA9473B"/>
    <w:rsid w:val="4FB01626"/>
    <w:rsid w:val="4FB102D4"/>
    <w:rsid w:val="4FB30428"/>
    <w:rsid w:val="4FB530E0"/>
    <w:rsid w:val="4FB70C06"/>
    <w:rsid w:val="4FB76E58"/>
    <w:rsid w:val="4FB8672C"/>
    <w:rsid w:val="4FBA4253"/>
    <w:rsid w:val="4FBF11AA"/>
    <w:rsid w:val="4FC11A85"/>
    <w:rsid w:val="4FC275AB"/>
    <w:rsid w:val="4FC30FBB"/>
    <w:rsid w:val="4FC9093A"/>
    <w:rsid w:val="4FCB46B2"/>
    <w:rsid w:val="4FCC21D8"/>
    <w:rsid w:val="4FD23C92"/>
    <w:rsid w:val="4FD73056"/>
    <w:rsid w:val="4FDD43E5"/>
    <w:rsid w:val="4FDF015D"/>
    <w:rsid w:val="4FE319FB"/>
    <w:rsid w:val="4FE37C4D"/>
    <w:rsid w:val="4FE85264"/>
    <w:rsid w:val="4FE87012"/>
    <w:rsid w:val="4FEE65F2"/>
    <w:rsid w:val="4FF04118"/>
    <w:rsid w:val="4FF21C3E"/>
    <w:rsid w:val="4FF5172F"/>
    <w:rsid w:val="4FF754A7"/>
    <w:rsid w:val="4FF82FCD"/>
    <w:rsid w:val="4FF97471"/>
    <w:rsid w:val="4FFC2ABD"/>
    <w:rsid w:val="4FFC486B"/>
    <w:rsid w:val="4FFE4A87"/>
    <w:rsid w:val="50080E30"/>
    <w:rsid w:val="500A342C"/>
    <w:rsid w:val="500B0F52"/>
    <w:rsid w:val="500B2D00"/>
    <w:rsid w:val="500D4CCA"/>
    <w:rsid w:val="500D6A78"/>
    <w:rsid w:val="500E459E"/>
    <w:rsid w:val="50113623"/>
    <w:rsid w:val="501A1195"/>
    <w:rsid w:val="501C4F0D"/>
    <w:rsid w:val="501E0C85"/>
    <w:rsid w:val="501E6ED7"/>
    <w:rsid w:val="501F67AB"/>
    <w:rsid w:val="5020656B"/>
    <w:rsid w:val="502344EE"/>
    <w:rsid w:val="50243DC2"/>
    <w:rsid w:val="50245B70"/>
    <w:rsid w:val="502838B2"/>
    <w:rsid w:val="50285660"/>
    <w:rsid w:val="502913D8"/>
    <w:rsid w:val="502A762A"/>
    <w:rsid w:val="503264DF"/>
    <w:rsid w:val="503C110B"/>
    <w:rsid w:val="503E30D6"/>
    <w:rsid w:val="503E6C32"/>
    <w:rsid w:val="503F0BFC"/>
    <w:rsid w:val="50487AB0"/>
    <w:rsid w:val="504B134F"/>
    <w:rsid w:val="504D156B"/>
    <w:rsid w:val="5052092F"/>
    <w:rsid w:val="505428F9"/>
    <w:rsid w:val="50566671"/>
    <w:rsid w:val="505B1B68"/>
    <w:rsid w:val="505E0352"/>
    <w:rsid w:val="505E72D4"/>
    <w:rsid w:val="5060304C"/>
    <w:rsid w:val="50610B72"/>
    <w:rsid w:val="50615016"/>
    <w:rsid w:val="50642410"/>
    <w:rsid w:val="506A211C"/>
    <w:rsid w:val="506B7C43"/>
    <w:rsid w:val="506F403E"/>
    <w:rsid w:val="50760AC1"/>
    <w:rsid w:val="507630D5"/>
    <w:rsid w:val="507C08CC"/>
    <w:rsid w:val="507C775A"/>
    <w:rsid w:val="50852AB2"/>
    <w:rsid w:val="508D7BB9"/>
    <w:rsid w:val="508F7316"/>
    <w:rsid w:val="50901457"/>
    <w:rsid w:val="50923421"/>
    <w:rsid w:val="50940F47"/>
    <w:rsid w:val="509B6FFA"/>
    <w:rsid w:val="509C1BAA"/>
    <w:rsid w:val="509E1DC6"/>
    <w:rsid w:val="50A13664"/>
    <w:rsid w:val="50A15412"/>
    <w:rsid w:val="50A53155"/>
    <w:rsid w:val="50AA2519"/>
    <w:rsid w:val="50B76522"/>
    <w:rsid w:val="50B769E4"/>
    <w:rsid w:val="50BB2978"/>
    <w:rsid w:val="50BB4726"/>
    <w:rsid w:val="50BE4216"/>
    <w:rsid w:val="50BE7D72"/>
    <w:rsid w:val="50C02456"/>
    <w:rsid w:val="50C16431"/>
    <w:rsid w:val="50C730CB"/>
    <w:rsid w:val="50CA4969"/>
    <w:rsid w:val="50CC248F"/>
    <w:rsid w:val="50CD6207"/>
    <w:rsid w:val="50D13F4A"/>
    <w:rsid w:val="50D21A70"/>
    <w:rsid w:val="50D2381E"/>
    <w:rsid w:val="50D457E8"/>
    <w:rsid w:val="50D70E34"/>
    <w:rsid w:val="50DB6B76"/>
    <w:rsid w:val="50E0418D"/>
    <w:rsid w:val="50E05F3B"/>
    <w:rsid w:val="50E53551"/>
    <w:rsid w:val="50E579F5"/>
    <w:rsid w:val="50E61077"/>
    <w:rsid w:val="50E83041"/>
    <w:rsid w:val="50EA13B1"/>
    <w:rsid w:val="50EC48E0"/>
    <w:rsid w:val="50F10148"/>
    <w:rsid w:val="50F419E6"/>
    <w:rsid w:val="50F43794"/>
    <w:rsid w:val="50F57C05"/>
    <w:rsid w:val="50FC089B"/>
    <w:rsid w:val="50FF298A"/>
    <w:rsid w:val="5100482F"/>
    <w:rsid w:val="51007642"/>
    <w:rsid w:val="51025EB1"/>
    <w:rsid w:val="51051E45"/>
    <w:rsid w:val="510C31D4"/>
    <w:rsid w:val="510E0CFA"/>
    <w:rsid w:val="510F05CE"/>
    <w:rsid w:val="51121E6C"/>
    <w:rsid w:val="51134562"/>
    <w:rsid w:val="51142088"/>
    <w:rsid w:val="51145BE4"/>
    <w:rsid w:val="5119769F"/>
    <w:rsid w:val="511A1CEF"/>
    <w:rsid w:val="511B3417"/>
    <w:rsid w:val="511D718F"/>
    <w:rsid w:val="51202BC1"/>
    <w:rsid w:val="512978E2"/>
    <w:rsid w:val="51331037"/>
    <w:rsid w:val="51355098"/>
    <w:rsid w:val="51363DAD"/>
    <w:rsid w:val="51383FC9"/>
    <w:rsid w:val="51390689"/>
    <w:rsid w:val="513A1AEF"/>
    <w:rsid w:val="513D15DF"/>
    <w:rsid w:val="51404C2B"/>
    <w:rsid w:val="51422751"/>
    <w:rsid w:val="5144471C"/>
    <w:rsid w:val="51453FF0"/>
    <w:rsid w:val="51537AD9"/>
    <w:rsid w:val="515A7AB3"/>
    <w:rsid w:val="515F3303"/>
    <w:rsid w:val="5160707C"/>
    <w:rsid w:val="51624BA2"/>
    <w:rsid w:val="5167665C"/>
    <w:rsid w:val="516B614C"/>
    <w:rsid w:val="516C3C72"/>
    <w:rsid w:val="51705511"/>
    <w:rsid w:val="51713037"/>
    <w:rsid w:val="517174DB"/>
    <w:rsid w:val="51730B5D"/>
    <w:rsid w:val="51780EAC"/>
    <w:rsid w:val="517B5C63"/>
    <w:rsid w:val="517D7C2E"/>
    <w:rsid w:val="517F39A6"/>
    <w:rsid w:val="5180327A"/>
    <w:rsid w:val="51874608"/>
    <w:rsid w:val="518C7E71"/>
    <w:rsid w:val="5191764E"/>
    <w:rsid w:val="51984A67"/>
    <w:rsid w:val="519977AA"/>
    <w:rsid w:val="519A07DF"/>
    <w:rsid w:val="519D3E2C"/>
    <w:rsid w:val="51A056CA"/>
    <w:rsid w:val="51A27694"/>
    <w:rsid w:val="51A74CAA"/>
    <w:rsid w:val="51A90A23"/>
    <w:rsid w:val="51AC0513"/>
    <w:rsid w:val="51AD665B"/>
    <w:rsid w:val="51AE26BC"/>
    <w:rsid w:val="51B00003"/>
    <w:rsid w:val="51B353FD"/>
    <w:rsid w:val="51B573C7"/>
    <w:rsid w:val="51B64EEE"/>
    <w:rsid w:val="51B97834"/>
    <w:rsid w:val="51C15D6C"/>
    <w:rsid w:val="51C21AE4"/>
    <w:rsid w:val="51C25640"/>
    <w:rsid w:val="51C615D4"/>
    <w:rsid w:val="51C94C21"/>
    <w:rsid w:val="51D04201"/>
    <w:rsid w:val="51D535C6"/>
    <w:rsid w:val="51D75590"/>
    <w:rsid w:val="51DA5080"/>
    <w:rsid w:val="51DF61F2"/>
    <w:rsid w:val="51E11F6A"/>
    <w:rsid w:val="51E67581"/>
    <w:rsid w:val="51E7154B"/>
    <w:rsid w:val="51E90E1F"/>
    <w:rsid w:val="51EB2DE9"/>
    <w:rsid w:val="51F021AD"/>
    <w:rsid w:val="51F0246E"/>
    <w:rsid w:val="51F15F26"/>
    <w:rsid w:val="51F223CA"/>
    <w:rsid w:val="51F37EF0"/>
    <w:rsid w:val="51FA74D0"/>
    <w:rsid w:val="51FC6DA4"/>
    <w:rsid w:val="52043EAB"/>
    <w:rsid w:val="520619D1"/>
    <w:rsid w:val="520D7203"/>
    <w:rsid w:val="52100AA2"/>
    <w:rsid w:val="52122C37"/>
    <w:rsid w:val="52173BDE"/>
    <w:rsid w:val="521D148B"/>
    <w:rsid w:val="521D4F6D"/>
    <w:rsid w:val="52224331"/>
    <w:rsid w:val="52237657"/>
    <w:rsid w:val="522527EE"/>
    <w:rsid w:val="52262073"/>
    <w:rsid w:val="52263E21"/>
    <w:rsid w:val="522B58DB"/>
    <w:rsid w:val="522D51B0"/>
    <w:rsid w:val="522E0F28"/>
    <w:rsid w:val="52302EF2"/>
    <w:rsid w:val="52310D91"/>
    <w:rsid w:val="523302EC"/>
    <w:rsid w:val="523429E2"/>
    <w:rsid w:val="523522B6"/>
    <w:rsid w:val="523A5B1F"/>
    <w:rsid w:val="524349D3"/>
    <w:rsid w:val="5245699D"/>
    <w:rsid w:val="52462715"/>
    <w:rsid w:val="524644C3"/>
    <w:rsid w:val="52466271"/>
    <w:rsid w:val="524E03DE"/>
    <w:rsid w:val="525070F0"/>
    <w:rsid w:val="5251037B"/>
    <w:rsid w:val="5253273C"/>
    <w:rsid w:val="52556250"/>
    <w:rsid w:val="525A1D1D"/>
    <w:rsid w:val="525C5A95"/>
    <w:rsid w:val="525C7843"/>
    <w:rsid w:val="525F23A4"/>
    <w:rsid w:val="52636E23"/>
    <w:rsid w:val="52642B9B"/>
    <w:rsid w:val="526A01B2"/>
    <w:rsid w:val="526D1A50"/>
    <w:rsid w:val="527032EE"/>
    <w:rsid w:val="5272350A"/>
    <w:rsid w:val="527252B8"/>
    <w:rsid w:val="52742DDF"/>
    <w:rsid w:val="52754DA9"/>
    <w:rsid w:val="527728CF"/>
    <w:rsid w:val="527D47C7"/>
    <w:rsid w:val="52860D64"/>
    <w:rsid w:val="528B0128"/>
    <w:rsid w:val="528B1ED6"/>
    <w:rsid w:val="528C16EB"/>
    <w:rsid w:val="52927709"/>
    <w:rsid w:val="52990A97"/>
    <w:rsid w:val="529945F3"/>
    <w:rsid w:val="529B480F"/>
    <w:rsid w:val="529C2335"/>
    <w:rsid w:val="52A336C4"/>
    <w:rsid w:val="52A35472"/>
    <w:rsid w:val="52A511EA"/>
    <w:rsid w:val="52A64F62"/>
    <w:rsid w:val="52A66D10"/>
    <w:rsid w:val="52AD4542"/>
    <w:rsid w:val="52B07B8F"/>
    <w:rsid w:val="52B24B47"/>
    <w:rsid w:val="52B458D1"/>
    <w:rsid w:val="52B753C1"/>
    <w:rsid w:val="52B7716F"/>
    <w:rsid w:val="52B93E9F"/>
    <w:rsid w:val="52B94C95"/>
    <w:rsid w:val="52BC4786"/>
    <w:rsid w:val="52C673B2"/>
    <w:rsid w:val="52CA50F4"/>
    <w:rsid w:val="52CB49C9"/>
    <w:rsid w:val="52D47D21"/>
    <w:rsid w:val="52DB2E5E"/>
    <w:rsid w:val="52DC0984"/>
    <w:rsid w:val="52DC6BD6"/>
    <w:rsid w:val="52E2243E"/>
    <w:rsid w:val="52E361B6"/>
    <w:rsid w:val="52FB3500"/>
    <w:rsid w:val="52FE08FA"/>
    <w:rsid w:val="530103EA"/>
    <w:rsid w:val="53051C89"/>
    <w:rsid w:val="53071EA5"/>
    <w:rsid w:val="530C3017"/>
    <w:rsid w:val="53101E16"/>
    <w:rsid w:val="531243A6"/>
    <w:rsid w:val="53195734"/>
    <w:rsid w:val="53204D14"/>
    <w:rsid w:val="532145E9"/>
    <w:rsid w:val="532760A3"/>
    <w:rsid w:val="532C5467"/>
    <w:rsid w:val="532D11DF"/>
    <w:rsid w:val="532E5683"/>
    <w:rsid w:val="533267F6"/>
    <w:rsid w:val="5334431C"/>
    <w:rsid w:val="533B070E"/>
    <w:rsid w:val="533B1B4E"/>
    <w:rsid w:val="53400F13"/>
    <w:rsid w:val="53486019"/>
    <w:rsid w:val="534A7FE3"/>
    <w:rsid w:val="53542C10"/>
    <w:rsid w:val="53577D49"/>
    <w:rsid w:val="53591FD4"/>
    <w:rsid w:val="535D3873"/>
    <w:rsid w:val="535F3A8F"/>
    <w:rsid w:val="535F511F"/>
    <w:rsid w:val="53620700"/>
    <w:rsid w:val="53660ED9"/>
    <w:rsid w:val="53690469"/>
    <w:rsid w:val="536C61AC"/>
    <w:rsid w:val="53740BBC"/>
    <w:rsid w:val="53755060"/>
    <w:rsid w:val="537A2677"/>
    <w:rsid w:val="537F5EDF"/>
    <w:rsid w:val="53803A05"/>
    <w:rsid w:val="53807561"/>
    <w:rsid w:val="538232D9"/>
    <w:rsid w:val="538C23AA"/>
    <w:rsid w:val="538C54A6"/>
    <w:rsid w:val="5391176E"/>
    <w:rsid w:val="5394125E"/>
    <w:rsid w:val="53964FD7"/>
    <w:rsid w:val="53966D85"/>
    <w:rsid w:val="53986FA1"/>
    <w:rsid w:val="539B439B"/>
    <w:rsid w:val="539D45B7"/>
    <w:rsid w:val="539D490D"/>
    <w:rsid w:val="539D6365"/>
    <w:rsid w:val="53A2229D"/>
    <w:rsid w:val="53A25729"/>
    <w:rsid w:val="53A96AB8"/>
    <w:rsid w:val="53B35B89"/>
    <w:rsid w:val="53B536AF"/>
    <w:rsid w:val="53B813F1"/>
    <w:rsid w:val="53B97094"/>
    <w:rsid w:val="53BB67EB"/>
    <w:rsid w:val="53BD2563"/>
    <w:rsid w:val="53C71634"/>
    <w:rsid w:val="53C90F08"/>
    <w:rsid w:val="53C9715A"/>
    <w:rsid w:val="53CA4C80"/>
    <w:rsid w:val="53CA4FAD"/>
    <w:rsid w:val="53D14261"/>
    <w:rsid w:val="53D1600F"/>
    <w:rsid w:val="53D855EF"/>
    <w:rsid w:val="53DE791F"/>
    <w:rsid w:val="53E73A84"/>
    <w:rsid w:val="53EB5322"/>
    <w:rsid w:val="53EC2E48"/>
    <w:rsid w:val="53EE096F"/>
    <w:rsid w:val="53F02939"/>
    <w:rsid w:val="53F046E7"/>
    <w:rsid w:val="53F51CFD"/>
    <w:rsid w:val="53FC752F"/>
    <w:rsid w:val="540006A2"/>
    <w:rsid w:val="54041F40"/>
    <w:rsid w:val="540B1521"/>
    <w:rsid w:val="541128AF"/>
    <w:rsid w:val="54177EC5"/>
    <w:rsid w:val="54183C3E"/>
    <w:rsid w:val="54216F96"/>
    <w:rsid w:val="5422686A"/>
    <w:rsid w:val="54244390"/>
    <w:rsid w:val="542720D3"/>
    <w:rsid w:val="54297BF9"/>
    <w:rsid w:val="542D593B"/>
    <w:rsid w:val="54330A77"/>
    <w:rsid w:val="54370568"/>
    <w:rsid w:val="543B2B99"/>
    <w:rsid w:val="543D36A4"/>
    <w:rsid w:val="543F11CA"/>
    <w:rsid w:val="544B4013"/>
    <w:rsid w:val="544D38E7"/>
    <w:rsid w:val="544D7D8B"/>
    <w:rsid w:val="544E58B1"/>
    <w:rsid w:val="54532EC8"/>
    <w:rsid w:val="54574766"/>
    <w:rsid w:val="545F186C"/>
    <w:rsid w:val="5463135D"/>
    <w:rsid w:val="5463310B"/>
    <w:rsid w:val="54694499"/>
    <w:rsid w:val="546B1FBF"/>
    <w:rsid w:val="5474356A"/>
    <w:rsid w:val="54770964"/>
    <w:rsid w:val="5479292E"/>
    <w:rsid w:val="547A0454"/>
    <w:rsid w:val="547B002C"/>
    <w:rsid w:val="547E6196"/>
    <w:rsid w:val="54813591"/>
    <w:rsid w:val="548412D3"/>
    <w:rsid w:val="5486504B"/>
    <w:rsid w:val="548A4B3B"/>
    <w:rsid w:val="548D63DA"/>
    <w:rsid w:val="548E3F00"/>
    <w:rsid w:val="54931516"/>
    <w:rsid w:val="5495703C"/>
    <w:rsid w:val="54972DB4"/>
    <w:rsid w:val="549830DD"/>
    <w:rsid w:val="54983866"/>
    <w:rsid w:val="549C486F"/>
    <w:rsid w:val="549C661D"/>
    <w:rsid w:val="549E05E7"/>
    <w:rsid w:val="549F610D"/>
    <w:rsid w:val="549F7EBB"/>
    <w:rsid w:val="54A11E85"/>
    <w:rsid w:val="54A379AB"/>
    <w:rsid w:val="54A454D1"/>
    <w:rsid w:val="54A6749B"/>
    <w:rsid w:val="54AD6A7C"/>
    <w:rsid w:val="54AF434B"/>
    <w:rsid w:val="54B27BEE"/>
    <w:rsid w:val="54B418FE"/>
    <w:rsid w:val="54B43966"/>
    <w:rsid w:val="54B576DE"/>
    <w:rsid w:val="54B75204"/>
    <w:rsid w:val="54BA6AA3"/>
    <w:rsid w:val="54BB38F7"/>
    <w:rsid w:val="54BF230B"/>
    <w:rsid w:val="54C0055D"/>
    <w:rsid w:val="54C31DFB"/>
    <w:rsid w:val="54C33BA9"/>
    <w:rsid w:val="54C55B73"/>
    <w:rsid w:val="54C65448"/>
    <w:rsid w:val="54C811C0"/>
    <w:rsid w:val="54C87412"/>
    <w:rsid w:val="54CB6F02"/>
    <w:rsid w:val="54CC5154"/>
    <w:rsid w:val="54CD4A28"/>
    <w:rsid w:val="54CF254E"/>
    <w:rsid w:val="54CF69F2"/>
    <w:rsid w:val="54D019CD"/>
    <w:rsid w:val="54D16760"/>
    <w:rsid w:val="54D20290"/>
    <w:rsid w:val="54D44008"/>
    <w:rsid w:val="54D758A7"/>
    <w:rsid w:val="54D97871"/>
    <w:rsid w:val="54DC2EBD"/>
    <w:rsid w:val="54DC4C6B"/>
    <w:rsid w:val="54E67898"/>
    <w:rsid w:val="54E83610"/>
    <w:rsid w:val="54ED6E78"/>
    <w:rsid w:val="54F226E1"/>
    <w:rsid w:val="54F55D2D"/>
    <w:rsid w:val="54F81551"/>
    <w:rsid w:val="54F9581D"/>
    <w:rsid w:val="54F975CB"/>
    <w:rsid w:val="550146D2"/>
    <w:rsid w:val="55081F04"/>
    <w:rsid w:val="550C37A2"/>
    <w:rsid w:val="551408A9"/>
    <w:rsid w:val="5516017D"/>
    <w:rsid w:val="55180399"/>
    <w:rsid w:val="55202DAA"/>
    <w:rsid w:val="55216B22"/>
    <w:rsid w:val="55236D3E"/>
    <w:rsid w:val="55254864"/>
    <w:rsid w:val="552704DE"/>
    <w:rsid w:val="552A00CC"/>
    <w:rsid w:val="552C5BF2"/>
    <w:rsid w:val="55314FB7"/>
    <w:rsid w:val="55320D2F"/>
    <w:rsid w:val="55376345"/>
    <w:rsid w:val="55384597"/>
    <w:rsid w:val="553920BD"/>
    <w:rsid w:val="55393E6B"/>
    <w:rsid w:val="553B5E36"/>
    <w:rsid w:val="553C395C"/>
    <w:rsid w:val="553E52D5"/>
    <w:rsid w:val="55434CEA"/>
    <w:rsid w:val="55480552"/>
    <w:rsid w:val="554C0043"/>
    <w:rsid w:val="555313D1"/>
    <w:rsid w:val="55545149"/>
    <w:rsid w:val="55546EF7"/>
    <w:rsid w:val="55570796"/>
    <w:rsid w:val="55572544"/>
    <w:rsid w:val="555869E7"/>
    <w:rsid w:val="55592760"/>
    <w:rsid w:val="555962BC"/>
    <w:rsid w:val="555C7B5A"/>
    <w:rsid w:val="555D5DAC"/>
    <w:rsid w:val="55690291"/>
    <w:rsid w:val="556D1D67"/>
    <w:rsid w:val="556E7FB9"/>
    <w:rsid w:val="556F6CD4"/>
    <w:rsid w:val="5572737D"/>
    <w:rsid w:val="55756178"/>
    <w:rsid w:val="55766E6E"/>
    <w:rsid w:val="55774994"/>
    <w:rsid w:val="55782BE6"/>
    <w:rsid w:val="557B4484"/>
    <w:rsid w:val="557D644E"/>
    <w:rsid w:val="557E3F74"/>
    <w:rsid w:val="55805F3E"/>
    <w:rsid w:val="558477DD"/>
    <w:rsid w:val="55855303"/>
    <w:rsid w:val="5588094F"/>
    <w:rsid w:val="55886BA1"/>
    <w:rsid w:val="558E065B"/>
    <w:rsid w:val="55911EF9"/>
    <w:rsid w:val="559519EA"/>
    <w:rsid w:val="55952459"/>
    <w:rsid w:val="5596306C"/>
    <w:rsid w:val="55967510"/>
    <w:rsid w:val="559B2D78"/>
    <w:rsid w:val="55A03EEB"/>
    <w:rsid w:val="55A7171D"/>
    <w:rsid w:val="55A90FF1"/>
    <w:rsid w:val="55AA721C"/>
    <w:rsid w:val="55AC0AE1"/>
    <w:rsid w:val="55AF1596"/>
    <w:rsid w:val="55B87800"/>
    <w:rsid w:val="55BA059E"/>
    <w:rsid w:val="55BD4A9D"/>
    <w:rsid w:val="55BD513A"/>
    <w:rsid w:val="55BF0815"/>
    <w:rsid w:val="55C220B3"/>
    <w:rsid w:val="55C53951"/>
    <w:rsid w:val="55C71477"/>
    <w:rsid w:val="55CA71B9"/>
    <w:rsid w:val="55CC368F"/>
    <w:rsid w:val="55CC4CE0"/>
    <w:rsid w:val="55CF47D0"/>
    <w:rsid w:val="55CF657E"/>
    <w:rsid w:val="55D02A22"/>
    <w:rsid w:val="55D3606E"/>
    <w:rsid w:val="55D65B5E"/>
    <w:rsid w:val="55DA73FC"/>
    <w:rsid w:val="55DB4F23"/>
    <w:rsid w:val="55E77D6B"/>
    <w:rsid w:val="55EB785C"/>
    <w:rsid w:val="55F11349"/>
    <w:rsid w:val="55F14746"/>
    <w:rsid w:val="55F52488"/>
    <w:rsid w:val="55F81F79"/>
    <w:rsid w:val="55F935FB"/>
    <w:rsid w:val="56020701"/>
    <w:rsid w:val="56044479"/>
    <w:rsid w:val="56066443"/>
    <w:rsid w:val="560721BC"/>
    <w:rsid w:val="560B3A5A"/>
    <w:rsid w:val="560E3442"/>
    <w:rsid w:val="56156687"/>
    <w:rsid w:val="561641AD"/>
    <w:rsid w:val="561843C9"/>
    <w:rsid w:val="561C5C67"/>
    <w:rsid w:val="5621327D"/>
    <w:rsid w:val="56226FF5"/>
    <w:rsid w:val="56292132"/>
    <w:rsid w:val="56293EE0"/>
    <w:rsid w:val="562C1C22"/>
    <w:rsid w:val="562E14F6"/>
    <w:rsid w:val="56303D55"/>
    <w:rsid w:val="5634173B"/>
    <w:rsid w:val="56424FA2"/>
    <w:rsid w:val="564927D4"/>
    <w:rsid w:val="564B20A8"/>
    <w:rsid w:val="564E1B99"/>
    <w:rsid w:val="56505911"/>
    <w:rsid w:val="56530F5D"/>
    <w:rsid w:val="56576C9F"/>
    <w:rsid w:val="56582A17"/>
    <w:rsid w:val="565A678F"/>
    <w:rsid w:val="565C42B5"/>
    <w:rsid w:val="565D002E"/>
    <w:rsid w:val="565D3B8A"/>
    <w:rsid w:val="565F3DA6"/>
    <w:rsid w:val="56690780"/>
    <w:rsid w:val="566C7598"/>
    <w:rsid w:val="566D64C3"/>
    <w:rsid w:val="566E223B"/>
    <w:rsid w:val="5670306D"/>
    <w:rsid w:val="5671098A"/>
    <w:rsid w:val="56787ABD"/>
    <w:rsid w:val="567B78F1"/>
    <w:rsid w:val="567C04B4"/>
    <w:rsid w:val="567E79B3"/>
    <w:rsid w:val="56837A94"/>
    <w:rsid w:val="568832FC"/>
    <w:rsid w:val="568B6949"/>
    <w:rsid w:val="568C255D"/>
    <w:rsid w:val="56903F5F"/>
    <w:rsid w:val="569C0B56"/>
    <w:rsid w:val="569E48CE"/>
    <w:rsid w:val="569F6CEC"/>
    <w:rsid w:val="56A25A40"/>
    <w:rsid w:val="56A33C92"/>
    <w:rsid w:val="56A45C5C"/>
    <w:rsid w:val="56A47A0A"/>
    <w:rsid w:val="56A874FB"/>
    <w:rsid w:val="56AB0D99"/>
    <w:rsid w:val="56AE2637"/>
    <w:rsid w:val="56B063AF"/>
    <w:rsid w:val="56B71FFC"/>
    <w:rsid w:val="56B91708"/>
    <w:rsid w:val="56C003A2"/>
    <w:rsid w:val="56C10BF6"/>
    <w:rsid w:val="56C41E5B"/>
    <w:rsid w:val="56C836F9"/>
    <w:rsid w:val="56C94CD6"/>
    <w:rsid w:val="56CB143B"/>
    <w:rsid w:val="56CB4F97"/>
    <w:rsid w:val="56CF2CD9"/>
    <w:rsid w:val="56D025AE"/>
    <w:rsid w:val="56D24578"/>
    <w:rsid w:val="56D41E09"/>
    <w:rsid w:val="56D4209E"/>
    <w:rsid w:val="56DC53F6"/>
    <w:rsid w:val="56E30533"/>
    <w:rsid w:val="56E66275"/>
    <w:rsid w:val="56EA7B13"/>
    <w:rsid w:val="56ED13B1"/>
    <w:rsid w:val="56F40992"/>
    <w:rsid w:val="56FA587C"/>
    <w:rsid w:val="56FB1D20"/>
    <w:rsid w:val="56FC15F5"/>
    <w:rsid w:val="57064221"/>
    <w:rsid w:val="57081D47"/>
    <w:rsid w:val="570D55B0"/>
    <w:rsid w:val="570F1328"/>
    <w:rsid w:val="570F1B1D"/>
    <w:rsid w:val="57122BC6"/>
    <w:rsid w:val="57160908"/>
    <w:rsid w:val="57193F55"/>
    <w:rsid w:val="571A1A7B"/>
    <w:rsid w:val="571B5F1F"/>
    <w:rsid w:val="571B7CCD"/>
    <w:rsid w:val="571C3A45"/>
    <w:rsid w:val="571C57F3"/>
    <w:rsid w:val="571E156B"/>
    <w:rsid w:val="571E5A0F"/>
    <w:rsid w:val="572007D0"/>
    <w:rsid w:val="5721105B"/>
    <w:rsid w:val="57234DD3"/>
    <w:rsid w:val="572528F9"/>
    <w:rsid w:val="57256D9D"/>
    <w:rsid w:val="5728107F"/>
    <w:rsid w:val="572A6725"/>
    <w:rsid w:val="5730129E"/>
    <w:rsid w:val="57340D8E"/>
    <w:rsid w:val="573C7C43"/>
    <w:rsid w:val="574A6804"/>
    <w:rsid w:val="574B60D8"/>
    <w:rsid w:val="574B7E86"/>
    <w:rsid w:val="574F5BC8"/>
    <w:rsid w:val="57513011"/>
    <w:rsid w:val="57517B92"/>
    <w:rsid w:val="575256B8"/>
    <w:rsid w:val="57596A47"/>
    <w:rsid w:val="575E22AF"/>
    <w:rsid w:val="575E5E0B"/>
    <w:rsid w:val="57650F48"/>
    <w:rsid w:val="57671164"/>
    <w:rsid w:val="576A47B0"/>
    <w:rsid w:val="57711FE2"/>
    <w:rsid w:val="57715B3F"/>
    <w:rsid w:val="57727B09"/>
    <w:rsid w:val="57770C7B"/>
    <w:rsid w:val="57776ECD"/>
    <w:rsid w:val="5778226E"/>
    <w:rsid w:val="577B4C0F"/>
    <w:rsid w:val="577C44E3"/>
    <w:rsid w:val="577D0987"/>
    <w:rsid w:val="577E200A"/>
    <w:rsid w:val="57842AAA"/>
    <w:rsid w:val="578515EA"/>
    <w:rsid w:val="578D66F1"/>
    <w:rsid w:val="57922960"/>
    <w:rsid w:val="57923D07"/>
    <w:rsid w:val="579655A5"/>
    <w:rsid w:val="579932E7"/>
    <w:rsid w:val="579D6934"/>
    <w:rsid w:val="57A203EE"/>
    <w:rsid w:val="57A27CE8"/>
    <w:rsid w:val="57A51C8C"/>
    <w:rsid w:val="57AC6B77"/>
    <w:rsid w:val="57AD28EF"/>
    <w:rsid w:val="57AE6D93"/>
    <w:rsid w:val="57AF6667"/>
    <w:rsid w:val="57B124E7"/>
    <w:rsid w:val="57B1418D"/>
    <w:rsid w:val="57B675EE"/>
    <w:rsid w:val="57B7551B"/>
    <w:rsid w:val="57B91294"/>
    <w:rsid w:val="57BB325E"/>
    <w:rsid w:val="57BB500C"/>
    <w:rsid w:val="57C00874"/>
    <w:rsid w:val="57C06AC6"/>
    <w:rsid w:val="57C33EC0"/>
    <w:rsid w:val="57C9597B"/>
    <w:rsid w:val="57CD4D3F"/>
    <w:rsid w:val="57CF0AB7"/>
    <w:rsid w:val="57D04F5B"/>
    <w:rsid w:val="57D165DD"/>
    <w:rsid w:val="57D36B15"/>
    <w:rsid w:val="57DB56AE"/>
    <w:rsid w:val="57DE0CFA"/>
    <w:rsid w:val="57E02CC4"/>
    <w:rsid w:val="57E502DB"/>
    <w:rsid w:val="57E52089"/>
    <w:rsid w:val="57E5266B"/>
    <w:rsid w:val="57E5652D"/>
    <w:rsid w:val="57E722A5"/>
    <w:rsid w:val="57E74BE1"/>
    <w:rsid w:val="57E83927"/>
    <w:rsid w:val="57E842D2"/>
    <w:rsid w:val="57EC78BB"/>
    <w:rsid w:val="57F535F0"/>
    <w:rsid w:val="57F64296"/>
    <w:rsid w:val="57F66044"/>
    <w:rsid w:val="57F86260"/>
    <w:rsid w:val="57FB7AFE"/>
    <w:rsid w:val="58005114"/>
    <w:rsid w:val="58030761"/>
    <w:rsid w:val="5806097D"/>
    <w:rsid w:val="58070251"/>
    <w:rsid w:val="580764A3"/>
    <w:rsid w:val="580A7D41"/>
    <w:rsid w:val="58112E7E"/>
    <w:rsid w:val="58122B18"/>
    <w:rsid w:val="581806B0"/>
    <w:rsid w:val="581D7A74"/>
    <w:rsid w:val="58240E03"/>
    <w:rsid w:val="58254B7B"/>
    <w:rsid w:val="5827444F"/>
    <w:rsid w:val="58276B45"/>
    <w:rsid w:val="583152CE"/>
    <w:rsid w:val="583354EA"/>
    <w:rsid w:val="58337298"/>
    <w:rsid w:val="58353010"/>
    <w:rsid w:val="58360B36"/>
    <w:rsid w:val="583628E4"/>
    <w:rsid w:val="583A6878"/>
    <w:rsid w:val="584119B5"/>
    <w:rsid w:val="58417C07"/>
    <w:rsid w:val="58433087"/>
    <w:rsid w:val="58466FCB"/>
    <w:rsid w:val="58485A69"/>
    <w:rsid w:val="584B45E2"/>
    <w:rsid w:val="584E7C2E"/>
    <w:rsid w:val="5852255F"/>
    <w:rsid w:val="5853793A"/>
    <w:rsid w:val="585A4825"/>
    <w:rsid w:val="585B059D"/>
    <w:rsid w:val="585D2567"/>
    <w:rsid w:val="58613E05"/>
    <w:rsid w:val="58627AA0"/>
    <w:rsid w:val="586456A3"/>
    <w:rsid w:val="58672482"/>
    <w:rsid w:val="5870229A"/>
    <w:rsid w:val="58726012"/>
    <w:rsid w:val="58741EB5"/>
    <w:rsid w:val="5875165E"/>
    <w:rsid w:val="58767185"/>
    <w:rsid w:val="587873A1"/>
    <w:rsid w:val="58791C73"/>
    <w:rsid w:val="587C29ED"/>
    <w:rsid w:val="58810003"/>
    <w:rsid w:val="588673C8"/>
    <w:rsid w:val="58896EB8"/>
    <w:rsid w:val="588E2720"/>
    <w:rsid w:val="589046EA"/>
    <w:rsid w:val="58922210"/>
    <w:rsid w:val="589715D5"/>
    <w:rsid w:val="589C308F"/>
    <w:rsid w:val="58A14202"/>
    <w:rsid w:val="58A40196"/>
    <w:rsid w:val="58B008E9"/>
    <w:rsid w:val="58B24661"/>
    <w:rsid w:val="58B33F35"/>
    <w:rsid w:val="58B57CAD"/>
    <w:rsid w:val="58B71C77"/>
    <w:rsid w:val="58BC103B"/>
    <w:rsid w:val="58C12AF6"/>
    <w:rsid w:val="58C779E0"/>
    <w:rsid w:val="58C919AA"/>
    <w:rsid w:val="58C93758"/>
    <w:rsid w:val="58CB5722"/>
    <w:rsid w:val="58CE6FC1"/>
    <w:rsid w:val="58D04AE7"/>
    <w:rsid w:val="58D740C7"/>
    <w:rsid w:val="58D81BED"/>
    <w:rsid w:val="58DA5965"/>
    <w:rsid w:val="58DA7713"/>
    <w:rsid w:val="58DC348C"/>
    <w:rsid w:val="58DC7930"/>
    <w:rsid w:val="58DE7204"/>
    <w:rsid w:val="58E16CF4"/>
    <w:rsid w:val="58E32A6C"/>
    <w:rsid w:val="58E40592"/>
    <w:rsid w:val="58EA204C"/>
    <w:rsid w:val="58EF1411"/>
    <w:rsid w:val="58F85DEC"/>
    <w:rsid w:val="58FA6F0C"/>
    <w:rsid w:val="58FA7DB6"/>
    <w:rsid w:val="58FD49C2"/>
    <w:rsid w:val="590429E2"/>
    <w:rsid w:val="59050C34"/>
    <w:rsid w:val="59060509"/>
    <w:rsid w:val="590D1897"/>
    <w:rsid w:val="590F1AB3"/>
    <w:rsid w:val="59172716"/>
    <w:rsid w:val="591E3AA4"/>
    <w:rsid w:val="59205A6E"/>
    <w:rsid w:val="59213594"/>
    <w:rsid w:val="592310BA"/>
    <w:rsid w:val="59262959"/>
    <w:rsid w:val="592866D1"/>
    <w:rsid w:val="592A2449"/>
    <w:rsid w:val="592B4413"/>
    <w:rsid w:val="592D3CE7"/>
    <w:rsid w:val="5932754F"/>
    <w:rsid w:val="59335D4B"/>
    <w:rsid w:val="59350DEE"/>
    <w:rsid w:val="59372DB8"/>
    <w:rsid w:val="5939268C"/>
    <w:rsid w:val="593C3F2A"/>
    <w:rsid w:val="593E4146"/>
    <w:rsid w:val="59401C6C"/>
    <w:rsid w:val="59413C36"/>
    <w:rsid w:val="594159E5"/>
    <w:rsid w:val="59464DA9"/>
    <w:rsid w:val="594A4899"/>
    <w:rsid w:val="59505C28"/>
    <w:rsid w:val="59541257"/>
    <w:rsid w:val="595474C6"/>
    <w:rsid w:val="59547B16"/>
    <w:rsid w:val="595C281E"/>
    <w:rsid w:val="595E6596"/>
    <w:rsid w:val="59605E6B"/>
    <w:rsid w:val="5963595B"/>
    <w:rsid w:val="59653481"/>
    <w:rsid w:val="5966544B"/>
    <w:rsid w:val="596D0588"/>
    <w:rsid w:val="596D4A2C"/>
    <w:rsid w:val="596D67DA"/>
    <w:rsid w:val="596F2552"/>
    <w:rsid w:val="596F471E"/>
    <w:rsid w:val="59710078"/>
    <w:rsid w:val="597162CA"/>
    <w:rsid w:val="597247E0"/>
    <w:rsid w:val="597436C4"/>
    <w:rsid w:val="59747B68"/>
    <w:rsid w:val="5975743C"/>
    <w:rsid w:val="59786F11"/>
    <w:rsid w:val="597903A1"/>
    <w:rsid w:val="597E2795"/>
    <w:rsid w:val="59837DAB"/>
    <w:rsid w:val="5987789B"/>
    <w:rsid w:val="5988716F"/>
    <w:rsid w:val="598F1137"/>
    <w:rsid w:val="59914276"/>
    <w:rsid w:val="5996188C"/>
    <w:rsid w:val="59975605"/>
    <w:rsid w:val="599975CF"/>
    <w:rsid w:val="599B3347"/>
    <w:rsid w:val="59A321FB"/>
    <w:rsid w:val="59B30690"/>
    <w:rsid w:val="59B63CDD"/>
    <w:rsid w:val="59B91A1F"/>
    <w:rsid w:val="59BB5797"/>
    <w:rsid w:val="59BE5287"/>
    <w:rsid w:val="59C7413C"/>
    <w:rsid w:val="59CF1242"/>
    <w:rsid w:val="59CF4D9E"/>
    <w:rsid w:val="59D2488F"/>
    <w:rsid w:val="59D423B5"/>
    <w:rsid w:val="59D6612D"/>
    <w:rsid w:val="59DD395F"/>
    <w:rsid w:val="59DD74BB"/>
    <w:rsid w:val="59DE1485"/>
    <w:rsid w:val="59E533C1"/>
    <w:rsid w:val="59E77422"/>
    <w:rsid w:val="59EA607C"/>
    <w:rsid w:val="59EB7233"/>
    <w:rsid w:val="59F14D15"/>
    <w:rsid w:val="59F1740B"/>
    <w:rsid w:val="59F3466C"/>
    <w:rsid w:val="59F6057D"/>
    <w:rsid w:val="59F667CF"/>
    <w:rsid w:val="59FB3DE5"/>
    <w:rsid w:val="59FB5B93"/>
    <w:rsid w:val="59FD190B"/>
    <w:rsid w:val="5A074538"/>
    <w:rsid w:val="5A096502"/>
    <w:rsid w:val="5A1530F9"/>
    <w:rsid w:val="5A1A070F"/>
    <w:rsid w:val="5A1D3D5C"/>
    <w:rsid w:val="5A1D5B0A"/>
    <w:rsid w:val="5A1E1882"/>
    <w:rsid w:val="5A20384C"/>
    <w:rsid w:val="5A2570B4"/>
    <w:rsid w:val="5A272E2C"/>
    <w:rsid w:val="5A2A0227"/>
    <w:rsid w:val="5A2E5F69"/>
    <w:rsid w:val="5A2F1CE1"/>
    <w:rsid w:val="5A307F33"/>
    <w:rsid w:val="5A3317D1"/>
    <w:rsid w:val="5A366BCB"/>
    <w:rsid w:val="5A3A2B60"/>
    <w:rsid w:val="5A3B0686"/>
    <w:rsid w:val="5A405C9C"/>
    <w:rsid w:val="5A4237C2"/>
    <w:rsid w:val="5A47156F"/>
    <w:rsid w:val="5A492DA3"/>
    <w:rsid w:val="5A4A2677"/>
    <w:rsid w:val="5A4E03B9"/>
    <w:rsid w:val="5A4E660B"/>
    <w:rsid w:val="5A4F5EDF"/>
    <w:rsid w:val="5A511C57"/>
    <w:rsid w:val="5A533C21"/>
    <w:rsid w:val="5A5A0B0C"/>
    <w:rsid w:val="5A5D05FC"/>
    <w:rsid w:val="5A5F6122"/>
    <w:rsid w:val="5A601E9A"/>
    <w:rsid w:val="5A6279C1"/>
    <w:rsid w:val="5A6C083F"/>
    <w:rsid w:val="5A71428A"/>
    <w:rsid w:val="5A72028A"/>
    <w:rsid w:val="5A7616BE"/>
    <w:rsid w:val="5A7D0C9E"/>
    <w:rsid w:val="5A7F0572"/>
    <w:rsid w:val="5A84202D"/>
    <w:rsid w:val="5A8E2EAB"/>
    <w:rsid w:val="5A8E6A07"/>
    <w:rsid w:val="5A902780"/>
    <w:rsid w:val="5A9A35FE"/>
    <w:rsid w:val="5A9C7376"/>
    <w:rsid w:val="5AA1673B"/>
    <w:rsid w:val="5AA24261"/>
    <w:rsid w:val="5AA61FA3"/>
    <w:rsid w:val="5AA8066B"/>
    <w:rsid w:val="5AAD1584"/>
    <w:rsid w:val="5AB26B9A"/>
    <w:rsid w:val="5AB346C0"/>
    <w:rsid w:val="5AB3646E"/>
    <w:rsid w:val="5AB83A84"/>
    <w:rsid w:val="5ABA77FD"/>
    <w:rsid w:val="5ABB5323"/>
    <w:rsid w:val="5ABD553F"/>
    <w:rsid w:val="5AC10B8B"/>
    <w:rsid w:val="5ACB37B8"/>
    <w:rsid w:val="5AD14B46"/>
    <w:rsid w:val="5AD20FEA"/>
    <w:rsid w:val="5AD52888"/>
    <w:rsid w:val="5AD61FA7"/>
    <w:rsid w:val="5AD7215D"/>
    <w:rsid w:val="5ADF3707"/>
    <w:rsid w:val="5AE20B01"/>
    <w:rsid w:val="5AE27592"/>
    <w:rsid w:val="5AE42ACB"/>
    <w:rsid w:val="5AE44879"/>
    <w:rsid w:val="5AE623A0"/>
    <w:rsid w:val="5AEB20AC"/>
    <w:rsid w:val="5AED7BD2"/>
    <w:rsid w:val="5AEE394A"/>
    <w:rsid w:val="5AF2343A"/>
    <w:rsid w:val="5AF80325"/>
    <w:rsid w:val="5AF820D3"/>
    <w:rsid w:val="5AFC7E15"/>
    <w:rsid w:val="5AFD5152"/>
    <w:rsid w:val="5AFD593B"/>
    <w:rsid w:val="5AFE3B8D"/>
    <w:rsid w:val="5AFF7905"/>
    <w:rsid w:val="5B013AD3"/>
    <w:rsid w:val="5B0311A3"/>
    <w:rsid w:val="5B044F1C"/>
    <w:rsid w:val="5B055025"/>
    <w:rsid w:val="5B0B0058"/>
    <w:rsid w:val="5B0D2022"/>
    <w:rsid w:val="5B157129"/>
    <w:rsid w:val="5B1A473F"/>
    <w:rsid w:val="5B1E5FDD"/>
    <w:rsid w:val="5B24736C"/>
    <w:rsid w:val="5B280C0A"/>
    <w:rsid w:val="5B294982"/>
    <w:rsid w:val="5B296730"/>
    <w:rsid w:val="5B2F01EA"/>
    <w:rsid w:val="5B305D11"/>
    <w:rsid w:val="5B353327"/>
    <w:rsid w:val="5B386973"/>
    <w:rsid w:val="5B3A6B8F"/>
    <w:rsid w:val="5B3F5F54"/>
    <w:rsid w:val="5B413A7A"/>
    <w:rsid w:val="5B4672E2"/>
    <w:rsid w:val="5B4B48F9"/>
    <w:rsid w:val="5B4B50B5"/>
    <w:rsid w:val="5B501F0F"/>
    <w:rsid w:val="5B5163B3"/>
    <w:rsid w:val="5B5C4D58"/>
    <w:rsid w:val="5B5E63DA"/>
    <w:rsid w:val="5B667984"/>
    <w:rsid w:val="5B672C81"/>
    <w:rsid w:val="5B6A2FD1"/>
    <w:rsid w:val="5B6C777E"/>
    <w:rsid w:val="5B6D0D13"/>
    <w:rsid w:val="5B6F05E7"/>
    <w:rsid w:val="5B6F6839"/>
    <w:rsid w:val="5B7612E6"/>
    <w:rsid w:val="5B785139"/>
    <w:rsid w:val="5B791466"/>
    <w:rsid w:val="5B7976B8"/>
    <w:rsid w:val="5B8147BE"/>
    <w:rsid w:val="5B8322E4"/>
    <w:rsid w:val="5B835E40"/>
    <w:rsid w:val="5B857E0A"/>
    <w:rsid w:val="5B8878FB"/>
    <w:rsid w:val="5B8F6EDB"/>
    <w:rsid w:val="5B910ABF"/>
    <w:rsid w:val="5BA02E96"/>
    <w:rsid w:val="5BA26C0E"/>
    <w:rsid w:val="5BA364E3"/>
    <w:rsid w:val="5BAE5416"/>
    <w:rsid w:val="5BB16E51"/>
    <w:rsid w:val="5BB22BCA"/>
    <w:rsid w:val="5BB26726"/>
    <w:rsid w:val="5BB406F0"/>
    <w:rsid w:val="5BB95D06"/>
    <w:rsid w:val="5BB97AB4"/>
    <w:rsid w:val="5BBB1A7E"/>
    <w:rsid w:val="5BBE331C"/>
    <w:rsid w:val="5BBE50CA"/>
    <w:rsid w:val="5BC07095"/>
    <w:rsid w:val="5BC174A5"/>
    <w:rsid w:val="5BCA7F13"/>
    <w:rsid w:val="5BD3501A"/>
    <w:rsid w:val="5BDE576D"/>
    <w:rsid w:val="5BE014E5"/>
    <w:rsid w:val="5BE10DB9"/>
    <w:rsid w:val="5BE11735"/>
    <w:rsid w:val="5BE32D83"/>
    <w:rsid w:val="5BE34B31"/>
    <w:rsid w:val="5BE663CF"/>
    <w:rsid w:val="5BE80399"/>
    <w:rsid w:val="5BEA3F28"/>
    <w:rsid w:val="5BEC7E8A"/>
    <w:rsid w:val="5BF60D08"/>
    <w:rsid w:val="5BF94355"/>
    <w:rsid w:val="5BFE196B"/>
    <w:rsid w:val="5C001B87"/>
    <w:rsid w:val="5C1318BA"/>
    <w:rsid w:val="5C133668"/>
    <w:rsid w:val="5C142F3C"/>
    <w:rsid w:val="5C186FA6"/>
    <w:rsid w:val="5C1D6295"/>
    <w:rsid w:val="5C1E2E18"/>
    <w:rsid w:val="5C245875"/>
    <w:rsid w:val="5C25514A"/>
    <w:rsid w:val="5C2C472A"/>
    <w:rsid w:val="5C321615"/>
    <w:rsid w:val="5C381321"/>
    <w:rsid w:val="5C3929A3"/>
    <w:rsid w:val="5C3B496D"/>
    <w:rsid w:val="5C3D2493"/>
    <w:rsid w:val="5C3D63A0"/>
    <w:rsid w:val="5C3E7FB9"/>
    <w:rsid w:val="5C425CFC"/>
    <w:rsid w:val="5C444B32"/>
    <w:rsid w:val="5C49708A"/>
    <w:rsid w:val="5C4A2E02"/>
    <w:rsid w:val="5C4C0928"/>
    <w:rsid w:val="5C4E46A0"/>
    <w:rsid w:val="5C5060C3"/>
    <w:rsid w:val="5C50666A"/>
    <w:rsid w:val="5C5123E2"/>
    <w:rsid w:val="5C514191"/>
    <w:rsid w:val="5C5679F9"/>
    <w:rsid w:val="5C594DF3"/>
    <w:rsid w:val="5C5D0D87"/>
    <w:rsid w:val="5C666A3C"/>
    <w:rsid w:val="5C675762"/>
    <w:rsid w:val="5C6914DA"/>
    <w:rsid w:val="5C6B34A4"/>
    <w:rsid w:val="5C6C4B26"/>
    <w:rsid w:val="5C6E089F"/>
    <w:rsid w:val="5C700ABB"/>
    <w:rsid w:val="5C732359"/>
    <w:rsid w:val="5C734107"/>
    <w:rsid w:val="5C7B120D"/>
    <w:rsid w:val="5C7E485A"/>
    <w:rsid w:val="5C880946"/>
    <w:rsid w:val="5C89392A"/>
    <w:rsid w:val="5C8A5E37"/>
    <w:rsid w:val="5C8E2CEF"/>
    <w:rsid w:val="5C8E7193"/>
    <w:rsid w:val="5C901CA9"/>
    <w:rsid w:val="5C904CB9"/>
    <w:rsid w:val="5C910A31"/>
    <w:rsid w:val="5C924FE6"/>
    <w:rsid w:val="5C930305"/>
    <w:rsid w:val="5C966047"/>
    <w:rsid w:val="5C9C18B0"/>
    <w:rsid w:val="5C9F3FFC"/>
    <w:rsid w:val="5CA2679A"/>
    <w:rsid w:val="5CAB1AF3"/>
    <w:rsid w:val="5CAC13C7"/>
    <w:rsid w:val="5CAC7619"/>
    <w:rsid w:val="5CAE513F"/>
    <w:rsid w:val="5CB309A7"/>
    <w:rsid w:val="5CB45ED4"/>
    <w:rsid w:val="5CB564CD"/>
    <w:rsid w:val="5CC11316"/>
    <w:rsid w:val="5CC26E3C"/>
    <w:rsid w:val="5CC74453"/>
    <w:rsid w:val="5CCE57E1"/>
    <w:rsid w:val="5CD252D1"/>
    <w:rsid w:val="5CD5091E"/>
    <w:rsid w:val="5CDD77D2"/>
    <w:rsid w:val="5CDF354A"/>
    <w:rsid w:val="5CE047AB"/>
    <w:rsid w:val="5CE40B61"/>
    <w:rsid w:val="5CE648D9"/>
    <w:rsid w:val="5CEE19DF"/>
    <w:rsid w:val="5CEE7C31"/>
    <w:rsid w:val="5CF138A4"/>
    <w:rsid w:val="5CFE28AB"/>
    <w:rsid w:val="5D0134C1"/>
    <w:rsid w:val="5D017965"/>
    <w:rsid w:val="5D042FB1"/>
    <w:rsid w:val="5D072AA1"/>
    <w:rsid w:val="5D086F45"/>
    <w:rsid w:val="5D09177F"/>
    <w:rsid w:val="5D094A6B"/>
    <w:rsid w:val="5D0D092A"/>
    <w:rsid w:val="5D0D455B"/>
    <w:rsid w:val="5D0E056E"/>
    <w:rsid w:val="5D0E5BDE"/>
    <w:rsid w:val="5D131446"/>
    <w:rsid w:val="5D184CAE"/>
    <w:rsid w:val="5D1C02FB"/>
    <w:rsid w:val="5D1E0517"/>
    <w:rsid w:val="5D2378DB"/>
    <w:rsid w:val="5D276C9F"/>
    <w:rsid w:val="5D2D2508"/>
    <w:rsid w:val="5D35760E"/>
    <w:rsid w:val="5D3A2E77"/>
    <w:rsid w:val="5D415FB3"/>
    <w:rsid w:val="5D4B6E32"/>
    <w:rsid w:val="5D50269A"/>
    <w:rsid w:val="5D50449E"/>
    <w:rsid w:val="5D5061F6"/>
    <w:rsid w:val="5D5201C0"/>
    <w:rsid w:val="5D535CE6"/>
    <w:rsid w:val="5D546CA2"/>
    <w:rsid w:val="5D55380D"/>
    <w:rsid w:val="5D573A29"/>
    <w:rsid w:val="5D5850AB"/>
    <w:rsid w:val="5D5F6439"/>
    <w:rsid w:val="5D610403"/>
    <w:rsid w:val="5D616655"/>
    <w:rsid w:val="5D63417B"/>
    <w:rsid w:val="5D665A1A"/>
    <w:rsid w:val="5D6B1282"/>
    <w:rsid w:val="5D6B74D4"/>
    <w:rsid w:val="5D700646"/>
    <w:rsid w:val="5D704AEA"/>
    <w:rsid w:val="5D720862"/>
    <w:rsid w:val="5D72616D"/>
    <w:rsid w:val="5D752101"/>
    <w:rsid w:val="5D7719D5"/>
    <w:rsid w:val="5D7C523D"/>
    <w:rsid w:val="5D7E0FB5"/>
    <w:rsid w:val="5D804D2D"/>
    <w:rsid w:val="5D80545D"/>
    <w:rsid w:val="5D8440F2"/>
    <w:rsid w:val="5D867E6A"/>
    <w:rsid w:val="5D8D11F8"/>
    <w:rsid w:val="5D9B1B67"/>
    <w:rsid w:val="5D9C6B25"/>
    <w:rsid w:val="5D9E1657"/>
    <w:rsid w:val="5DA12EF6"/>
    <w:rsid w:val="5DA16738"/>
    <w:rsid w:val="5DA30A1C"/>
    <w:rsid w:val="5DA402F0"/>
    <w:rsid w:val="5DA6050C"/>
    <w:rsid w:val="5DA64068"/>
    <w:rsid w:val="5DAD189A"/>
    <w:rsid w:val="5DAD53F7"/>
    <w:rsid w:val="5DAF116F"/>
    <w:rsid w:val="5DB22A0D"/>
    <w:rsid w:val="5DB449D7"/>
    <w:rsid w:val="5DB46785"/>
    <w:rsid w:val="5DB9023F"/>
    <w:rsid w:val="5DBF512A"/>
    <w:rsid w:val="5DC15346"/>
    <w:rsid w:val="5DC42740"/>
    <w:rsid w:val="5DC54D05"/>
    <w:rsid w:val="5DCA7D57"/>
    <w:rsid w:val="5DCB3ACF"/>
    <w:rsid w:val="5DCF6BE5"/>
    <w:rsid w:val="5DD07337"/>
    <w:rsid w:val="5DD40BD5"/>
    <w:rsid w:val="5DDB01B6"/>
    <w:rsid w:val="5DDE7CA6"/>
    <w:rsid w:val="5DE03A1E"/>
    <w:rsid w:val="5DE30E18"/>
    <w:rsid w:val="5DE352BC"/>
    <w:rsid w:val="5DE51034"/>
    <w:rsid w:val="5DE52DE2"/>
    <w:rsid w:val="5DEC4171"/>
    <w:rsid w:val="5DF254FF"/>
    <w:rsid w:val="5DF41277"/>
    <w:rsid w:val="5DF748C4"/>
    <w:rsid w:val="5DFE5C52"/>
    <w:rsid w:val="5E015742"/>
    <w:rsid w:val="5E0314BA"/>
    <w:rsid w:val="5E033269"/>
    <w:rsid w:val="5E055233"/>
    <w:rsid w:val="5E0A2849"/>
    <w:rsid w:val="5E127950"/>
    <w:rsid w:val="5E145476"/>
    <w:rsid w:val="5E174F66"/>
    <w:rsid w:val="5E280F21"/>
    <w:rsid w:val="5E2A4C99"/>
    <w:rsid w:val="5E2A6A47"/>
    <w:rsid w:val="5E2E29DB"/>
    <w:rsid w:val="5E36363E"/>
    <w:rsid w:val="5E39312E"/>
    <w:rsid w:val="5E394EDC"/>
    <w:rsid w:val="5E3E24F3"/>
    <w:rsid w:val="5E4044BD"/>
    <w:rsid w:val="5E40626B"/>
    <w:rsid w:val="5E414336"/>
    <w:rsid w:val="5E437B09"/>
    <w:rsid w:val="5E4E6BDA"/>
    <w:rsid w:val="5E4F2952"/>
    <w:rsid w:val="5E4F64AE"/>
    <w:rsid w:val="5E5B30A5"/>
    <w:rsid w:val="5E5E4943"/>
    <w:rsid w:val="5E6006BB"/>
    <w:rsid w:val="5E677C9B"/>
    <w:rsid w:val="5E6A32E8"/>
    <w:rsid w:val="5E6C52B2"/>
    <w:rsid w:val="5E6F6B50"/>
    <w:rsid w:val="5E736640"/>
    <w:rsid w:val="5E744166"/>
    <w:rsid w:val="5E767EDE"/>
    <w:rsid w:val="5E7A5C21"/>
    <w:rsid w:val="5E7F3237"/>
    <w:rsid w:val="5E7F55FA"/>
    <w:rsid w:val="5E802B0B"/>
    <w:rsid w:val="5E8117C9"/>
    <w:rsid w:val="5E8425FB"/>
    <w:rsid w:val="5E866D7C"/>
    <w:rsid w:val="5E8C0390"/>
    <w:rsid w:val="5E8F0FA0"/>
    <w:rsid w:val="5E930A90"/>
    <w:rsid w:val="5E99597B"/>
    <w:rsid w:val="5E9E22D7"/>
    <w:rsid w:val="5E9F5687"/>
    <w:rsid w:val="5EA031AD"/>
    <w:rsid w:val="5EA50BC4"/>
    <w:rsid w:val="5EAB402C"/>
    <w:rsid w:val="5EB34C8F"/>
    <w:rsid w:val="5EB427B5"/>
    <w:rsid w:val="5EB50A07"/>
    <w:rsid w:val="5EB55AE8"/>
    <w:rsid w:val="5EB56C59"/>
    <w:rsid w:val="5EB86749"/>
    <w:rsid w:val="5EBB1D95"/>
    <w:rsid w:val="5EBB3B43"/>
    <w:rsid w:val="5EBB7FE7"/>
    <w:rsid w:val="5EBD78BB"/>
    <w:rsid w:val="5EC16C5C"/>
    <w:rsid w:val="5EC501AE"/>
    <w:rsid w:val="5EC62C14"/>
    <w:rsid w:val="5EC63139"/>
    <w:rsid w:val="5EC724E8"/>
    <w:rsid w:val="5ECE1AC8"/>
    <w:rsid w:val="5ECE3876"/>
    <w:rsid w:val="5ED03A93"/>
    <w:rsid w:val="5ED05841"/>
    <w:rsid w:val="5ED510A9"/>
    <w:rsid w:val="5ED74E21"/>
    <w:rsid w:val="5EDB41E5"/>
    <w:rsid w:val="5EDC2437"/>
    <w:rsid w:val="5EDF7832"/>
    <w:rsid w:val="5EE25574"/>
    <w:rsid w:val="5EE72B8A"/>
    <w:rsid w:val="5EEB267A"/>
    <w:rsid w:val="5EED47E9"/>
    <w:rsid w:val="5EEE5CC7"/>
    <w:rsid w:val="5EF37781"/>
    <w:rsid w:val="5EF552A7"/>
    <w:rsid w:val="5EF64B7B"/>
    <w:rsid w:val="5EFC4888"/>
    <w:rsid w:val="5F01564E"/>
    <w:rsid w:val="5F021772"/>
    <w:rsid w:val="5F0454EA"/>
    <w:rsid w:val="5F047298"/>
    <w:rsid w:val="5F074FDA"/>
    <w:rsid w:val="5F0E6369"/>
    <w:rsid w:val="5F0E7514"/>
    <w:rsid w:val="5F0F1D56"/>
    <w:rsid w:val="5F1514A5"/>
    <w:rsid w:val="5F155949"/>
    <w:rsid w:val="5F1A6ABC"/>
    <w:rsid w:val="5F1C6CD8"/>
    <w:rsid w:val="5F1D65AC"/>
    <w:rsid w:val="5F1F0576"/>
    <w:rsid w:val="5F21609C"/>
    <w:rsid w:val="5F2416E8"/>
    <w:rsid w:val="5F265461"/>
    <w:rsid w:val="5F27742B"/>
    <w:rsid w:val="5F2809DA"/>
    <w:rsid w:val="5F2913F5"/>
    <w:rsid w:val="5F296CFF"/>
    <w:rsid w:val="5F2D08F8"/>
    <w:rsid w:val="5F2D2C93"/>
    <w:rsid w:val="5F335DCF"/>
    <w:rsid w:val="5F337B7D"/>
    <w:rsid w:val="5F3538F6"/>
    <w:rsid w:val="5F386D8E"/>
    <w:rsid w:val="5F3A53B0"/>
    <w:rsid w:val="5F3A59C0"/>
    <w:rsid w:val="5F3B6E50"/>
    <w:rsid w:val="5F4104EC"/>
    <w:rsid w:val="5F424152"/>
    <w:rsid w:val="5F427DC1"/>
    <w:rsid w:val="5F443E7C"/>
    <w:rsid w:val="5F465B03"/>
    <w:rsid w:val="5F473629"/>
    <w:rsid w:val="5F4B4EC7"/>
    <w:rsid w:val="5F4E2C09"/>
    <w:rsid w:val="5F5244A8"/>
    <w:rsid w:val="5F551CD4"/>
    <w:rsid w:val="5F5A1FC8"/>
    <w:rsid w:val="5F5A287C"/>
    <w:rsid w:val="5F5B0B0A"/>
    <w:rsid w:val="5F6146EB"/>
    <w:rsid w:val="5F661D01"/>
    <w:rsid w:val="5F681F1D"/>
    <w:rsid w:val="5F697A43"/>
    <w:rsid w:val="5F6D308F"/>
    <w:rsid w:val="5F6E0BB6"/>
    <w:rsid w:val="5F6E5059"/>
    <w:rsid w:val="5F73441E"/>
    <w:rsid w:val="5F781A34"/>
    <w:rsid w:val="5F79781E"/>
    <w:rsid w:val="5F7C32D2"/>
    <w:rsid w:val="5F7D704B"/>
    <w:rsid w:val="5F8108E9"/>
    <w:rsid w:val="5F814D8D"/>
    <w:rsid w:val="5F8623A3"/>
    <w:rsid w:val="5F8A1E93"/>
    <w:rsid w:val="5F8B1768"/>
    <w:rsid w:val="5F904FD0"/>
    <w:rsid w:val="5F93061C"/>
    <w:rsid w:val="5F954394"/>
    <w:rsid w:val="5F9745B0"/>
    <w:rsid w:val="5F9943A2"/>
    <w:rsid w:val="5F9C25EB"/>
    <w:rsid w:val="5F9F3465"/>
    <w:rsid w:val="5FA016B7"/>
    <w:rsid w:val="5FA36AB1"/>
    <w:rsid w:val="5FA62A45"/>
    <w:rsid w:val="5FB05672"/>
    <w:rsid w:val="5FB15AF3"/>
    <w:rsid w:val="5FB80747"/>
    <w:rsid w:val="5FC15189"/>
    <w:rsid w:val="5FC30F01"/>
    <w:rsid w:val="5FC44C79"/>
    <w:rsid w:val="5FC63CB8"/>
    <w:rsid w:val="5FC66C44"/>
    <w:rsid w:val="5FC86518"/>
    <w:rsid w:val="5FCF3D4A"/>
    <w:rsid w:val="5FCF5AF8"/>
    <w:rsid w:val="5FD2383A"/>
    <w:rsid w:val="5FD41360"/>
    <w:rsid w:val="5FD56E87"/>
    <w:rsid w:val="5FD650D9"/>
    <w:rsid w:val="5FD90725"/>
    <w:rsid w:val="5FE1582B"/>
    <w:rsid w:val="5FE33352"/>
    <w:rsid w:val="5FE570CA"/>
    <w:rsid w:val="5FE87052"/>
    <w:rsid w:val="5FEB0458"/>
    <w:rsid w:val="5FF53085"/>
    <w:rsid w:val="5FF612D7"/>
    <w:rsid w:val="5FF61656"/>
    <w:rsid w:val="5FF67529"/>
    <w:rsid w:val="5FF92B75"/>
    <w:rsid w:val="5FF94923"/>
    <w:rsid w:val="5FFC08B7"/>
    <w:rsid w:val="5FFE018B"/>
    <w:rsid w:val="5FFE462F"/>
    <w:rsid w:val="5FFF5CB2"/>
    <w:rsid w:val="60003F04"/>
    <w:rsid w:val="60017C7C"/>
    <w:rsid w:val="600339F4"/>
    <w:rsid w:val="600C0AFA"/>
    <w:rsid w:val="600D78DD"/>
    <w:rsid w:val="600F6F06"/>
    <w:rsid w:val="60114363"/>
    <w:rsid w:val="60163727"/>
    <w:rsid w:val="6017749F"/>
    <w:rsid w:val="601D2D07"/>
    <w:rsid w:val="602045A6"/>
    <w:rsid w:val="60206354"/>
    <w:rsid w:val="60237BF2"/>
    <w:rsid w:val="602A0F80"/>
    <w:rsid w:val="602A71D2"/>
    <w:rsid w:val="602D281F"/>
    <w:rsid w:val="603040BD"/>
    <w:rsid w:val="603043B8"/>
    <w:rsid w:val="6031230F"/>
    <w:rsid w:val="603616BA"/>
    <w:rsid w:val="6036401A"/>
    <w:rsid w:val="60397415"/>
    <w:rsid w:val="603B13E0"/>
    <w:rsid w:val="60430294"/>
    <w:rsid w:val="6045006A"/>
    <w:rsid w:val="60457B68"/>
    <w:rsid w:val="604638E0"/>
    <w:rsid w:val="604A1623"/>
    <w:rsid w:val="604C7149"/>
    <w:rsid w:val="605129B1"/>
    <w:rsid w:val="60527752"/>
    <w:rsid w:val="60566219"/>
    <w:rsid w:val="60593614"/>
    <w:rsid w:val="605B55DE"/>
    <w:rsid w:val="605C4EB2"/>
    <w:rsid w:val="60602BF4"/>
    <w:rsid w:val="606326E4"/>
    <w:rsid w:val="60673F83"/>
    <w:rsid w:val="606E3563"/>
    <w:rsid w:val="6071095D"/>
    <w:rsid w:val="60716BAF"/>
    <w:rsid w:val="60762418"/>
    <w:rsid w:val="607B17DC"/>
    <w:rsid w:val="607B521D"/>
    <w:rsid w:val="607D5554"/>
    <w:rsid w:val="607E751E"/>
    <w:rsid w:val="60807BFF"/>
    <w:rsid w:val="60824919"/>
    <w:rsid w:val="608E59B3"/>
    <w:rsid w:val="608F5287"/>
    <w:rsid w:val="60917251"/>
    <w:rsid w:val="609334A3"/>
    <w:rsid w:val="60934D78"/>
    <w:rsid w:val="609B00D0"/>
    <w:rsid w:val="60A22F98"/>
    <w:rsid w:val="60A2320D"/>
    <w:rsid w:val="60A24FBB"/>
    <w:rsid w:val="60A6084B"/>
    <w:rsid w:val="60AC7BE7"/>
    <w:rsid w:val="60B3398C"/>
    <w:rsid w:val="60B3541A"/>
    <w:rsid w:val="60B47640"/>
    <w:rsid w:val="60B62814"/>
    <w:rsid w:val="60BA0556"/>
    <w:rsid w:val="60C541B5"/>
    <w:rsid w:val="60C56EFB"/>
    <w:rsid w:val="60C74A21"/>
    <w:rsid w:val="60C767CF"/>
    <w:rsid w:val="60CB21A4"/>
    <w:rsid w:val="60CB2763"/>
    <w:rsid w:val="60CC2038"/>
    <w:rsid w:val="60CC64DC"/>
    <w:rsid w:val="60CD52D1"/>
    <w:rsid w:val="60CE7B5E"/>
    <w:rsid w:val="60CF1B28"/>
    <w:rsid w:val="60D07D7A"/>
    <w:rsid w:val="60D158A0"/>
    <w:rsid w:val="60D1764E"/>
    <w:rsid w:val="60D3786A"/>
    <w:rsid w:val="60D809DC"/>
    <w:rsid w:val="60D96503"/>
    <w:rsid w:val="60DA29A7"/>
    <w:rsid w:val="60DD2497"/>
    <w:rsid w:val="60E27AAD"/>
    <w:rsid w:val="60E92BEA"/>
    <w:rsid w:val="60EA6962"/>
    <w:rsid w:val="60EC26DA"/>
    <w:rsid w:val="60EC6236"/>
    <w:rsid w:val="60EE6452"/>
    <w:rsid w:val="60F15F42"/>
    <w:rsid w:val="60F51388"/>
    <w:rsid w:val="60F65306"/>
    <w:rsid w:val="60F872D1"/>
    <w:rsid w:val="60FF065F"/>
    <w:rsid w:val="610712C2"/>
    <w:rsid w:val="6109328C"/>
    <w:rsid w:val="61131A15"/>
    <w:rsid w:val="61181721"/>
    <w:rsid w:val="611834CF"/>
    <w:rsid w:val="6118702B"/>
    <w:rsid w:val="611A0FF5"/>
    <w:rsid w:val="611B712C"/>
    <w:rsid w:val="611D6D37"/>
    <w:rsid w:val="611F485D"/>
    <w:rsid w:val="611F660B"/>
    <w:rsid w:val="6126799A"/>
    <w:rsid w:val="61273712"/>
    <w:rsid w:val="612B4FB0"/>
    <w:rsid w:val="612C2AD6"/>
    <w:rsid w:val="613227E3"/>
    <w:rsid w:val="613F4229"/>
    <w:rsid w:val="613F4DE6"/>
    <w:rsid w:val="6142054C"/>
    <w:rsid w:val="61475B62"/>
    <w:rsid w:val="61477910"/>
    <w:rsid w:val="61493688"/>
    <w:rsid w:val="61497B2C"/>
    <w:rsid w:val="614E087A"/>
    <w:rsid w:val="61500EBB"/>
    <w:rsid w:val="615269E1"/>
    <w:rsid w:val="615D5386"/>
    <w:rsid w:val="615D5EB6"/>
    <w:rsid w:val="61614E76"/>
    <w:rsid w:val="61646714"/>
    <w:rsid w:val="6166423A"/>
    <w:rsid w:val="61691F7C"/>
    <w:rsid w:val="616B7AA3"/>
    <w:rsid w:val="616D381B"/>
    <w:rsid w:val="616E7593"/>
    <w:rsid w:val="61720E31"/>
    <w:rsid w:val="61812E22"/>
    <w:rsid w:val="61834DEC"/>
    <w:rsid w:val="618446C0"/>
    <w:rsid w:val="61860438"/>
    <w:rsid w:val="618741B1"/>
    <w:rsid w:val="61891CD7"/>
    <w:rsid w:val="6189617B"/>
    <w:rsid w:val="618E553F"/>
    <w:rsid w:val="61915DCF"/>
    <w:rsid w:val="61930DA7"/>
    <w:rsid w:val="619412B3"/>
    <w:rsid w:val="619863BE"/>
    <w:rsid w:val="619C7C5C"/>
    <w:rsid w:val="61A66D2D"/>
    <w:rsid w:val="61A92379"/>
    <w:rsid w:val="61AD3C17"/>
    <w:rsid w:val="61B26849"/>
    <w:rsid w:val="61B431F8"/>
    <w:rsid w:val="61B74A96"/>
    <w:rsid w:val="61BF1B9C"/>
    <w:rsid w:val="61BF394A"/>
    <w:rsid w:val="61C55405"/>
    <w:rsid w:val="61CB22EF"/>
    <w:rsid w:val="61CD42B9"/>
    <w:rsid w:val="61D4389A"/>
    <w:rsid w:val="61D513C0"/>
    <w:rsid w:val="61D70C94"/>
    <w:rsid w:val="61E3588B"/>
    <w:rsid w:val="61E37639"/>
    <w:rsid w:val="61E57855"/>
    <w:rsid w:val="61E635CD"/>
    <w:rsid w:val="61EB0BE3"/>
    <w:rsid w:val="61F01D56"/>
    <w:rsid w:val="61F061FA"/>
    <w:rsid w:val="61F45CEA"/>
    <w:rsid w:val="61FA4982"/>
    <w:rsid w:val="61FB0E26"/>
    <w:rsid w:val="61FE26C5"/>
    <w:rsid w:val="6200468F"/>
    <w:rsid w:val="62051CA5"/>
    <w:rsid w:val="620677CB"/>
    <w:rsid w:val="620D0B5A"/>
    <w:rsid w:val="620F042E"/>
    <w:rsid w:val="620F6680"/>
    <w:rsid w:val="621041A6"/>
    <w:rsid w:val="621243C2"/>
    <w:rsid w:val="62164440"/>
    <w:rsid w:val="62165C60"/>
    <w:rsid w:val="621C6FEF"/>
    <w:rsid w:val="62287742"/>
    <w:rsid w:val="622C5484"/>
    <w:rsid w:val="622D285B"/>
    <w:rsid w:val="622D2FAA"/>
    <w:rsid w:val="622F10AC"/>
    <w:rsid w:val="623325FE"/>
    <w:rsid w:val="62347E94"/>
    <w:rsid w:val="62397900"/>
    <w:rsid w:val="62397BA1"/>
    <w:rsid w:val="623B56C7"/>
    <w:rsid w:val="623C143F"/>
    <w:rsid w:val="623C31ED"/>
    <w:rsid w:val="62402CDD"/>
    <w:rsid w:val="624125B1"/>
    <w:rsid w:val="62487DE4"/>
    <w:rsid w:val="624A76B8"/>
    <w:rsid w:val="624F2F20"/>
    <w:rsid w:val="624F4CCE"/>
    <w:rsid w:val="62514EEA"/>
    <w:rsid w:val="62527017"/>
    <w:rsid w:val="625978FB"/>
    <w:rsid w:val="625C563D"/>
    <w:rsid w:val="625E13B5"/>
    <w:rsid w:val="625E7607"/>
    <w:rsid w:val="62606EDB"/>
    <w:rsid w:val="62662018"/>
    <w:rsid w:val="626F711E"/>
    <w:rsid w:val="627209BD"/>
    <w:rsid w:val="62726C0F"/>
    <w:rsid w:val="62791D4B"/>
    <w:rsid w:val="627B1F67"/>
    <w:rsid w:val="627D5CDF"/>
    <w:rsid w:val="627E55B4"/>
    <w:rsid w:val="62830E1C"/>
    <w:rsid w:val="628726BA"/>
    <w:rsid w:val="628801E0"/>
    <w:rsid w:val="628A21AA"/>
    <w:rsid w:val="628A3F58"/>
    <w:rsid w:val="628F5A13"/>
    <w:rsid w:val="628F77C1"/>
    <w:rsid w:val="629372B1"/>
    <w:rsid w:val="629457C3"/>
    <w:rsid w:val="62966DA1"/>
    <w:rsid w:val="6299063F"/>
    <w:rsid w:val="629A2229"/>
    <w:rsid w:val="629D3C8C"/>
    <w:rsid w:val="62A019CE"/>
    <w:rsid w:val="62A0377C"/>
    <w:rsid w:val="62A0552A"/>
    <w:rsid w:val="62A0578E"/>
    <w:rsid w:val="62A50D92"/>
    <w:rsid w:val="62A52B40"/>
    <w:rsid w:val="62A72D5C"/>
    <w:rsid w:val="62A92BD2"/>
    <w:rsid w:val="62A94263"/>
    <w:rsid w:val="62AE5E99"/>
    <w:rsid w:val="62AF1C11"/>
    <w:rsid w:val="62B17737"/>
    <w:rsid w:val="62B334AF"/>
    <w:rsid w:val="62B64D4D"/>
    <w:rsid w:val="62B92A90"/>
    <w:rsid w:val="62BB6808"/>
    <w:rsid w:val="62BE08F6"/>
    <w:rsid w:val="62C27B96"/>
    <w:rsid w:val="62C30B49"/>
    <w:rsid w:val="62C54F90"/>
    <w:rsid w:val="62C70D09"/>
    <w:rsid w:val="62CA6A4B"/>
    <w:rsid w:val="62D41677"/>
    <w:rsid w:val="62D43425"/>
    <w:rsid w:val="62D60F4C"/>
    <w:rsid w:val="62D84CC4"/>
    <w:rsid w:val="62D90A3C"/>
    <w:rsid w:val="62DB0C58"/>
    <w:rsid w:val="62DD22DA"/>
    <w:rsid w:val="62DE42A4"/>
    <w:rsid w:val="62E25B42"/>
    <w:rsid w:val="62E55633"/>
    <w:rsid w:val="62E93375"/>
    <w:rsid w:val="62E95123"/>
    <w:rsid w:val="62EC69C1"/>
    <w:rsid w:val="62EE2739"/>
    <w:rsid w:val="62EF64B1"/>
    <w:rsid w:val="62F31AFE"/>
    <w:rsid w:val="62F45876"/>
    <w:rsid w:val="62F615EE"/>
    <w:rsid w:val="62FA7330"/>
    <w:rsid w:val="62FB4E56"/>
    <w:rsid w:val="62FF0DD3"/>
    <w:rsid w:val="6300421A"/>
    <w:rsid w:val="630261E5"/>
    <w:rsid w:val="630E2DDB"/>
    <w:rsid w:val="630E4B89"/>
    <w:rsid w:val="63116428"/>
    <w:rsid w:val="631303F2"/>
    <w:rsid w:val="631A352E"/>
    <w:rsid w:val="631A52DC"/>
    <w:rsid w:val="631F28F3"/>
    <w:rsid w:val="632223E3"/>
    <w:rsid w:val="6324615B"/>
    <w:rsid w:val="63342B58"/>
    <w:rsid w:val="633640E0"/>
    <w:rsid w:val="63367C3C"/>
    <w:rsid w:val="634560D1"/>
    <w:rsid w:val="6347009B"/>
    <w:rsid w:val="63471E49"/>
    <w:rsid w:val="63497970"/>
    <w:rsid w:val="634B7B8C"/>
    <w:rsid w:val="634C56B2"/>
    <w:rsid w:val="634E3528"/>
    <w:rsid w:val="63554566"/>
    <w:rsid w:val="63576530"/>
    <w:rsid w:val="635A1E36"/>
    <w:rsid w:val="635A7DCF"/>
    <w:rsid w:val="63657B08"/>
    <w:rsid w:val="636724EC"/>
    <w:rsid w:val="636B1FDC"/>
    <w:rsid w:val="636B3D8A"/>
    <w:rsid w:val="636E5628"/>
    <w:rsid w:val="6372336A"/>
    <w:rsid w:val="63780255"/>
    <w:rsid w:val="637A3FCD"/>
    <w:rsid w:val="637C5F97"/>
    <w:rsid w:val="638210D3"/>
    <w:rsid w:val="638439E5"/>
    <w:rsid w:val="63846BFA"/>
    <w:rsid w:val="638766EA"/>
    <w:rsid w:val="63892462"/>
    <w:rsid w:val="638957C1"/>
    <w:rsid w:val="638B61DA"/>
    <w:rsid w:val="638E1826"/>
    <w:rsid w:val="63974B7F"/>
    <w:rsid w:val="639826A5"/>
    <w:rsid w:val="639C03E7"/>
    <w:rsid w:val="63A1155A"/>
    <w:rsid w:val="63A23524"/>
    <w:rsid w:val="63A454EE"/>
    <w:rsid w:val="63A70B3A"/>
    <w:rsid w:val="63A728E8"/>
    <w:rsid w:val="63AB23D8"/>
    <w:rsid w:val="63AB4186"/>
    <w:rsid w:val="63AE1EC8"/>
    <w:rsid w:val="63B05C41"/>
    <w:rsid w:val="63B70D7D"/>
    <w:rsid w:val="63B76FCF"/>
    <w:rsid w:val="63BF5E84"/>
    <w:rsid w:val="63C27722"/>
    <w:rsid w:val="63C67212"/>
    <w:rsid w:val="63CD67F3"/>
    <w:rsid w:val="63D12B27"/>
    <w:rsid w:val="63D25BB7"/>
    <w:rsid w:val="63D47B81"/>
    <w:rsid w:val="63D7141F"/>
    <w:rsid w:val="63D80CF3"/>
    <w:rsid w:val="63D866E8"/>
    <w:rsid w:val="63DC07E4"/>
    <w:rsid w:val="63DE27AE"/>
    <w:rsid w:val="63E1229E"/>
    <w:rsid w:val="63E36016"/>
    <w:rsid w:val="63E37DC4"/>
    <w:rsid w:val="63E47698"/>
    <w:rsid w:val="63E63410"/>
    <w:rsid w:val="63ED0C43"/>
    <w:rsid w:val="63F024E1"/>
    <w:rsid w:val="63F05DFF"/>
    <w:rsid w:val="63F518A5"/>
    <w:rsid w:val="63F7561D"/>
    <w:rsid w:val="63FD075A"/>
    <w:rsid w:val="63FE15F1"/>
    <w:rsid w:val="63FF4464"/>
    <w:rsid w:val="6408782B"/>
    <w:rsid w:val="640B731B"/>
    <w:rsid w:val="641328DA"/>
    <w:rsid w:val="64155AA4"/>
    <w:rsid w:val="641726EB"/>
    <w:rsid w:val="64202DC6"/>
    <w:rsid w:val="64267CB1"/>
    <w:rsid w:val="64283A29"/>
    <w:rsid w:val="6429154F"/>
    <w:rsid w:val="642B3D78"/>
    <w:rsid w:val="642B52C7"/>
    <w:rsid w:val="642D7291"/>
    <w:rsid w:val="642E6B65"/>
    <w:rsid w:val="643248A8"/>
    <w:rsid w:val="64340620"/>
    <w:rsid w:val="64341C13"/>
    <w:rsid w:val="64354398"/>
    <w:rsid w:val="64356146"/>
    <w:rsid w:val="64370110"/>
    <w:rsid w:val="64373C6C"/>
    <w:rsid w:val="64393E88"/>
    <w:rsid w:val="64406FC4"/>
    <w:rsid w:val="64436AB5"/>
    <w:rsid w:val="644A1BF1"/>
    <w:rsid w:val="644A7E43"/>
    <w:rsid w:val="644B5416"/>
    <w:rsid w:val="64520AA6"/>
    <w:rsid w:val="64560453"/>
    <w:rsid w:val="64590086"/>
    <w:rsid w:val="645B2050"/>
    <w:rsid w:val="645C2560"/>
    <w:rsid w:val="645C7B76"/>
    <w:rsid w:val="64601415"/>
    <w:rsid w:val="6461518D"/>
    <w:rsid w:val="64682077"/>
    <w:rsid w:val="646D1C5C"/>
    <w:rsid w:val="646D1D84"/>
    <w:rsid w:val="646D768E"/>
    <w:rsid w:val="646E4975"/>
    <w:rsid w:val="64722EF6"/>
    <w:rsid w:val="6472739A"/>
    <w:rsid w:val="64746C6E"/>
    <w:rsid w:val="647629E6"/>
    <w:rsid w:val="6477675E"/>
    <w:rsid w:val="647C1FC7"/>
    <w:rsid w:val="647E7AED"/>
    <w:rsid w:val="648116AA"/>
    <w:rsid w:val="64833355"/>
    <w:rsid w:val="64882719"/>
    <w:rsid w:val="648C045C"/>
    <w:rsid w:val="649015CE"/>
    <w:rsid w:val="649410BE"/>
    <w:rsid w:val="64964E36"/>
    <w:rsid w:val="649E2313"/>
    <w:rsid w:val="64A15589"/>
    <w:rsid w:val="64A357A5"/>
    <w:rsid w:val="64A36AC6"/>
    <w:rsid w:val="64AF7CA6"/>
    <w:rsid w:val="64B90B25"/>
    <w:rsid w:val="64BB2AEF"/>
    <w:rsid w:val="64BE613B"/>
    <w:rsid w:val="64C319A4"/>
    <w:rsid w:val="64C96A10"/>
    <w:rsid w:val="64CA0F84"/>
    <w:rsid w:val="64CC6AAA"/>
    <w:rsid w:val="64CD45D0"/>
    <w:rsid w:val="64D12312"/>
    <w:rsid w:val="64D43BB1"/>
    <w:rsid w:val="64D4770D"/>
    <w:rsid w:val="64D94D23"/>
    <w:rsid w:val="64DD4813"/>
    <w:rsid w:val="64E060B2"/>
    <w:rsid w:val="64E55F38"/>
    <w:rsid w:val="64EA33D4"/>
    <w:rsid w:val="64EA5182"/>
    <w:rsid w:val="64EA5D49"/>
    <w:rsid w:val="64EA6F30"/>
    <w:rsid w:val="64EC2CA8"/>
    <w:rsid w:val="64EE4C72"/>
    <w:rsid w:val="64F1206D"/>
    <w:rsid w:val="64F658D5"/>
    <w:rsid w:val="64FB113D"/>
    <w:rsid w:val="64FB2EEB"/>
    <w:rsid w:val="64FE29DC"/>
    <w:rsid w:val="65053D6A"/>
    <w:rsid w:val="65055B18"/>
    <w:rsid w:val="65071890"/>
    <w:rsid w:val="650F4BE9"/>
    <w:rsid w:val="65143FAD"/>
    <w:rsid w:val="65150451"/>
    <w:rsid w:val="651A5A67"/>
    <w:rsid w:val="651B17E0"/>
    <w:rsid w:val="65200BA4"/>
    <w:rsid w:val="65206DF6"/>
    <w:rsid w:val="65271F32"/>
    <w:rsid w:val="65297A59"/>
    <w:rsid w:val="652E506F"/>
    <w:rsid w:val="65346E5E"/>
    <w:rsid w:val="6536434F"/>
    <w:rsid w:val="653A7EB8"/>
    <w:rsid w:val="653D3504"/>
    <w:rsid w:val="65404DA2"/>
    <w:rsid w:val="65420B1A"/>
    <w:rsid w:val="6545060B"/>
    <w:rsid w:val="654A79CF"/>
    <w:rsid w:val="654B2514"/>
    <w:rsid w:val="654C3747"/>
    <w:rsid w:val="654E3963"/>
    <w:rsid w:val="654F4FE5"/>
    <w:rsid w:val="65501489"/>
    <w:rsid w:val="65501841"/>
    <w:rsid w:val="65515201"/>
    <w:rsid w:val="65534AD5"/>
    <w:rsid w:val="65566374"/>
    <w:rsid w:val="655B398A"/>
    <w:rsid w:val="655B7E2E"/>
    <w:rsid w:val="655D7702"/>
    <w:rsid w:val="655F16CC"/>
    <w:rsid w:val="655F347A"/>
    <w:rsid w:val="65624D19"/>
    <w:rsid w:val="656960A7"/>
    <w:rsid w:val="65711400"/>
    <w:rsid w:val="65717652"/>
    <w:rsid w:val="657219D1"/>
    <w:rsid w:val="657A4758"/>
    <w:rsid w:val="657D20CB"/>
    <w:rsid w:val="657D5FF6"/>
    <w:rsid w:val="657F1D6E"/>
    <w:rsid w:val="65847385"/>
    <w:rsid w:val="65856C59"/>
    <w:rsid w:val="658630FD"/>
    <w:rsid w:val="658A426F"/>
    <w:rsid w:val="658B24C1"/>
    <w:rsid w:val="659163EA"/>
    <w:rsid w:val="65956E9C"/>
    <w:rsid w:val="659A0956"/>
    <w:rsid w:val="659A6BA8"/>
    <w:rsid w:val="65A11CE5"/>
    <w:rsid w:val="65A2780B"/>
    <w:rsid w:val="65A43583"/>
    <w:rsid w:val="65A45331"/>
    <w:rsid w:val="65A67180"/>
    <w:rsid w:val="65A90B99"/>
    <w:rsid w:val="65A96DEB"/>
    <w:rsid w:val="65AD4482"/>
    <w:rsid w:val="65AD68DC"/>
    <w:rsid w:val="65B512EC"/>
    <w:rsid w:val="65B53D84"/>
    <w:rsid w:val="65BB267B"/>
    <w:rsid w:val="65C15EE3"/>
    <w:rsid w:val="65C21C5B"/>
    <w:rsid w:val="65C36F0C"/>
    <w:rsid w:val="65CB6D62"/>
    <w:rsid w:val="65CD0D2C"/>
    <w:rsid w:val="65CD2ADA"/>
    <w:rsid w:val="65D04378"/>
    <w:rsid w:val="65D11E9E"/>
    <w:rsid w:val="65D26342"/>
    <w:rsid w:val="65D5373C"/>
    <w:rsid w:val="65D57BE0"/>
    <w:rsid w:val="65DE4CE7"/>
    <w:rsid w:val="65DF0A5F"/>
    <w:rsid w:val="65E73470"/>
    <w:rsid w:val="65E9368C"/>
    <w:rsid w:val="65EE0CA2"/>
    <w:rsid w:val="65F83E57"/>
    <w:rsid w:val="65F8742B"/>
    <w:rsid w:val="65FA1348"/>
    <w:rsid w:val="65FA13F5"/>
    <w:rsid w:val="65FF4C5D"/>
    <w:rsid w:val="65FF6A0B"/>
    <w:rsid w:val="66014531"/>
    <w:rsid w:val="660202AA"/>
    <w:rsid w:val="66042274"/>
    <w:rsid w:val="660758C0"/>
    <w:rsid w:val="6608394C"/>
    <w:rsid w:val="660B3602"/>
    <w:rsid w:val="660B53B0"/>
    <w:rsid w:val="660D1128"/>
    <w:rsid w:val="660D2ED6"/>
    <w:rsid w:val="661029C7"/>
    <w:rsid w:val="66157FDD"/>
    <w:rsid w:val="661701F9"/>
    <w:rsid w:val="661D72B3"/>
    <w:rsid w:val="661E1587"/>
    <w:rsid w:val="661E3335"/>
    <w:rsid w:val="66216982"/>
    <w:rsid w:val="66236B9E"/>
    <w:rsid w:val="66281884"/>
    <w:rsid w:val="66285F62"/>
    <w:rsid w:val="662A7F2C"/>
    <w:rsid w:val="662F72F1"/>
    <w:rsid w:val="66313FE8"/>
    <w:rsid w:val="66320B8F"/>
    <w:rsid w:val="6635242D"/>
    <w:rsid w:val="66377F53"/>
    <w:rsid w:val="66383CCB"/>
    <w:rsid w:val="663B6ADC"/>
    <w:rsid w:val="663D12E2"/>
    <w:rsid w:val="663F505A"/>
    <w:rsid w:val="664B1C51"/>
    <w:rsid w:val="66501015"/>
    <w:rsid w:val="6650370B"/>
    <w:rsid w:val="66524D8D"/>
    <w:rsid w:val="665A00E6"/>
    <w:rsid w:val="665A1E94"/>
    <w:rsid w:val="665C32B6"/>
    <w:rsid w:val="665C5C0C"/>
    <w:rsid w:val="66650F64"/>
    <w:rsid w:val="66652ED8"/>
    <w:rsid w:val="66664CDC"/>
    <w:rsid w:val="666D606B"/>
    <w:rsid w:val="666E56CA"/>
    <w:rsid w:val="6672542F"/>
    <w:rsid w:val="66772A46"/>
    <w:rsid w:val="667747F4"/>
    <w:rsid w:val="66846F11"/>
    <w:rsid w:val="66882EA5"/>
    <w:rsid w:val="66884C53"/>
    <w:rsid w:val="668B029F"/>
    <w:rsid w:val="668F7D8F"/>
    <w:rsid w:val="669058B5"/>
    <w:rsid w:val="66976C44"/>
    <w:rsid w:val="669E4476"/>
    <w:rsid w:val="66A001EE"/>
    <w:rsid w:val="66A17AC3"/>
    <w:rsid w:val="66A31A8D"/>
    <w:rsid w:val="66A55799"/>
    <w:rsid w:val="66AF0431"/>
    <w:rsid w:val="66B477F6"/>
    <w:rsid w:val="66B912B0"/>
    <w:rsid w:val="66BC2B4E"/>
    <w:rsid w:val="66BE0674"/>
    <w:rsid w:val="66C7577B"/>
    <w:rsid w:val="66C814F3"/>
    <w:rsid w:val="66D02156"/>
    <w:rsid w:val="66D41CA7"/>
    <w:rsid w:val="66D93700"/>
    <w:rsid w:val="66D954AE"/>
    <w:rsid w:val="66DB2FD4"/>
    <w:rsid w:val="66DF198B"/>
    <w:rsid w:val="66E16111"/>
    <w:rsid w:val="66E91A55"/>
    <w:rsid w:val="66EA3218"/>
    <w:rsid w:val="66ED0F5A"/>
    <w:rsid w:val="66ED2D08"/>
    <w:rsid w:val="66F26570"/>
    <w:rsid w:val="66F347C2"/>
    <w:rsid w:val="66F978FF"/>
    <w:rsid w:val="66FE6CC3"/>
    <w:rsid w:val="670047E9"/>
    <w:rsid w:val="6703077D"/>
    <w:rsid w:val="67050051"/>
    <w:rsid w:val="670A38BA"/>
    <w:rsid w:val="670C7557"/>
    <w:rsid w:val="670F7122"/>
    <w:rsid w:val="67136C12"/>
    <w:rsid w:val="67144738"/>
    <w:rsid w:val="671F55B7"/>
    <w:rsid w:val="67220C03"/>
    <w:rsid w:val="67236729"/>
    <w:rsid w:val="67254250"/>
    <w:rsid w:val="67283D40"/>
    <w:rsid w:val="672C3830"/>
    <w:rsid w:val="672C74D4"/>
    <w:rsid w:val="67317098"/>
    <w:rsid w:val="67362901"/>
    <w:rsid w:val="67380427"/>
    <w:rsid w:val="673D5A3D"/>
    <w:rsid w:val="674072DB"/>
    <w:rsid w:val="67423054"/>
    <w:rsid w:val="67424E02"/>
    <w:rsid w:val="6747066A"/>
    <w:rsid w:val="67473459"/>
    <w:rsid w:val="67474E03"/>
    <w:rsid w:val="674943E2"/>
    <w:rsid w:val="674C3ED2"/>
    <w:rsid w:val="67535261"/>
    <w:rsid w:val="67580AC9"/>
    <w:rsid w:val="67584625"/>
    <w:rsid w:val="675B4115"/>
    <w:rsid w:val="675D60DF"/>
    <w:rsid w:val="675E7762"/>
    <w:rsid w:val="676034DA"/>
    <w:rsid w:val="676669E2"/>
    <w:rsid w:val="676E3E49"/>
    <w:rsid w:val="67713939"/>
    <w:rsid w:val="67717495"/>
    <w:rsid w:val="6773145F"/>
    <w:rsid w:val="6773320D"/>
    <w:rsid w:val="67746F85"/>
    <w:rsid w:val="67753429"/>
    <w:rsid w:val="67825B46"/>
    <w:rsid w:val="6782764B"/>
    <w:rsid w:val="67896ED4"/>
    <w:rsid w:val="678C2521"/>
    <w:rsid w:val="67994442"/>
    <w:rsid w:val="679A2E90"/>
    <w:rsid w:val="679B09B6"/>
    <w:rsid w:val="679B2764"/>
    <w:rsid w:val="679C6C08"/>
    <w:rsid w:val="679D64DC"/>
    <w:rsid w:val="679F04A6"/>
    <w:rsid w:val="67A07D7A"/>
    <w:rsid w:val="67A23AF2"/>
    <w:rsid w:val="67A41618"/>
    <w:rsid w:val="67A96C2F"/>
    <w:rsid w:val="67AC2BC3"/>
    <w:rsid w:val="67AC4971"/>
    <w:rsid w:val="67B13B59"/>
    <w:rsid w:val="67B51A77"/>
    <w:rsid w:val="67B6134C"/>
    <w:rsid w:val="67BC1058"/>
    <w:rsid w:val="67BC5DF7"/>
    <w:rsid w:val="67BD092C"/>
    <w:rsid w:val="67C021CA"/>
    <w:rsid w:val="67C47F0C"/>
    <w:rsid w:val="67C779FD"/>
    <w:rsid w:val="67C9107F"/>
    <w:rsid w:val="67C972D1"/>
    <w:rsid w:val="67D068B1"/>
    <w:rsid w:val="67D16185"/>
    <w:rsid w:val="67D245D3"/>
    <w:rsid w:val="67D77C40"/>
    <w:rsid w:val="67DA7730"/>
    <w:rsid w:val="67DC5256"/>
    <w:rsid w:val="67DD2D7C"/>
    <w:rsid w:val="67DF08A2"/>
    <w:rsid w:val="67E10ABE"/>
    <w:rsid w:val="67E4235D"/>
    <w:rsid w:val="67F81964"/>
    <w:rsid w:val="67F87BB6"/>
    <w:rsid w:val="67FA1B80"/>
    <w:rsid w:val="67FB3202"/>
    <w:rsid w:val="67FD341E"/>
    <w:rsid w:val="68040309"/>
    <w:rsid w:val="680447AD"/>
    <w:rsid w:val="68055D20"/>
    <w:rsid w:val="68071BA7"/>
    <w:rsid w:val="68091DC3"/>
    <w:rsid w:val="680B5C16"/>
    <w:rsid w:val="680E2F36"/>
    <w:rsid w:val="68103152"/>
    <w:rsid w:val="68120C78"/>
    <w:rsid w:val="6817628E"/>
    <w:rsid w:val="681A3FD0"/>
    <w:rsid w:val="681A7B2C"/>
    <w:rsid w:val="681C5653"/>
    <w:rsid w:val="681D13CB"/>
    <w:rsid w:val="6828049B"/>
    <w:rsid w:val="682816DB"/>
    <w:rsid w:val="682D666D"/>
    <w:rsid w:val="682E182A"/>
    <w:rsid w:val="68307350"/>
    <w:rsid w:val="68324E76"/>
    <w:rsid w:val="683706DE"/>
    <w:rsid w:val="6837248C"/>
    <w:rsid w:val="683747EF"/>
    <w:rsid w:val="68386205"/>
    <w:rsid w:val="683A01CF"/>
    <w:rsid w:val="683C3F47"/>
    <w:rsid w:val="683C5CF5"/>
    <w:rsid w:val="683C7AA3"/>
    <w:rsid w:val="683D4A21"/>
    <w:rsid w:val="68431BC3"/>
    <w:rsid w:val="68444BA9"/>
    <w:rsid w:val="68460921"/>
    <w:rsid w:val="68493A2B"/>
    <w:rsid w:val="684B23DC"/>
    <w:rsid w:val="684E5A28"/>
    <w:rsid w:val="6852376A"/>
    <w:rsid w:val="68534DEC"/>
    <w:rsid w:val="68536C47"/>
    <w:rsid w:val="68555008"/>
    <w:rsid w:val="68582403"/>
    <w:rsid w:val="685E3EBD"/>
    <w:rsid w:val="68633281"/>
    <w:rsid w:val="6865349E"/>
    <w:rsid w:val="68661C5D"/>
    <w:rsid w:val="686F60CA"/>
    <w:rsid w:val="68701E42"/>
    <w:rsid w:val="68703BF0"/>
    <w:rsid w:val="687234C5"/>
    <w:rsid w:val="68727968"/>
    <w:rsid w:val="68752FB5"/>
    <w:rsid w:val="687731D1"/>
    <w:rsid w:val="687B6875"/>
    <w:rsid w:val="687E630D"/>
    <w:rsid w:val="68810835"/>
    <w:rsid w:val="68817BAC"/>
    <w:rsid w:val="68840CAB"/>
    <w:rsid w:val="68863414"/>
    <w:rsid w:val="68896A60"/>
    <w:rsid w:val="688D47A2"/>
    <w:rsid w:val="688E2E39"/>
    <w:rsid w:val="688E4077"/>
    <w:rsid w:val="68945B31"/>
    <w:rsid w:val="6896419C"/>
    <w:rsid w:val="68994EF5"/>
    <w:rsid w:val="689E69AF"/>
    <w:rsid w:val="68A33FC6"/>
    <w:rsid w:val="68A75121"/>
    <w:rsid w:val="68A815DC"/>
    <w:rsid w:val="68A85138"/>
    <w:rsid w:val="68AA5354"/>
    <w:rsid w:val="68AD6BF3"/>
    <w:rsid w:val="68B0223F"/>
    <w:rsid w:val="68B166E3"/>
    <w:rsid w:val="68B70904"/>
    <w:rsid w:val="68B7537B"/>
    <w:rsid w:val="68C301C4"/>
    <w:rsid w:val="68C31F72"/>
    <w:rsid w:val="68C36416"/>
    <w:rsid w:val="68C55CEA"/>
    <w:rsid w:val="68CD1043"/>
    <w:rsid w:val="68CD4B9F"/>
    <w:rsid w:val="68CD6E3C"/>
    <w:rsid w:val="68D423D1"/>
    <w:rsid w:val="68D4417F"/>
    <w:rsid w:val="68D93544"/>
    <w:rsid w:val="68DB72BC"/>
    <w:rsid w:val="68E24AEE"/>
    <w:rsid w:val="68E32614"/>
    <w:rsid w:val="68E35427"/>
    <w:rsid w:val="68E36170"/>
    <w:rsid w:val="68EA39A3"/>
    <w:rsid w:val="68EA5751"/>
    <w:rsid w:val="68ED6FEF"/>
    <w:rsid w:val="68EF4B15"/>
    <w:rsid w:val="68F14D31"/>
    <w:rsid w:val="68F20AA9"/>
    <w:rsid w:val="68F77E6E"/>
    <w:rsid w:val="68F93BE6"/>
    <w:rsid w:val="68FC7232"/>
    <w:rsid w:val="68FD36D6"/>
    <w:rsid w:val="68FE11FC"/>
    <w:rsid w:val="69012A9A"/>
    <w:rsid w:val="690305C1"/>
    <w:rsid w:val="691427CE"/>
    <w:rsid w:val="691B3B5C"/>
    <w:rsid w:val="691B590A"/>
    <w:rsid w:val="69252C2D"/>
    <w:rsid w:val="692549DB"/>
    <w:rsid w:val="69274E76"/>
    <w:rsid w:val="69286306"/>
    <w:rsid w:val="692F13B6"/>
    <w:rsid w:val="6931512E"/>
    <w:rsid w:val="69390486"/>
    <w:rsid w:val="693D7F76"/>
    <w:rsid w:val="69401815"/>
    <w:rsid w:val="694035C3"/>
    <w:rsid w:val="69430587"/>
    <w:rsid w:val="69431305"/>
    <w:rsid w:val="694766FF"/>
    <w:rsid w:val="6949691B"/>
    <w:rsid w:val="69545323"/>
    <w:rsid w:val="69594684"/>
    <w:rsid w:val="695A0B28"/>
    <w:rsid w:val="695E7EED"/>
    <w:rsid w:val="69601EB7"/>
    <w:rsid w:val="696372B1"/>
    <w:rsid w:val="6965127B"/>
    <w:rsid w:val="69676DA1"/>
    <w:rsid w:val="69733998"/>
    <w:rsid w:val="697414BE"/>
    <w:rsid w:val="69766FE4"/>
    <w:rsid w:val="69780FAF"/>
    <w:rsid w:val="697A2F79"/>
    <w:rsid w:val="697D0373"/>
    <w:rsid w:val="698060B5"/>
    <w:rsid w:val="698536CB"/>
    <w:rsid w:val="69855479"/>
    <w:rsid w:val="69886D18"/>
    <w:rsid w:val="698C2CAC"/>
    <w:rsid w:val="699456BD"/>
    <w:rsid w:val="69951B60"/>
    <w:rsid w:val="69967687"/>
    <w:rsid w:val="699B6A4B"/>
    <w:rsid w:val="69A022B3"/>
    <w:rsid w:val="69A81CBA"/>
    <w:rsid w:val="69AB5DA7"/>
    <w:rsid w:val="69AF0EE7"/>
    <w:rsid w:val="69B12712"/>
    <w:rsid w:val="69B33D95"/>
    <w:rsid w:val="69B55D5F"/>
    <w:rsid w:val="69BA15C7"/>
    <w:rsid w:val="69BB70ED"/>
    <w:rsid w:val="69BD2E65"/>
    <w:rsid w:val="69BF6BDD"/>
    <w:rsid w:val="69C266CE"/>
    <w:rsid w:val="69C5079F"/>
    <w:rsid w:val="69C51D1A"/>
    <w:rsid w:val="69C75A92"/>
    <w:rsid w:val="69C9180A"/>
    <w:rsid w:val="69CB37D4"/>
    <w:rsid w:val="69CC12FA"/>
    <w:rsid w:val="69CE5072"/>
    <w:rsid w:val="69D05266"/>
    <w:rsid w:val="69D106BF"/>
    <w:rsid w:val="69D63F27"/>
    <w:rsid w:val="69D81A4D"/>
    <w:rsid w:val="69DC654B"/>
    <w:rsid w:val="69DD7064"/>
    <w:rsid w:val="69E00902"/>
    <w:rsid w:val="69E421A0"/>
    <w:rsid w:val="69E76134"/>
    <w:rsid w:val="69E91EAC"/>
    <w:rsid w:val="69E95A08"/>
    <w:rsid w:val="69EB1780"/>
    <w:rsid w:val="69EB79D2"/>
    <w:rsid w:val="69EC54F9"/>
    <w:rsid w:val="69EC5ECF"/>
    <w:rsid w:val="69EC72A7"/>
    <w:rsid w:val="69F30635"/>
    <w:rsid w:val="69F44661"/>
    <w:rsid w:val="69FA19C4"/>
    <w:rsid w:val="69FB1963"/>
    <w:rsid w:val="69FD7706"/>
    <w:rsid w:val="6A06480C"/>
    <w:rsid w:val="6A083F67"/>
    <w:rsid w:val="6A0D5B9B"/>
    <w:rsid w:val="6A114F5F"/>
    <w:rsid w:val="6A130CD7"/>
    <w:rsid w:val="6A184540"/>
    <w:rsid w:val="6A1A0F4D"/>
    <w:rsid w:val="6A2B7DCF"/>
    <w:rsid w:val="6A2E5B11"/>
    <w:rsid w:val="6A303637"/>
    <w:rsid w:val="6A3273AF"/>
    <w:rsid w:val="6A3B3D8A"/>
    <w:rsid w:val="6A3F7D1E"/>
    <w:rsid w:val="6A425119"/>
    <w:rsid w:val="6A452A79"/>
    <w:rsid w:val="6A464C09"/>
    <w:rsid w:val="6A466ADA"/>
    <w:rsid w:val="6A4E683B"/>
    <w:rsid w:val="6A4E7F61"/>
    <w:rsid w:val="6A505A87"/>
    <w:rsid w:val="6A535578"/>
    <w:rsid w:val="6A5512F0"/>
    <w:rsid w:val="6A570BC4"/>
    <w:rsid w:val="6A5C267E"/>
    <w:rsid w:val="6A5D1F52"/>
    <w:rsid w:val="6A602708"/>
    <w:rsid w:val="6A6432E1"/>
    <w:rsid w:val="6A674B7F"/>
    <w:rsid w:val="6A694D9B"/>
    <w:rsid w:val="6A6E5F0E"/>
    <w:rsid w:val="6A701C86"/>
    <w:rsid w:val="6A771266"/>
    <w:rsid w:val="6A7820E3"/>
    <w:rsid w:val="6A793230"/>
    <w:rsid w:val="6A7A6FA8"/>
    <w:rsid w:val="6A7D43A3"/>
    <w:rsid w:val="6A7F011B"/>
    <w:rsid w:val="6A7F45BF"/>
    <w:rsid w:val="6A841BD5"/>
    <w:rsid w:val="6A857EC9"/>
    <w:rsid w:val="6A8D6CDC"/>
    <w:rsid w:val="6A90057A"/>
    <w:rsid w:val="6A9260A0"/>
    <w:rsid w:val="6A9E4A45"/>
    <w:rsid w:val="6AA302AD"/>
    <w:rsid w:val="6AA47B81"/>
    <w:rsid w:val="6AA656A7"/>
    <w:rsid w:val="6AA87672"/>
    <w:rsid w:val="6AAD4547"/>
    <w:rsid w:val="6AB04778"/>
    <w:rsid w:val="6AB06526"/>
    <w:rsid w:val="6AB53B3C"/>
    <w:rsid w:val="6AB802DA"/>
    <w:rsid w:val="6AB853DB"/>
    <w:rsid w:val="6ABC4ECB"/>
    <w:rsid w:val="6ABE6E95"/>
    <w:rsid w:val="6AC41FD2"/>
    <w:rsid w:val="6AC50223"/>
    <w:rsid w:val="6AC975E8"/>
    <w:rsid w:val="6ACA1EB0"/>
    <w:rsid w:val="6ACA7D81"/>
    <w:rsid w:val="6ACE0506"/>
    <w:rsid w:val="6ACE4BFE"/>
    <w:rsid w:val="6AD60163"/>
    <w:rsid w:val="6AD761A9"/>
    <w:rsid w:val="6ADA35A3"/>
    <w:rsid w:val="6AE0505D"/>
    <w:rsid w:val="6AE34B4E"/>
    <w:rsid w:val="6AE371E6"/>
    <w:rsid w:val="6AE663EC"/>
    <w:rsid w:val="6AEB57B0"/>
    <w:rsid w:val="6AEB755E"/>
    <w:rsid w:val="6AF2584B"/>
    <w:rsid w:val="6AF40B09"/>
    <w:rsid w:val="6AF428B7"/>
    <w:rsid w:val="6AF503DD"/>
    <w:rsid w:val="6AFA59F3"/>
    <w:rsid w:val="6AFE7291"/>
    <w:rsid w:val="6B016D82"/>
    <w:rsid w:val="6B097A71"/>
    <w:rsid w:val="6B0C5E52"/>
    <w:rsid w:val="6B0F149F"/>
    <w:rsid w:val="6B0F76F1"/>
    <w:rsid w:val="6B105217"/>
    <w:rsid w:val="6B120F8F"/>
    <w:rsid w:val="6B142F59"/>
    <w:rsid w:val="6B15282D"/>
    <w:rsid w:val="6B160A7F"/>
    <w:rsid w:val="6B166CD1"/>
    <w:rsid w:val="6B1E5B86"/>
    <w:rsid w:val="6B217424"/>
    <w:rsid w:val="6B252A70"/>
    <w:rsid w:val="6B256F14"/>
    <w:rsid w:val="6B2A0087"/>
    <w:rsid w:val="6B2A277C"/>
    <w:rsid w:val="6B2C2051"/>
    <w:rsid w:val="6B2F1B41"/>
    <w:rsid w:val="6B306B80"/>
    <w:rsid w:val="6B3233DF"/>
    <w:rsid w:val="6B39651C"/>
    <w:rsid w:val="6B3C7DBA"/>
    <w:rsid w:val="6B431148"/>
    <w:rsid w:val="6B4849B1"/>
    <w:rsid w:val="6B517D09"/>
    <w:rsid w:val="6B5477F9"/>
    <w:rsid w:val="6B563571"/>
    <w:rsid w:val="6B5670CE"/>
    <w:rsid w:val="6B60619E"/>
    <w:rsid w:val="6B607F4C"/>
    <w:rsid w:val="6B6C069F"/>
    <w:rsid w:val="6B6D2669"/>
    <w:rsid w:val="6B713F07"/>
    <w:rsid w:val="6B7632CC"/>
    <w:rsid w:val="6B767770"/>
    <w:rsid w:val="6B7C465A"/>
    <w:rsid w:val="6B7E4876"/>
    <w:rsid w:val="6B8005EE"/>
    <w:rsid w:val="6B80239C"/>
    <w:rsid w:val="6B8A3827"/>
    <w:rsid w:val="6B8C2AEF"/>
    <w:rsid w:val="6B9145AA"/>
    <w:rsid w:val="6B9415A6"/>
    <w:rsid w:val="6B981494"/>
    <w:rsid w:val="6B9B0F84"/>
    <w:rsid w:val="6B9D4CFC"/>
    <w:rsid w:val="6BA240C1"/>
    <w:rsid w:val="6BA306E0"/>
    <w:rsid w:val="6BAA7419"/>
    <w:rsid w:val="6BAC3191"/>
    <w:rsid w:val="6BAE0CB8"/>
    <w:rsid w:val="6BB12556"/>
    <w:rsid w:val="6BB32772"/>
    <w:rsid w:val="6BB67B6C"/>
    <w:rsid w:val="6BBA3B00"/>
    <w:rsid w:val="6BBF1117"/>
    <w:rsid w:val="6BBF3BA7"/>
    <w:rsid w:val="6BC4672D"/>
    <w:rsid w:val="6BC77FCB"/>
    <w:rsid w:val="6BCA3618"/>
    <w:rsid w:val="6BCB7ABB"/>
    <w:rsid w:val="6BCC758B"/>
    <w:rsid w:val="6BD12BF8"/>
    <w:rsid w:val="6BD2709B"/>
    <w:rsid w:val="6BD44496"/>
    <w:rsid w:val="6BD821D8"/>
    <w:rsid w:val="6BDB75D3"/>
    <w:rsid w:val="6BE741CA"/>
    <w:rsid w:val="6BEA5A68"/>
    <w:rsid w:val="6BEC17E0"/>
    <w:rsid w:val="6BEE00B5"/>
    <w:rsid w:val="6BF16DF6"/>
    <w:rsid w:val="6BF568E6"/>
    <w:rsid w:val="6BF608B1"/>
    <w:rsid w:val="6BF84629"/>
    <w:rsid w:val="6BF95CAB"/>
    <w:rsid w:val="6BFB1A23"/>
    <w:rsid w:val="6C0134DD"/>
    <w:rsid w:val="6C060AF4"/>
    <w:rsid w:val="6C07661A"/>
    <w:rsid w:val="6C0C59DE"/>
    <w:rsid w:val="6C0F54CE"/>
    <w:rsid w:val="6C134FBF"/>
    <w:rsid w:val="6C152AE5"/>
    <w:rsid w:val="6C156F89"/>
    <w:rsid w:val="6C164AAF"/>
    <w:rsid w:val="6C1B3E73"/>
    <w:rsid w:val="6C1F1BB5"/>
    <w:rsid w:val="6C1F3963"/>
    <w:rsid w:val="6C240F7A"/>
    <w:rsid w:val="6C2947E2"/>
    <w:rsid w:val="6C2B055A"/>
    <w:rsid w:val="6C2B67AC"/>
    <w:rsid w:val="6C3311BD"/>
    <w:rsid w:val="6C354F35"/>
    <w:rsid w:val="6C3B62C3"/>
    <w:rsid w:val="6C3D028D"/>
    <w:rsid w:val="6C423AF6"/>
    <w:rsid w:val="6C4537CF"/>
    <w:rsid w:val="6C4B29AA"/>
    <w:rsid w:val="6C501D6F"/>
    <w:rsid w:val="6C515AE7"/>
    <w:rsid w:val="6C517895"/>
    <w:rsid w:val="6C5630FD"/>
    <w:rsid w:val="6C580C23"/>
    <w:rsid w:val="6C5C0714"/>
    <w:rsid w:val="6C5C4BB7"/>
    <w:rsid w:val="6C61035C"/>
    <w:rsid w:val="6C615D2A"/>
    <w:rsid w:val="6C621AA2"/>
    <w:rsid w:val="6C635F46"/>
    <w:rsid w:val="6C643A6C"/>
    <w:rsid w:val="6C6B0957"/>
    <w:rsid w:val="6C700663"/>
    <w:rsid w:val="6C7C7008"/>
    <w:rsid w:val="6C7F4402"/>
    <w:rsid w:val="6C81017A"/>
    <w:rsid w:val="6C865790"/>
    <w:rsid w:val="6C8859AD"/>
    <w:rsid w:val="6C8E2897"/>
    <w:rsid w:val="6C904861"/>
    <w:rsid w:val="6C9C1458"/>
    <w:rsid w:val="6C9D0D2C"/>
    <w:rsid w:val="6CA16A6E"/>
    <w:rsid w:val="6CA65E33"/>
    <w:rsid w:val="6CA83959"/>
    <w:rsid w:val="6CA976D1"/>
    <w:rsid w:val="6CAB169B"/>
    <w:rsid w:val="6CAD5413"/>
    <w:rsid w:val="6CB322FE"/>
    <w:rsid w:val="6CB467A2"/>
    <w:rsid w:val="6CB5251A"/>
    <w:rsid w:val="6CB70040"/>
    <w:rsid w:val="6CBE13CE"/>
    <w:rsid w:val="6CC14A1B"/>
    <w:rsid w:val="6CC62031"/>
    <w:rsid w:val="6CC664D5"/>
    <w:rsid w:val="6CCE7137"/>
    <w:rsid w:val="6CD52274"/>
    <w:rsid w:val="6CD81D64"/>
    <w:rsid w:val="6CD97FB6"/>
    <w:rsid w:val="6CDA788A"/>
    <w:rsid w:val="6CDC1854"/>
    <w:rsid w:val="6CDC7AA6"/>
    <w:rsid w:val="6CDE737B"/>
    <w:rsid w:val="6CE4695B"/>
    <w:rsid w:val="6CE55FD3"/>
    <w:rsid w:val="6CED3A62"/>
    <w:rsid w:val="6CF22E26"/>
    <w:rsid w:val="6CF7043C"/>
    <w:rsid w:val="6CF85804"/>
    <w:rsid w:val="6CFA1CDB"/>
    <w:rsid w:val="6CFA617E"/>
    <w:rsid w:val="6CFC3CA5"/>
    <w:rsid w:val="6CFE17CB"/>
    <w:rsid w:val="6CFE7A1D"/>
    <w:rsid w:val="6D0112BB"/>
    <w:rsid w:val="6D0241A3"/>
    <w:rsid w:val="6D036DE1"/>
    <w:rsid w:val="6D042B59"/>
    <w:rsid w:val="6D062D75"/>
    <w:rsid w:val="6D0843F7"/>
    <w:rsid w:val="6D11069A"/>
    <w:rsid w:val="6D12171A"/>
    <w:rsid w:val="6D170ADE"/>
    <w:rsid w:val="6D196605"/>
    <w:rsid w:val="6D1B05CF"/>
    <w:rsid w:val="6D2055BE"/>
    <w:rsid w:val="6D286848"/>
    <w:rsid w:val="6D2F407A"/>
    <w:rsid w:val="6D325918"/>
    <w:rsid w:val="6D341690"/>
    <w:rsid w:val="6D34343E"/>
    <w:rsid w:val="6D3671B7"/>
    <w:rsid w:val="6D384CD5"/>
    <w:rsid w:val="6D3B2A1F"/>
    <w:rsid w:val="6D3C6797"/>
    <w:rsid w:val="6D3E250F"/>
    <w:rsid w:val="6D413DAD"/>
    <w:rsid w:val="6D461D6F"/>
    <w:rsid w:val="6D4713C4"/>
    <w:rsid w:val="6D4A4A10"/>
    <w:rsid w:val="6D4B2536"/>
    <w:rsid w:val="6D4C4C2C"/>
    <w:rsid w:val="6D513FF0"/>
    <w:rsid w:val="6D57537F"/>
    <w:rsid w:val="6D5B4E6F"/>
    <w:rsid w:val="6D5B6C1D"/>
    <w:rsid w:val="6D5D0BE7"/>
    <w:rsid w:val="6D604233"/>
    <w:rsid w:val="6D6261FE"/>
    <w:rsid w:val="6D65184A"/>
    <w:rsid w:val="6D657A9C"/>
    <w:rsid w:val="6D6A3304"/>
    <w:rsid w:val="6D6B7B64"/>
    <w:rsid w:val="6D6C0E2A"/>
    <w:rsid w:val="6D6D06FE"/>
    <w:rsid w:val="6D6E7C26"/>
    <w:rsid w:val="6D6F26C8"/>
    <w:rsid w:val="6D6F36BE"/>
    <w:rsid w:val="6D765805"/>
    <w:rsid w:val="6D793547"/>
    <w:rsid w:val="6D7B106D"/>
    <w:rsid w:val="6D7B72BF"/>
    <w:rsid w:val="6D7C6B93"/>
    <w:rsid w:val="6D7E290C"/>
    <w:rsid w:val="6D806684"/>
    <w:rsid w:val="6D8343C6"/>
    <w:rsid w:val="6D853C9A"/>
    <w:rsid w:val="6D88378A"/>
    <w:rsid w:val="6D8F2D6B"/>
    <w:rsid w:val="6D943EDD"/>
    <w:rsid w:val="6D997745"/>
    <w:rsid w:val="6D9E4D5C"/>
    <w:rsid w:val="6DA32372"/>
    <w:rsid w:val="6DA363CD"/>
    <w:rsid w:val="6DA53394"/>
    <w:rsid w:val="6DA5433C"/>
    <w:rsid w:val="6DA901B7"/>
    <w:rsid w:val="6DAA54AF"/>
    <w:rsid w:val="6DAD4F9F"/>
    <w:rsid w:val="6DAF6F69"/>
    <w:rsid w:val="6DB602F7"/>
    <w:rsid w:val="6DB91B96"/>
    <w:rsid w:val="6DBE346D"/>
    <w:rsid w:val="6DBE53FE"/>
    <w:rsid w:val="6DC26C9C"/>
    <w:rsid w:val="6DC36570"/>
    <w:rsid w:val="6DC522E8"/>
    <w:rsid w:val="6DC72505"/>
    <w:rsid w:val="6DC742B3"/>
    <w:rsid w:val="6DCF760B"/>
    <w:rsid w:val="6DD32C57"/>
    <w:rsid w:val="6DD54C21"/>
    <w:rsid w:val="6DD644F6"/>
    <w:rsid w:val="6DE07122"/>
    <w:rsid w:val="6DE1610C"/>
    <w:rsid w:val="6DE210EC"/>
    <w:rsid w:val="6DE24C48"/>
    <w:rsid w:val="6DE309C1"/>
    <w:rsid w:val="6DE54F69"/>
    <w:rsid w:val="6DE74955"/>
    <w:rsid w:val="6DEB69C9"/>
    <w:rsid w:val="6DEE5CE3"/>
    <w:rsid w:val="6DFF1C9E"/>
    <w:rsid w:val="6DFF3A4C"/>
    <w:rsid w:val="6E0077C5"/>
    <w:rsid w:val="6E027280"/>
    <w:rsid w:val="6E032E11"/>
    <w:rsid w:val="6E056B89"/>
    <w:rsid w:val="6E0948CB"/>
    <w:rsid w:val="6E0A23F1"/>
    <w:rsid w:val="6E0E5A3E"/>
    <w:rsid w:val="6E192634"/>
    <w:rsid w:val="6E1B015A"/>
    <w:rsid w:val="6E1F5E9D"/>
    <w:rsid w:val="6E2039C3"/>
    <w:rsid w:val="6E2214E9"/>
    <w:rsid w:val="6E22598D"/>
    <w:rsid w:val="6E25247E"/>
    <w:rsid w:val="6E272FA3"/>
    <w:rsid w:val="6E2A4841"/>
    <w:rsid w:val="6E2C05BA"/>
    <w:rsid w:val="6E2E7E8E"/>
    <w:rsid w:val="6E301E58"/>
    <w:rsid w:val="6E313E22"/>
    <w:rsid w:val="6E3360AE"/>
    <w:rsid w:val="6E337B9A"/>
    <w:rsid w:val="6E380D0C"/>
    <w:rsid w:val="6E386F5E"/>
    <w:rsid w:val="6E3B6A4F"/>
    <w:rsid w:val="6E47284E"/>
    <w:rsid w:val="6E4771A1"/>
    <w:rsid w:val="6E5024FA"/>
    <w:rsid w:val="6E531FEA"/>
    <w:rsid w:val="6E5378F4"/>
    <w:rsid w:val="6E557B10"/>
    <w:rsid w:val="6E573888"/>
    <w:rsid w:val="6E5970FC"/>
    <w:rsid w:val="6E5C674A"/>
    <w:rsid w:val="6E5E30D2"/>
    <w:rsid w:val="6E600263"/>
    <w:rsid w:val="6E647D53"/>
    <w:rsid w:val="6E677844"/>
    <w:rsid w:val="6E6C09B6"/>
    <w:rsid w:val="6E6C6C08"/>
    <w:rsid w:val="6E71421E"/>
    <w:rsid w:val="6E747AD4"/>
    <w:rsid w:val="6E751F61"/>
    <w:rsid w:val="6E761835"/>
    <w:rsid w:val="6E7F4B8D"/>
    <w:rsid w:val="6E82642B"/>
    <w:rsid w:val="6E8421A4"/>
    <w:rsid w:val="6E8E4DD0"/>
    <w:rsid w:val="6E900B48"/>
    <w:rsid w:val="6E9028F6"/>
    <w:rsid w:val="6E91041D"/>
    <w:rsid w:val="6E971ED7"/>
    <w:rsid w:val="6E9A19C7"/>
    <w:rsid w:val="6E9C573F"/>
    <w:rsid w:val="6E9F6FDD"/>
    <w:rsid w:val="6EA6211A"/>
    <w:rsid w:val="6EB011EB"/>
    <w:rsid w:val="6EB83BFB"/>
    <w:rsid w:val="6EBC7B8F"/>
    <w:rsid w:val="6EBD4BE6"/>
    <w:rsid w:val="6EBD7464"/>
    <w:rsid w:val="6EC16F54"/>
    <w:rsid w:val="6EC407F2"/>
    <w:rsid w:val="6EC9405A"/>
    <w:rsid w:val="6EC95E08"/>
    <w:rsid w:val="6ED00F45"/>
    <w:rsid w:val="6ED225E9"/>
    <w:rsid w:val="6ED22F0F"/>
    <w:rsid w:val="6ED53D6E"/>
    <w:rsid w:val="6ED76777"/>
    <w:rsid w:val="6EDA1DC4"/>
    <w:rsid w:val="6EE13152"/>
    <w:rsid w:val="6EE175F6"/>
    <w:rsid w:val="6EE40E94"/>
    <w:rsid w:val="6EE669BA"/>
    <w:rsid w:val="6EE86AD5"/>
    <w:rsid w:val="6EF07839"/>
    <w:rsid w:val="6EF204DA"/>
    <w:rsid w:val="6EF54E4F"/>
    <w:rsid w:val="6EF70BC7"/>
    <w:rsid w:val="6EF72976"/>
    <w:rsid w:val="6EFC4430"/>
    <w:rsid w:val="6F0230C8"/>
    <w:rsid w:val="6F045092"/>
    <w:rsid w:val="6F062BB9"/>
    <w:rsid w:val="6F082DD5"/>
    <w:rsid w:val="6F086931"/>
    <w:rsid w:val="6F0926A9"/>
    <w:rsid w:val="6F0B01CF"/>
    <w:rsid w:val="6F0F4163"/>
    <w:rsid w:val="6F12155D"/>
    <w:rsid w:val="6F1277AF"/>
    <w:rsid w:val="6F1C23DC"/>
    <w:rsid w:val="6F2179F2"/>
    <w:rsid w:val="6F235519"/>
    <w:rsid w:val="6F2614AD"/>
    <w:rsid w:val="6F265009"/>
    <w:rsid w:val="6F2968A7"/>
    <w:rsid w:val="6F345978"/>
    <w:rsid w:val="6F394D3C"/>
    <w:rsid w:val="6F3E2352"/>
    <w:rsid w:val="6F451933"/>
    <w:rsid w:val="6F4638FD"/>
    <w:rsid w:val="6F4656AB"/>
    <w:rsid w:val="6F481423"/>
    <w:rsid w:val="6F5002D8"/>
    <w:rsid w:val="6F524050"/>
    <w:rsid w:val="6F54601A"/>
    <w:rsid w:val="6F5558EE"/>
    <w:rsid w:val="6F573414"/>
    <w:rsid w:val="6F593630"/>
    <w:rsid w:val="6F6124E5"/>
    <w:rsid w:val="6F6137A6"/>
    <w:rsid w:val="6F623CC9"/>
    <w:rsid w:val="6F6873CF"/>
    <w:rsid w:val="6F6B1666"/>
    <w:rsid w:val="6F6D70DC"/>
    <w:rsid w:val="6F71329B"/>
    <w:rsid w:val="6F7246F2"/>
    <w:rsid w:val="6F7264A0"/>
    <w:rsid w:val="6F751AEC"/>
    <w:rsid w:val="6F7E4E45"/>
    <w:rsid w:val="6F7E6BF3"/>
    <w:rsid w:val="6F800BBD"/>
    <w:rsid w:val="6F827EAE"/>
    <w:rsid w:val="6F834209"/>
    <w:rsid w:val="6F8B1310"/>
    <w:rsid w:val="6F8D32DA"/>
    <w:rsid w:val="6FA128E1"/>
    <w:rsid w:val="6FA26D85"/>
    <w:rsid w:val="6FA32AFD"/>
    <w:rsid w:val="6FA7439C"/>
    <w:rsid w:val="6FA83C70"/>
    <w:rsid w:val="6FAA79E8"/>
    <w:rsid w:val="6FAD71DC"/>
    <w:rsid w:val="6FB10D76"/>
    <w:rsid w:val="6FB42615"/>
    <w:rsid w:val="6FB72105"/>
    <w:rsid w:val="6FB865A9"/>
    <w:rsid w:val="6FB940CF"/>
    <w:rsid w:val="6FB95E7D"/>
    <w:rsid w:val="6FBA17E0"/>
    <w:rsid w:val="6FBB1BF5"/>
    <w:rsid w:val="6FBB43B1"/>
    <w:rsid w:val="6FBC771B"/>
    <w:rsid w:val="6FC50CC6"/>
    <w:rsid w:val="6FCA008A"/>
    <w:rsid w:val="6FCC5336"/>
    <w:rsid w:val="6FCD1928"/>
    <w:rsid w:val="6FD11419"/>
    <w:rsid w:val="6FD44A65"/>
    <w:rsid w:val="6FDE7692"/>
    <w:rsid w:val="6FE253D4"/>
    <w:rsid w:val="6FEF5D43"/>
    <w:rsid w:val="6FF15BC1"/>
    <w:rsid w:val="6FF45107"/>
    <w:rsid w:val="6FF46EB5"/>
    <w:rsid w:val="6FF62C2D"/>
    <w:rsid w:val="6FF9271D"/>
    <w:rsid w:val="6FF944CB"/>
    <w:rsid w:val="6FFE1AE2"/>
    <w:rsid w:val="70003AAC"/>
    <w:rsid w:val="700417EE"/>
    <w:rsid w:val="700C2451"/>
    <w:rsid w:val="700F0193"/>
    <w:rsid w:val="70113A6A"/>
    <w:rsid w:val="70117A67"/>
    <w:rsid w:val="701337DF"/>
    <w:rsid w:val="70147557"/>
    <w:rsid w:val="701778DC"/>
    <w:rsid w:val="70187047"/>
    <w:rsid w:val="701D200D"/>
    <w:rsid w:val="701E2184"/>
    <w:rsid w:val="701E3F32"/>
    <w:rsid w:val="7020414E"/>
    <w:rsid w:val="70205EFC"/>
    <w:rsid w:val="70223A22"/>
    <w:rsid w:val="70253512"/>
    <w:rsid w:val="70271038"/>
    <w:rsid w:val="702754DC"/>
    <w:rsid w:val="702847D9"/>
    <w:rsid w:val="70293003"/>
    <w:rsid w:val="702C48A1"/>
    <w:rsid w:val="702F613F"/>
    <w:rsid w:val="703025E3"/>
    <w:rsid w:val="70310109"/>
    <w:rsid w:val="7032333C"/>
    <w:rsid w:val="70357BF9"/>
    <w:rsid w:val="703674CE"/>
    <w:rsid w:val="70390D6C"/>
    <w:rsid w:val="703D085C"/>
    <w:rsid w:val="703F45D4"/>
    <w:rsid w:val="7040034C"/>
    <w:rsid w:val="70447E3C"/>
    <w:rsid w:val="70455963"/>
    <w:rsid w:val="704970CD"/>
    <w:rsid w:val="704E4817"/>
    <w:rsid w:val="70512559"/>
    <w:rsid w:val="705160B5"/>
    <w:rsid w:val="70545BA6"/>
    <w:rsid w:val="705838E8"/>
    <w:rsid w:val="70587444"/>
    <w:rsid w:val="705B0CE2"/>
    <w:rsid w:val="705F07D2"/>
    <w:rsid w:val="7064228D"/>
    <w:rsid w:val="7064403B"/>
    <w:rsid w:val="706C2EEF"/>
    <w:rsid w:val="7075449A"/>
    <w:rsid w:val="70756248"/>
    <w:rsid w:val="70757FF6"/>
    <w:rsid w:val="707A385E"/>
    <w:rsid w:val="707A560C"/>
    <w:rsid w:val="707B75D6"/>
    <w:rsid w:val="707F2C23"/>
    <w:rsid w:val="707F70C6"/>
    <w:rsid w:val="70812E3F"/>
    <w:rsid w:val="70822713"/>
    <w:rsid w:val="70860455"/>
    <w:rsid w:val="70877D29"/>
    <w:rsid w:val="70891CF3"/>
    <w:rsid w:val="708B251E"/>
    <w:rsid w:val="708B7819"/>
    <w:rsid w:val="708C50EF"/>
    <w:rsid w:val="708E2E66"/>
    <w:rsid w:val="70910BA8"/>
    <w:rsid w:val="70912956"/>
    <w:rsid w:val="70932B72"/>
    <w:rsid w:val="70981F36"/>
    <w:rsid w:val="709B5583"/>
    <w:rsid w:val="70A26911"/>
    <w:rsid w:val="70A72179"/>
    <w:rsid w:val="70AB1C6A"/>
    <w:rsid w:val="70AC59E2"/>
    <w:rsid w:val="70AE3508"/>
    <w:rsid w:val="70B14DA6"/>
    <w:rsid w:val="70B328CC"/>
    <w:rsid w:val="70B8153B"/>
    <w:rsid w:val="70BA3C5B"/>
    <w:rsid w:val="70BB79D3"/>
    <w:rsid w:val="70BD199D"/>
    <w:rsid w:val="70BF74C3"/>
    <w:rsid w:val="70C64CF5"/>
    <w:rsid w:val="70C745CA"/>
    <w:rsid w:val="70CB40BA"/>
    <w:rsid w:val="70CB5E68"/>
    <w:rsid w:val="70CE5958"/>
    <w:rsid w:val="70D07922"/>
    <w:rsid w:val="70DA254F"/>
    <w:rsid w:val="70DA6015"/>
    <w:rsid w:val="70DA60AB"/>
    <w:rsid w:val="70DD1DC5"/>
    <w:rsid w:val="70DF5DB7"/>
    <w:rsid w:val="70ED2282"/>
    <w:rsid w:val="70EE1B56"/>
    <w:rsid w:val="70EE5FFA"/>
    <w:rsid w:val="70F25AEA"/>
    <w:rsid w:val="70F46350"/>
    <w:rsid w:val="70F84783"/>
    <w:rsid w:val="70FC4273"/>
    <w:rsid w:val="70FE283F"/>
    <w:rsid w:val="70FE623D"/>
    <w:rsid w:val="710475CC"/>
    <w:rsid w:val="71094BE2"/>
    <w:rsid w:val="710D2FC2"/>
    <w:rsid w:val="710F4C54"/>
    <w:rsid w:val="711315BD"/>
    <w:rsid w:val="711335D5"/>
    <w:rsid w:val="71175551"/>
    <w:rsid w:val="71197447"/>
    <w:rsid w:val="711D41EA"/>
    <w:rsid w:val="7121131A"/>
    <w:rsid w:val="71235CA4"/>
    <w:rsid w:val="71245578"/>
    <w:rsid w:val="712612F0"/>
    <w:rsid w:val="712B2DAA"/>
    <w:rsid w:val="712B6906"/>
    <w:rsid w:val="71306613"/>
    <w:rsid w:val="71332BBF"/>
    <w:rsid w:val="71357785"/>
    <w:rsid w:val="7137174F"/>
    <w:rsid w:val="713734FD"/>
    <w:rsid w:val="713779A1"/>
    <w:rsid w:val="713B1F68"/>
    <w:rsid w:val="71431EA2"/>
    <w:rsid w:val="714A1482"/>
    <w:rsid w:val="714D2D21"/>
    <w:rsid w:val="714D4ACF"/>
    <w:rsid w:val="71500A63"/>
    <w:rsid w:val="7150636D"/>
    <w:rsid w:val="71520337"/>
    <w:rsid w:val="71526589"/>
    <w:rsid w:val="71535E5D"/>
    <w:rsid w:val="715479F1"/>
    <w:rsid w:val="715776FB"/>
    <w:rsid w:val="715F4802"/>
    <w:rsid w:val="71630796"/>
    <w:rsid w:val="71681909"/>
    <w:rsid w:val="716D33C3"/>
    <w:rsid w:val="71704C61"/>
    <w:rsid w:val="71725481"/>
    <w:rsid w:val="71775FF0"/>
    <w:rsid w:val="71793EC4"/>
    <w:rsid w:val="717A55F1"/>
    <w:rsid w:val="717C1858"/>
    <w:rsid w:val="717C7162"/>
    <w:rsid w:val="717E737E"/>
    <w:rsid w:val="718129CA"/>
    <w:rsid w:val="718524BB"/>
    <w:rsid w:val="71866233"/>
    <w:rsid w:val="71883D59"/>
    <w:rsid w:val="718E3A3A"/>
    <w:rsid w:val="71924BD7"/>
    <w:rsid w:val="71946BA2"/>
    <w:rsid w:val="71950224"/>
    <w:rsid w:val="71970440"/>
    <w:rsid w:val="7197744D"/>
    <w:rsid w:val="719808DD"/>
    <w:rsid w:val="719F449E"/>
    <w:rsid w:val="71A05546"/>
    <w:rsid w:val="71A14E1B"/>
    <w:rsid w:val="71A32941"/>
    <w:rsid w:val="71A87F57"/>
    <w:rsid w:val="71AA3CCF"/>
    <w:rsid w:val="71AB5C99"/>
    <w:rsid w:val="71AD7C63"/>
    <w:rsid w:val="71AF12E6"/>
    <w:rsid w:val="71AF3F93"/>
    <w:rsid w:val="71B0505E"/>
    <w:rsid w:val="71B2527A"/>
    <w:rsid w:val="71BB5EDC"/>
    <w:rsid w:val="71BC3A02"/>
    <w:rsid w:val="71BE777B"/>
    <w:rsid w:val="71C07997"/>
    <w:rsid w:val="71C1726B"/>
    <w:rsid w:val="71C254BD"/>
    <w:rsid w:val="71C31235"/>
    <w:rsid w:val="71C4646A"/>
    <w:rsid w:val="71C64881"/>
    <w:rsid w:val="71CA25C3"/>
    <w:rsid w:val="71CA611F"/>
    <w:rsid w:val="71CD79BE"/>
    <w:rsid w:val="71CF1988"/>
    <w:rsid w:val="71D074AE"/>
    <w:rsid w:val="71D15700"/>
    <w:rsid w:val="71D21478"/>
    <w:rsid w:val="71DE1BCB"/>
    <w:rsid w:val="71DE7E1D"/>
    <w:rsid w:val="71E116BB"/>
    <w:rsid w:val="71E33685"/>
    <w:rsid w:val="71E96CF5"/>
    <w:rsid w:val="71ED0060"/>
    <w:rsid w:val="71F15DA2"/>
    <w:rsid w:val="71F238C8"/>
    <w:rsid w:val="71F87130"/>
    <w:rsid w:val="71F907B3"/>
    <w:rsid w:val="71FB09CF"/>
    <w:rsid w:val="71FD0009"/>
    <w:rsid w:val="720A0C12"/>
    <w:rsid w:val="720C2BDC"/>
    <w:rsid w:val="720C6738"/>
    <w:rsid w:val="721101F2"/>
    <w:rsid w:val="72111FA0"/>
    <w:rsid w:val="72113D4E"/>
    <w:rsid w:val="72190E55"/>
    <w:rsid w:val="721E46BD"/>
    <w:rsid w:val="72203F91"/>
    <w:rsid w:val="72227D09"/>
    <w:rsid w:val="72273572"/>
    <w:rsid w:val="72281098"/>
    <w:rsid w:val="722815B7"/>
    <w:rsid w:val="72361A07"/>
    <w:rsid w:val="72367C59"/>
    <w:rsid w:val="723839D1"/>
    <w:rsid w:val="72395053"/>
    <w:rsid w:val="723B0DCB"/>
    <w:rsid w:val="723D0FE7"/>
    <w:rsid w:val="723D2D95"/>
    <w:rsid w:val="723D4B43"/>
    <w:rsid w:val="723F4D5F"/>
    <w:rsid w:val="724063E2"/>
    <w:rsid w:val="72444124"/>
    <w:rsid w:val="72451C4A"/>
    <w:rsid w:val="724834E8"/>
    <w:rsid w:val="724D0AFE"/>
    <w:rsid w:val="724F2AC9"/>
    <w:rsid w:val="724F4877"/>
    <w:rsid w:val="7251239D"/>
    <w:rsid w:val="725400DF"/>
    <w:rsid w:val="725974A3"/>
    <w:rsid w:val="725B76BF"/>
    <w:rsid w:val="72600832"/>
    <w:rsid w:val="726E2F4F"/>
    <w:rsid w:val="726E73F3"/>
    <w:rsid w:val="727367B7"/>
    <w:rsid w:val="7275252F"/>
    <w:rsid w:val="727918F3"/>
    <w:rsid w:val="727A7B45"/>
    <w:rsid w:val="727B38BE"/>
    <w:rsid w:val="727B566C"/>
    <w:rsid w:val="72822E9E"/>
    <w:rsid w:val="72825E24"/>
    <w:rsid w:val="728269FA"/>
    <w:rsid w:val="728C1627"/>
    <w:rsid w:val="728C5ACB"/>
    <w:rsid w:val="728C7879"/>
    <w:rsid w:val="728E35F1"/>
    <w:rsid w:val="729130E1"/>
    <w:rsid w:val="72916C3D"/>
    <w:rsid w:val="72952BD1"/>
    <w:rsid w:val="7295497F"/>
    <w:rsid w:val="72966949"/>
    <w:rsid w:val="7298446F"/>
    <w:rsid w:val="729A01E8"/>
    <w:rsid w:val="729A3D44"/>
    <w:rsid w:val="72A050D2"/>
    <w:rsid w:val="72A20E4A"/>
    <w:rsid w:val="72A44BC2"/>
    <w:rsid w:val="72AB5F51"/>
    <w:rsid w:val="72B0266E"/>
    <w:rsid w:val="72B34E05"/>
    <w:rsid w:val="72B55021"/>
    <w:rsid w:val="72B666A4"/>
    <w:rsid w:val="72B74C27"/>
    <w:rsid w:val="72BB1F0C"/>
    <w:rsid w:val="72BE7843"/>
    <w:rsid w:val="72BF19FC"/>
    <w:rsid w:val="72BF37AA"/>
    <w:rsid w:val="72C07522"/>
    <w:rsid w:val="72C161C4"/>
    <w:rsid w:val="72C54B39"/>
    <w:rsid w:val="72C76B03"/>
    <w:rsid w:val="72CA214F"/>
    <w:rsid w:val="72CB3AD3"/>
    <w:rsid w:val="72D07765"/>
    <w:rsid w:val="72D354A8"/>
    <w:rsid w:val="72D37256"/>
    <w:rsid w:val="72D60AF4"/>
    <w:rsid w:val="72DA05E4"/>
    <w:rsid w:val="72DB610A"/>
    <w:rsid w:val="72DC25AE"/>
    <w:rsid w:val="72DD00D4"/>
    <w:rsid w:val="72DE17B4"/>
    <w:rsid w:val="72DF5BFA"/>
    <w:rsid w:val="72E41463"/>
    <w:rsid w:val="72E94CCB"/>
    <w:rsid w:val="72E96A79"/>
    <w:rsid w:val="72EB0A43"/>
    <w:rsid w:val="72F07E08"/>
    <w:rsid w:val="72FA7A9E"/>
    <w:rsid w:val="72FD0776"/>
    <w:rsid w:val="72FF629D"/>
    <w:rsid w:val="73013DC3"/>
    <w:rsid w:val="73041B05"/>
    <w:rsid w:val="73076EFF"/>
    <w:rsid w:val="730B2E93"/>
    <w:rsid w:val="730C2768"/>
    <w:rsid w:val="730F451A"/>
    <w:rsid w:val="73117D7E"/>
    <w:rsid w:val="731735E6"/>
    <w:rsid w:val="7318413C"/>
    <w:rsid w:val="731A44D2"/>
    <w:rsid w:val="732301DD"/>
    <w:rsid w:val="732A0D2F"/>
    <w:rsid w:val="732B0E40"/>
    <w:rsid w:val="733046A8"/>
    <w:rsid w:val="73326672"/>
    <w:rsid w:val="73373C88"/>
    <w:rsid w:val="733777E5"/>
    <w:rsid w:val="733817AF"/>
    <w:rsid w:val="733C304D"/>
    <w:rsid w:val="733F0D8F"/>
    <w:rsid w:val="733F6699"/>
    <w:rsid w:val="7344489A"/>
    <w:rsid w:val="7346211D"/>
    <w:rsid w:val="73463ECB"/>
    <w:rsid w:val="73465C7A"/>
    <w:rsid w:val="734E4B2E"/>
    <w:rsid w:val="734F0FD2"/>
    <w:rsid w:val="73530396"/>
    <w:rsid w:val="735465E8"/>
    <w:rsid w:val="73577E87"/>
    <w:rsid w:val="735A6AC0"/>
    <w:rsid w:val="735F0AE9"/>
    <w:rsid w:val="735F2A38"/>
    <w:rsid w:val="735F4F8D"/>
    <w:rsid w:val="73634A7D"/>
    <w:rsid w:val="736425A4"/>
    <w:rsid w:val="73644352"/>
    <w:rsid w:val="736600CA"/>
    <w:rsid w:val="73682094"/>
    <w:rsid w:val="736A2DEE"/>
    <w:rsid w:val="736B56E0"/>
    <w:rsid w:val="73740023"/>
    <w:rsid w:val="73746465"/>
    <w:rsid w:val="7375655F"/>
    <w:rsid w:val="73774085"/>
    <w:rsid w:val="73781BAB"/>
    <w:rsid w:val="737C5B3F"/>
    <w:rsid w:val="737D3B90"/>
    <w:rsid w:val="737E5413"/>
    <w:rsid w:val="73814F04"/>
    <w:rsid w:val="73816CB2"/>
    <w:rsid w:val="73830C7C"/>
    <w:rsid w:val="73852C46"/>
    <w:rsid w:val="738549F4"/>
    <w:rsid w:val="738B7B30"/>
    <w:rsid w:val="738C04BF"/>
    <w:rsid w:val="738E2DDF"/>
    <w:rsid w:val="7395275D"/>
    <w:rsid w:val="73974727"/>
    <w:rsid w:val="739764D5"/>
    <w:rsid w:val="739E28D4"/>
    <w:rsid w:val="73A17354"/>
    <w:rsid w:val="73A62BBC"/>
    <w:rsid w:val="73A6496A"/>
    <w:rsid w:val="73A82490"/>
    <w:rsid w:val="73AF1A71"/>
    <w:rsid w:val="73AF68AA"/>
    <w:rsid w:val="73B057E9"/>
    <w:rsid w:val="73B250BD"/>
    <w:rsid w:val="73B52DFF"/>
    <w:rsid w:val="73B726D3"/>
    <w:rsid w:val="73B9469D"/>
    <w:rsid w:val="73BC23E0"/>
    <w:rsid w:val="73BF4D75"/>
    <w:rsid w:val="73C179F6"/>
    <w:rsid w:val="73C82B32"/>
    <w:rsid w:val="73CA68AB"/>
    <w:rsid w:val="73CC2623"/>
    <w:rsid w:val="73CF5C6F"/>
    <w:rsid w:val="73D17C39"/>
    <w:rsid w:val="73D239B1"/>
    <w:rsid w:val="73D2575F"/>
    <w:rsid w:val="73D43285"/>
    <w:rsid w:val="73D74B24"/>
    <w:rsid w:val="73DC038C"/>
    <w:rsid w:val="73DE2356"/>
    <w:rsid w:val="73E01C2A"/>
    <w:rsid w:val="73E060CE"/>
    <w:rsid w:val="73E334C8"/>
    <w:rsid w:val="73E3796C"/>
    <w:rsid w:val="73E70E18"/>
    <w:rsid w:val="73EF00BF"/>
    <w:rsid w:val="73F531FC"/>
    <w:rsid w:val="73F6144E"/>
    <w:rsid w:val="73F751C6"/>
    <w:rsid w:val="73F90F3E"/>
    <w:rsid w:val="73FC0A2E"/>
    <w:rsid w:val="73FC458A"/>
    <w:rsid w:val="73FE47A6"/>
    <w:rsid w:val="73FE6554"/>
    <w:rsid w:val="740022CC"/>
    <w:rsid w:val="74026044"/>
    <w:rsid w:val="74052F11"/>
    <w:rsid w:val="740578E3"/>
    <w:rsid w:val="74081181"/>
    <w:rsid w:val="740873D3"/>
    <w:rsid w:val="740A314B"/>
    <w:rsid w:val="740C0C71"/>
    <w:rsid w:val="740F0761"/>
    <w:rsid w:val="74147B26"/>
    <w:rsid w:val="7416564C"/>
    <w:rsid w:val="742064CB"/>
    <w:rsid w:val="74251D33"/>
    <w:rsid w:val="74275AAB"/>
    <w:rsid w:val="74280E7C"/>
    <w:rsid w:val="74281823"/>
    <w:rsid w:val="742A559B"/>
    <w:rsid w:val="742C4E6F"/>
    <w:rsid w:val="74340B60"/>
    <w:rsid w:val="743B3304"/>
    <w:rsid w:val="74404DBF"/>
    <w:rsid w:val="74416441"/>
    <w:rsid w:val="7443665D"/>
    <w:rsid w:val="744D4DE6"/>
    <w:rsid w:val="74510D7A"/>
    <w:rsid w:val="745368A0"/>
    <w:rsid w:val="74561EEC"/>
    <w:rsid w:val="74582108"/>
    <w:rsid w:val="74597C2E"/>
    <w:rsid w:val="745E5245"/>
    <w:rsid w:val="74687E72"/>
    <w:rsid w:val="746A3BEA"/>
    <w:rsid w:val="746C5BB4"/>
    <w:rsid w:val="746F2FAE"/>
    <w:rsid w:val="746F7452"/>
    <w:rsid w:val="747131CA"/>
    <w:rsid w:val="74784559"/>
    <w:rsid w:val="74786307"/>
    <w:rsid w:val="747E1443"/>
    <w:rsid w:val="74800031"/>
    <w:rsid w:val="74820F33"/>
    <w:rsid w:val="748922C2"/>
    <w:rsid w:val="748C1DB2"/>
    <w:rsid w:val="748C590E"/>
    <w:rsid w:val="748E78D8"/>
    <w:rsid w:val="74940C67"/>
    <w:rsid w:val="749D3FBF"/>
    <w:rsid w:val="749F7D37"/>
    <w:rsid w:val="74A215D5"/>
    <w:rsid w:val="74A43991"/>
    <w:rsid w:val="74A4534E"/>
    <w:rsid w:val="74AB66DC"/>
    <w:rsid w:val="74AF784E"/>
    <w:rsid w:val="74B35591"/>
    <w:rsid w:val="74B66E2F"/>
    <w:rsid w:val="74BB2697"/>
    <w:rsid w:val="74BF5CE3"/>
    <w:rsid w:val="74C27582"/>
    <w:rsid w:val="74CC0400"/>
    <w:rsid w:val="74CC21AE"/>
    <w:rsid w:val="74CC4F3B"/>
    <w:rsid w:val="74CC6652"/>
    <w:rsid w:val="74CF1C9F"/>
    <w:rsid w:val="74D15A17"/>
    <w:rsid w:val="74D379E1"/>
    <w:rsid w:val="74D37A89"/>
    <w:rsid w:val="74D405A2"/>
    <w:rsid w:val="74D6127F"/>
    <w:rsid w:val="74D774D1"/>
    <w:rsid w:val="74D86DA5"/>
    <w:rsid w:val="74DA51A1"/>
    <w:rsid w:val="74DF0134"/>
    <w:rsid w:val="74E120FE"/>
    <w:rsid w:val="74E219D2"/>
    <w:rsid w:val="74E97204"/>
    <w:rsid w:val="74EE481B"/>
    <w:rsid w:val="74F040EF"/>
    <w:rsid w:val="74F252A0"/>
    <w:rsid w:val="74FA4F6E"/>
    <w:rsid w:val="74FC053B"/>
    <w:rsid w:val="7501454E"/>
    <w:rsid w:val="75061B64"/>
    <w:rsid w:val="7507768A"/>
    <w:rsid w:val="75120509"/>
    <w:rsid w:val="75175B20"/>
    <w:rsid w:val="75183646"/>
    <w:rsid w:val="751B4EE4"/>
    <w:rsid w:val="751C3136"/>
    <w:rsid w:val="751D2A0A"/>
    <w:rsid w:val="751F2C26"/>
    <w:rsid w:val="7521699E"/>
    <w:rsid w:val="75270C4F"/>
    <w:rsid w:val="752913AF"/>
    <w:rsid w:val="752C0E9F"/>
    <w:rsid w:val="752D5343"/>
    <w:rsid w:val="7530273D"/>
    <w:rsid w:val="75322959"/>
    <w:rsid w:val="7535244A"/>
    <w:rsid w:val="75357D54"/>
    <w:rsid w:val="75375B5B"/>
    <w:rsid w:val="753A180E"/>
    <w:rsid w:val="753D4E5A"/>
    <w:rsid w:val="753E02ED"/>
    <w:rsid w:val="7541494A"/>
    <w:rsid w:val="754206C3"/>
    <w:rsid w:val="7544268D"/>
    <w:rsid w:val="75474C3B"/>
    <w:rsid w:val="754B57C9"/>
    <w:rsid w:val="754D7793"/>
    <w:rsid w:val="75556648"/>
    <w:rsid w:val="755E374E"/>
    <w:rsid w:val="75610B49"/>
    <w:rsid w:val="75660855"/>
    <w:rsid w:val="756643B1"/>
    <w:rsid w:val="75671ED7"/>
    <w:rsid w:val="75706FDE"/>
    <w:rsid w:val="75722D56"/>
    <w:rsid w:val="75736ACE"/>
    <w:rsid w:val="75747CB4"/>
    <w:rsid w:val="75750A98"/>
    <w:rsid w:val="75752846"/>
    <w:rsid w:val="75774810"/>
    <w:rsid w:val="75790588"/>
    <w:rsid w:val="757A60AE"/>
    <w:rsid w:val="757D16FB"/>
    <w:rsid w:val="757E794D"/>
    <w:rsid w:val="757F5473"/>
    <w:rsid w:val="758229C0"/>
    <w:rsid w:val="75840CDB"/>
    <w:rsid w:val="75842A89"/>
    <w:rsid w:val="75894543"/>
    <w:rsid w:val="758B3E18"/>
    <w:rsid w:val="75907680"/>
    <w:rsid w:val="759233F8"/>
    <w:rsid w:val="75930F1E"/>
    <w:rsid w:val="75994786"/>
    <w:rsid w:val="759C6025"/>
    <w:rsid w:val="759F78C3"/>
    <w:rsid w:val="75A1188D"/>
    <w:rsid w:val="75A153E9"/>
    <w:rsid w:val="75A86778"/>
    <w:rsid w:val="75AF3FAA"/>
    <w:rsid w:val="75AF5D58"/>
    <w:rsid w:val="75B01AD0"/>
    <w:rsid w:val="75B275F6"/>
    <w:rsid w:val="75B415C0"/>
    <w:rsid w:val="75B570E6"/>
    <w:rsid w:val="75B90231"/>
    <w:rsid w:val="75B90985"/>
    <w:rsid w:val="75BF7F65"/>
    <w:rsid w:val="75C31803"/>
    <w:rsid w:val="75C37A55"/>
    <w:rsid w:val="75C537CD"/>
    <w:rsid w:val="75C62ACF"/>
    <w:rsid w:val="75C8506C"/>
    <w:rsid w:val="75CB4B5C"/>
    <w:rsid w:val="75CB690A"/>
    <w:rsid w:val="75CD4430"/>
    <w:rsid w:val="75D25EEA"/>
    <w:rsid w:val="75D67789"/>
    <w:rsid w:val="75D73501"/>
    <w:rsid w:val="75D7705D"/>
    <w:rsid w:val="75D92DD5"/>
    <w:rsid w:val="75DB4D9F"/>
    <w:rsid w:val="75DD762C"/>
    <w:rsid w:val="75E31EA6"/>
    <w:rsid w:val="75E35A02"/>
    <w:rsid w:val="75E4177A"/>
    <w:rsid w:val="75E43528"/>
    <w:rsid w:val="75E579CC"/>
    <w:rsid w:val="75E63744"/>
    <w:rsid w:val="75ED4550"/>
    <w:rsid w:val="75F23E97"/>
    <w:rsid w:val="75F55735"/>
    <w:rsid w:val="75F714AD"/>
    <w:rsid w:val="75FB71EF"/>
    <w:rsid w:val="75FC1474"/>
    <w:rsid w:val="75FE45EA"/>
    <w:rsid w:val="76004806"/>
    <w:rsid w:val="760065B4"/>
    <w:rsid w:val="7601232C"/>
    <w:rsid w:val="760B6D06"/>
    <w:rsid w:val="760D2A7F"/>
    <w:rsid w:val="760F4A49"/>
    <w:rsid w:val="7610431D"/>
    <w:rsid w:val="76120095"/>
    <w:rsid w:val="76124539"/>
    <w:rsid w:val="761402B1"/>
    <w:rsid w:val="76157B85"/>
    <w:rsid w:val="761B33ED"/>
    <w:rsid w:val="762027B2"/>
    <w:rsid w:val="76206C56"/>
    <w:rsid w:val="7621652A"/>
    <w:rsid w:val="7625601A"/>
    <w:rsid w:val="76266A84"/>
    <w:rsid w:val="762878B8"/>
    <w:rsid w:val="762A7AD4"/>
    <w:rsid w:val="762B73A9"/>
    <w:rsid w:val="762C55FB"/>
    <w:rsid w:val="762D3121"/>
    <w:rsid w:val="762F6E99"/>
    <w:rsid w:val="7630676D"/>
    <w:rsid w:val="76312C11"/>
    <w:rsid w:val="76361FD5"/>
    <w:rsid w:val="76377AFB"/>
    <w:rsid w:val="76391AC6"/>
    <w:rsid w:val="763B583E"/>
    <w:rsid w:val="763C3364"/>
    <w:rsid w:val="763E532E"/>
    <w:rsid w:val="764364A0"/>
    <w:rsid w:val="764861AD"/>
    <w:rsid w:val="76522B87"/>
    <w:rsid w:val="76530DD9"/>
    <w:rsid w:val="76562678"/>
    <w:rsid w:val="765E32DA"/>
    <w:rsid w:val="766052A4"/>
    <w:rsid w:val="76607052"/>
    <w:rsid w:val="76612DCA"/>
    <w:rsid w:val="7662101C"/>
    <w:rsid w:val="76650B0D"/>
    <w:rsid w:val="76673004"/>
    <w:rsid w:val="766A1C7F"/>
    <w:rsid w:val="766A6123"/>
    <w:rsid w:val="766C59F7"/>
    <w:rsid w:val="766E5C13"/>
    <w:rsid w:val="767174B1"/>
    <w:rsid w:val="76724FD8"/>
    <w:rsid w:val="76766876"/>
    <w:rsid w:val="76780840"/>
    <w:rsid w:val="76790114"/>
    <w:rsid w:val="767B3E8C"/>
    <w:rsid w:val="767C19B2"/>
    <w:rsid w:val="767E572A"/>
    <w:rsid w:val="76852F5D"/>
    <w:rsid w:val="769136B0"/>
    <w:rsid w:val="7691545E"/>
    <w:rsid w:val="769413F2"/>
    <w:rsid w:val="76965B16"/>
    <w:rsid w:val="76976704"/>
    <w:rsid w:val="76984A3E"/>
    <w:rsid w:val="769D02A6"/>
    <w:rsid w:val="769E7B7B"/>
    <w:rsid w:val="76A038F3"/>
    <w:rsid w:val="76A258BD"/>
    <w:rsid w:val="76A71125"/>
    <w:rsid w:val="76A96C4B"/>
    <w:rsid w:val="76AA5C98"/>
    <w:rsid w:val="76AE6010"/>
    <w:rsid w:val="76AF3B36"/>
    <w:rsid w:val="76B178AE"/>
    <w:rsid w:val="76B31878"/>
    <w:rsid w:val="76B4739E"/>
    <w:rsid w:val="76B8141B"/>
    <w:rsid w:val="76BB7D9C"/>
    <w:rsid w:val="76C03F95"/>
    <w:rsid w:val="76C70E7F"/>
    <w:rsid w:val="76C9109B"/>
    <w:rsid w:val="76C92E49"/>
    <w:rsid w:val="76D11CFE"/>
    <w:rsid w:val="76D17F50"/>
    <w:rsid w:val="76D57A40"/>
    <w:rsid w:val="76D87530"/>
    <w:rsid w:val="76D96E05"/>
    <w:rsid w:val="76DB2B7D"/>
    <w:rsid w:val="76DD68F5"/>
    <w:rsid w:val="76E00193"/>
    <w:rsid w:val="76E47C83"/>
    <w:rsid w:val="76E557A9"/>
    <w:rsid w:val="76E637DA"/>
    <w:rsid w:val="76E9529A"/>
    <w:rsid w:val="76EB7264"/>
    <w:rsid w:val="76EC2FDC"/>
    <w:rsid w:val="76F123A0"/>
    <w:rsid w:val="76F1414E"/>
    <w:rsid w:val="76F679B7"/>
    <w:rsid w:val="76FB6D7B"/>
    <w:rsid w:val="76FD0D45"/>
    <w:rsid w:val="76FF6781"/>
    <w:rsid w:val="770025E3"/>
    <w:rsid w:val="770562E1"/>
    <w:rsid w:val="77072CA8"/>
    <w:rsid w:val="770E4D00"/>
    <w:rsid w:val="770F2826"/>
    <w:rsid w:val="77132317"/>
    <w:rsid w:val="771F2A69"/>
    <w:rsid w:val="772067E2"/>
    <w:rsid w:val="7722255A"/>
    <w:rsid w:val="772462D2"/>
    <w:rsid w:val="772938E8"/>
    <w:rsid w:val="772A02AD"/>
    <w:rsid w:val="772C5186"/>
    <w:rsid w:val="77316C41"/>
    <w:rsid w:val="773724A9"/>
    <w:rsid w:val="77381D7D"/>
    <w:rsid w:val="77387FCF"/>
    <w:rsid w:val="773C7ABF"/>
    <w:rsid w:val="773D2725"/>
    <w:rsid w:val="773F1043"/>
    <w:rsid w:val="773F4EBA"/>
    <w:rsid w:val="77430E54"/>
    <w:rsid w:val="77456248"/>
    <w:rsid w:val="77471FC0"/>
    <w:rsid w:val="774E334F"/>
    <w:rsid w:val="774F10F9"/>
    <w:rsid w:val="77536BB7"/>
    <w:rsid w:val="77560455"/>
    <w:rsid w:val="77562203"/>
    <w:rsid w:val="775A1CF3"/>
    <w:rsid w:val="775F730A"/>
    <w:rsid w:val="77633861"/>
    <w:rsid w:val="77642B72"/>
    <w:rsid w:val="77692B6F"/>
    <w:rsid w:val="776E1C43"/>
    <w:rsid w:val="7771703D"/>
    <w:rsid w:val="77764653"/>
    <w:rsid w:val="777728A5"/>
    <w:rsid w:val="777D3BB6"/>
    <w:rsid w:val="77844FC2"/>
    <w:rsid w:val="77876861"/>
    <w:rsid w:val="778B00FF"/>
    <w:rsid w:val="778B45A3"/>
    <w:rsid w:val="77903967"/>
    <w:rsid w:val="77905715"/>
    <w:rsid w:val="7790745B"/>
    <w:rsid w:val="77925931"/>
    <w:rsid w:val="77933457"/>
    <w:rsid w:val="77972F48"/>
    <w:rsid w:val="77976AA4"/>
    <w:rsid w:val="7798281C"/>
    <w:rsid w:val="779A6594"/>
    <w:rsid w:val="779D6084"/>
    <w:rsid w:val="779D7E32"/>
    <w:rsid w:val="779F1DFC"/>
    <w:rsid w:val="77A16C9F"/>
    <w:rsid w:val="77A613DD"/>
    <w:rsid w:val="77A6318B"/>
    <w:rsid w:val="77AB254F"/>
    <w:rsid w:val="77AF64E3"/>
    <w:rsid w:val="77B05DB7"/>
    <w:rsid w:val="77B16794"/>
    <w:rsid w:val="77B43AFA"/>
    <w:rsid w:val="77B50825"/>
    <w:rsid w:val="77B70EF4"/>
    <w:rsid w:val="77B77146"/>
    <w:rsid w:val="77BA4E88"/>
    <w:rsid w:val="77BF424C"/>
    <w:rsid w:val="77C20E07"/>
    <w:rsid w:val="77C41863"/>
    <w:rsid w:val="77C81353"/>
    <w:rsid w:val="77C907E4"/>
    <w:rsid w:val="77CE623E"/>
    <w:rsid w:val="77D31AA6"/>
    <w:rsid w:val="77D548DA"/>
    <w:rsid w:val="77D777E8"/>
    <w:rsid w:val="77D84690"/>
    <w:rsid w:val="77DA2E34"/>
    <w:rsid w:val="77DA4BE2"/>
    <w:rsid w:val="77DE2925"/>
    <w:rsid w:val="77E51F05"/>
    <w:rsid w:val="77E67A2B"/>
    <w:rsid w:val="77E85551"/>
    <w:rsid w:val="77E872FF"/>
    <w:rsid w:val="77EB3293"/>
    <w:rsid w:val="77EB6DF0"/>
    <w:rsid w:val="77F35CA4"/>
    <w:rsid w:val="77F42148"/>
    <w:rsid w:val="77F6672B"/>
    <w:rsid w:val="77FB3881"/>
    <w:rsid w:val="77FC0FFD"/>
    <w:rsid w:val="77FC2DAB"/>
    <w:rsid w:val="77FF0F2F"/>
    <w:rsid w:val="78000AED"/>
    <w:rsid w:val="78016613"/>
    <w:rsid w:val="78024BAC"/>
    <w:rsid w:val="780879A1"/>
    <w:rsid w:val="780B56E4"/>
    <w:rsid w:val="780F0D30"/>
    <w:rsid w:val="781A76D5"/>
    <w:rsid w:val="781C51FB"/>
    <w:rsid w:val="781F4CEB"/>
    <w:rsid w:val="782347DB"/>
    <w:rsid w:val="7826607A"/>
    <w:rsid w:val="78281DF2"/>
    <w:rsid w:val="782A3DBC"/>
    <w:rsid w:val="782C7B34"/>
    <w:rsid w:val="78320EC2"/>
    <w:rsid w:val="7836450F"/>
    <w:rsid w:val="783701C5"/>
    <w:rsid w:val="78397B5B"/>
    <w:rsid w:val="783A38D3"/>
    <w:rsid w:val="783B7D77"/>
    <w:rsid w:val="78412EB3"/>
    <w:rsid w:val="784309DA"/>
    <w:rsid w:val="784A1D68"/>
    <w:rsid w:val="7851759A"/>
    <w:rsid w:val="78570929"/>
    <w:rsid w:val="785B5D23"/>
    <w:rsid w:val="786077DD"/>
    <w:rsid w:val="78645651"/>
    <w:rsid w:val="78654DF4"/>
    <w:rsid w:val="7866291A"/>
    <w:rsid w:val="786A240A"/>
    <w:rsid w:val="786A41B8"/>
    <w:rsid w:val="786C7F30"/>
    <w:rsid w:val="786E279C"/>
    <w:rsid w:val="787119EB"/>
    <w:rsid w:val="787212BF"/>
    <w:rsid w:val="7872306D"/>
    <w:rsid w:val="78762B5D"/>
    <w:rsid w:val="787B4BBF"/>
    <w:rsid w:val="787D038F"/>
    <w:rsid w:val="787E7C64"/>
    <w:rsid w:val="78811502"/>
    <w:rsid w:val="78882890"/>
    <w:rsid w:val="78911745"/>
    <w:rsid w:val="789456D9"/>
    <w:rsid w:val="78986F77"/>
    <w:rsid w:val="78A43B6E"/>
    <w:rsid w:val="78A53442"/>
    <w:rsid w:val="78AF2513"/>
    <w:rsid w:val="78B13B95"/>
    <w:rsid w:val="78B35B5F"/>
    <w:rsid w:val="78B638A1"/>
    <w:rsid w:val="78BB4A14"/>
    <w:rsid w:val="78BC253A"/>
    <w:rsid w:val="78C532E5"/>
    <w:rsid w:val="78C733B9"/>
    <w:rsid w:val="78CF4963"/>
    <w:rsid w:val="78D21D5D"/>
    <w:rsid w:val="78D43D28"/>
    <w:rsid w:val="78D6184E"/>
    <w:rsid w:val="78D635FC"/>
    <w:rsid w:val="78DB50B6"/>
    <w:rsid w:val="78E0091E"/>
    <w:rsid w:val="78E07EED"/>
    <w:rsid w:val="78E73A5B"/>
    <w:rsid w:val="78E97B0F"/>
    <w:rsid w:val="78EA354B"/>
    <w:rsid w:val="78EE303B"/>
    <w:rsid w:val="78EF183C"/>
    <w:rsid w:val="78F148D9"/>
    <w:rsid w:val="78F16688"/>
    <w:rsid w:val="78F32400"/>
    <w:rsid w:val="78F341AE"/>
    <w:rsid w:val="78F63C9E"/>
    <w:rsid w:val="78F9378E"/>
    <w:rsid w:val="78FD6DDA"/>
    <w:rsid w:val="79003577"/>
    <w:rsid w:val="790A7749"/>
    <w:rsid w:val="790E0FE8"/>
    <w:rsid w:val="790F4D60"/>
    <w:rsid w:val="790F6B0E"/>
    <w:rsid w:val="79110AD8"/>
    <w:rsid w:val="79132AA2"/>
    <w:rsid w:val="79144124"/>
    <w:rsid w:val="79155041"/>
    <w:rsid w:val="79163C15"/>
    <w:rsid w:val="7918575E"/>
    <w:rsid w:val="791B54B2"/>
    <w:rsid w:val="791D747D"/>
    <w:rsid w:val="791E4FA3"/>
    <w:rsid w:val="791F1447"/>
    <w:rsid w:val="791F31F5"/>
    <w:rsid w:val="792151BF"/>
    <w:rsid w:val="79254583"/>
    <w:rsid w:val="79256331"/>
    <w:rsid w:val="792627D5"/>
    <w:rsid w:val="79295E21"/>
    <w:rsid w:val="792A3948"/>
    <w:rsid w:val="792F0F5E"/>
    <w:rsid w:val="79305402"/>
    <w:rsid w:val="793622EC"/>
    <w:rsid w:val="793B3DA7"/>
    <w:rsid w:val="793F5645"/>
    <w:rsid w:val="793F73F3"/>
    <w:rsid w:val="79425135"/>
    <w:rsid w:val="79444A09"/>
    <w:rsid w:val="794964C4"/>
    <w:rsid w:val="794A5D98"/>
    <w:rsid w:val="794B033C"/>
    <w:rsid w:val="794B3FEA"/>
    <w:rsid w:val="79507852"/>
    <w:rsid w:val="795409C4"/>
    <w:rsid w:val="795A422D"/>
    <w:rsid w:val="795A5FDB"/>
    <w:rsid w:val="795C61F7"/>
    <w:rsid w:val="795D5ACB"/>
    <w:rsid w:val="796230E1"/>
    <w:rsid w:val="796432FD"/>
    <w:rsid w:val="796926C2"/>
    <w:rsid w:val="796B468C"/>
    <w:rsid w:val="796D2574"/>
    <w:rsid w:val="796E5F2A"/>
    <w:rsid w:val="79701CA2"/>
    <w:rsid w:val="797057FE"/>
    <w:rsid w:val="79751067"/>
    <w:rsid w:val="797572B9"/>
    <w:rsid w:val="79766B8D"/>
    <w:rsid w:val="79773031"/>
    <w:rsid w:val="79786DA9"/>
    <w:rsid w:val="79797210"/>
    <w:rsid w:val="797A48CF"/>
    <w:rsid w:val="797A667D"/>
    <w:rsid w:val="797F0137"/>
    <w:rsid w:val="798968C0"/>
    <w:rsid w:val="798E037A"/>
    <w:rsid w:val="79927E6B"/>
    <w:rsid w:val="7993773F"/>
    <w:rsid w:val="799A287B"/>
    <w:rsid w:val="799A6D1F"/>
    <w:rsid w:val="799B65F3"/>
    <w:rsid w:val="799C210B"/>
    <w:rsid w:val="799C4845"/>
    <w:rsid w:val="799D236B"/>
    <w:rsid w:val="79A73866"/>
    <w:rsid w:val="79A74F98"/>
    <w:rsid w:val="79AB6836"/>
    <w:rsid w:val="79AD6A52"/>
    <w:rsid w:val="79B0209F"/>
    <w:rsid w:val="79B55907"/>
    <w:rsid w:val="79B7167F"/>
    <w:rsid w:val="79B778D1"/>
    <w:rsid w:val="79B80F53"/>
    <w:rsid w:val="79BC4EE7"/>
    <w:rsid w:val="79BD656A"/>
    <w:rsid w:val="79C046BE"/>
    <w:rsid w:val="79C478F8"/>
    <w:rsid w:val="79C8563A"/>
    <w:rsid w:val="79C93160"/>
    <w:rsid w:val="79CB6ED9"/>
    <w:rsid w:val="79CE0777"/>
    <w:rsid w:val="79D16AD3"/>
    <w:rsid w:val="79D42231"/>
    <w:rsid w:val="79D51B05"/>
    <w:rsid w:val="79D7587D"/>
    <w:rsid w:val="79DA711C"/>
    <w:rsid w:val="79DC7338"/>
    <w:rsid w:val="79DF2984"/>
    <w:rsid w:val="79E104AA"/>
    <w:rsid w:val="79E24222"/>
    <w:rsid w:val="79E53808"/>
    <w:rsid w:val="79E61F64"/>
    <w:rsid w:val="79F75F20"/>
    <w:rsid w:val="79F857F4"/>
    <w:rsid w:val="79FA156C"/>
    <w:rsid w:val="7A010B4C"/>
    <w:rsid w:val="7A0423EA"/>
    <w:rsid w:val="7A066163"/>
    <w:rsid w:val="7A075370"/>
    <w:rsid w:val="7A0F14BB"/>
    <w:rsid w:val="7A1268B5"/>
    <w:rsid w:val="7A146AD1"/>
    <w:rsid w:val="7A252A8D"/>
    <w:rsid w:val="7A2A00A3"/>
    <w:rsid w:val="7A320D06"/>
    <w:rsid w:val="7A356A48"/>
    <w:rsid w:val="7A3905A1"/>
    <w:rsid w:val="7A3A405E"/>
    <w:rsid w:val="7A3B22B0"/>
    <w:rsid w:val="7A4153ED"/>
    <w:rsid w:val="7A454EDD"/>
    <w:rsid w:val="7A493DF0"/>
    <w:rsid w:val="7A4A24F3"/>
    <w:rsid w:val="7A4D1FE3"/>
    <w:rsid w:val="7A505630"/>
    <w:rsid w:val="7A523156"/>
    <w:rsid w:val="7A574C10"/>
    <w:rsid w:val="7A5A200A"/>
    <w:rsid w:val="7A5B64AE"/>
    <w:rsid w:val="7A637111"/>
    <w:rsid w:val="7A6433EA"/>
    <w:rsid w:val="7A664E53"/>
    <w:rsid w:val="7A6A4943"/>
    <w:rsid w:val="7A6A66F1"/>
    <w:rsid w:val="7A6C06BC"/>
    <w:rsid w:val="7A74131E"/>
    <w:rsid w:val="7A756E44"/>
    <w:rsid w:val="7A7632E8"/>
    <w:rsid w:val="7A772BBC"/>
    <w:rsid w:val="7A792DD8"/>
    <w:rsid w:val="7A794B87"/>
    <w:rsid w:val="7A7A0605"/>
    <w:rsid w:val="7A7C4677"/>
    <w:rsid w:val="7A7E738E"/>
    <w:rsid w:val="7A7F18A6"/>
    <w:rsid w:val="7A7F1A71"/>
    <w:rsid w:val="7A8157E9"/>
    <w:rsid w:val="7A831561"/>
    <w:rsid w:val="7A870038"/>
    <w:rsid w:val="7A8A28F0"/>
    <w:rsid w:val="7A8D418E"/>
    <w:rsid w:val="7A911ED0"/>
    <w:rsid w:val="7A923E9A"/>
    <w:rsid w:val="7A925C48"/>
    <w:rsid w:val="7A94376E"/>
    <w:rsid w:val="7A977138"/>
    <w:rsid w:val="7A995229"/>
    <w:rsid w:val="7A9A64AE"/>
    <w:rsid w:val="7A9B3AB3"/>
    <w:rsid w:val="7A9B793E"/>
    <w:rsid w:val="7A9C250F"/>
    <w:rsid w:val="7A9E0768"/>
    <w:rsid w:val="7A9E283F"/>
    <w:rsid w:val="7A9E45ED"/>
    <w:rsid w:val="7AA339B1"/>
    <w:rsid w:val="7AA34A94"/>
    <w:rsid w:val="7AA5772A"/>
    <w:rsid w:val="7AA634A2"/>
    <w:rsid w:val="7AAB2866"/>
    <w:rsid w:val="7AAC4F5C"/>
    <w:rsid w:val="7AB14320"/>
    <w:rsid w:val="7AB160CE"/>
    <w:rsid w:val="7AB83901"/>
    <w:rsid w:val="7AB91427"/>
    <w:rsid w:val="7ABD0F17"/>
    <w:rsid w:val="7AC027B5"/>
    <w:rsid w:val="7AC53928"/>
    <w:rsid w:val="7AC97DEB"/>
    <w:rsid w:val="7ACA53E2"/>
    <w:rsid w:val="7ACE4ED2"/>
    <w:rsid w:val="7ACF50ED"/>
    <w:rsid w:val="7AD149C3"/>
    <w:rsid w:val="7AD7365B"/>
    <w:rsid w:val="7ADE49EA"/>
    <w:rsid w:val="7AE53FCA"/>
    <w:rsid w:val="7AE55D78"/>
    <w:rsid w:val="7AE77D42"/>
    <w:rsid w:val="7AEC7106"/>
    <w:rsid w:val="7AED10D1"/>
    <w:rsid w:val="7AED2E7F"/>
    <w:rsid w:val="7AEE7323"/>
    <w:rsid w:val="7AF34939"/>
    <w:rsid w:val="7AF67F85"/>
    <w:rsid w:val="7AFE6E3A"/>
    <w:rsid w:val="7B002BB2"/>
    <w:rsid w:val="7B05466C"/>
    <w:rsid w:val="7B1C2F26"/>
    <w:rsid w:val="7B1F37B5"/>
    <w:rsid w:val="7B203254"/>
    <w:rsid w:val="7B2368A0"/>
    <w:rsid w:val="7B25086A"/>
    <w:rsid w:val="7B256ABC"/>
    <w:rsid w:val="7B29035B"/>
    <w:rsid w:val="7B292109"/>
    <w:rsid w:val="7B2A7C2F"/>
    <w:rsid w:val="7B2C1BF9"/>
    <w:rsid w:val="7B2C39A7"/>
    <w:rsid w:val="7B2F3497"/>
    <w:rsid w:val="7B362A78"/>
    <w:rsid w:val="7B364826"/>
    <w:rsid w:val="7B396A69"/>
    <w:rsid w:val="7B3F7B7E"/>
    <w:rsid w:val="7B4231CA"/>
    <w:rsid w:val="7B476A33"/>
    <w:rsid w:val="7B4D5801"/>
    <w:rsid w:val="7B4F58E7"/>
    <w:rsid w:val="7B5353D8"/>
    <w:rsid w:val="7B560A24"/>
    <w:rsid w:val="7B58479C"/>
    <w:rsid w:val="7B5D0004"/>
    <w:rsid w:val="7B5F5B2A"/>
    <w:rsid w:val="7B615D46"/>
    <w:rsid w:val="7B62561B"/>
    <w:rsid w:val="7B63097E"/>
    <w:rsid w:val="7B6475E5"/>
    <w:rsid w:val="7B672C31"/>
    <w:rsid w:val="7B690757"/>
    <w:rsid w:val="7B6969A9"/>
    <w:rsid w:val="7B6A2721"/>
    <w:rsid w:val="7B6F1AE6"/>
    <w:rsid w:val="7B71585E"/>
    <w:rsid w:val="7B8053B0"/>
    <w:rsid w:val="7B827A6B"/>
    <w:rsid w:val="7B875081"/>
    <w:rsid w:val="7B8B2DC3"/>
    <w:rsid w:val="7B902188"/>
    <w:rsid w:val="7B9621A7"/>
    <w:rsid w:val="7B974D78"/>
    <w:rsid w:val="7B9B0B2D"/>
    <w:rsid w:val="7B9D6653"/>
    <w:rsid w:val="7BA21EBB"/>
    <w:rsid w:val="7BA849BB"/>
    <w:rsid w:val="7BA94FF8"/>
    <w:rsid w:val="7BB0282A"/>
    <w:rsid w:val="7BB1201D"/>
    <w:rsid w:val="7BB120FE"/>
    <w:rsid w:val="7BB67714"/>
    <w:rsid w:val="7BBD6CF5"/>
    <w:rsid w:val="7BBF4DB6"/>
    <w:rsid w:val="7BC10593"/>
    <w:rsid w:val="7BC2255D"/>
    <w:rsid w:val="7BC41E31"/>
    <w:rsid w:val="7BC521CE"/>
    <w:rsid w:val="7BC778CB"/>
    <w:rsid w:val="7BC77B74"/>
    <w:rsid w:val="7BCE2CB0"/>
    <w:rsid w:val="7BD3106F"/>
    <w:rsid w:val="7BD77DB7"/>
    <w:rsid w:val="7BDD1145"/>
    <w:rsid w:val="7BDF0A19"/>
    <w:rsid w:val="7BDF4EBD"/>
    <w:rsid w:val="7BE01E2D"/>
    <w:rsid w:val="7BE2731E"/>
    <w:rsid w:val="7BE91898"/>
    <w:rsid w:val="7BEC2FA1"/>
    <w:rsid w:val="7BEE6EAE"/>
    <w:rsid w:val="7BF546E1"/>
    <w:rsid w:val="7BF85F7F"/>
    <w:rsid w:val="7BFF2E69"/>
    <w:rsid w:val="7C014E34"/>
    <w:rsid w:val="7C06244A"/>
    <w:rsid w:val="7C134B67"/>
    <w:rsid w:val="7C15268D"/>
    <w:rsid w:val="7C174657"/>
    <w:rsid w:val="7C2A25DC"/>
    <w:rsid w:val="7C2B3C5E"/>
    <w:rsid w:val="7C2D3E7B"/>
    <w:rsid w:val="7C2F6DB5"/>
    <w:rsid w:val="7C30396B"/>
    <w:rsid w:val="7C330D65"/>
    <w:rsid w:val="7C336FB7"/>
    <w:rsid w:val="7C350F81"/>
    <w:rsid w:val="7C38637B"/>
    <w:rsid w:val="7C3A0345"/>
    <w:rsid w:val="7C3C5E6C"/>
    <w:rsid w:val="7C413482"/>
    <w:rsid w:val="7C43544C"/>
    <w:rsid w:val="7C444D20"/>
    <w:rsid w:val="7C4738FB"/>
    <w:rsid w:val="7C4F3DF1"/>
    <w:rsid w:val="7C540230"/>
    <w:rsid w:val="7C574A54"/>
    <w:rsid w:val="7C596A1E"/>
    <w:rsid w:val="7C5C02BC"/>
    <w:rsid w:val="7C611D76"/>
    <w:rsid w:val="7C613B24"/>
    <w:rsid w:val="7C615BE3"/>
    <w:rsid w:val="7C6453C2"/>
    <w:rsid w:val="7C66113B"/>
    <w:rsid w:val="7C694787"/>
    <w:rsid w:val="7C6F6241"/>
    <w:rsid w:val="7C705B15"/>
    <w:rsid w:val="7C776EA4"/>
    <w:rsid w:val="7C781299"/>
    <w:rsid w:val="7C7C44BA"/>
    <w:rsid w:val="7C7F3FAA"/>
    <w:rsid w:val="7C8415C1"/>
    <w:rsid w:val="7C8617DD"/>
    <w:rsid w:val="7C9061B7"/>
    <w:rsid w:val="7C920181"/>
    <w:rsid w:val="7C921F30"/>
    <w:rsid w:val="7C947A56"/>
    <w:rsid w:val="7C9712F4"/>
    <w:rsid w:val="7C9B5288"/>
    <w:rsid w:val="7C9C4B5C"/>
    <w:rsid w:val="7C9E2682"/>
    <w:rsid w:val="7CA103C5"/>
    <w:rsid w:val="7CA83501"/>
    <w:rsid w:val="7CAF4890"/>
    <w:rsid w:val="7CAF663E"/>
    <w:rsid w:val="7CB2612E"/>
    <w:rsid w:val="7CB41EA6"/>
    <w:rsid w:val="7CB4634A"/>
    <w:rsid w:val="7CC7607D"/>
    <w:rsid w:val="7CC85951"/>
    <w:rsid w:val="7CC876FF"/>
    <w:rsid w:val="7CCA791B"/>
    <w:rsid w:val="7CCB71F0"/>
    <w:rsid w:val="7CCD4D16"/>
    <w:rsid w:val="7CCF4461"/>
    <w:rsid w:val="7CD6006E"/>
    <w:rsid w:val="7CDE6F23"/>
    <w:rsid w:val="7CDF5BE8"/>
    <w:rsid w:val="7CE16A13"/>
    <w:rsid w:val="7CE86C9A"/>
    <w:rsid w:val="7CF624BE"/>
    <w:rsid w:val="7CFB5D27"/>
    <w:rsid w:val="7CFC55FB"/>
    <w:rsid w:val="7D006E99"/>
    <w:rsid w:val="7D020E63"/>
    <w:rsid w:val="7D0270B5"/>
    <w:rsid w:val="7D032E2D"/>
    <w:rsid w:val="7D060228"/>
    <w:rsid w:val="7D073162"/>
    <w:rsid w:val="7D0C3A90"/>
    <w:rsid w:val="7D124C9D"/>
    <w:rsid w:val="7D162B61"/>
    <w:rsid w:val="7D1666BD"/>
    <w:rsid w:val="7D1C7A4B"/>
    <w:rsid w:val="7D1E37C3"/>
    <w:rsid w:val="7D1F7C67"/>
    <w:rsid w:val="7D23174B"/>
    <w:rsid w:val="7D2C7C8E"/>
    <w:rsid w:val="7D2D1C58"/>
    <w:rsid w:val="7D2D3A06"/>
    <w:rsid w:val="7D2F3C22"/>
    <w:rsid w:val="7D32101D"/>
    <w:rsid w:val="7D342FE7"/>
    <w:rsid w:val="7D344D95"/>
    <w:rsid w:val="7D384885"/>
    <w:rsid w:val="7D3B25C7"/>
    <w:rsid w:val="7D3E6353"/>
    <w:rsid w:val="7D425704"/>
    <w:rsid w:val="7D4551F4"/>
    <w:rsid w:val="7D496A92"/>
    <w:rsid w:val="7D4A0A5C"/>
    <w:rsid w:val="7D4A280A"/>
    <w:rsid w:val="7D4C6582"/>
    <w:rsid w:val="7D4F1BCF"/>
    <w:rsid w:val="7D4F7E21"/>
    <w:rsid w:val="7D511DEB"/>
    <w:rsid w:val="7D5176F5"/>
    <w:rsid w:val="7D545437"/>
    <w:rsid w:val="7D567401"/>
    <w:rsid w:val="7D592A4D"/>
    <w:rsid w:val="7D5E0064"/>
    <w:rsid w:val="7D5E1E12"/>
    <w:rsid w:val="7D60202E"/>
    <w:rsid w:val="7D603DDC"/>
    <w:rsid w:val="7D6242BE"/>
    <w:rsid w:val="7D6514FE"/>
    <w:rsid w:val="7D6A4C5A"/>
    <w:rsid w:val="7D6E02A7"/>
    <w:rsid w:val="7D711B45"/>
    <w:rsid w:val="7D717D97"/>
    <w:rsid w:val="7D782ED3"/>
    <w:rsid w:val="7D7A30EF"/>
    <w:rsid w:val="7D7F0706"/>
    <w:rsid w:val="7D807FDA"/>
    <w:rsid w:val="7D8361C8"/>
    <w:rsid w:val="7D8775BA"/>
    <w:rsid w:val="7D8950E1"/>
    <w:rsid w:val="7D972EFD"/>
    <w:rsid w:val="7D9A5540"/>
    <w:rsid w:val="7D9B4E14"/>
    <w:rsid w:val="7D9D293A"/>
    <w:rsid w:val="7DA4016C"/>
    <w:rsid w:val="7DA55C93"/>
    <w:rsid w:val="7DA71A0B"/>
    <w:rsid w:val="7DAC7021"/>
    <w:rsid w:val="7DAE4B47"/>
    <w:rsid w:val="7DB163E5"/>
    <w:rsid w:val="7DB16CBA"/>
    <w:rsid w:val="7DB3215D"/>
    <w:rsid w:val="7DB54128"/>
    <w:rsid w:val="7DB55ED6"/>
    <w:rsid w:val="7DB859C6"/>
    <w:rsid w:val="7DBD122E"/>
    <w:rsid w:val="7DC26844"/>
    <w:rsid w:val="7DC425BD"/>
    <w:rsid w:val="7DD02D0F"/>
    <w:rsid w:val="7DD56578"/>
    <w:rsid w:val="7DDB2773"/>
    <w:rsid w:val="7DE1316F"/>
    <w:rsid w:val="7DE440D5"/>
    <w:rsid w:val="7DF509C8"/>
    <w:rsid w:val="7DFE3726"/>
    <w:rsid w:val="7E024E93"/>
    <w:rsid w:val="7E0E4CB1"/>
    <w:rsid w:val="7E0E55E6"/>
    <w:rsid w:val="7E1150D6"/>
    <w:rsid w:val="7E132BFC"/>
    <w:rsid w:val="7E154BC6"/>
    <w:rsid w:val="7E17093E"/>
    <w:rsid w:val="7E1846B6"/>
    <w:rsid w:val="7E266DD3"/>
    <w:rsid w:val="7E2748F9"/>
    <w:rsid w:val="7E2B43EA"/>
    <w:rsid w:val="7E2E3EDA"/>
    <w:rsid w:val="7E301A00"/>
    <w:rsid w:val="7E327526"/>
    <w:rsid w:val="7E327D58"/>
    <w:rsid w:val="7E33504C"/>
    <w:rsid w:val="7E346713"/>
    <w:rsid w:val="7E350DC4"/>
    <w:rsid w:val="7E370FE0"/>
    <w:rsid w:val="7E3808B5"/>
    <w:rsid w:val="7E3D5ECB"/>
    <w:rsid w:val="7E3E19A2"/>
    <w:rsid w:val="7E3E210E"/>
    <w:rsid w:val="7E3E236F"/>
    <w:rsid w:val="7E400AFB"/>
    <w:rsid w:val="7E484F9C"/>
    <w:rsid w:val="7E494870"/>
    <w:rsid w:val="7E4B683A"/>
    <w:rsid w:val="7E4C610E"/>
    <w:rsid w:val="7E4E00D8"/>
    <w:rsid w:val="7E4F632A"/>
    <w:rsid w:val="7E5356EF"/>
    <w:rsid w:val="7E553215"/>
    <w:rsid w:val="7E5576B9"/>
    <w:rsid w:val="7E573431"/>
    <w:rsid w:val="7E584AB3"/>
    <w:rsid w:val="7E5A082B"/>
    <w:rsid w:val="7E5A4CCF"/>
    <w:rsid w:val="7E5C1206"/>
    <w:rsid w:val="7E5C27F5"/>
    <w:rsid w:val="7E5C45A3"/>
    <w:rsid w:val="7E5F22E5"/>
    <w:rsid w:val="7E610049"/>
    <w:rsid w:val="7E611BB9"/>
    <w:rsid w:val="7E61605D"/>
    <w:rsid w:val="7E633B84"/>
    <w:rsid w:val="7E6873EC"/>
    <w:rsid w:val="7E697C9B"/>
    <w:rsid w:val="7E6B47E6"/>
    <w:rsid w:val="7E6D4A02"/>
    <w:rsid w:val="7E6E17B5"/>
    <w:rsid w:val="7E6E42D6"/>
    <w:rsid w:val="7E6E7AAC"/>
    <w:rsid w:val="7E725B75"/>
    <w:rsid w:val="7E786F03"/>
    <w:rsid w:val="7E7B74DF"/>
    <w:rsid w:val="7E7F4735"/>
    <w:rsid w:val="7E8104AE"/>
    <w:rsid w:val="7E81225C"/>
    <w:rsid w:val="7E834226"/>
    <w:rsid w:val="7E843AFA"/>
    <w:rsid w:val="7E853162"/>
    <w:rsid w:val="7E8A7362"/>
    <w:rsid w:val="7E8C18F4"/>
    <w:rsid w:val="7E8D6E52"/>
    <w:rsid w:val="7E941F8F"/>
    <w:rsid w:val="7E9B05EC"/>
    <w:rsid w:val="7E9E4BBC"/>
    <w:rsid w:val="7EA06B86"/>
    <w:rsid w:val="7EA128FE"/>
    <w:rsid w:val="7EA510AB"/>
    <w:rsid w:val="7EB05CC5"/>
    <w:rsid w:val="7EB20667"/>
    <w:rsid w:val="7EB268B9"/>
    <w:rsid w:val="7EB53ED3"/>
    <w:rsid w:val="7EB75C7D"/>
    <w:rsid w:val="7EBC7738"/>
    <w:rsid w:val="7EC107E4"/>
    <w:rsid w:val="7EC14D4E"/>
    <w:rsid w:val="7EC30AC6"/>
    <w:rsid w:val="7EC363D0"/>
    <w:rsid w:val="7EC64112"/>
    <w:rsid w:val="7EC87E8B"/>
    <w:rsid w:val="7ECB797B"/>
    <w:rsid w:val="7ED05708"/>
    <w:rsid w:val="7ED4682F"/>
    <w:rsid w:val="7ED71E7C"/>
    <w:rsid w:val="7ED76320"/>
    <w:rsid w:val="7EDC1B88"/>
    <w:rsid w:val="7EDC56E4"/>
    <w:rsid w:val="7EE051D4"/>
    <w:rsid w:val="7EE07DCE"/>
    <w:rsid w:val="7EE10F4C"/>
    <w:rsid w:val="7EE50FA7"/>
    <w:rsid w:val="7EE527EB"/>
    <w:rsid w:val="7EEB2310"/>
    <w:rsid w:val="7EEB5927"/>
    <w:rsid w:val="7EED169F"/>
    <w:rsid w:val="7EED78F1"/>
    <w:rsid w:val="7EEF3669"/>
    <w:rsid w:val="7EEF5417"/>
    <w:rsid w:val="7EEF71C5"/>
    <w:rsid w:val="7EF14B2E"/>
    <w:rsid w:val="7EF24F07"/>
    <w:rsid w:val="7EF649F8"/>
    <w:rsid w:val="7EFB3DBC"/>
    <w:rsid w:val="7F0215EE"/>
    <w:rsid w:val="7F0C5FC9"/>
    <w:rsid w:val="7F127358"/>
    <w:rsid w:val="7F17671C"/>
    <w:rsid w:val="7F196938"/>
    <w:rsid w:val="7F1B7FBA"/>
    <w:rsid w:val="7F1E7AAB"/>
    <w:rsid w:val="7F271055"/>
    <w:rsid w:val="7F2B710C"/>
    <w:rsid w:val="7F2D7CEE"/>
    <w:rsid w:val="7F2F7F0A"/>
    <w:rsid w:val="7F31176C"/>
    <w:rsid w:val="7F3379FA"/>
    <w:rsid w:val="7F345520"/>
    <w:rsid w:val="7F3C2DA8"/>
    <w:rsid w:val="7F3C6183"/>
    <w:rsid w:val="7F435763"/>
    <w:rsid w:val="7F4A6AF1"/>
    <w:rsid w:val="7F4C286A"/>
    <w:rsid w:val="7F4F5EB6"/>
    <w:rsid w:val="7F50176F"/>
    <w:rsid w:val="7F52551F"/>
    <w:rsid w:val="7F54171E"/>
    <w:rsid w:val="7F601FB0"/>
    <w:rsid w:val="7F6556D9"/>
    <w:rsid w:val="7F6A0F42"/>
    <w:rsid w:val="7F6F0306"/>
    <w:rsid w:val="7F6F47AA"/>
    <w:rsid w:val="7F6F6558"/>
    <w:rsid w:val="7F721BA4"/>
    <w:rsid w:val="7F765B38"/>
    <w:rsid w:val="7F820039"/>
    <w:rsid w:val="7F821A2C"/>
    <w:rsid w:val="7F82628B"/>
    <w:rsid w:val="7F871AF4"/>
    <w:rsid w:val="7F89586C"/>
    <w:rsid w:val="7F8C710A"/>
    <w:rsid w:val="7F9164CE"/>
    <w:rsid w:val="7F945FBF"/>
    <w:rsid w:val="7F961D37"/>
    <w:rsid w:val="7F985AAF"/>
    <w:rsid w:val="7F9D6634"/>
    <w:rsid w:val="7FA2248A"/>
    <w:rsid w:val="7FAC155A"/>
    <w:rsid w:val="7FAD5A8E"/>
    <w:rsid w:val="7FAE52D2"/>
    <w:rsid w:val="7FB1091F"/>
    <w:rsid w:val="7FB328E9"/>
    <w:rsid w:val="7FB4040F"/>
    <w:rsid w:val="7FB65F35"/>
    <w:rsid w:val="7FB846CC"/>
    <w:rsid w:val="7FC05006"/>
    <w:rsid w:val="7FC56178"/>
    <w:rsid w:val="7FCC5758"/>
    <w:rsid w:val="7FD10FC1"/>
    <w:rsid w:val="7FD12D6F"/>
    <w:rsid w:val="7FD16CFA"/>
    <w:rsid w:val="7FD4460D"/>
    <w:rsid w:val="7FD64829"/>
    <w:rsid w:val="7FD665D7"/>
    <w:rsid w:val="7FD91C23"/>
    <w:rsid w:val="7FDC1E3F"/>
    <w:rsid w:val="7FE02FB2"/>
    <w:rsid w:val="7FE231CE"/>
    <w:rsid w:val="7FE361F8"/>
    <w:rsid w:val="7FE40CF4"/>
    <w:rsid w:val="7FE5681A"/>
    <w:rsid w:val="7FE74340"/>
    <w:rsid w:val="7FEA4588"/>
    <w:rsid w:val="7FEB1BCA"/>
    <w:rsid w:val="7FEC7BA9"/>
    <w:rsid w:val="7FEE56CF"/>
    <w:rsid w:val="7FF37189"/>
    <w:rsid w:val="7FF64583"/>
    <w:rsid w:val="7FF802FC"/>
    <w:rsid w:val="7FF8479F"/>
    <w:rsid w:val="7FFC4290"/>
    <w:rsid w:val="7FFD1DB6"/>
    <w:rsid w:val="7FFD3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link w:val="34"/>
    <w:qFormat/>
    <w:uiPriority w:val="9"/>
    <w:pPr>
      <w:keepNext/>
      <w:keepLines/>
      <w:spacing w:line="360" w:lineRule="auto"/>
      <w:outlineLvl w:val="0"/>
    </w:pPr>
    <w:rPr>
      <w:rFonts w:ascii="Times New Roman" w:hAnsi="Times New Roman" w:eastAsia="宋体"/>
      <w:b/>
      <w:kern w:val="44"/>
      <w:sz w:val="36"/>
      <w:szCs w:val="20"/>
    </w:rPr>
  </w:style>
  <w:style w:type="paragraph" w:styleId="3">
    <w:name w:val="heading 2"/>
    <w:basedOn w:val="1"/>
    <w:next w:val="1"/>
    <w:link w:val="29"/>
    <w:qFormat/>
    <w:uiPriority w:val="9"/>
    <w:pPr>
      <w:keepNext/>
      <w:keepLines/>
      <w:spacing w:beforeLines="50" w:line="360" w:lineRule="auto"/>
      <w:outlineLvl w:val="1"/>
    </w:pPr>
    <w:rPr>
      <w:rFonts w:eastAsia="黑体"/>
      <w:b/>
      <w:sz w:val="30"/>
      <w:szCs w:val="20"/>
    </w:rPr>
  </w:style>
  <w:style w:type="paragraph" w:styleId="4">
    <w:name w:val="heading 3"/>
    <w:basedOn w:val="1"/>
    <w:next w:val="1"/>
    <w:link w:val="33"/>
    <w:qFormat/>
    <w:uiPriority w:val="0"/>
    <w:pPr>
      <w:keepNext/>
      <w:keepLines/>
      <w:spacing w:beforeLines="50" w:line="360" w:lineRule="auto"/>
      <w:ind w:firstLine="51"/>
      <w:outlineLvl w:val="2"/>
    </w:pPr>
    <w:rPr>
      <w:rFonts w:ascii="黑体" w:hAnsi="黑体" w:eastAsia="宋体"/>
      <w:b/>
      <w:sz w:val="24"/>
      <w:szCs w:val="20"/>
    </w:rPr>
  </w:style>
  <w:style w:type="paragraph" w:styleId="5">
    <w:name w:val="heading 4"/>
    <w:basedOn w:val="1"/>
    <w:next w:val="1"/>
    <w:unhideWhenUsed/>
    <w:qFormat/>
    <w:uiPriority w:val="0"/>
    <w:pPr>
      <w:keepNext/>
      <w:keepLines/>
      <w:spacing w:line="372" w:lineRule="auto"/>
      <w:outlineLvl w:val="3"/>
    </w:pPr>
    <w:rPr>
      <w:rFonts w:eastAsia="黑体"/>
      <w:b/>
      <w:sz w:val="28"/>
    </w:rPr>
  </w:style>
  <w:style w:type="paragraph" w:styleId="6">
    <w:name w:val="heading 5"/>
    <w:basedOn w:val="1"/>
    <w:next w:val="1"/>
    <w:qFormat/>
    <w:uiPriority w:val="1"/>
    <w:pPr>
      <w:ind w:left="235"/>
      <w:jc w:val="center"/>
      <w:outlineLvl w:val="4"/>
    </w:pPr>
    <w:rPr>
      <w:rFonts w:ascii="宋体" w:hAnsi="宋体" w:eastAsia="宋体" w:cs="宋体"/>
      <w:sz w:val="28"/>
      <w:szCs w:val="28"/>
      <w:lang w:val="zh-CN" w:bidi="zh-CN"/>
    </w:rPr>
  </w:style>
  <w:style w:type="paragraph" w:styleId="7">
    <w:name w:val="heading 6"/>
    <w:basedOn w:val="1"/>
    <w:next w:val="1"/>
    <w:qFormat/>
    <w:uiPriority w:val="1"/>
    <w:pPr>
      <w:spacing w:before="415"/>
      <w:ind w:left="389"/>
      <w:outlineLvl w:val="5"/>
    </w:pPr>
    <w:rPr>
      <w:rFonts w:ascii="宋体" w:hAnsi="宋体" w:eastAsia="宋体" w:cs="宋体"/>
      <w:sz w:val="25"/>
      <w:szCs w:val="25"/>
      <w:lang w:val="zh-CN" w:bidi="zh-CN"/>
    </w:rPr>
  </w:style>
  <w:style w:type="paragraph" w:styleId="8">
    <w:name w:val="heading 7"/>
    <w:basedOn w:val="1"/>
    <w:next w:val="1"/>
    <w:qFormat/>
    <w:uiPriority w:val="1"/>
    <w:pPr>
      <w:ind w:left="120"/>
      <w:outlineLvl w:val="6"/>
    </w:pPr>
    <w:rPr>
      <w:rFonts w:ascii="宋体" w:hAnsi="宋体" w:eastAsia="宋体" w:cs="宋体"/>
      <w:sz w:val="23"/>
      <w:szCs w:val="23"/>
      <w:lang w:val="zh-CN" w:bidi="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9">
    <w:name w:val="Normal Indent"/>
    <w:basedOn w:val="1"/>
    <w:next w:val="1"/>
    <w:qFormat/>
    <w:uiPriority w:val="0"/>
    <w:pPr>
      <w:spacing w:line="480" w:lineRule="atLeast"/>
      <w:ind w:firstLine="600"/>
    </w:pPr>
    <w:rPr>
      <w:rFonts w:eastAsia="仿宋_GB2312"/>
      <w:sz w:val="30"/>
      <w:szCs w:val="20"/>
    </w:rPr>
  </w:style>
  <w:style w:type="paragraph" w:styleId="10">
    <w:name w:val="annotation text"/>
    <w:basedOn w:val="1"/>
    <w:qFormat/>
    <w:uiPriority w:val="0"/>
    <w:pPr>
      <w:jc w:val="left"/>
    </w:pPr>
  </w:style>
  <w:style w:type="paragraph" w:styleId="11">
    <w:name w:val="Body Text 3"/>
    <w:basedOn w:val="1"/>
    <w:qFormat/>
    <w:uiPriority w:val="0"/>
    <w:rPr>
      <w:rFonts w:ascii="宋体"/>
      <w:sz w:val="24"/>
      <w:szCs w:val="20"/>
    </w:rPr>
  </w:style>
  <w:style w:type="paragraph" w:styleId="12">
    <w:name w:val="Body Text"/>
    <w:basedOn w:val="1"/>
    <w:next w:val="1"/>
    <w:unhideWhenUsed/>
    <w:qFormat/>
    <w:uiPriority w:val="99"/>
    <w:pPr>
      <w:spacing w:after="120"/>
    </w:pPr>
    <w:rPr>
      <w:rFonts w:ascii="Times New Roman" w:hAnsi="Times New Roman"/>
      <w:szCs w:val="20"/>
    </w:rPr>
  </w:style>
  <w:style w:type="paragraph" w:styleId="13">
    <w:name w:val="Body Text Indent"/>
    <w:basedOn w:val="1"/>
    <w:qFormat/>
    <w:uiPriority w:val="0"/>
    <w:pPr>
      <w:spacing w:line="700" w:lineRule="exact"/>
      <w:ind w:left="960"/>
    </w:pPr>
    <w:rPr>
      <w:sz w:val="44"/>
    </w:rPr>
  </w:style>
  <w:style w:type="paragraph" w:styleId="14">
    <w:name w:val="Block Text"/>
    <w:basedOn w:val="1"/>
    <w:qFormat/>
    <w:uiPriority w:val="0"/>
    <w:pPr>
      <w:spacing w:line="1270" w:lineRule="exact"/>
      <w:ind w:left="2160" w:right="-20" w:hanging="2160" w:hangingChars="300"/>
    </w:pPr>
    <w:rPr>
      <w:rFonts w:ascii="Times New Roman" w:hAnsi="Times New Roman" w:eastAsia="仿宋_GB2312"/>
      <w:sz w:val="72"/>
      <w:szCs w:val="24"/>
    </w:rPr>
  </w:style>
  <w:style w:type="paragraph" w:styleId="15">
    <w:name w:val="toc 3"/>
    <w:basedOn w:val="1"/>
    <w:next w:val="1"/>
    <w:qFormat/>
    <w:uiPriority w:val="0"/>
    <w:pPr>
      <w:ind w:left="840" w:leftChars="400"/>
    </w:pPr>
  </w:style>
  <w:style w:type="paragraph" w:styleId="16">
    <w:name w:val="Balloon Text"/>
    <w:basedOn w:val="1"/>
    <w:link w:val="37"/>
    <w:qFormat/>
    <w:uiPriority w:val="0"/>
    <w:rPr>
      <w:sz w:val="18"/>
      <w:szCs w:val="18"/>
    </w:rPr>
  </w:style>
  <w:style w:type="paragraph" w:styleId="17">
    <w:name w:val="footer"/>
    <w:basedOn w:val="1"/>
    <w:qFormat/>
    <w:uiPriority w:val="99"/>
    <w:pPr>
      <w:tabs>
        <w:tab w:val="center" w:pos="4153"/>
        <w:tab w:val="right" w:pos="8306"/>
      </w:tabs>
    </w:pPr>
    <w:rPr>
      <w:sz w:val="18"/>
      <w:szCs w:val="18"/>
    </w:rPr>
  </w:style>
  <w:style w:type="paragraph" w:styleId="18">
    <w:name w:val="header"/>
    <w:basedOn w:val="1"/>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qFormat/>
    <w:uiPriority w:val="0"/>
  </w:style>
  <w:style w:type="paragraph" w:styleId="20">
    <w:name w:val="Subtitle"/>
    <w:basedOn w:val="1"/>
    <w:qFormat/>
    <w:uiPriority w:val="0"/>
    <w:pPr>
      <w:jc w:val="center"/>
    </w:pPr>
    <w:rPr>
      <w:sz w:val="20"/>
      <w:szCs w:val="24"/>
      <w:u w:val="single"/>
      <w:lang w:eastAsia="en-US"/>
    </w:rPr>
  </w:style>
  <w:style w:type="paragraph" w:styleId="21">
    <w:name w:val="toc 2"/>
    <w:basedOn w:val="1"/>
    <w:next w:val="1"/>
    <w:qFormat/>
    <w:uiPriority w:val="0"/>
    <w:pPr>
      <w:ind w:left="420" w:leftChars="200"/>
    </w:pPr>
  </w:style>
  <w:style w:type="paragraph" w:styleId="22">
    <w:name w:val="Body Text 2"/>
    <w:basedOn w:val="1"/>
    <w:qFormat/>
    <w:uiPriority w:val="0"/>
    <w:pPr>
      <w:spacing w:line="480" w:lineRule="auto"/>
    </w:pPr>
    <w:rPr>
      <w:sz w:val="24"/>
    </w:rPr>
  </w:style>
  <w:style w:type="paragraph" w:styleId="23">
    <w:name w:val="Title"/>
    <w:basedOn w:val="1"/>
    <w:next w:val="1"/>
    <w:qFormat/>
    <w:uiPriority w:val="0"/>
    <w:pPr>
      <w:jc w:val="center"/>
      <w:outlineLvl w:val="0"/>
    </w:pPr>
    <w:rPr>
      <w:rFonts w:eastAsia="方正小标宋_GBK" w:cs="方正小标宋_GBK"/>
      <w:sz w:val="44"/>
      <w:szCs w:val="4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basedOn w:val="26"/>
    <w:qFormat/>
    <w:uiPriority w:val="0"/>
    <w:rPr>
      <w:color w:val="0000FF"/>
      <w:u w:val="single"/>
    </w:rPr>
  </w:style>
  <w:style w:type="character" w:styleId="28">
    <w:name w:val="annotation reference"/>
    <w:qFormat/>
    <w:uiPriority w:val="0"/>
    <w:rPr>
      <w:sz w:val="21"/>
    </w:rPr>
  </w:style>
  <w:style w:type="character" w:customStyle="1" w:styleId="29">
    <w:name w:val="标题 2 Char"/>
    <w:link w:val="3"/>
    <w:qFormat/>
    <w:uiPriority w:val="9"/>
    <w:rPr>
      <w:rFonts w:ascii="Arial" w:hAnsi="Arial" w:eastAsia="黑体"/>
      <w:b/>
      <w:sz w:val="30"/>
      <w:szCs w:val="20"/>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styleId="31">
    <w:name w:val="List Paragraph"/>
    <w:basedOn w:val="1"/>
    <w:qFormat/>
    <w:uiPriority w:val="1"/>
    <w:pPr>
      <w:spacing w:before="97"/>
      <w:ind w:left="134" w:hanging="457"/>
    </w:pPr>
    <w:rPr>
      <w:rFonts w:ascii="宋体" w:hAnsi="宋体" w:eastAsia="宋体" w:cs="宋体"/>
      <w:lang w:val="zh-CN" w:bidi="zh-CN"/>
    </w:rPr>
  </w:style>
  <w:style w:type="paragraph" w:customStyle="1" w:styleId="32">
    <w:name w:val="Table Paragraph"/>
    <w:basedOn w:val="1"/>
    <w:qFormat/>
    <w:uiPriority w:val="1"/>
    <w:rPr>
      <w:rFonts w:ascii="宋体" w:hAnsi="宋体" w:eastAsia="宋体" w:cs="宋体"/>
      <w:lang w:val="zh-CN" w:bidi="zh-CN"/>
    </w:rPr>
  </w:style>
  <w:style w:type="character" w:customStyle="1" w:styleId="33">
    <w:name w:val="标题 3 Char"/>
    <w:link w:val="4"/>
    <w:qFormat/>
    <w:uiPriority w:val="0"/>
    <w:rPr>
      <w:rFonts w:ascii="黑体" w:hAnsi="黑体" w:eastAsia="宋体"/>
      <w:b/>
      <w:sz w:val="24"/>
      <w:szCs w:val="20"/>
    </w:rPr>
  </w:style>
  <w:style w:type="character" w:customStyle="1" w:styleId="34">
    <w:name w:val="标题 1 Char"/>
    <w:link w:val="2"/>
    <w:qFormat/>
    <w:uiPriority w:val="9"/>
    <w:rPr>
      <w:rFonts w:ascii="Times New Roman" w:hAnsi="Times New Roman" w:eastAsia="宋体"/>
      <w:b/>
      <w:kern w:val="44"/>
      <w:sz w:val="36"/>
      <w:szCs w:val="20"/>
    </w:rPr>
  </w:style>
  <w:style w:type="paragraph" w:customStyle="1" w:styleId="35">
    <w:name w:val="Default"/>
    <w:basedOn w:val="1"/>
    <w:next w:val="1"/>
    <w:qFormat/>
    <w:uiPriority w:val="0"/>
    <w:rPr>
      <w:rFonts w:cs="Times New Roman"/>
      <w:sz w:val="24"/>
    </w:rPr>
  </w:style>
  <w:style w:type="character" w:customStyle="1" w:styleId="36">
    <w:name w:val="font31"/>
    <w:qFormat/>
    <w:uiPriority w:val="0"/>
    <w:rPr>
      <w:rFonts w:hint="default" w:ascii="方正楷体_GBK" w:hAnsi="方正楷体_GBK" w:eastAsia="方正楷体_GBK" w:cs="方正楷体_GBK"/>
      <w:color w:val="FF0000"/>
      <w:sz w:val="28"/>
      <w:szCs w:val="28"/>
      <w:u w:val="none"/>
    </w:rPr>
  </w:style>
  <w:style w:type="character" w:customStyle="1" w:styleId="37">
    <w:name w:val="批注框文本 Char"/>
    <w:basedOn w:val="26"/>
    <w:link w:val="16"/>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5" textRotate="1"/>
    <customShpInfo spid="_x0000_s1026"/>
    <customShpInfo spid="_x0000_s1045" textRotate="1"/>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2534</Words>
  <Characters>2955</Characters>
  <Lines>265</Lines>
  <Paragraphs>74</Paragraphs>
  <TotalTime>1</TotalTime>
  <ScaleCrop>false</ScaleCrop>
  <LinksUpToDate>false</LinksUpToDate>
  <CharactersWithSpaces>3167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2024-10-08T03:12:00Z</dcterms:created>
  <dc:creator>宋菁菁</dc:creator>
  <cp:lastModifiedBy>Crazy晓晓</cp:lastModifiedBy>
  <cp:lastPrinted>2024-09-05T08:59:00Z</cp:lastPrinted>
  <dcterms:modified xsi:type="dcterms:W3CDTF">2026-02-06T06:22:56Z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864CDAA596B540DFBA4538166CED5A6F_13</vt:lpwstr>
  </property>
  <property fmtid="{D5CDD505-2E9C-101B-9397-08002B2CF9AE}" pid="4" name="KSOTemplateDocerSaveRecord">
    <vt:lpwstr>eyJoZGlkIjoiMjNkYzIxYTE2ZGRkZGJkZWQyMjU2OWQ5ZjIzMzExMzAiLCJ1c2VySWQiOiIzMTY2MTYxMjYifQ==</vt:lpwstr>
  </property>
</Properties>
</file>