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60" w:line="222" w:lineRule="auto"/>
        <w:jc w:val="center"/>
        <w:rPr>
          <w:rFonts w:hint="eastAsia" w:ascii="黑体" w:hAnsi="黑体" w:eastAsia="黑体" w:cs="黑体"/>
          <w:b/>
          <w:bCs/>
          <w:spacing w:val="9"/>
          <w:sz w:val="80"/>
          <w:szCs w:val="80"/>
          <w:lang w:eastAsia="zh-CN"/>
        </w:rPr>
      </w:pPr>
    </w:p>
    <w:p>
      <w:pPr>
        <w:spacing w:before="260" w:line="222" w:lineRule="auto"/>
        <w:jc w:val="center"/>
        <w:rPr>
          <w:rFonts w:ascii="黑体" w:hAnsi="黑体" w:eastAsia="黑体" w:cs="黑体"/>
          <w:sz w:val="80"/>
          <w:szCs w:val="80"/>
        </w:rPr>
      </w:pPr>
      <w:r>
        <w:rPr>
          <w:rFonts w:hint="eastAsia" w:ascii="黑体" w:hAnsi="黑体" w:eastAsia="黑体" w:cs="黑体"/>
          <w:b/>
          <w:bCs/>
          <w:spacing w:val="9"/>
          <w:sz w:val="80"/>
          <w:szCs w:val="80"/>
          <w:lang w:eastAsia="zh-CN"/>
        </w:rPr>
        <w:t>竞争性谈判</w:t>
      </w:r>
      <w:r>
        <w:rPr>
          <w:rFonts w:ascii="黑体" w:hAnsi="黑体" w:eastAsia="黑体" w:cs="黑体"/>
          <w:b/>
          <w:bCs/>
          <w:spacing w:val="9"/>
          <w:sz w:val="80"/>
          <w:szCs w:val="80"/>
        </w:rPr>
        <w:t>文件</w:t>
      </w: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500" w:lineRule="exact"/>
        <w:jc w:val="center"/>
        <w:outlineLvl w:val="0"/>
        <w:rPr>
          <w:spacing w:val="-6"/>
          <w:sz w:val="33"/>
          <w:szCs w:val="33"/>
        </w:rPr>
      </w:pPr>
    </w:p>
    <w:p>
      <w:pPr>
        <w:spacing w:line="500" w:lineRule="exact"/>
        <w:jc w:val="center"/>
        <w:outlineLvl w:val="0"/>
        <w:rPr>
          <w:spacing w:val="-6"/>
          <w:sz w:val="33"/>
          <w:szCs w:val="33"/>
        </w:rPr>
      </w:pPr>
    </w:p>
    <w:p>
      <w:pPr>
        <w:spacing w:line="500" w:lineRule="exact"/>
        <w:jc w:val="center"/>
        <w:outlineLvl w:val="0"/>
        <w:rPr>
          <w:spacing w:val="-6"/>
          <w:sz w:val="33"/>
          <w:szCs w:val="33"/>
        </w:rPr>
      </w:pPr>
    </w:p>
    <w:p>
      <w:pPr>
        <w:spacing w:line="500" w:lineRule="exact"/>
        <w:jc w:val="center"/>
        <w:outlineLvl w:val="0"/>
        <w:rPr>
          <w:rFonts w:hint="eastAsia" w:ascii="仿宋" w:hAnsi="仿宋" w:eastAsia="仿宋" w:cs="仿宋"/>
          <w:snapToGrid w:val="0"/>
          <w:color w:val="000000"/>
          <w:spacing w:val="-6"/>
          <w:kern w:val="0"/>
          <w:sz w:val="33"/>
          <w:szCs w:val="33"/>
          <w:lang w:val="en-US" w:eastAsia="zh-CN" w:bidi="ar-SA"/>
        </w:rPr>
      </w:pPr>
      <w:r>
        <w:rPr>
          <w:spacing w:val="-6"/>
          <w:sz w:val="33"/>
          <w:szCs w:val="33"/>
        </w:rPr>
        <w:t>项目名称：</w:t>
      </w:r>
      <w:r>
        <w:rPr>
          <w:rFonts w:hint="eastAsia" w:ascii="仿宋" w:hAnsi="仿宋" w:eastAsia="仿宋" w:cs="仿宋"/>
          <w:snapToGrid w:val="0"/>
          <w:color w:val="000000"/>
          <w:spacing w:val="-6"/>
          <w:kern w:val="0"/>
          <w:sz w:val="33"/>
          <w:szCs w:val="33"/>
          <w:lang w:val="en-US" w:eastAsia="zh-CN" w:bidi="ar-SA"/>
        </w:rPr>
        <w:t>幸福华庭A、C、D组团外墙保温系统</w:t>
      </w:r>
    </w:p>
    <w:p>
      <w:pPr>
        <w:spacing w:line="500" w:lineRule="exact"/>
        <w:jc w:val="center"/>
        <w:outlineLvl w:val="0"/>
        <w:rPr>
          <w:rFonts w:hint="eastAsia" w:ascii="方正小标宋_GBK" w:hAnsi="Times New Roman" w:eastAsia="仿宋" w:cs="Times New Roman"/>
          <w:sz w:val="36"/>
          <w:szCs w:val="36"/>
          <w:lang w:val="en-US" w:eastAsia="zh-CN"/>
        </w:rPr>
      </w:pPr>
      <w:r>
        <w:rPr>
          <w:rFonts w:hint="eastAsia" w:ascii="仿宋" w:hAnsi="仿宋" w:eastAsia="仿宋" w:cs="仿宋"/>
          <w:snapToGrid w:val="0"/>
          <w:color w:val="000000"/>
          <w:spacing w:val="-6"/>
          <w:kern w:val="0"/>
          <w:sz w:val="33"/>
          <w:szCs w:val="33"/>
          <w:lang w:val="en-US" w:eastAsia="zh-CN" w:bidi="ar-SA"/>
        </w:rPr>
        <w:t>脱落应急维修工程</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rPr>
          <w:rFonts w:ascii="Arial"/>
          <w:sz w:val="21"/>
        </w:rPr>
      </w:pPr>
    </w:p>
    <w:p>
      <w:pPr>
        <w:rPr>
          <w:rFonts w:ascii="Arial"/>
          <w:sz w:val="21"/>
        </w:rPr>
      </w:pPr>
    </w:p>
    <w:p>
      <w:pPr>
        <w:pStyle w:val="2"/>
        <w:rPr>
          <w:rFonts w:ascii="Arial"/>
          <w:sz w:val="21"/>
        </w:rPr>
      </w:pPr>
    </w:p>
    <w:p>
      <w:pPr>
        <w:rPr>
          <w:rFonts w:ascii="Arial"/>
          <w:sz w:val="21"/>
        </w:rPr>
      </w:pPr>
    </w:p>
    <w:p>
      <w:pPr>
        <w:pStyle w:val="2"/>
        <w:rPr>
          <w:rFonts w:ascii="Arial"/>
          <w:sz w:val="21"/>
        </w:rPr>
      </w:pPr>
    </w:p>
    <w:p>
      <w:pPr>
        <w:rPr>
          <w:rFonts w:ascii="Arial"/>
          <w:sz w:val="21"/>
        </w:rPr>
      </w:pPr>
    </w:p>
    <w:p>
      <w:pPr>
        <w:pStyle w:val="2"/>
        <w:rPr>
          <w:rFonts w:ascii="Arial"/>
          <w:sz w:val="21"/>
        </w:rPr>
      </w:pPr>
    </w:p>
    <w:p>
      <w:pPr>
        <w:rPr>
          <w:rFonts w:ascii="Arial"/>
          <w:sz w:val="21"/>
        </w:rPr>
      </w:pPr>
    </w:p>
    <w:p>
      <w:pPr>
        <w:spacing w:line="243" w:lineRule="auto"/>
        <w:rPr>
          <w:rFonts w:ascii="Arial"/>
          <w:sz w:val="21"/>
        </w:rPr>
      </w:pPr>
    </w:p>
    <w:p>
      <w:pPr>
        <w:spacing w:line="243" w:lineRule="auto"/>
        <w:rPr>
          <w:rFonts w:ascii="Arial"/>
          <w:sz w:val="21"/>
        </w:rPr>
      </w:pPr>
    </w:p>
    <w:p>
      <w:pPr>
        <w:pStyle w:val="2"/>
        <w:spacing w:before="107" w:line="222" w:lineRule="auto"/>
        <w:jc w:val="center"/>
        <w:rPr>
          <w:sz w:val="33"/>
          <w:szCs w:val="33"/>
        </w:rPr>
      </w:pPr>
      <w:r>
        <w:rPr>
          <w:b/>
          <w:bCs/>
          <w:spacing w:val="-9"/>
          <w:sz w:val="33"/>
          <w:szCs w:val="33"/>
        </w:rPr>
        <w:t>采购人：</w:t>
      </w:r>
      <w:r>
        <w:rPr>
          <w:rFonts w:hint="eastAsia"/>
          <w:b/>
          <w:bCs/>
          <w:spacing w:val="-9"/>
          <w:sz w:val="33"/>
          <w:szCs w:val="33"/>
        </w:rPr>
        <w:t>重庆市大渡口区</w:t>
      </w:r>
      <w:r>
        <w:rPr>
          <w:rFonts w:hint="eastAsia"/>
          <w:b/>
          <w:bCs/>
          <w:spacing w:val="-9"/>
          <w:sz w:val="33"/>
          <w:szCs w:val="33"/>
          <w:lang w:eastAsia="zh-CN"/>
        </w:rPr>
        <w:t>住房和城乡建设委员会</w:t>
      </w:r>
    </w:p>
    <w:p>
      <w:pPr>
        <w:spacing w:line="222" w:lineRule="auto"/>
        <w:rPr>
          <w:sz w:val="33"/>
          <w:szCs w:val="33"/>
        </w:rPr>
      </w:pPr>
    </w:p>
    <w:p>
      <w:pPr>
        <w:spacing w:line="720" w:lineRule="exact"/>
        <w:jc w:val="center"/>
        <w:outlineLvl w:val="0"/>
        <w:rPr>
          <w:rFonts w:ascii="方正黑体_GBK" w:eastAsia="方正黑体_GBK"/>
          <w:sz w:val="44"/>
          <w:szCs w:val="28"/>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r>
        <w:rPr>
          <w:rFonts w:hint="eastAsia"/>
          <w:sz w:val="33"/>
          <w:szCs w:val="33"/>
          <w:lang w:val="en-US" w:eastAsia="zh-CN"/>
        </w:rPr>
        <w:t xml:space="preserve">  </w:t>
      </w:r>
      <w:r>
        <w:rPr>
          <w:rFonts w:hint="eastAsia" w:ascii="仿宋" w:hAnsi="仿宋" w:eastAsia="仿宋" w:cs="仿宋"/>
          <w:b/>
          <w:bCs/>
          <w:snapToGrid w:val="0"/>
          <w:color w:val="000000"/>
          <w:spacing w:val="-9"/>
          <w:kern w:val="0"/>
          <w:sz w:val="33"/>
          <w:szCs w:val="33"/>
          <w:lang w:val="en-US" w:eastAsia="zh-CN" w:bidi="ar-SA"/>
        </w:rPr>
        <w:t xml:space="preserve">    </w:t>
      </w:r>
      <w:r>
        <w:rPr>
          <w:rFonts w:hint="eastAsia" w:ascii="仿宋" w:hAnsi="仿宋" w:eastAsia="仿宋" w:cs="仿宋"/>
          <w:b/>
          <w:bCs/>
          <w:snapToGrid w:val="0"/>
          <w:color w:val="000000"/>
          <w:spacing w:val="-9"/>
          <w:kern w:val="0"/>
          <w:sz w:val="33"/>
          <w:szCs w:val="33"/>
          <w:lang w:val="en-US" w:eastAsia="en-US" w:bidi="ar-SA"/>
        </w:rPr>
        <w:t>二〇二</w:t>
      </w:r>
      <w:r>
        <w:rPr>
          <w:rFonts w:hint="eastAsia" w:ascii="仿宋" w:hAnsi="仿宋" w:eastAsia="仿宋" w:cs="仿宋"/>
          <w:b/>
          <w:bCs/>
          <w:snapToGrid w:val="0"/>
          <w:color w:val="000000"/>
          <w:spacing w:val="-9"/>
          <w:kern w:val="0"/>
          <w:sz w:val="33"/>
          <w:szCs w:val="33"/>
          <w:lang w:val="en-US" w:eastAsia="zh-CN" w:bidi="ar-SA"/>
        </w:rPr>
        <w:t>六</w:t>
      </w:r>
      <w:r>
        <w:rPr>
          <w:rFonts w:hint="eastAsia" w:ascii="仿宋" w:hAnsi="仿宋" w:eastAsia="仿宋" w:cs="仿宋"/>
          <w:b/>
          <w:bCs/>
          <w:snapToGrid w:val="0"/>
          <w:color w:val="000000"/>
          <w:spacing w:val="-9"/>
          <w:kern w:val="0"/>
          <w:sz w:val="33"/>
          <w:szCs w:val="33"/>
          <w:lang w:val="en-US" w:eastAsia="en-US" w:bidi="ar-SA"/>
        </w:rPr>
        <w:t>年</w:t>
      </w:r>
      <w:r>
        <w:rPr>
          <w:rFonts w:hint="eastAsia" w:ascii="仿宋" w:hAnsi="仿宋" w:eastAsia="仿宋" w:cs="仿宋"/>
          <w:b/>
          <w:bCs/>
          <w:snapToGrid w:val="0"/>
          <w:color w:val="000000"/>
          <w:spacing w:val="-9"/>
          <w:kern w:val="0"/>
          <w:sz w:val="33"/>
          <w:szCs w:val="33"/>
          <w:lang w:val="en-US" w:eastAsia="zh-CN" w:bidi="ar-SA"/>
        </w:rPr>
        <w:t>八</w:t>
      </w:r>
      <w:r>
        <w:rPr>
          <w:rFonts w:hint="eastAsia" w:ascii="仿宋" w:hAnsi="仿宋" w:eastAsia="仿宋" w:cs="仿宋"/>
          <w:b/>
          <w:bCs/>
          <w:snapToGrid w:val="0"/>
          <w:color w:val="000000"/>
          <w:spacing w:val="-9"/>
          <w:kern w:val="0"/>
          <w:sz w:val="33"/>
          <w:szCs w:val="33"/>
          <w:lang w:val="en-US" w:eastAsia="en-US" w:bidi="ar-SA"/>
        </w:rPr>
        <w:t>月</w:t>
      </w:r>
    </w:p>
    <w:p>
      <w:pPr>
        <w:pStyle w:val="2"/>
        <w:spacing w:before="79" w:line="222" w:lineRule="auto"/>
        <w:ind w:firstLine="1481" w:firstLineChars="300"/>
        <w:jc w:val="both"/>
        <w:outlineLvl w:val="0"/>
        <w:rPr>
          <w:rFonts w:hint="eastAsia" w:ascii="方正小标宋_GBK" w:hAnsi="方正小标宋_GBK" w:eastAsia="方正小标宋_GBK" w:cs="方正小标宋_GBK"/>
          <w:b/>
          <w:bCs/>
          <w:spacing w:val="26"/>
          <w:sz w:val="44"/>
          <w:szCs w:val="44"/>
          <w:lang w:val="en-US" w:eastAsia="zh-CN"/>
        </w:rPr>
      </w:pPr>
      <w:r>
        <w:rPr>
          <w:rFonts w:hint="eastAsia" w:ascii="方正小标宋_GBK" w:hAnsi="方正小标宋_GBK" w:eastAsia="方正小标宋_GBK" w:cs="方正小标宋_GBK"/>
          <w:b/>
          <w:bCs/>
          <w:spacing w:val="26"/>
          <w:sz w:val="44"/>
          <w:szCs w:val="44"/>
        </w:rPr>
        <w:t>第一篇</w:t>
      </w:r>
      <w:r>
        <w:rPr>
          <w:rFonts w:hint="eastAsia" w:ascii="方正小标宋_GBK" w:hAnsi="方正小标宋_GBK" w:eastAsia="方正小标宋_GBK" w:cs="方正小标宋_GBK"/>
          <w:b/>
          <w:bCs/>
          <w:spacing w:val="26"/>
          <w:sz w:val="44"/>
          <w:szCs w:val="44"/>
          <w:lang w:val="en-US" w:eastAsia="zh-CN"/>
        </w:rPr>
        <w:t xml:space="preserve"> </w:t>
      </w:r>
      <w:r>
        <w:rPr>
          <w:rFonts w:hint="eastAsia" w:ascii="方正小标宋_GBK" w:hAnsi="方正小标宋_GBK" w:eastAsia="方正小标宋_GBK" w:cs="方正小标宋_GBK"/>
          <w:b/>
          <w:bCs/>
          <w:spacing w:val="26"/>
          <w:sz w:val="44"/>
          <w:szCs w:val="44"/>
          <w:lang w:eastAsia="zh-CN"/>
        </w:rPr>
        <w:t>竞争性</w:t>
      </w:r>
      <w:r>
        <w:rPr>
          <w:rFonts w:hint="eastAsia" w:ascii="方正小标宋_GBK" w:hAnsi="方正小标宋_GBK" w:eastAsia="方正小标宋_GBK" w:cs="方正小标宋_GBK"/>
          <w:b/>
          <w:bCs/>
          <w:spacing w:val="26"/>
          <w:sz w:val="44"/>
          <w:szCs w:val="44"/>
          <w:lang w:val="en-US" w:eastAsia="zh-CN"/>
        </w:rPr>
        <w:t>谈判邀请书</w:t>
      </w:r>
    </w:p>
    <w:p>
      <w:pPr>
        <w:spacing w:line="500" w:lineRule="exact"/>
        <w:ind w:firstLine="564" w:firstLineChars="200"/>
        <w:jc w:val="both"/>
        <w:outlineLvl w:val="0"/>
        <w:rPr>
          <w:rFonts w:hint="eastAsia" w:ascii="方正仿宋_GBK" w:hAnsi="方正仿宋_GBK" w:eastAsia="方正仿宋_GBK" w:cs="方正仿宋_GBK"/>
          <w:snapToGrid w:val="0"/>
          <w:color w:val="000000"/>
          <w:spacing w:val="1"/>
          <w:kern w:val="0"/>
          <w:sz w:val="28"/>
          <w:szCs w:val="28"/>
          <w:lang w:val="en-US" w:eastAsia="zh-CN" w:bidi="ar-SA"/>
        </w:rPr>
      </w:pPr>
      <w:r>
        <w:rPr>
          <w:rFonts w:hint="eastAsia" w:ascii="方正仿宋_GBK" w:hAnsi="方正仿宋_GBK" w:eastAsia="方正仿宋_GBK" w:cs="方正仿宋_GBK"/>
          <w:snapToGrid w:val="0"/>
          <w:color w:val="000000"/>
          <w:spacing w:val="1"/>
          <w:kern w:val="0"/>
          <w:sz w:val="28"/>
          <w:szCs w:val="28"/>
          <w:lang w:val="en-US" w:eastAsia="zh-CN" w:bidi="ar-SA"/>
        </w:rPr>
        <w:t>重庆市大渡口区住房和城乡建设委员会对幸福华庭公租房A、C、D组团外墙保温系统脱落应急维修工程进行竞争性谈判采购。欢迎有资格的供应商前来参加谈判。</w:t>
      </w:r>
    </w:p>
    <w:p>
      <w:pPr>
        <w:rPr>
          <w:rFonts w:hint="eastAsia" w:ascii="方正黑体_GBK" w:hAnsi="方正黑体_GBK" w:eastAsia="方正黑体_GBK" w:cs="方正黑体_GBK"/>
          <w:sz w:val="32"/>
          <w:szCs w:val="32"/>
          <w:lang w:val="en-US"/>
        </w:rPr>
      </w:pPr>
      <w:r>
        <w:rPr>
          <w:rFonts w:hint="eastAsia" w:ascii="方正黑体_GBK" w:hAnsi="方正黑体_GBK" w:eastAsia="方正黑体_GBK" w:cs="方正黑体_GBK"/>
          <w:b/>
          <w:bCs/>
          <w:spacing w:val="26"/>
          <w:sz w:val="32"/>
          <w:szCs w:val="32"/>
          <w:lang w:val="en-US" w:eastAsia="zh-CN"/>
        </w:rPr>
        <w:t>一、竞争性谈判内容</w:t>
      </w:r>
    </w:p>
    <w:p>
      <w:pPr>
        <w:spacing w:before="7"/>
      </w:pPr>
    </w:p>
    <w:tbl>
      <w:tblPr>
        <w:tblStyle w:val="14"/>
        <w:tblpPr w:leftFromText="180" w:rightFromText="180" w:vertAnchor="text" w:horzAnchor="page" w:tblpXSpec="center" w:tblpY="104"/>
        <w:tblOverlap w:val="never"/>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9"/>
        <w:gridCol w:w="1650"/>
        <w:gridCol w:w="7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839" w:type="dxa"/>
            <w:vAlign w:val="center"/>
          </w:tcPr>
          <w:p>
            <w:pPr>
              <w:pStyle w:val="13"/>
              <w:spacing w:before="195" w:line="195" w:lineRule="auto"/>
              <w:ind w:left="79"/>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序号</w:t>
            </w:r>
          </w:p>
        </w:tc>
        <w:tc>
          <w:tcPr>
            <w:tcW w:w="1650" w:type="dxa"/>
            <w:vAlign w:val="center"/>
          </w:tcPr>
          <w:p>
            <w:pPr>
              <w:pStyle w:val="13"/>
              <w:spacing w:before="91" w:line="219"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3"/>
                <w:sz w:val="28"/>
                <w:szCs w:val="28"/>
              </w:rPr>
              <w:t>内</w:t>
            </w:r>
            <w:r>
              <w:rPr>
                <w:rFonts w:hint="eastAsia" w:ascii="方正仿宋_GBK" w:hAnsi="方正仿宋_GBK" w:eastAsia="方正仿宋_GBK" w:cs="方正仿宋_GBK"/>
                <w:spacing w:val="24"/>
                <w:sz w:val="28"/>
                <w:szCs w:val="28"/>
              </w:rPr>
              <w:t xml:space="preserve">   </w:t>
            </w:r>
            <w:r>
              <w:rPr>
                <w:rFonts w:hint="eastAsia" w:ascii="方正仿宋_GBK" w:hAnsi="方正仿宋_GBK" w:eastAsia="方正仿宋_GBK" w:cs="方正仿宋_GBK"/>
                <w:spacing w:val="-23"/>
                <w:sz w:val="28"/>
                <w:szCs w:val="28"/>
              </w:rPr>
              <w:t>容</w:t>
            </w:r>
          </w:p>
        </w:tc>
        <w:tc>
          <w:tcPr>
            <w:tcW w:w="7149" w:type="dxa"/>
            <w:vAlign w:val="center"/>
          </w:tcPr>
          <w:p>
            <w:pPr>
              <w:pStyle w:val="13"/>
              <w:spacing w:before="91" w:line="219" w:lineRule="auto"/>
              <w:ind w:firstLine="1988" w:firstLineChars="7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839" w:type="dxa"/>
            <w:vAlign w:val="center"/>
          </w:tcPr>
          <w:p>
            <w:pPr>
              <w:pStyle w:val="13"/>
              <w:spacing w:before="183" w:line="184"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1</w:t>
            </w:r>
          </w:p>
        </w:tc>
        <w:tc>
          <w:tcPr>
            <w:tcW w:w="1650" w:type="dxa"/>
            <w:vAlign w:val="center"/>
          </w:tcPr>
          <w:p>
            <w:pPr>
              <w:pStyle w:val="13"/>
              <w:spacing w:before="113" w:line="220"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项目名称</w:t>
            </w:r>
          </w:p>
        </w:tc>
        <w:tc>
          <w:tcPr>
            <w:tcW w:w="7149" w:type="dxa"/>
            <w:vAlign w:val="center"/>
          </w:tcPr>
          <w:p>
            <w:pPr>
              <w:spacing w:line="500" w:lineRule="exact"/>
              <w:jc w:val="both"/>
              <w:outlineLvl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napToGrid w:val="0"/>
                <w:color w:val="000000"/>
                <w:spacing w:val="1"/>
                <w:kern w:val="0"/>
                <w:sz w:val="28"/>
                <w:szCs w:val="28"/>
                <w:lang w:val="en-US" w:eastAsia="zh-CN" w:bidi="ar-SA"/>
              </w:rPr>
              <w:t>幸福华庭A、C、D组团外墙保温系统脱落应急维修工程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jc w:val="center"/>
        </w:trPr>
        <w:tc>
          <w:tcPr>
            <w:tcW w:w="839" w:type="dxa"/>
            <w:vAlign w:val="center"/>
          </w:tcPr>
          <w:p>
            <w:pPr>
              <w:pStyle w:val="13"/>
              <w:spacing w:before="91"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2</w:t>
            </w:r>
          </w:p>
        </w:tc>
        <w:tc>
          <w:tcPr>
            <w:tcW w:w="1650" w:type="dxa"/>
            <w:vAlign w:val="center"/>
          </w:tcPr>
          <w:p>
            <w:pPr>
              <w:pStyle w:val="13"/>
              <w:spacing w:before="142" w:line="279" w:lineRule="auto"/>
              <w:ind w:right="465"/>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项目业主</w:t>
            </w:r>
            <w:r>
              <w:rPr>
                <w:rFonts w:hint="eastAsia" w:ascii="方正仿宋_GBK" w:hAnsi="方正仿宋_GBK" w:eastAsia="方正仿宋_GBK" w:cs="方正仿宋_GBK"/>
                <w:spacing w:val="2"/>
                <w:sz w:val="28"/>
                <w:szCs w:val="28"/>
              </w:rPr>
              <w:t xml:space="preserve"> </w:t>
            </w:r>
            <w:r>
              <w:rPr>
                <w:rFonts w:hint="eastAsia" w:ascii="方正仿宋_GBK" w:hAnsi="方正仿宋_GBK" w:eastAsia="方正仿宋_GBK" w:cs="方正仿宋_GBK"/>
                <w:spacing w:val="12"/>
                <w:sz w:val="28"/>
                <w:szCs w:val="28"/>
              </w:rPr>
              <w:t>(采购人)</w:t>
            </w:r>
          </w:p>
        </w:tc>
        <w:tc>
          <w:tcPr>
            <w:tcW w:w="7149" w:type="dxa"/>
            <w:vAlign w:val="center"/>
          </w:tcPr>
          <w:p>
            <w:pPr>
              <w:pStyle w:val="13"/>
              <w:spacing w:before="91" w:line="219" w:lineRule="auto"/>
              <w:ind w:left="83"/>
              <w:jc w:val="left"/>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pacing w:val="1"/>
                <w:sz w:val="28"/>
                <w:szCs w:val="28"/>
                <w:lang w:eastAsia="zh-CN"/>
              </w:rPr>
              <w:t>重庆市大渡口区住房和城乡建设委员会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839" w:type="dxa"/>
            <w:vAlign w:val="center"/>
          </w:tcPr>
          <w:p>
            <w:pPr>
              <w:pStyle w:val="13"/>
              <w:spacing w:before="185"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3</w:t>
            </w:r>
          </w:p>
        </w:tc>
        <w:tc>
          <w:tcPr>
            <w:tcW w:w="1650" w:type="dxa"/>
            <w:vAlign w:val="center"/>
          </w:tcPr>
          <w:p>
            <w:pPr>
              <w:pStyle w:val="13"/>
              <w:spacing w:before="114" w:line="220"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6"/>
                <w:sz w:val="28"/>
                <w:szCs w:val="28"/>
              </w:rPr>
              <w:t>项目地点</w:t>
            </w:r>
          </w:p>
        </w:tc>
        <w:tc>
          <w:tcPr>
            <w:tcW w:w="7149" w:type="dxa"/>
            <w:vAlign w:val="center"/>
          </w:tcPr>
          <w:p>
            <w:pPr>
              <w:pStyle w:val="13"/>
              <w:spacing w:before="113" w:line="219" w:lineRule="auto"/>
              <w:ind w:left="83"/>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pacing w:val="1"/>
                <w:sz w:val="28"/>
                <w:szCs w:val="28"/>
              </w:rPr>
              <w:t>大渡口区</w:t>
            </w:r>
            <w:r>
              <w:rPr>
                <w:rFonts w:hint="eastAsia" w:ascii="方正仿宋_GBK" w:hAnsi="方正仿宋_GBK" w:eastAsia="方正仿宋_GBK" w:cs="方正仿宋_GBK"/>
                <w:spacing w:val="1"/>
                <w:sz w:val="28"/>
                <w:szCs w:val="28"/>
                <w:lang w:eastAsia="zh-CN"/>
              </w:rPr>
              <w:t>幸福华庭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6" w:hRule="atLeast"/>
          <w:jc w:val="center"/>
        </w:trPr>
        <w:tc>
          <w:tcPr>
            <w:tcW w:w="839" w:type="dxa"/>
            <w:vAlign w:val="center"/>
          </w:tcPr>
          <w:p>
            <w:pPr>
              <w:pStyle w:val="13"/>
              <w:spacing w:before="91"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4</w:t>
            </w:r>
          </w:p>
        </w:tc>
        <w:tc>
          <w:tcPr>
            <w:tcW w:w="1650" w:type="dxa"/>
            <w:vAlign w:val="center"/>
          </w:tcPr>
          <w:p>
            <w:pPr>
              <w:pStyle w:val="13"/>
              <w:spacing w:before="91" w:line="219" w:lineRule="auto"/>
              <w:ind w:firstLine="286" w:firstLineChars="1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项目内容</w:t>
            </w:r>
          </w:p>
        </w:tc>
        <w:tc>
          <w:tcPr>
            <w:tcW w:w="7149" w:type="dxa"/>
            <w:vAlign w:val="center"/>
          </w:tcPr>
          <w:p>
            <w:pPr>
              <w:pStyle w:val="13"/>
              <w:spacing w:before="91" w:line="322" w:lineRule="auto"/>
              <w:ind w:right="564"/>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8"/>
                <w:sz w:val="28"/>
                <w:szCs w:val="28"/>
                <w:lang w:val="en-US" w:eastAsia="zh-CN"/>
              </w:rPr>
              <w:t>维修范围为A、C、D组团部分楼栋，维修总工程量约</w:t>
            </w:r>
            <w:r>
              <w:rPr>
                <w:rFonts w:hint="eastAsia" w:ascii="Times New Roman" w:hAnsi="Times New Roman" w:eastAsia="方正仿宋_GBK" w:cs="方正仿宋_GBK"/>
                <w:spacing w:val="-8"/>
                <w:sz w:val="28"/>
                <w:szCs w:val="28"/>
                <w:lang w:val="en-US" w:eastAsia="zh-CN"/>
              </w:rPr>
              <w:t>312</w:t>
            </w:r>
            <w:r>
              <w:rPr>
                <w:rFonts w:hint="eastAsia" w:ascii="方正仿宋_GBK" w:hAnsi="方正仿宋_GBK" w:eastAsia="方正仿宋_GBK" w:cs="方正仿宋_GBK"/>
                <w:spacing w:val="-8"/>
                <w:sz w:val="28"/>
                <w:szCs w:val="28"/>
                <w:lang w:val="en-US" w:eastAsia="zh-CN"/>
              </w:rPr>
              <w:t>㎡，其中</w:t>
            </w:r>
            <w:r>
              <w:rPr>
                <w:rFonts w:hint="eastAsia" w:ascii="Times New Roman" w:hAnsi="Times New Roman" w:eastAsia="方正仿宋_GBK" w:cs="方正仿宋_GBK"/>
                <w:spacing w:val="-8"/>
                <w:sz w:val="28"/>
                <w:szCs w:val="28"/>
                <w:lang w:val="en-US" w:eastAsia="zh-CN"/>
              </w:rPr>
              <w:t>120</w:t>
            </w:r>
            <w:r>
              <w:rPr>
                <w:rFonts w:hint="eastAsia" w:ascii="方正仿宋_GBK" w:hAnsi="方正仿宋_GBK" w:eastAsia="方正仿宋_GBK" w:cs="方正仿宋_GBK"/>
                <w:spacing w:val="-8"/>
                <w:sz w:val="28"/>
                <w:szCs w:val="28"/>
                <w:lang w:val="en-US" w:eastAsia="zh-CN"/>
              </w:rPr>
              <w:t>㎡为保温板+抗裂层+面层施工，</w:t>
            </w:r>
            <w:r>
              <w:rPr>
                <w:rFonts w:hint="eastAsia" w:ascii="Times New Roman" w:hAnsi="Times New Roman" w:eastAsia="方正仿宋_GBK" w:cs="方正仿宋_GBK"/>
                <w:spacing w:val="-8"/>
                <w:sz w:val="28"/>
                <w:szCs w:val="28"/>
                <w:lang w:val="en-US" w:eastAsia="zh-CN"/>
              </w:rPr>
              <w:t>180</w:t>
            </w:r>
            <w:r>
              <w:rPr>
                <w:rFonts w:hint="eastAsia" w:ascii="方正仿宋_GBK" w:hAnsi="方正仿宋_GBK" w:eastAsia="方正仿宋_GBK" w:cs="方正仿宋_GBK"/>
                <w:spacing w:val="-8"/>
                <w:sz w:val="28"/>
                <w:szCs w:val="28"/>
                <w:lang w:val="en-US" w:eastAsia="zh-CN"/>
              </w:rPr>
              <w:t>㎡为抗裂层+面层施工，无机保温砂浆系统施工</w:t>
            </w:r>
            <w:r>
              <w:rPr>
                <w:rFonts w:hint="eastAsia" w:ascii="Times New Roman" w:hAnsi="Times New Roman" w:eastAsia="方正仿宋_GBK" w:cs="方正仿宋_GBK"/>
                <w:spacing w:val="-8"/>
                <w:sz w:val="28"/>
                <w:szCs w:val="28"/>
                <w:lang w:val="en-US" w:eastAsia="zh-CN"/>
              </w:rPr>
              <w:t>12</w:t>
            </w:r>
            <w:r>
              <w:rPr>
                <w:rFonts w:hint="eastAsia" w:ascii="方正仿宋_GBK" w:hAnsi="方正仿宋_GBK" w:eastAsia="方正仿宋_GBK" w:cs="方正仿宋_GBK"/>
                <w:spacing w:val="-8"/>
                <w:sz w:val="28"/>
                <w:szCs w:val="28"/>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39" w:type="dxa"/>
            <w:vAlign w:val="center"/>
          </w:tcPr>
          <w:p>
            <w:pPr>
              <w:pStyle w:val="13"/>
              <w:spacing w:before="91" w:line="182" w:lineRule="auto"/>
              <w:ind w:firstLine="280" w:firstLineChars="100"/>
              <w:jc w:val="both"/>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5</w:t>
            </w:r>
          </w:p>
        </w:tc>
        <w:tc>
          <w:tcPr>
            <w:tcW w:w="1650" w:type="dxa"/>
            <w:vAlign w:val="center"/>
          </w:tcPr>
          <w:p>
            <w:pPr>
              <w:pStyle w:val="13"/>
              <w:spacing w:before="91" w:line="219"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资格条件</w:t>
            </w:r>
          </w:p>
        </w:tc>
        <w:tc>
          <w:tcPr>
            <w:tcW w:w="7149" w:type="dxa"/>
            <w:vAlign w:val="center"/>
          </w:tcPr>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谈判供应商是指向采购人提供货物、工程或者服务的法人、其他组织或者自然人。以下简称供应商。合格的供应商应符合以下基本条件。</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（一）一般资格条件</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1．具有独立承担民事责任的能力；</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2．具有履行合同所必需的设备和专业技术能力；</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3．有依法缴纳税收和社会保障资金的良好记录；</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4．参加采购活动前三年内，在经营活动中没有重大违法记录；</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5．法律、行政法规规定的其他条件。</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（二）特定资格条件</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zh-TW" w:eastAsia="zh-CN" w:bidi="ar-SA"/>
              </w:rPr>
            </w:pPr>
            <w:r>
              <w:rPr>
                <w:rFonts w:hint="eastAsia" w:ascii="方正仿宋_GBK" w:hAnsi="方正仿宋_GBK" w:eastAsia="方正仿宋_GBK" w:cs="方正仿宋_GBK"/>
                <w:snapToGrid w:val="0"/>
                <w:color w:val="000000"/>
                <w:kern w:val="0"/>
                <w:sz w:val="28"/>
                <w:szCs w:val="28"/>
                <w:lang w:val="zh-TW" w:eastAsia="zh-TW" w:bidi="ar-SA"/>
              </w:rPr>
              <w:t>1</w:t>
            </w:r>
            <w:r>
              <w:rPr>
                <w:rFonts w:hint="eastAsia" w:ascii="方正仿宋_GBK" w:hAnsi="方正仿宋_GBK" w:eastAsia="方正仿宋_GBK" w:cs="方正仿宋_GBK"/>
                <w:snapToGrid w:val="0"/>
                <w:color w:val="000000"/>
                <w:kern w:val="0"/>
                <w:sz w:val="28"/>
                <w:szCs w:val="28"/>
                <w:lang w:val="en-US" w:eastAsia="zh-CN" w:bidi="ar-SA"/>
              </w:rPr>
              <w:t>．</w:t>
            </w:r>
            <w:r>
              <w:rPr>
                <w:rFonts w:hint="eastAsia" w:ascii="方正仿宋_GBK" w:hAnsi="方正仿宋_GBK" w:eastAsia="方正仿宋_GBK" w:cs="方正仿宋_GBK"/>
                <w:snapToGrid w:val="0"/>
                <w:color w:val="000000"/>
                <w:kern w:val="0"/>
                <w:sz w:val="28"/>
                <w:szCs w:val="28"/>
                <w:lang w:val="zh-TW" w:eastAsia="zh-TW" w:bidi="ar-SA"/>
              </w:rPr>
              <w:t>供应商须具备建设行政主管部门颁发的建筑工程施工总承包</w:t>
            </w:r>
            <w:r>
              <w:rPr>
                <w:rFonts w:hint="eastAsia" w:ascii="方正仿宋_GBK" w:hAnsi="方正仿宋_GBK" w:eastAsia="方正仿宋_GBK" w:cs="方正仿宋_GBK"/>
                <w:snapToGrid w:val="0"/>
                <w:color w:val="000000"/>
                <w:kern w:val="0"/>
                <w:sz w:val="28"/>
                <w:szCs w:val="28"/>
                <w:lang w:val="zh-TW" w:eastAsia="zh-CN" w:bidi="ar-SA"/>
              </w:rPr>
              <w:t>三</w:t>
            </w:r>
            <w:r>
              <w:rPr>
                <w:rFonts w:hint="eastAsia" w:ascii="方正仿宋_GBK" w:hAnsi="方正仿宋_GBK" w:eastAsia="方正仿宋_GBK" w:cs="方正仿宋_GBK"/>
                <w:snapToGrid w:val="0"/>
                <w:color w:val="000000"/>
                <w:kern w:val="0"/>
                <w:sz w:val="28"/>
                <w:szCs w:val="28"/>
                <w:lang w:val="zh-TW" w:eastAsia="zh-TW" w:bidi="ar-SA"/>
              </w:rPr>
              <w:t>级及以上资质。（须提供有效的资质证书复印件并加盖投标单位鲜章）</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2．</w:t>
            </w:r>
            <w:r>
              <w:rPr>
                <w:rFonts w:hint="eastAsia" w:ascii="方正仿宋_GBK" w:hAnsi="方正仿宋_GBK" w:eastAsia="方正仿宋_GBK" w:cs="方正仿宋_GBK"/>
                <w:snapToGrid w:val="0"/>
                <w:color w:val="000000"/>
                <w:kern w:val="0"/>
                <w:sz w:val="28"/>
                <w:szCs w:val="28"/>
                <w:lang w:val="zh-TW" w:eastAsia="zh-TW" w:bidi="ar-SA"/>
              </w:rPr>
              <w:t>供应商须具备建设行政主管部门颁发的有效的安全生产许可证。（须提供有效的资质证书复印件并加盖投标单位鲜章）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839" w:type="dxa"/>
            <w:vAlign w:val="center"/>
          </w:tcPr>
          <w:p>
            <w:pPr>
              <w:spacing w:line="298" w:lineRule="auto"/>
              <w:jc w:val="center"/>
              <w:rPr>
                <w:rFonts w:hint="eastAsia" w:ascii="方正仿宋_GBK" w:hAnsi="方正仿宋_GBK" w:eastAsia="方正仿宋_GBK" w:cs="方正仿宋_GBK"/>
                <w:sz w:val="28"/>
                <w:szCs w:val="28"/>
              </w:rPr>
            </w:pPr>
          </w:p>
          <w:p>
            <w:pPr>
              <w:pStyle w:val="13"/>
              <w:spacing w:before="91"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6</w:t>
            </w:r>
          </w:p>
        </w:tc>
        <w:tc>
          <w:tcPr>
            <w:tcW w:w="1650" w:type="dxa"/>
            <w:vAlign w:val="center"/>
          </w:tcPr>
          <w:p>
            <w:pPr>
              <w:pStyle w:val="13"/>
              <w:spacing w:before="320" w:line="221"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人员要求</w:t>
            </w:r>
          </w:p>
        </w:tc>
        <w:tc>
          <w:tcPr>
            <w:tcW w:w="7149" w:type="dxa"/>
            <w:vAlign w:val="center"/>
          </w:tcPr>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（一）项目经理</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供应商须为本项目配备项目经理1人，项目经理须在供应商单位注册并具有建筑工程专业贰级及以上注册建造师执业资格，建筑工程专业的中级及以上职称证，且不能同时在其它在建工程担任项目经理（项目经理在建项目情况由供应商自行声明并加盖单位鲜章和法人签字,现场施工项目经理须与响应文件中提供的项目经理为同一人）。</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【提供有效的建造师注册证书和职称证复印件加盖投标单位鲜章；2026年1月-2026年6月供应商为其缴纳社会保险证明复印件加盖投标单位鲜章】。</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（二）主要管理人员</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供应商须为本项目配备持有有效证件的安全员不少于1人。</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SA"/>
              </w:rPr>
              <w:t>【提供安全员的上岗证或执业证书复印件加盖投标单位鲜章；2026年1月-2026年6月供应商为其缴纳社会保险证明复印件加盖投标单位鲜章】。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839" w:type="dxa"/>
            <w:vAlign w:val="center"/>
          </w:tcPr>
          <w:p>
            <w:pPr>
              <w:pStyle w:val="13"/>
              <w:spacing w:before="303" w:line="169"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7</w:t>
            </w:r>
          </w:p>
        </w:tc>
        <w:tc>
          <w:tcPr>
            <w:tcW w:w="1650" w:type="dxa"/>
            <w:vAlign w:val="center"/>
          </w:tcPr>
          <w:p>
            <w:pPr>
              <w:pStyle w:val="13"/>
              <w:spacing w:before="210" w:line="220"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4"/>
                <w:sz w:val="28"/>
                <w:szCs w:val="28"/>
              </w:rPr>
              <w:t>项目工期</w:t>
            </w:r>
          </w:p>
        </w:tc>
        <w:tc>
          <w:tcPr>
            <w:tcW w:w="7149" w:type="dxa"/>
            <w:vAlign w:val="center"/>
          </w:tcPr>
          <w:p>
            <w:pPr>
              <w:pStyle w:val="13"/>
              <w:spacing w:before="230" w:line="217" w:lineRule="auto"/>
              <w:ind w:left="83"/>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lang w:val="en-US" w:eastAsia="zh-CN"/>
              </w:rPr>
              <w:t>发出开工通知书后</w:t>
            </w:r>
            <w:r>
              <w:rPr>
                <w:rFonts w:hint="eastAsia" w:ascii="Times New Roman" w:hAnsi="Times New Roman" w:eastAsia="方正仿宋_GBK" w:cs="方正仿宋_GBK"/>
                <w:spacing w:val="2"/>
                <w:sz w:val="28"/>
                <w:szCs w:val="28"/>
                <w:lang w:val="en-US" w:eastAsia="zh-CN"/>
              </w:rPr>
              <w:t>30</w:t>
            </w:r>
            <w:r>
              <w:rPr>
                <w:rFonts w:hint="eastAsia" w:ascii="方正仿宋_GBK" w:hAnsi="方正仿宋_GBK" w:eastAsia="方正仿宋_GBK" w:cs="方正仿宋_GBK"/>
                <w:spacing w:val="2"/>
                <w:sz w:val="28"/>
                <w:szCs w:val="28"/>
              </w:rPr>
              <w:t>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839" w:type="dxa"/>
            <w:vAlign w:val="center"/>
          </w:tcPr>
          <w:p>
            <w:pPr>
              <w:pStyle w:val="13"/>
              <w:spacing w:before="231"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8</w:t>
            </w:r>
          </w:p>
        </w:tc>
        <w:tc>
          <w:tcPr>
            <w:tcW w:w="1650" w:type="dxa"/>
            <w:vAlign w:val="center"/>
          </w:tcPr>
          <w:p>
            <w:pPr>
              <w:pStyle w:val="13"/>
              <w:spacing w:before="159" w:line="219"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资金来源</w:t>
            </w:r>
          </w:p>
        </w:tc>
        <w:tc>
          <w:tcPr>
            <w:tcW w:w="7149" w:type="dxa"/>
            <w:vAlign w:val="center"/>
          </w:tcPr>
          <w:p>
            <w:pPr>
              <w:pStyle w:val="13"/>
              <w:spacing w:before="161" w:line="221" w:lineRule="auto"/>
              <w:ind w:left="83"/>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财政预算资金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839" w:type="dxa"/>
            <w:vAlign w:val="center"/>
          </w:tcPr>
          <w:p>
            <w:pPr>
              <w:pStyle w:val="13"/>
              <w:spacing w:before="222" w:line="183"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z w:val="28"/>
                <w:szCs w:val="28"/>
              </w:rPr>
              <w:t>9</w:t>
            </w:r>
          </w:p>
        </w:tc>
        <w:tc>
          <w:tcPr>
            <w:tcW w:w="1650" w:type="dxa"/>
            <w:vAlign w:val="center"/>
          </w:tcPr>
          <w:p>
            <w:pPr>
              <w:pStyle w:val="13"/>
              <w:spacing w:before="151" w:line="220"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招标方式</w:t>
            </w:r>
          </w:p>
        </w:tc>
        <w:tc>
          <w:tcPr>
            <w:tcW w:w="7149" w:type="dxa"/>
            <w:vAlign w:val="center"/>
          </w:tcPr>
          <w:p>
            <w:pPr>
              <w:pStyle w:val="13"/>
              <w:spacing w:before="140" w:line="214" w:lineRule="auto"/>
              <w:ind w:left="83"/>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凡有意参加谈判的供应商，请在行采家（https://www.gec123.com）、“重庆市大渡口区人民政府官网”（https://www.ddk.gov.cn）网上自行下载本项目竞争性谈判文件（以下所称的“谈判文件”“采购文件”均指竞争性谈判文件）。本项目采购活动有关的图纸、澄清、更正等谈判开始前的所有项目资料均在行采家网公示，请各供应商自行下载，无论供应商下载与否，均视为已知晓所有谈判实质性要求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jc w:val="center"/>
        </w:trPr>
        <w:tc>
          <w:tcPr>
            <w:tcW w:w="839" w:type="dxa"/>
            <w:vAlign w:val="center"/>
          </w:tcPr>
          <w:p>
            <w:pPr>
              <w:pStyle w:val="13"/>
              <w:spacing w:before="231" w:line="184" w:lineRule="auto"/>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pacing w:val="-8"/>
                <w:sz w:val="28"/>
                <w:szCs w:val="28"/>
              </w:rPr>
              <w:t>10</w:t>
            </w:r>
          </w:p>
        </w:tc>
        <w:tc>
          <w:tcPr>
            <w:tcW w:w="1650" w:type="dxa"/>
            <w:vAlign w:val="center"/>
          </w:tcPr>
          <w:p>
            <w:pPr>
              <w:pStyle w:val="13"/>
              <w:spacing w:before="158" w:line="218"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lang w:eastAsia="zh-CN"/>
              </w:rPr>
              <w:t>谈判</w:t>
            </w:r>
            <w:r>
              <w:rPr>
                <w:rFonts w:hint="eastAsia" w:ascii="方正仿宋_GBK" w:hAnsi="方正仿宋_GBK" w:eastAsia="方正仿宋_GBK" w:cs="方正仿宋_GBK"/>
                <w:spacing w:val="2"/>
                <w:sz w:val="28"/>
                <w:szCs w:val="28"/>
              </w:rPr>
              <w:t>小组</w:t>
            </w:r>
          </w:p>
        </w:tc>
        <w:tc>
          <w:tcPr>
            <w:tcW w:w="7149" w:type="dxa"/>
            <w:vAlign w:val="center"/>
          </w:tcPr>
          <w:p>
            <w:pPr>
              <w:pStyle w:val="13"/>
              <w:spacing w:before="158" w:line="219" w:lineRule="auto"/>
              <w:ind w:left="83"/>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1"/>
                <w:sz w:val="28"/>
                <w:szCs w:val="28"/>
              </w:rPr>
              <w:t>采购人自行组建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eastAsia" w:ascii="方正仿宋_GBK" w:hAnsi="方正仿宋_GBK" w:eastAsia="方正仿宋_GBK" w:cs="方正仿宋_GBK"/>
                <w:sz w:val="28"/>
                <w:szCs w:val="28"/>
              </w:rPr>
            </w:pPr>
            <w:r>
              <w:rPr>
                <w:rFonts w:hint="eastAsia" w:ascii="Times New Roman" w:hAnsi="Times New Roman" w:eastAsia="方正仿宋_GBK" w:cs="方正仿宋_GBK"/>
                <w:spacing w:val="-8"/>
                <w:position w:val="-4"/>
                <w:sz w:val="28"/>
                <w:szCs w:val="28"/>
              </w:rPr>
              <w:t>11</w:t>
            </w:r>
          </w:p>
        </w:tc>
        <w:tc>
          <w:tcPr>
            <w:tcW w:w="1650" w:type="dxa"/>
            <w:vAlign w:val="center"/>
          </w:tcPr>
          <w:p>
            <w:pPr>
              <w:pStyle w:val="13"/>
              <w:spacing w:before="119" w:line="218"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采购限价</w:t>
            </w:r>
          </w:p>
        </w:tc>
        <w:tc>
          <w:tcPr>
            <w:tcW w:w="7149" w:type="dxa"/>
            <w:vAlign w:val="center"/>
          </w:tcPr>
          <w:p>
            <w:pPr>
              <w:pStyle w:val="13"/>
              <w:spacing w:before="119" w:line="218" w:lineRule="auto"/>
              <w:ind w:left="83"/>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本项目投标最高限价为</w:t>
            </w:r>
            <w:r>
              <w:rPr>
                <w:rFonts w:hint="eastAsia" w:ascii="Times New Roman" w:hAnsi="Times New Roman" w:eastAsia="方正仿宋_GBK" w:cs="方正仿宋_GBK"/>
                <w:sz w:val="28"/>
                <w:szCs w:val="28"/>
                <w:lang w:val="en-US" w:eastAsia="zh-CN"/>
              </w:rPr>
              <w:t>5.14万</w:t>
            </w:r>
            <w:r>
              <w:rPr>
                <w:rFonts w:hint="eastAsia" w:ascii="方正仿宋_GBK" w:hAnsi="方正仿宋_GBK" w:eastAsia="方正仿宋_GBK" w:cs="方正仿宋_GBK"/>
                <w:sz w:val="28"/>
                <w:szCs w:val="28"/>
              </w:rPr>
              <w:t>元，投标人报价不得超过采购人发布的最高限价，否则废标处理。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方正仿宋_GBK" w:hAnsi="方正仿宋_GBK"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12</w:t>
            </w:r>
          </w:p>
        </w:tc>
        <w:tc>
          <w:tcPr>
            <w:tcW w:w="1650" w:type="dxa"/>
            <w:vAlign w:val="center"/>
          </w:tcPr>
          <w:p>
            <w:pPr>
              <w:pStyle w:val="13"/>
              <w:spacing w:before="94" w:line="218"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2"/>
                <w:sz w:val="28"/>
                <w:szCs w:val="28"/>
                <w:lang w:val="zh-TW"/>
              </w:rPr>
              <w:t>报价要求</w:t>
            </w:r>
          </w:p>
        </w:tc>
        <w:tc>
          <w:tcPr>
            <w:tcW w:w="7149" w:type="dxa"/>
            <w:vAlign w:val="center"/>
          </w:tcPr>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1.本次报价须为人民币报价，采用清单总价报价最低优先。</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2.供应商须严格按照随谈判文件一并发出的分部分项工程项目清单计价表逐项填报清单单价及总价，清单单价及总价不得超出采购人给出的限价，同时清单总价应与报价函中的总价一致，不一致的按清单总价修正。</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3.谈判过程中二次报价时，供应商只需对总价进行二次报价，分部分项工程项目清单计价表中的单项报价在签订合同时按照（二次报价/初始报价）的价格比例进行等比例调整即可，二次报价中供应商无需再逐项进行单项报价。</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4.供应商的报价中对于采购人给出的安全文明施工费以及暂列金额都不能进行改动，须按照采购人给出的金额报价，否则视为无效响应。</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5.报价范围：各供应商对采购人提供的工程量清单和现场情况进行自主报价。</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清单工作内容的人工费、材料费、机械费、管理费、利润、风险费用、人工机械降效、措施费、二次转运费、规费、安全文明施工费、税金，并考虑政策性文件规定的费用（含高温补贴），以及合同文件中应由成交供应商承担的所有责任、义务、一般风险及相应的费用，采购人除此以外不支付其它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方正仿宋_GBK" w:hAnsi="方正仿宋_GBK"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13</w:t>
            </w:r>
          </w:p>
        </w:tc>
        <w:tc>
          <w:tcPr>
            <w:tcW w:w="1650" w:type="dxa"/>
            <w:vAlign w:val="center"/>
          </w:tcPr>
          <w:p>
            <w:pPr>
              <w:pStyle w:val="13"/>
              <w:spacing w:before="113" w:line="219"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6"/>
                <w:sz w:val="28"/>
                <w:szCs w:val="28"/>
              </w:rPr>
              <w:t>结算原则</w:t>
            </w:r>
          </w:p>
        </w:tc>
        <w:tc>
          <w:tcPr>
            <w:tcW w:w="7149" w:type="dxa"/>
            <w:vAlign w:val="center"/>
          </w:tcPr>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1.结算总价＝（分部分项工程量清单综合单价×子项工程量+措施项目费+其他项目费+安全文明施工费+规费+税金+设计变更及新增部分金额+合同约定的其它费用）*（1-投标报价下浮比例）。</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bookmarkStart w:id="0" w:name="_Toc112965505"/>
            <w:r>
              <w:rPr>
                <w:rFonts w:hint="eastAsia" w:ascii="方正仿宋_GBK" w:hAnsi="方正仿宋_GBK" w:eastAsia="方正仿宋_GBK" w:cs="方正仿宋_GBK"/>
                <w:snapToGrid w:val="0"/>
                <w:color w:val="000000"/>
                <w:kern w:val="0"/>
                <w:sz w:val="28"/>
                <w:szCs w:val="28"/>
                <w:lang w:val="en-US" w:eastAsia="zh-CN" w:bidi="ar-SA"/>
              </w:rPr>
              <w:t>2.新增工程与已标价工程量清单中有相同或类似的子项时， 则按投标时的相同子项或类似子项综合单价执行。</w:t>
            </w:r>
            <w:bookmarkEnd w:id="0"/>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3.新增工程与已标价工程量清单中无相同或类似的子项时，按照《建设工程工程量清单计价规范》(GB50500-2013)和《重庆市建设工程工程量清单计价规则》(CQJJGZ-2013)、2018《重庆市修缮工程计价定额》、2018《重庆市安装工程计价定额》、2018《重庆市建筑工程计价定额》、2018《重庆市建设工程费用定额》及相关配套文件计算组价。人工单价和材料价按施工期间《重庆工程造价信息》公布的市场指导价的平均值执行;《重庆工程造价信息》上没有的，经业主单位进行核价。新增工程量清单组价后按照中标价与招标限价的比例下浮。结算审核中审减率超过5%时，结算审核费由维修企业承担，相关费用从维修工程结算价款中予以扣除。结算审核费按照造价咨询合同约定的计费标准计取。</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4）安全文明施工费：本工程安全文明施工费根据《建设工程工程量清单计价规范》（GB50500-2013）、《重庆市建设工程工程量清单计价规则》（CQJJGZ-2013）、《关于印发&lt;重庆市建设工程安全文明施工费计取及使用管理规定&gt;的通知》（渝建发〔2014〕25 号）、《重庆市住房和城乡建设委员会关于调整建设施工现场形象品质提升安全文明施工费计取的通知》（渝建管〔2020〕97号）、《重庆市建设工程费用定额》（CQFYDE-2018）的相关规定和费用标准计算。</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 xml:space="preserve">（5）建筑安装材料价格风险按照 《重庆市城乡建设委员会关于进一步加强建筑安装材料价格风险管控的指导意见》（渝建〔2018〕61号）执行。 </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 xml:space="preserve">（6）项目所采用技术、工艺和产品等必须执行重庆市住房和城乡建设委员会关于发布《重庆市建设领域禁止、限制使用落后技术通告（2019年版）（渝建发〔2019〕25号）的规定。 </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7）措施项目费包括施工组织措施项目和施工技术措施项目两部分。按照单价计算的措施费，应按实际发生参照本项第（1）条计价原则计取；按总价（或系数）计算的措施费，应参照《重庆市建设工程费用定额》（CQFYDE-2018）的相关规定和费用标准计算。</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（8）规费按照《重庆市建设工程费用定额》（CQFYDE-2018）的相关规定和标准计算。</w:t>
            </w:r>
          </w:p>
          <w:p>
            <w:pPr>
              <w:keepNext w:val="0"/>
              <w:keepLines w:val="0"/>
              <w:widowControl w:val="0"/>
              <w:suppressLineNumbers w:val="0"/>
              <w:spacing w:before="0" w:beforeAutospacing="0" w:after="0" w:afterAutospacing="0" w:line="400" w:lineRule="exact"/>
              <w:ind w:left="0" w:right="0" w:firstLine="560" w:firstLineChars="200"/>
              <w:jc w:val="both"/>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kern w:val="0"/>
                <w:sz w:val="28"/>
                <w:szCs w:val="28"/>
                <w:lang w:val="en-US" w:eastAsia="zh-CN" w:bidi="ar-SA"/>
              </w:rPr>
              <w:t>（9）增值税按照《重庆市住房和城乡建设委员会关于适用增值税新税率调整建设工程计价依据的通知》（渝建〔2019〕143号）规定计算。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方正仿宋_GBK" w:hAnsi="方正仿宋_GBK"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14</w:t>
            </w:r>
          </w:p>
        </w:tc>
        <w:tc>
          <w:tcPr>
            <w:tcW w:w="1650" w:type="dxa"/>
            <w:vAlign w:val="center"/>
          </w:tcPr>
          <w:p>
            <w:pPr>
              <w:pStyle w:val="13"/>
              <w:spacing w:before="94" w:line="219"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2"/>
                <w:sz w:val="28"/>
                <w:szCs w:val="28"/>
              </w:rPr>
              <w:t>支付方式</w:t>
            </w:r>
          </w:p>
        </w:tc>
        <w:tc>
          <w:tcPr>
            <w:tcW w:w="7149" w:type="dxa"/>
            <w:vAlign w:val="center"/>
          </w:tcPr>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spacing w:val="-8"/>
                <w:kern w:val="0"/>
                <w:sz w:val="28"/>
                <w:szCs w:val="28"/>
                <w:lang w:val="en-US" w:eastAsia="zh-CN" w:bidi="ar-SA"/>
              </w:rPr>
            </w:pPr>
            <w:bookmarkStart w:id="1" w:name="_Toc70240757"/>
            <w:bookmarkStart w:id="2" w:name="_Toc108689349"/>
            <w:r>
              <w:rPr>
                <w:rFonts w:hint="eastAsia" w:ascii="Times New Roman" w:hAnsi="Times New Roman" w:eastAsia="方正仿宋_GBK" w:cs="方正仿宋_GBK"/>
                <w:snapToGrid w:val="0"/>
                <w:color w:val="000000"/>
                <w:spacing w:val="-8"/>
                <w:kern w:val="0"/>
                <w:sz w:val="28"/>
                <w:szCs w:val="28"/>
                <w:lang w:val="en-US" w:eastAsia="zh-CN" w:bidi="ar-SA"/>
              </w:rPr>
              <w:t>1.</w:t>
            </w:r>
            <w:r>
              <w:rPr>
                <w:rFonts w:hint="eastAsia" w:ascii="方正仿宋_GBK" w:hAnsi="方正仿宋_GBK" w:eastAsia="方正仿宋_GBK" w:cs="方正仿宋_GBK"/>
                <w:snapToGrid w:val="0"/>
                <w:color w:val="000000"/>
                <w:spacing w:val="-8"/>
                <w:kern w:val="0"/>
                <w:sz w:val="28"/>
                <w:szCs w:val="28"/>
                <w:lang w:val="en-US" w:eastAsia="zh-CN" w:bidi="ar-SA"/>
              </w:rPr>
              <w:t>项目完工验收合格后，承包人提交审计报告书、发票等相关资料，发包人向重庆市公共租赁房管理局申请资金后，再向承包人支付至审定金额的</w:t>
            </w:r>
            <w:r>
              <w:rPr>
                <w:rFonts w:hint="eastAsia" w:ascii="Times New Roman" w:hAnsi="Times New Roman" w:eastAsia="方正仿宋_GBK" w:cs="方正仿宋_GBK"/>
                <w:snapToGrid w:val="0"/>
                <w:color w:val="000000"/>
                <w:spacing w:val="-8"/>
                <w:kern w:val="0"/>
                <w:sz w:val="28"/>
                <w:szCs w:val="28"/>
                <w:lang w:val="en-US" w:eastAsia="zh-CN" w:bidi="ar-SA"/>
              </w:rPr>
              <w:t>97</w:t>
            </w:r>
            <w:r>
              <w:rPr>
                <w:rFonts w:hint="eastAsia" w:ascii="方正仿宋_GBK" w:hAnsi="方正仿宋_GBK" w:eastAsia="方正仿宋_GBK" w:cs="方正仿宋_GBK"/>
                <w:snapToGrid w:val="0"/>
                <w:color w:val="000000"/>
                <w:spacing w:val="-8"/>
                <w:kern w:val="0"/>
                <w:sz w:val="28"/>
                <w:szCs w:val="28"/>
                <w:lang w:val="en-US" w:eastAsia="zh-CN" w:bidi="ar-SA"/>
              </w:rPr>
              <w:t>%；</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2.</w:t>
            </w:r>
            <w:r>
              <w:rPr>
                <w:rFonts w:hint="eastAsia" w:ascii="方正仿宋_GBK" w:hAnsi="方正仿宋_GBK" w:eastAsia="方正仿宋_GBK" w:cs="方正仿宋_GBK"/>
                <w:snapToGrid w:val="0"/>
                <w:color w:val="000000"/>
                <w:spacing w:val="-8"/>
                <w:kern w:val="0"/>
                <w:sz w:val="28"/>
                <w:szCs w:val="28"/>
                <w:lang w:val="en-US" w:eastAsia="zh-CN" w:bidi="ar-SA"/>
              </w:rPr>
              <w:t>最终结算审定金额的</w:t>
            </w:r>
            <w:r>
              <w:rPr>
                <w:rFonts w:hint="eastAsia" w:ascii="Times New Roman" w:hAnsi="Times New Roman" w:eastAsia="方正仿宋_GBK" w:cs="方正仿宋_GBK"/>
                <w:snapToGrid w:val="0"/>
                <w:color w:val="000000"/>
                <w:spacing w:val="-8"/>
                <w:kern w:val="0"/>
                <w:sz w:val="28"/>
                <w:szCs w:val="28"/>
                <w:lang w:val="en-US" w:eastAsia="zh-CN" w:bidi="ar-SA"/>
              </w:rPr>
              <w:t>3</w:t>
            </w:r>
            <w:r>
              <w:rPr>
                <w:rFonts w:hint="eastAsia" w:ascii="方正仿宋_GBK" w:hAnsi="方正仿宋_GBK" w:eastAsia="方正仿宋_GBK" w:cs="方正仿宋_GBK"/>
                <w:snapToGrid w:val="0"/>
                <w:color w:val="000000"/>
                <w:spacing w:val="-8"/>
                <w:kern w:val="0"/>
                <w:sz w:val="28"/>
                <w:szCs w:val="28"/>
                <w:lang w:val="en-US" w:eastAsia="zh-CN" w:bidi="ar-SA"/>
              </w:rPr>
              <w:t>%作为质量保证金，待缺陷责任期满后且无质量缺陷</w:t>
            </w:r>
            <w:r>
              <w:rPr>
                <w:rFonts w:hint="eastAsia" w:ascii="Times New Roman" w:hAnsi="Times New Roman" w:eastAsia="方正仿宋_GBK" w:cs="方正仿宋_GBK"/>
                <w:snapToGrid w:val="0"/>
                <w:color w:val="000000"/>
                <w:spacing w:val="-8"/>
                <w:kern w:val="0"/>
                <w:sz w:val="28"/>
                <w:szCs w:val="28"/>
                <w:lang w:val="en-US" w:eastAsia="zh-CN" w:bidi="ar-SA"/>
              </w:rPr>
              <w:t>30</w:t>
            </w:r>
            <w:r>
              <w:rPr>
                <w:rFonts w:hint="eastAsia" w:ascii="方正仿宋_GBK" w:hAnsi="方正仿宋_GBK" w:eastAsia="方正仿宋_GBK" w:cs="方正仿宋_GBK"/>
                <w:snapToGrid w:val="0"/>
                <w:color w:val="000000"/>
                <w:spacing w:val="-8"/>
                <w:kern w:val="0"/>
                <w:sz w:val="28"/>
                <w:szCs w:val="28"/>
                <w:lang w:val="en-US" w:eastAsia="zh-CN" w:bidi="ar-SA"/>
              </w:rPr>
              <w:t>日内支付（工程款、质保金均不计息）。</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default" w:ascii="方正仿宋_GBK" w:hAnsi="方正仿宋_GBK" w:eastAsia="方正仿宋_GBK" w:cs="方正仿宋_GBK"/>
                <w:snapToGrid w:val="0"/>
                <w:color w:val="000000"/>
                <w:spacing w:val="-8"/>
                <w:kern w:val="0"/>
                <w:sz w:val="28"/>
                <w:szCs w:val="28"/>
                <w:highlight w:val="none"/>
                <w:lang w:val="en-US" w:eastAsia="zh-CN" w:bidi="ar-SA"/>
              </w:rPr>
            </w:pPr>
            <w:r>
              <w:rPr>
                <w:rFonts w:hint="eastAsia" w:ascii="方正仿宋_GBK" w:hAnsi="方正仿宋_GBK" w:eastAsia="方正仿宋_GBK" w:cs="方正仿宋_GBK"/>
                <w:snapToGrid w:val="0"/>
                <w:color w:val="000000"/>
                <w:spacing w:val="-8"/>
                <w:kern w:val="0"/>
                <w:sz w:val="28"/>
                <w:szCs w:val="28"/>
                <w:highlight w:val="none"/>
                <w:lang w:val="en-US" w:eastAsia="zh-CN" w:bidi="ar-SA"/>
              </w:rPr>
              <w:t>质量保证期为</w:t>
            </w:r>
            <w:r>
              <w:rPr>
                <w:rFonts w:hint="eastAsia" w:ascii="Times New Roman" w:hAnsi="Times New Roman" w:eastAsia="方正仿宋_GBK" w:cs="方正仿宋_GBK"/>
                <w:snapToGrid w:val="0"/>
                <w:color w:val="000000"/>
                <w:spacing w:val="-8"/>
                <w:kern w:val="0"/>
                <w:sz w:val="28"/>
                <w:szCs w:val="28"/>
                <w:highlight w:val="none"/>
                <w:lang w:val="en-US" w:eastAsia="zh-CN" w:bidi="ar-SA"/>
              </w:rPr>
              <w:t>2</w:t>
            </w:r>
            <w:r>
              <w:rPr>
                <w:rFonts w:hint="eastAsia" w:ascii="方正仿宋_GBK" w:hAnsi="方正仿宋_GBK" w:eastAsia="方正仿宋_GBK" w:cs="方正仿宋_GBK"/>
                <w:snapToGrid w:val="0"/>
                <w:color w:val="000000"/>
                <w:spacing w:val="-8"/>
                <w:kern w:val="0"/>
                <w:sz w:val="28"/>
                <w:szCs w:val="28"/>
                <w:highlight w:val="none"/>
                <w:lang w:val="en-US" w:eastAsia="zh-CN" w:bidi="ar-SA"/>
              </w:rPr>
              <w:t>年。</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default" w:ascii="方正仿宋_GBK" w:hAnsi="方正仿宋_GBK" w:eastAsia="方正仿宋_GBK" w:cs="方正仿宋_GBK"/>
                <w:snapToGrid w:val="0"/>
                <w:color w:val="000000"/>
                <w:spacing w:val="-8"/>
                <w:kern w:val="0"/>
                <w:sz w:val="28"/>
                <w:szCs w:val="28"/>
                <w:lang w:val="en-US" w:eastAsia="zh-CN" w:bidi="ar-SA"/>
              </w:rPr>
            </w:pPr>
            <w:r>
              <w:rPr>
                <w:rFonts w:hint="eastAsia" w:ascii="方正仿宋_GBK" w:hAnsi="方正仿宋_GBK" w:eastAsia="方正仿宋_GBK" w:cs="方正仿宋_GBK"/>
                <w:snapToGrid w:val="0"/>
                <w:color w:val="000000"/>
                <w:spacing w:val="-8"/>
                <w:kern w:val="0"/>
                <w:sz w:val="28"/>
                <w:szCs w:val="28"/>
                <w:lang w:val="en-US" w:eastAsia="zh-CN" w:bidi="ar-SA"/>
              </w:rPr>
              <w:t>承包人的开票金额并不视为发包人对应付款金额的认可，应付款金额应由发包人审核认定为准。</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spacing w:val="-8"/>
                <w:kern w:val="0"/>
                <w:sz w:val="28"/>
                <w:szCs w:val="28"/>
                <w:lang w:val="en-US" w:eastAsia="zh-CN" w:bidi="ar-SA"/>
              </w:rPr>
            </w:pPr>
            <w:r>
              <w:rPr>
                <w:rFonts w:hint="eastAsia" w:ascii="方正仿宋_GBK" w:hAnsi="方正仿宋_GBK" w:eastAsia="方正仿宋_GBK" w:cs="方正仿宋_GBK"/>
                <w:snapToGrid w:val="0"/>
                <w:color w:val="000000"/>
                <w:spacing w:val="-8"/>
                <w:kern w:val="0"/>
                <w:sz w:val="28"/>
                <w:szCs w:val="28"/>
                <w:lang w:val="en-US" w:eastAsia="zh-CN" w:bidi="ar-SA"/>
              </w:rPr>
              <w:t>本项目实行竣工结算审计制。成交供应商提供完整结算资料，采购人完成结算审计并出具审计报告。</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spacing w:val="-8"/>
                <w:kern w:val="0"/>
                <w:sz w:val="28"/>
                <w:szCs w:val="28"/>
                <w:lang w:val="en-US" w:eastAsia="zh-CN" w:bidi="ar-SA"/>
              </w:rPr>
            </w:pPr>
            <w:r>
              <w:rPr>
                <w:rFonts w:hint="eastAsia" w:ascii="方正仿宋_GBK" w:hAnsi="方正仿宋_GBK" w:eastAsia="方正仿宋_GBK" w:cs="方正仿宋_GBK"/>
                <w:snapToGrid w:val="0"/>
                <w:color w:val="000000"/>
                <w:spacing w:val="-8"/>
                <w:kern w:val="0"/>
                <w:sz w:val="28"/>
                <w:szCs w:val="28"/>
                <w:lang w:val="en-US" w:eastAsia="zh-CN" w:bidi="ar-SA"/>
              </w:rPr>
              <w:t>成交供应商应在采购人每次付款前向采购人提供采购人审核认定金额的正式税务发票，否则采购人有权拒绝支付。</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napToGrid w:val="0"/>
                <w:color w:val="000000"/>
                <w:spacing w:val="-8"/>
                <w:kern w:val="0"/>
                <w:sz w:val="28"/>
                <w:szCs w:val="28"/>
                <w:lang w:val="en-US" w:eastAsia="zh-CN" w:bidi="ar-SA"/>
              </w:rPr>
              <w:t>说明：每次付款前成交供应商须提供足额发票，均为无息支付。采购人未收到发票，有权不予支付相应款项。</w:t>
            </w:r>
            <w:bookmarkEnd w:id="1"/>
            <w:bookmarkEnd w:id="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jc w:val="center"/>
        </w:trPr>
        <w:tc>
          <w:tcPr>
            <w:tcW w:w="839" w:type="dxa"/>
            <w:tcBorders>
              <w:bottom w:val="single" w:color="auto" w:sz="4" w:space="0"/>
            </w:tcBorders>
            <w:vAlign w:val="center"/>
          </w:tcPr>
          <w:p>
            <w:pPr>
              <w:pStyle w:val="13"/>
              <w:spacing w:before="292" w:line="202" w:lineRule="exact"/>
              <w:jc w:val="center"/>
              <w:rPr>
                <w:rFonts w:hint="default" w:ascii="Times New Roman" w:hAnsi="Times New Roman"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15</w:t>
            </w:r>
          </w:p>
        </w:tc>
        <w:tc>
          <w:tcPr>
            <w:tcW w:w="1650" w:type="dxa"/>
            <w:tcBorders>
              <w:bottom w:val="single" w:color="auto" w:sz="4" w:space="0"/>
            </w:tcBorders>
            <w:vAlign w:val="center"/>
          </w:tcPr>
          <w:p>
            <w:pPr>
              <w:pStyle w:val="13"/>
              <w:spacing w:before="115" w:line="220" w:lineRule="auto"/>
              <w:jc w:val="center"/>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napToGrid w:val="0"/>
                <w:color w:val="000000"/>
                <w:kern w:val="0"/>
                <w:sz w:val="28"/>
                <w:szCs w:val="28"/>
                <w:lang w:val="en-US" w:eastAsia="zh-CN" w:bidi="ar-SA"/>
              </w:rPr>
              <w:t>质量要求</w:t>
            </w:r>
          </w:p>
        </w:tc>
        <w:tc>
          <w:tcPr>
            <w:tcW w:w="7149" w:type="dxa"/>
            <w:tcBorders>
              <w:bottom w:val="single" w:color="auto" w:sz="4" w:space="0"/>
            </w:tcBorders>
            <w:vAlign w:val="center"/>
          </w:tcPr>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1.《重庆市住房和城乡建设委员会关于印发〈重庆市危险性较大的分部分项工程安全管理实施细则（2022版）〉的通知》(渝建质安〔2022〕110号)。</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2.《外墙外保温工程技术标准》JGJ144-2019。</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3.《建筑设计防火规范》GB50016-2014（2018年版）。</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4.《公租房外墙外保温系统脱落处置工作规程》（试行）。</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5.《建筑外墙外保温系统修缮标准》JGJ376-2015。</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default"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6.渝公租房发〔2020〕28号附件-外墙外保温系统脱落应急处置规程（试行）.</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Times New Roman" w:hAnsi="Times New Roman" w:eastAsia="方正仿宋_GBK" w:cs="方正仿宋_GBK"/>
                <w:snapToGrid w:val="0"/>
                <w:color w:val="000000"/>
                <w:spacing w:val="-8"/>
                <w:kern w:val="0"/>
                <w:sz w:val="28"/>
                <w:szCs w:val="28"/>
                <w:lang w:val="en-US" w:eastAsia="zh-CN" w:bidi="ar-SA"/>
              </w:rPr>
            </w:pPr>
            <w:r>
              <w:rPr>
                <w:rFonts w:hint="eastAsia" w:ascii="Times New Roman" w:hAnsi="Times New Roman" w:eastAsia="方正仿宋_GBK" w:cs="方正仿宋_GBK"/>
                <w:snapToGrid w:val="0"/>
                <w:color w:val="000000"/>
                <w:spacing w:val="-8"/>
                <w:kern w:val="0"/>
                <w:sz w:val="28"/>
                <w:szCs w:val="28"/>
                <w:lang w:val="en-US" w:eastAsia="zh-CN" w:bidi="ar-SA"/>
              </w:rPr>
              <w:t>7.楼梯间平面图、墙身剖面、保温（范围）示意建筑竣工图。</w:t>
            </w:r>
          </w:p>
          <w:p>
            <w:pPr>
              <w:pStyle w:val="8"/>
              <w:keepNext w:val="0"/>
              <w:keepLines w:val="0"/>
              <w:widowControl/>
              <w:numPr>
                <w:ilvl w:val="0"/>
                <w:numId w:val="0"/>
              </w:numPr>
              <w:suppressLineNumbers w:val="0"/>
              <w:spacing w:before="0" w:beforeAutospacing="0" w:after="0" w:afterAutospacing="0"/>
              <w:ind w:leftChars="0" w:right="0" w:rightChars="0" w:firstLine="528" w:firstLineChars="20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Times New Roman" w:hAnsi="Times New Roman" w:eastAsia="方正仿宋_GBK" w:cs="方正仿宋_GBK"/>
                <w:snapToGrid w:val="0"/>
                <w:color w:val="000000"/>
                <w:spacing w:val="-8"/>
                <w:kern w:val="0"/>
                <w:sz w:val="28"/>
                <w:szCs w:val="28"/>
                <w:lang w:val="en-US" w:eastAsia="zh-CN" w:bidi="ar-SA"/>
              </w:rPr>
              <w:t>8.《外墙外保温工程技术规程》JGJ144-2008。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839" w:type="dxa"/>
            <w:tcBorders>
              <w:top w:val="single" w:color="auto" w:sz="4" w:space="0"/>
            </w:tcBorders>
            <w:vAlign w:val="top"/>
          </w:tcPr>
          <w:p>
            <w:pPr>
              <w:pStyle w:val="13"/>
              <w:spacing w:before="292" w:line="202" w:lineRule="exact"/>
              <w:jc w:val="center"/>
              <w:rPr>
                <w:rFonts w:hint="eastAsia" w:ascii="Times New Roman" w:hAnsi="Times New Roman"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16</w:t>
            </w:r>
          </w:p>
        </w:tc>
        <w:tc>
          <w:tcPr>
            <w:tcW w:w="1650" w:type="dxa"/>
            <w:tcBorders>
              <w:top w:val="single" w:color="auto" w:sz="4" w:space="0"/>
            </w:tcBorders>
            <w:vAlign w:val="center"/>
          </w:tcPr>
          <w:p>
            <w:pPr>
              <w:pStyle w:val="13"/>
              <w:spacing w:before="115" w:line="220"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2"/>
                <w:sz w:val="28"/>
                <w:szCs w:val="28"/>
              </w:rPr>
              <w:t>履约保证金</w:t>
            </w:r>
          </w:p>
        </w:tc>
        <w:tc>
          <w:tcPr>
            <w:tcW w:w="7149" w:type="dxa"/>
            <w:tcBorders>
              <w:top w:val="single" w:color="auto" w:sz="4" w:space="0"/>
            </w:tcBorders>
            <w:vAlign w:val="center"/>
          </w:tcPr>
          <w:p>
            <w:pPr>
              <w:pStyle w:val="13"/>
              <w:spacing w:before="115" w:line="220" w:lineRule="auto"/>
              <w:ind w:left="133" w:leftChars="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z w:val="28"/>
                <w:szCs w:val="2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Times New Roman" w:hAnsi="Times New Roman"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17</w:t>
            </w:r>
          </w:p>
        </w:tc>
        <w:tc>
          <w:tcPr>
            <w:tcW w:w="1650" w:type="dxa"/>
            <w:vAlign w:val="center"/>
          </w:tcPr>
          <w:p>
            <w:pPr>
              <w:pStyle w:val="13"/>
              <w:spacing w:before="156" w:line="265" w:lineRule="auto"/>
              <w:ind w:right="354" w:rightChars="0"/>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2"/>
                <w:sz w:val="28"/>
                <w:szCs w:val="28"/>
              </w:rPr>
              <w:t>投标保证金</w:t>
            </w:r>
            <w:r>
              <w:rPr>
                <w:rFonts w:hint="eastAsia" w:ascii="方正仿宋_GBK" w:hAnsi="方正仿宋_GBK" w:eastAsia="方正仿宋_GBK" w:cs="方正仿宋_GBK"/>
                <w:spacing w:val="15"/>
                <w:sz w:val="28"/>
                <w:szCs w:val="28"/>
              </w:rPr>
              <w:t>(万元)</w:t>
            </w:r>
          </w:p>
        </w:tc>
        <w:tc>
          <w:tcPr>
            <w:tcW w:w="7149" w:type="dxa"/>
            <w:vAlign w:val="center"/>
          </w:tcPr>
          <w:p>
            <w:pPr>
              <w:pStyle w:val="13"/>
              <w:spacing w:before="94" w:line="220" w:lineRule="auto"/>
              <w:ind w:left="133" w:leftChars="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z w:val="28"/>
                <w:szCs w:val="2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Times New Roman" w:hAnsi="Times New Roman"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18</w:t>
            </w:r>
          </w:p>
        </w:tc>
        <w:tc>
          <w:tcPr>
            <w:tcW w:w="1650" w:type="dxa"/>
            <w:vAlign w:val="center"/>
          </w:tcPr>
          <w:p>
            <w:pPr>
              <w:pStyle w:val="13"/>
              <w:spacing w:before="276" w:line="220"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3"/>
                <w:sz w:val="28"/>
                <w:szCs w:val="28"/>
              </w:rPr>
              <w:t>是否分包</w:t>
            </w:r>
          </w:p>
        </w:tc>
        <w:tc>
          <w:tcPr>
            <w:tcW w:w="7149" w:type="dxa"/>
            <w:vAlign w:val="center"/>
          </w:tcPr>
          <w:p>
            <w:pPr>
              <w:pStyle w:val="13"/>
              <w:spacing w:before="276" w:line="219" w:lineRule="auto"/>
              <w:ind w:left="133" w:leftChars="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2"/>
                <w:sz w:val="28"/>
                <w:szCs w:val="28"/>
              </w:rPr>
              <w:t>不允许分包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Times New Roman" w:hAnsi="Times New Roman"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19</w:t>
            </w:r>
          </w:p>
        </w:tc>
        <w:tc>
          <w:tcPr>
            <w:tcW w:w="1650" w:type="dxa"/>
            <w:vAlign w:val="center"/>
          </w:tcPr>
          <w:p>
            <w:pPr>
              <w:pStyle w:val="13"/>
              <w:spacing w:before="95" w:line="220"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3"/>
                <w:sz w:val="28"/>
                <w:szCs w:val="28"/>
              </w:rPr>
              <w:t>其他要求</w:t>
            </w:r>
          </w:p>
        </w:tc>
        <w:tc>
          <w:tcPr>
            <w:tcW w:w="7149" w:type="dxa"/>
            <w:vAlign w:val="center"/>
          </w:tcPr>
          <w:p>
            <w:pPr>
              <w:pStyle w:val="13"/>
              <w:spacing w:before="39" w:line="199" w:lineRule="auto"/>
              <w:ind w:left="137" w:leftChars="0"/>
              <w:jc w:val="left"/>
              <w:rPr>
                <w:rFonts w:hint="eastAsia" w:ascii="方正仿宋_GBK" w:hAnsi="方正仿宋_GBK" w:eastAsia="方正仿宋_GBK" w:cs="方正仿宋_GBK"/>
                <w:snapToGrid w:val="0"/>
                <w:color w:val="000000"/>
                <w:kern w:val="0"/>
                <w:sz w:val="28"/>
                <w:szCs w:val="28"/>
                <w:lang w:val="en-US" w:eastAsia="zh-CN" w:bidi="ar-SA"/>
              </w:rPr>
            </w:pPr>
            <w:r>
              <w:rPr>
                <w:rFonts w:hint="eastAsia" w:ascii="方正仿宋_GBK" w:hAnsi="方正仿宋_GBK" w:eastAsia="方正仿宋_GBK" w:cs="方正仿宋_GBK"/>
                <w:spacing w:val="-8"/>
                <w:sz w:val="28"/>
                <w:szCs w:val="28"/>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839" w:type="dxa"/>
            <w:vAlign w:val="center"/>
          </w:tcPr>
          <w:p>
            <w:pPr>
              <w:pStyle w:val="13"/>
              <w:spacing w:before="292" w:line="202" w:lineRule="exact"/>
              <w:jc w:val="center"/>
              <w:rPr>
                <w:rFonts w:hint="default" w:ascii="方正仿宋_GBK" w:hAnsi="方正仿宋_GBK" w:eastAsia="方正仿宋_GBK" w:cs="方正仿宋_GBK"/>
                <w:spacing w:val="-8"/>
                <w:position w:val="-4"/>
                <w:sz w:val="28"/>
                <w:szCs w:val="28"/>
                <w:lang w:val="en-US" w:eastAsia="zh-CN"/>
              </w:rPr>
            </w:pPr>
            <w:r>
              <w:rPr>
                <w:rFonts w:hint="eastAsia" w:ascii="Times New Roman" w:hAnsi="Times New Roman" w:eastAsia="方正仿宋_GBK" w:cs="方正仿宋_GBK"/>
                <w:spacing w:val="-8"/>
                <w:position w:val="-4"/>
                <w:sz w:val="28"/>
                <w:szCs w:val="28"/>
                <w:lang w:val="en-US" w:eastAsia="zh-CN"/>
              </w:rPr>
              <w:t>19</w:t>
            </w:r>
          </w:p>
        </w:tc>
        <w:tc>
          <w:tcPr>
            <w:tcW w:w="1650" w:type="dxa"/>
            <w:vAlign w:val="center"/>
          </w:tcPr>
          <w:p>
            <w:pPr>
              <w:pStyle w:val="13"/>
              <w:spacing w:before="94" w:line="219" w:lineRule="auto"/>
              <w:jc w:val="center"/>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3"/>
                <w:sz w:val="28"/>
                <w:szCs w:val="28"/>
              </w:rPr>
              <w:t>违约责任</w:t>
            </w:r>
          </w:p>
        </w:tc>
        <w:tc>
          <w:tcPr>
            <w:tcW w:w="7149" w:type="dxa"/>
            <w:vAlign w:val="center"/>
          </w:tcPr>
          <w:p>
            <w:pPr>
              <w:pStyle w:val="13"/>
              <w:spacing w:before="51" w:line="272" w:lineRule="auto"/>
              <w:ind w:left="93" w:leftChars="0" w:firstLine="19" w:firstLineChars="0"/>
              <w:jc w:val="left"/>
              <w:rPr>
                <w:rFonts w:hint="eastAsia" w:ascii="方正仿宋_GBK" w:hAnsi="方正仿宋_GBK" w:eastAsia="方正仿宋_GBK" w:cs="方正仿宋_GBK"/>
                <w:snapToGrid w:val="0"/>
                <w:color w:val="000000"/>
                <w:kern w:val="0"/>
                <w:sz w:val="28"/>
                <w:szCs w:val="28"/>
                <w:lang w:val="en-US" w:eastAsia="en-US" w:bidi="ar-SA"/>
              </w:rPr>
            </w:pPr>
            <w:r>
              <w:rPr>
                <w:rFonts w:hint="eastAsia" w:ascii="方正仿宋_GBK" w:hAnsi="方正仿宋_GBK" w:eastAsia="方正仿宋_GBK" w:cs="方正仿宋_GBK"/>
                <w:spacing w:val="-8"/>
                <w:sz w:val="28"/>
                <w:szCs w:val="28"/>
              </w:rPr>
              <w:t>在合同约定工期内或因成交人原因未能完成</w:t>
            </w:r>
            <w:r>
              <w:rPr>
                <w:rFonts w:hint="eastAsia" w:ascii="方正仿宋_GBK" w:hAnsi="方正仿宋_GBK" w:eastAsia="方正仿宋_GBK" w:cs="方正仿宋_GBK"/>
                <w:spacing w:val="-8"/>
                <w:sz w:val="28"/>
                <w:szCs w:val="28"/>
                <w:lang w:eastAsia="zh-CN"/>
              </w:rPr>
              <w:t>施工</w:t>
            </w:r>
            <w:r>
              <w:rPr>
                <w:rFonts w:hint="eastAsia" w:ascii="方正仿宋_GBK" w:hAnsi="方正仿宋_GBK" w:eastAsia="方正仿宋_GBK" w:cs="方正仿宋_GBK"/>
                <w:spacing w:val="-8"/>
                <w:sz w:val="28"/>
                <w:szCs w:val="28"/>
              </w:rPr>
              <w:t>，</w:t>
            </w:r>
            <w:r>
              <w:rPr>
                <w:rFonts w:hint="eastAsia" w:ascii="方正仿宋_GBK" w:hAnsi="方正仿宋_GBK" w:eastAsia="方正仿宋_GBK" w:cs="方正仿宋_GBK"/>
                <w:spacing w:val="-8"/>
                <w:sz w:val="28"/>
                <w:szCs w:val="28"/>
                <w:lang w:eastAsia="zh-CN"/>
              </w:rPr>
              <w:t>应</w:t>
            </w:r>
            <w:r>
              <w:rPr>
                <w:rFonts w:hint="eastAsia" w:ascii="方正仿宋_GBK" w:hAnsi="方正仿宋_GBK" w:eastAsia="方正仿宋_GBK" w:cs="方正仿宋_GBK"/>
                <w:spacing w:val="-10"/>
                <w:sz w:val="28"/>
                <w:szCs w:val="28"/>
              </w:rPr>
              <w:t>赔偿因成交人未能完成造成采</w:t>
            </w:r>
            <w:r>
              <w:rPr>
                <w:rFonts w:hint="eastAsia" w:ascii="方正仿宋_GBK" w:hAnsi="方正仿宋_GBK" w:eastAsia="方正仿宋_GBK" w:cs="方正仿宋_GBK"/>
                <w:spacing w:val="-2"/>
                <w:sz w:val="28"/>
                <w:szCs w:val="28"/>
              </w:rPr>
              <w:t>购人后续施工延期带来的经济损失。</w:t>
            </w:r>
          </w:p>
        </w:tc>
      </w:tr>
    </w:tbl>
    <w:p>
      <w:pPr>
        <w:spacing w:line="120" w:lineRule="exact"/>
        <w:rPr>
          <w:rFonts w:hint="eastAsia" w:ascii="方正仿宋_GBK" w:hAnsi="方正仿宋_GBK" w:eastAsia="方正仿宋_GBK" w:cs="方正仿宋_GBK"/>
          <w:sz w:val="28"/>
          <w:szCs w:val="28"/>
        </w:rPr>
        <w:sectPr>
          <w:footerReference r:id="rId8" w:type="default"/>
          <w:pgSz w:w="12160" w:h="17000"/>
          <w:pgMar w:top="1445" w:right="902" w:bottom="1524" w:left="1614" w:header="0" w:footer="1306" w:gutter="0"/>
          <w:pgNumType w:fmt="decimal"/>
          <w:cols w:space="720" w:num="1"/>
        </w:sectPr>
      </w:pP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121" w:line="580" w:lineRule="exact"/>
        <w:ind w:firstLine="360" w:firstLineChars="100"/>
        <w:textAlignment w:val="baseline"/>
        <w:outlineLvl w:val="6"/>
        <w:rPr>
          <w:rFonts w:hint="eastAsia" w:ascii="方正黑体_GBK" w:hAnsi="方正黑体_GBK" w:eastAsia="方正黑体_GBK" w:cs="方正黑体_GBK"/>
          <w:spacing w:val="4"/>
          <w:sz w:val="32"/>
          <w:szCs w:val="32"/>
          <w:lang w:val="en-US" w:eastAsia="zh-CN"/>
        </w:rPr>
      </w:pPr>
      <w:r>
        <w:rPr>
          <w:rFonts w:hint="eastAsia" w:ascii="方正黑体_GBK" w:hAnsi="方正黑体_GBK" w:eastAsia="方正黑体_GBK" w:cs="方正黑体_GBK"/>
          <w:b w:val="0"/>
          <w:bCs w:val="0"/>
          <w:sz w:val="36"/>
          <w:szCs w:val="36"/>
          <w:lang w:val="en-US" w:eastAsia="zh-CN"/>
        </w:rPr>
        <w:t>二、</w:t>
      </w:r>
      <w:r>
        <w:rPr>
          <w:rFonts w:hint="eastAsia" w:ascii="方正黑体_GBK" w:hAnsi="方正黑体_GBK" w:eastAsia="方正黑体_GBK" w:cs="方正黑体_GBK"/>
          <w:b w:val="0"/>
          <w:bCs w:val="0"/>
          <w:sz w:val="36"/>
          <w:szCs w:val="36"/>
          <w:lang w:eastAsia="zh-CN"/>
        </w:rPr>
        <w:t>竞争性谈判</w:t>
      </w:r>
      <w:r>
        <w:rPr>
          <w:rFonts w:hint="eastAsia" w:ascii="方正黑体_GBK" w:hAnsi="方正黑体_GBK" w:eastAsia="方正黑体_GBK" w:cs="方正黑体_GBK"/>
          <w:b w:val="0"/>
          <w:bCs w:val="0"/>
          <w:sz w:val="36"/>
          <w:szCs w:val="36"/>
        </w:rPr>
        <w:t>有关说明</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8" w:rightChars="0" w:firstLine="328" w:firstLineChars="100"/>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（一）竞标人须满足以下要件，其响应文件才被接受：</w:t>
      </w:r>
    </w:p>
    <w:p>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37" w:line="580" w:lineRule="exact"/>
        <w:ind w:left="672" w:leftChars="0" w:right="138" w:rightChars="0" w:firstLine="0" w:firstLineChars="0"/>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按时递交了响应文件；</w:t>
      </w:r>
    </w:p>
    <w:p>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37" w:line="580" w:lineRule="exact"/>
        <w:ind w:left="672" w:leftChars="0" w:right="138" w:rightChars="0" w:firstLine="0" w:firstLineChars="0"/>
        <w:textAlignment w:val="baseline"/>
        <w:rPr>
          <w:rFonts w:hint="default"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响应文件按照竞争性谈判文件要求进行密封；</w:t>
      </w:r>
    </w:p>
    <w:p>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37" w:line="580" w:lineRule="exact"/>
        <w:ind w:left="672" w:leftChars="0" w:right="138" w:rightChars="0" w:firstLine="0" w:firstLineChars="0"/>
        <w:textAlignment w:val="baseline"/>
        <w:rPr>
          <w:rFonts w:hint="default"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按时报名签到</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8" w:rightChars="0" w:firstLine="328" w:firstLineChars="100"/>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（二）竞争性谈判公告期限：自采购公告发布之日（2026年7月31日）起三个工作日。</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（三）报名方式：在谈判文件公告提供期限内（2026年7月31日——2026年8月5日17:00），供应商将《报名登记表》加盖供应商公章，扫描后发送747990303@qq.com，按要求发送邮箱后方才获取成功。</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8" w:rightChars="0" w:firstLine="328" w:firstLineChars="100"/>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（四）谈判地点：大渡口区住房和城乡建设委员会一楼六会议室（大渡口区松青路88号）</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（五）提交响应文件开始时间：2026年8月6日北京时间9:30</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（六）响应文件递交截止时间：2026年8月6日北京时间10:00</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（七）谈判开始时间：2026年8月6日北京时间10:00</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（八）联系方式</w:t>
      </w:r>
    </w:p>
    <w:p>
      <w:pPr>
        <w:pStyle w:val="2"/>
        <w:keepNext w:val="0"/>
        <w:keepLines w:val="0"/>
        <w:pageBreakBefore w:val="0"/>
        <w:widowControl/>
        <w:kinsoku w:val="0"/>
        <w:wordWrap/>
        <w:overflowPunct/>
        <w:topLinePunct w:val="0"/>
        <w:autoSpaceDE w:val="0"/>
        <w:autoSpaceDN w:val="0"/>
        <w:bidi w:val="0"/>
        <w:adjustRightInd w:val="0"/>
        <w:snapToGrid w:val="0"/>
        <w:spacing w:before="21" w:line="580" w:lineRule="exact"/>
        <w:ind w:right="69" w:firstLine="680" w:firstLineChars="200"/>
        <w:textAlignment w:val="baseline"/>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采购人：重庆市大渡口区住房和城乡建设委员会</w:t>
      </w:r>
    </w:p>
    <w:p>
      <w:pPr>
        <w:pStyle w:val="2"/>
        <w:keepNext w:val="0"/>
        <w:keepLines w:val="0"/>
        <w:pageBreakBefore w:val="0"/>
        <w:widowControl/>
        <w:kinsoku w:val="0"/>
        <w:wordWrap/>
        <w:overflowPunct/>
        <w:topLinePunct w:val="0"/>
        <w:autoSpaceDE w:val="0"/>
        <w:autoSpaceDN w:val="0"/>
        <w:bidi w:val="0"/>
        <w:adjustRightInd w:val="0"/>
        <w:snapToGrid w:val="0"/>
        <w:spacing w:before="21" w:line="580" w:lineRule="exact"/>
        <w:ind w:right="69" w:firstLine="629"/>
        <w:textAlignment w:val="baseline"/>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联系人：高老师</w:t>
      </w:r>
    </w:p>
    <w:p>
      <w:pPr>
        <w:pStyle w:val="2"/>
        <w:keepNext w:val="0"/>
        <w:keepLines w:val="0"/>
        <w:pageBreakBefore w:val="0"/>
        <w:widowControl/>
        <w:kinsoku w:val="0"/>
        <w:wordWrap/>
        <w:overflowPunct/>
        <w:topLinePunct w:val="0"/>
        <w:autoSpaceDE w:val="0"/>
        <w:autoSpaceDN w:val="0"/>
        <w:bidi w:val="0"/>
        <w:adjustRightInd w:val="0"/>
        <w:snapToGrid w:val="0"/>
        <w:spacing w:before="21" w:line="580" w:lineRule="exact"/>
        <w:ind w:right="69" w:firstLine="629"/>
        <w:textAlignment w:val="baseline"/>
        <w:rPr>
          <w:rFonts w:hint="default" w:ascii="方正仿宋_GBK" w:hAnsi="方正仿宋_GBK" w:eastAsia="方正仿宋_GBK" w:cs="方正仿宋_GBK"/>
          <w:spacing w:val="10"/>
          <w:sz w:val="32"/>
          <w:szCs w:val="32"/>
          <w:lang w:val="en-US" w:eastAsia="zh-CN"/>
        </w:rPr>
      </w:pPr>
      <w:r>
        <w:rPr>
          <w:rFonts w:hint="eastAsia" w:ascii="方正仿宋_GBK" w:hAnsi="方正仿宋_GBK" w:eastAsia="方正仿宋_GBK" w:cs="方正仿宋_GBK"/>
          <w:spacing w:val="10"/>
          <w:sz w:val="32"/>
          <w:szCs w:val="32"/>
        </w:rPr>
        <w:t>电  话：</w:t>
      </w:r>
      <w:r>
        <w:rPr>
          <w:rFonts w:hint="eastAsia" w:ascii="方正仿宋_GBK" w:hAnsi="方正仿宋_GBK" w:eastAsia="方正仿宋_GBK" w:cs="方正仿宋_GBK"/>
          <w:spacing w:val="4"/>
          <w:sz w:val="32"/>
          <w:szCs w:val="32"/>
          <w:lang w:val="en-US" w:eastAsia="zh-CN"/>
        </w:rPr>
        <w:t>023</w:t>
      </w:r>
      <w:r>
        <w:rPr>
          <w:rFonts w:hint="eastAsia" w:ascii="方正仿宋_GBK" w:hAnsi="方正仿宋_GBK" w:eastAsia="方正仿宋_GBK" w:cs="方正仿宋_GBK"/>
          <w:spacing w:val="10"/>
          <w:sz w:val="32"/>
          <w:szCs w:val="32"/>
        </w:rPr>
        <w:t>-</w:t>
      </w:r>
      <w:r>
        <w:rPr>
          <w:rFonts w:hint="eastAsia" w:ascii="方正仿宋_GBK" w:hAnsi="方正仿宋_GBK" w:eastAsia="方正仿宋_GBK" w:cs="方正仿宋_GBK"/>
          <w:spacing w:val="10"/>
          <w:sz w:val="32"/>
          <w:szCs w:val="32"/>
          <w:lang w:val="en-US" w:eastAsia="zh-CN"/>
        </w:rPr>
        <w:t>68083727</w:t>
      </w:r>
    </w:p>
    <w:p>
      <w:pPr>
        <w:pStyle w:val="2"/>
        <w:keepNext w:val="0"/>
        <w:keepLines w:val="0"/>
        <w:pageBreakBefore w:val="0"/>
        <w:widowControl/>
        <w:kinsoku w:val="0"/>
        <w:wordWrap/>
        <w:overflowPunct/>
        <w:topLinePunct w:val="0"/>
        <w:autoSpaceDE w:val="0"/>
        <w:autoSpaceDN w:val="0"/>
        <w:bidi w:val="0"/>
        <w:adjustRightInd w:val="0"/>
        <w:snapToGrid w:val="0"/>
        <w:spacing w:before="21" w:line="580" w:lineRule="exact"/>
        <w:ind w:right="69" w:firstLine="629"/>
        <w:textAlignment w:val="baseline"/>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地  址：</w:t>
      </w:r>
      <w:r>
        <w:rPr>
          <w:rFonts w:hint="eastAsia" w:ascii="方正仿宋_GBK" w:hAnsi="方正仿宋_GBK" w:eastAsia="方正仿宋_GBK" w:cs="方正仿宋_GBK"/>
          <w:spacing w:val="10"/>
          <w:sz w:val="32"/>
          <w:szCs w:val="32"/>
          <w:highlight w:val="none"/>
        </w:rPr>
        <w:t>重庆市大渡口区松青路</w:t>
      </w:r>
      <w:r>
        <w:rPr>
          <w:rFonts w:hint="eastAsia" w:ascii="Times New Roman" w:hAnsi="Times New Roman" w:eastAsia="方正仿宋_GBK" w:cs="方正仿宋_GBK"/>
          <w:spacing w:val="10"/>
          <w:sz w:val="32"/>
          <w:szCs w:val="32"/>
          <w:highlight w:val="none"/>
        </w:rPr>
        <w:t>88</w:t>
      </w:r>
      <w:r>
        <w:rPr>
          <w:rFonts w:hint="eastAsia" w:ascii="方正仿宋_GBK" w:hAnsi="方正仿宋_GBK" w:eastAsia="方正仿宋_GBK" w:cs="方正仿宋_GBK"/>
          <w:spacing w:val="10"/>
          <w:sz w:val="32"/>
          <w:szCs w:val="32"/>
          <w:highlight w:val="none"/>
        </w:rPr>
        <w:t>号</w:t>
      </w:r>
    </w:p>
    <w:p>
      <w:pPr>
        <w:pStyle w:val="2"/>
        <w:rPr>
          <w:rFonts w:hint="eastAsia"/>
        </w:rPr>
      </w:pPr>
    </w:p>
    <w:p>
      <w:pPr>
        <w:pStyle w:val="2"/>
        <w:numPr>
          <w:ilvl w:val="0"/>
          <w:numId w:val="2"/>
        </w:numPr>
        <w:spacing w:before="21" w:line="224" w:lineRule="auto"/>
        <w:ind w:right="69"/>
        <w:jc w:val="center"/>
        <w:rPr>
          <w:rFonts w:hint="eastAsia" w:ascii="方正小标宋_GBK" w:hAnsi="方正小标宋_GBK" w:eastAsia="方正小标宋_GBK" w:cs="方正小标宋_GBK"/>
          <w:spacing w:val="10"/>
          <w:sz w:val="44"/>
          <w:szCs w:val="44"/>
        </w:rPr>
      </w:pPr>
      <w:r>
        <w:rPr>
          <w:rFonts w:hint="eastAsia" w:ascii="方正小标宋_GBK" w:hAnsi="方正小标宋_GBK" w:eastAsia="方正小标宋_GBK" w:cs="方正小标宋_GBK"/>
          <w:spacing w:val="10"/>
          <w:sz w:val="44"/>
          <w:szCs w:val="44"/>
        </w:rPr>
        <w:t>评标</w:t>
      </w:r>
    </w:p>
    <w:p>
      <w:pPr>
        <w:pStyle w:val="2"/>
        <w:numPr>
          <w:ilvl w:val="0"/>
          <w:numId w:val="0"/>
        </w:numPr>
        <w:spacing w:before="21" w:line="224" w:lineRule="auto"/>
        <w:ind w:right="69" w:rightChars="0"/>
        <w:jc w:val="both"/>
        <w:rPr>
          <w:rFonts w:hint="eastAsia" w:ascii="方正黑体_GBK" w:hAnsi="方正黑体_GBK" w:eastAsia="方正黑体_GBK" w:cs="方正黑体_GBK"/>
          <w:spacing w:val="10"/>
          <w:sz w:val="32"/>
          <w:szCs w:val="32"/>
        </w:rPr>
      </w:pP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黑体_GBK" w:hAnsi="方正黑体_GBK" w:eastAsia="方正黑体_GBK" w:cs="方正黑体_GBK"/>
          <w:spacing w:val="4"/>
          <w:sz w:val="32"/>
          <w:szCs w:val="32"/>
          <w:lang w:val="en-US" w:eastAsia="zh-CN"/>
        </w:rPr>
      </w:pPr>
      <w:r>
        <w:rPr>
          <w:rFonts w:hint="eastAsia" w:ascii="方正黑体_GBK" w:hAnsi="方正黑体_GBK" w:eastAsia="方正黑体_GBK" w:cs="方正黑体_GBK"/>
          <w:spacing w:val="4"/>
          <w:sz w:val="32"/>
          <w:szCs w:val="32"/>
          <w:lang w:val="en-US" w:eastAsia="zh-CN"/>
        </w:rPr>
        <w:t>一、竞争性谈判小组组成</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由采购人组成3人及以上的单数谈判小组。</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黑体_GBK" w:hAnsi="方正黑体_GBK" w:eastAsia="方正黑体_GBK" w:cs="方正黑体_GBK"/>
          <w:spacing w:val="4"/>
          <w:sz w:val="32"/>
          <w:szCs w:val="32"/>
          <w:lang w:val="en-US" w:eastAsia="zh-CN"/>
        </w:rPr>
      </w:pPr>
      <w:r>
        <w:rPr>
          <w:rFonts w:hint="eastAsia" w:ascii="方正黑体_GBK" w:hAnsi="方正黑体_GBK" w:eastAsia="方正黑体_GBK" w:cs="方正黑体_GBK"/>
          <w:spacing w:val="4"/>
          <w:sz w:val="32"/>
          <w:szCs w:val="32"/>
          <w:lang w:val="en-US" w:eastAsia="zh-CN"/>
        </w:rPr>
        <w:t>二、竞争性谈判办法</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本次竞争性谈判采用二次报价的方式确定成交人，最后成交价以第二次报价为准。</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黑体_GBK" w:hAnsi="方正黑体_GBK" w:eastAsia="方正黑体_GBK" w:cs="方正黑体_GBK"/>
          <w:spacing w:val="4"/>
          <w:sz w:val="32"/>
          <w:szCs w:val="32"/>
          <w:lang w:val="en-US" w:eastAsia="zh-CN"/>
        </w:rPr>
      </w:pPr>
      <w:r>
        <w:rPr>
          <w:rFonts w:hint="eastAsia" w:ascii="方正黑体_GBK" w:hAnsi="方正黑体_GBK" w:eastAsia="方正黑体_GBK" w:cs="方正黑体_GBK"/>
          <w:spacing w:val="4"/>
          <w:sz w:val="32"/>
          <w:szCs w:val="32"/>
          <w:lang w:val="en-US" w:eastAsia="zh-CN"/>
        </w:rPr>
        <w:t>三、竞争性谈判结果</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竞争性谈判小组根据竞标人报价结果选取前1名为中标候选人，由采购人在行采家进行公示，公示期为3日。</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黑体_GBK" w:hAnsi="方正黑体_GBK" w:eastAsia="方正黑体_GBK" w:cs="方正黑体_GBK"/>
          <w:spacing w:val="4"/>
          <w:sz w:val="32"/>
          <w:szCs w:val="32"/>
          <w:lang w:val="en-US" w:eastAsia="zh-CN"/>
        </w:rPr>
      </w:pPr>
      <w:r>
        <w:rPr>
          <w:rFonts w:hint="eastAsia" w:ascii="方正黑体_GBK" w:hAnsi="方正黑体_GBK" w:eastAsia="方正黑体_GBK" w:cs="方正黑体_GBK"/>
          <w:spacing w:val="4"/>
          <w:sz w:val="32"/>
          <w:szCs w:val="32"/>
          <w:lang w:val="en-US" w:eastAsia="zh-CN"/>
        </w:rPr>
        <w:t>四、签订合同</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37" w:line="580" w:lineRule="exact"/>
        <w:ind w:right="136" w:rightChars="0" w:firstLine="328" w:firstLineChars="100"/>
        <w:jc w:val="left"/>
        <w:textAlignment w:val="baseline"/>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公示期结束后，竞标人在3日内向采购人领取成交通知书，成交通知书领取后7日内，采购人与成交人签订合同，合同条款按照本次采购文件执行，不做修改，本次采购文件中未明确的条款按照重庆市合同范本执行。如成交人未按时领取成交通知书或未按时与采购人签订合同，则采购人有权取消成交人中标资格，由第二中标候选人递补，如第二中标候选人也未按时履约，则采购人将重新组织采购。</w:t>
      </w:r>
    </w:p>
    <w:p>
      <w:pPr>
        <w:rPr>
          <w:b/>
          <w:bCs/>
          <w:spacing w:val="18"/>
          <w:sz w:val="31"/>
          <w:szCs w:val="31"/>
        </w:rPr>
      </w:pPr>
    </w:p>
    <w:p>
      <w:pPr>
        <w:rPr>
          <w:b/>
          <w:bCs/>
          <w:spacing w:val="18"/>
          <w:sz w:val="31"/>
          <w:szCs w:val="31"/>
        </w:rPr>
      </w:pPr>
    </w:p>
    <w:p>
      <w:pPr>
        <w:rPr>
          <w:b/>
          <w:bCs/>
          <w:spacing w:val="18"/>
          <w:sz w:val="31"/>
          <w:szCs w:val="31"/>
        </w:rPr>
      </w:pPr>
    </w:p>
    <w:p>
      <w:pPr>
        <w:rPr>
          <w:b/>
          <w:bCs/>
          <w:spacing w:val="18"/>
          <w:sz w:val="31"/>
          <w:szCs w:val="31"/>
        </w:rPr>
      </w:pPr>
    </w:p>
    <w:p>
      <w:pPr>
        <w:rPr>
          <w:b/>
          <w:bCs/>
          <w:spacing w:val="18"/>
          <w:sz w:val="31"/>
          <w:szCs w:val="31"/>
        </w:rPr>
      </w:pPr>
    </w:p>
    <w:p>
      <w:pPr>
        <w:pStyle w:val="2"/>
        <w:rPr>
          <w:b/>
          <w:bCs/>
          <w:spacing w:val="18"/>
          <w:sz w:val="31"/>
          <w:szCs w:val="31"/>
        </w:rPr>
      </w:pPr>
    </w:p>
    <w:p>
      <w:pPr>
        <w:jc w:val="center"/>
        <w:rPr>
          <w:rFonts w:hint="eastAsia" w:ascii="方正黑体_GBK" w:hAnsi="方正黑体_GBK" w:eastAsia="方正黑体_GBK" w:cs="方正黑体_GBK"/>
          <w:snapToGrid w:val="0"/>
          <w:color w:val="000000"/>
          <w:spacing w:val="10"/>
          <w:kern w:val="0"/>
          <w:sz w:val="44"/>
          <w:szCs w:val="44"/>
          <w:lang w:val="en-US" w:eastAsia="zh-CN" w:bidi="ar-SA"/>
        </w:rPr>
      </w:pPr>
      <w:bookmarkStart w:id="3" w:name="_Toc54548367"/>
      <w:r>
        <w:rPr>
          <w:rFonts w:hint="eastAsia" w:ascii="方正黑体_GBK" w:hAnsi="方正黑体_GBK" w:eastAsia="方正黑体_GBK" w:cs="方正黑体_GBK"/>
          <w:snapToGrid w:val="0"/>
          <w:color w:val="000000"/>
          <w:spacing w:val="10"/>
          <w:kern w:val="0"/>
          <w:sz w:val="44"/>
          <w:szCs w:val="44"/>
          <w:lang w:val="en-US" w:eastAsia="en-US" w:bidi="ar-SA"/>
        </w:rPr>
        <w:t>第</w:t>
      </w:r>
      <w:r>
        <w:rPr>
          <w:rFonts w:hint="eastAsia" w:ascii="方正黑体_GBK" w:hAnsi="方正黑体_GBK" w:eastAsia="方正黑体_GBK" w:cs="方正黑体_GBK"/>
          <w:snapToGrid w:val="0"/>
          <w:color w:val="000000"/>
          <w:spacing w:val="10"/>
          <w:kern w:val="0"/>
          <w:sz w:val="44"/>
          <w:szCs w:val="44"/>
          <w:lang w:val="en-US" w:eastAsia="zh-CN" w:bidi="ar-SA"/>
        </w:rPr>
        <w:t>三篇</w:t>
      </w:r>
      <w:r>
        <w:rPr>
          <w:rFonts w:hint="eastAsia" w:ascii="方正黑体_GBK" w:hAnsi="方正黑体_GBK" w:eastAsia="方正黑体_GBK" w:cs="方正黑体_GBK"/>
          <w:snapToGrid w:val="0"/>
          <w:color w:val="000000"/>
          <w:spacing w:val="10"/>
          <w:kern w:val="0"/>
          <w:sz w:val="44"/>
          <w:szCs w:val="44"/>
          <w:lang w:val="en-US" w:eastAsia="en-US" w:bidi="ar-SA"/>
        </w:rPr>
        <w:t xml:space="preserve"> 合同及合同格式</w:t>
      </w:r>
      <w:bookmarkEnd w:id="3"/>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sz w:val="36"/>
          <w:szCs w:val="36"/>
          <w:lang w:val="en-US" w:eastAsia="zh-CN"/>
        </w:rPr>
      </w:pP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sz w:val="36"/>
          <w:szCs w:val="36"/>
          <w:lang w:val="en-US" w:eastAsia="zh-CN"/>
        </w:rPr>
      </w:pP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lang w:val="en-US" w:eastAsia="zh-CN"/>
        </w:rPr>
        <w:t>幸福华庭A、C、D组团外墙保温系统脱落</w:t>
      </w: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36"/>
          <w:szCs w:val="36"/>
          <w:lang w:val="en-US" w:eastAsia="zh-CN"/>
        </w:rPr>
        <w:t>应急维修项目工程合同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甲方（发包人）：重庆市大渡口区住房和城乡建设委员会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法定代表人：左立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联系人：高华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联系电话：</w:t>
      </w:r>
      <w:r>
        <w:rPr>
          <w:rFonts w:hint="eastAsia" w:ascii="Times New Roman" w:hAnsi="Times New Roman" w:eastAsia="方正仿宋_GBK" w:cs="方正仿宋_GBK"/>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联系地址：重庆市大渡口区松青路</w:t>
      </w:r>
      <w:r>
        <w:rPr>
          <w:rFonts w:hint="eastAsia" w:ascii="Times New Roman" w:hAnsi="Times New Roman" w:eastAsia="方正仿宋_GBK" w:cs="方正仿宋_GBK"/>
          <w:sz w:val="28"/>
          <w:szCs w:val="28"/>
          <w:lang w:val="en-US" w:eastAsia="zh-CN"/>
        </w:rPr>
        <w:t>88</w:t>
      </w:r>
      <w:r>
        <w:rPr>
          <w:rFonts w:hint="eastAsia" w:ascii="方正仿宋_GBK" w:hAnsi="方正仿宋_GBK" w:eastAsia="方正仿宋_GBK" w:cs="方正仿宋_GBK"/>
          <w:sz w:val="28"/>
          <w:szCs w:val="28"/>
          <w:lang w:val="en-US" w:eastAsia="zh-CN"/>
        </w:rPr>
        <w:t>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乙方（承包人）：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法定代表人：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联系地址：</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p>
    <w:p>
      <w:pPr>
        <w:keepNext w:val="0"/>
        <w:keepLines w:val="0"/>
        <w:pageBreakBefore w:val="0"/>
        <w:wordWrap/>
        <w:overflowPunct/>
        <w:topLinePunct w:val="0"/>
        <w:bidi w:val="0"/>
        <w:snapToGrid w:val="0"/>
        <w:spacing w:line="560" w:lineRule="exact"/>
        <w:ind w:firstLine="560" w:firstLineChars="200"/>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甲、乙双方现根据《中华人民共和国民法典》《中华人民共和国安全生产法》及其他有关法律、行政法规、遵循平等、自愿、公平和诚实信用的原则，甲方将幸福华庭A、C、D组团外墙保温系统脱落应急维修工程（以下简称工程）发包给乙方，经双方协商一致，达成协议如下：</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工程概况</w:t>
      </w:r>
    </w:p>
    <w:p>
      <w:pPr>
        <w:keepNext w:val="0"/>
        <w:keepLines w:val="0"/>
        <w:pageBreakBefore w:val="0"/>
        <w:numPr>
          <w:ilvl w:val="0"/>
          <w:numId w:val="4"/>
        </w:numPr>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工程地址：</w:t>
      </w:r>
      <w:r>
        <w:rPr>
          <w:rFonts w:hint="eastAsia" w:ascii="方正仿宋_GBK" w:hAnsi="方正仿宋_GBK" w:eastAsia="方正仿宋_GBK" w:cs="方正仿宋_GBK"/>
          <w:sz w:val="28"/>
          <w:szCs w:val="28"/>
          <w:lang w:val="en-US" w:eastAsia="zh-CN"/>
        </w:rPr>
        <w:t>大渡口</w:t>
      </w:r>
      <w:r>
        <w:rPr>
          <w:rFonts w:hint="eastAsia" w:ascii="方正仿宋_GBK" w:hAnsi="方正仿宋_GBK" w:eastAsia="方正仿宋_GBK" w:cs="方正仿宋_GBK"/>
          <w:sz w:val="28"/>
          <w:szCs w:val="28"/>
          <w:highlight w:val="none"/>
          <w:lang w:val="en-US" w:eastAsia="zh-CN"/>
        </w:rPr>
        <w:t>区</w:t>
      </w:r>
      <w:r>
        <w:rPr>
          <w:rFonts w:hint="eastAsia" w:ascii="方正仿宋_GBK" w:hAnsi="方正仿宋_GBK" w:eastAsia="方正仿宋_GBK" w:cs="方正仿宋_GBK"/>
          <w:sz w:val="28"/>
          <w:szCs w:val="28"/>
          <w:highlight w:val="none"/>
          <w:lang w:eastAsia="zh-CN"/>
        </w:rPr>
        <w:t>幸福华庭</w:t>
      </w:r>
      <w:r>
        <w:rPr>
          <w:rFonts w:hint="eastAsia" w:ascii="方正仿宋_GBK" w:hAnsi="方正仿宋_GBK" w:eastAsia="方正仿宋_GBK" w:cs="方正仿宋_GBK"/>
          <w:sz w:val="28"/>
          <w:szCs w:val="28"/>
          <w:highlight w:val="none"/>
          <w:lang w:val="en-US" w:eastAsia="zh-CN"/>
        </w:rPr>
        <w:t>公租房小区</w:t>
      </w:r>
    </w:p>
    <w:p>
      <w:pPr>
        <w:pStyle w:val="13"/>
        <w:keepNext w:val="0"/>
        <w:keepLines w:val="0"/>
        <w:pageBreakBefore w:val="0"/>
        <w:wordWrap/>
        <w:overflowPunct/>
        <w:topLinePunct w:val="0"/>
        <w:bidi w:val="0"/>
        <w:spacing w:before="91" w:line="560" w:lineRule="exact"/>
        <w:ind w:right="564" w:firstLine="560" w:firstLineChars="200"/>
        <w:jc w:val="left"/>
        <w:rPr>
          <w:rFonts w:hint="eastAsia" w:ascii="宋体" w:hAnsi="宋体" w:eastAsia="宋体" w:cs="宋体"/>
          <w:sz w:val="24"/>
          <w:szCs w:val="24"/>
          <w:highlight w:val="yellow"/>
        </w:rPr>
      </w:pPr>
      <w:r>
        <w:rPr>
          <w:rFonts w:hint="eastAsia" w:ascii="方正仿宋_GBK" w:hAnsi="方正仿宋_GBK" w:eastAsia="方正仿宋_GBK" w:cs="方正仿宋_GBK"/>
          <w:sz w:val="28"/>
          <w:szCs w:val="28"/>
          <w:lang w:eastAsia="zh-CN"/>
        </w:rPr>
        <w:t>（二）</w:t>
      </w:r>
      <w:r>
        <w:rPr>
          <w:rFonts w:hint="eastAsia" w:ascii="方正仿宋_GBK" w:hAnsi="方正仿宋_GBK" w:eastAsia="方正仿宋_GBK" w:cs="方正仿宋_GBK"/>
          <w:snapToGrid w:val="0"/>
          <w:color w:val="000000"/>
          <w:kern w:val="0"/>
          <w:sz w:val="28"/>
          <w:szCs w:val="28"/>
          <w:lang w:val="en-US" w:eastAsia="zh-CN" w:bidi="ar-SA"/>
        </w:rPr>
        <w:t>工程内容和范围: 幸福华庭</w:t>
      </w:r>
      <w:r>
        <w:rPr>
          <w:rFonts w:hint="eastAsia" w:ascii="方正仿宋_GBK" w:hAnsi="方正仿宋_GBK" w:eastAsia="方正仿宋_GBK" w:cs="方正仿宋_GBK"/>
          <w:spacing w:val="-8"/>
          <w:sz w:val="28"/>
          <w:szCs w:val="28"/>
          <w:lang w:val="en-US" w:eastAsia="zh-CN"/>
        </w:rPr>
        <w:t>A、C、D组团部分楼栋，维修总工程量约</w:t>
      </w:r>
      <w:r>
        <w:rPr>
          <w:rFonts w:hint="eastAsia" w:ascii="Times New Roman" w:hAnsi="Times New Roman" w:eastAsia="方正仿宋_GBK" w:cs="方正仿宋_GBK"/>
          <w:spacing w:val="-8"/>
          <w:sz w:val="28"/>
          <w:szCs w:val="28"/>
          <w:lang w:val="en-US" w:eastAsia="zh-CN"/>
        </w:rPr>
        <w:t>312</w:t>
      </w:r>
      <w:r>
        <w:rPr>
          <w:rFonts w:hint="eastAsia" w:ascii="方正仿宋_GBK" w:hAnsi="方正仿宋_GBK" w:eastAsia="方正仿宋_GBK" w:cs="方正仿宋_GBK"/>
          <w:spacing w:val="-8"/>
          <w:sz w:val="28"/>
          <w:szCs w:val="28"/>
          <w:lang w:val="en-US" w:eastAsia="zh-CN"/>
        </w:rPr>
        <w:t>㎡，其中</w:t>
      </w:r>
      <w:r>
        <w:rPr>
          <w:rFonts w:hint="eastAsia" w:ascii="Times New Roman" w:hAnsi="Times New Roman" w:eastAsia="方正仿宋_GBK" w:cs="方正仿宋_GBK"/>
          <w:spacing w:val="-8"/>
          <w:sz w:val="28"/>
          <w:szCs w:val="28"/>
          <w:lang w:val="en-US" w:eastAsia="zh-CN"/>
        </w:rPr>
        <w:t>120</w:t>
      </w:r>
      <w:r>
        <w:rPr>
          <w:rFonts w:hint="eastAsia" w:ascii="方正仿宋_GBK" w:hAnsi="方正仿宋_GBK" w:eastAsia="方正仿宋_GBK" w:cs="方正仿宋_GBK"/>
          <w:spacing w:val="-8"/>
          <w:sz w:val="28"/>
          <w:szCs w:val="28"/>
          <w:lang w:val="en-US" w:eastAsia="zh-CN"/>
        </w:rPr>
        <w:t>㎡为保温板+抗裂层+面层施工，</w:t>
      </w:r>
      <w:r>
        <w:rPr>
          <w:rFonts w:hint="eastAsia" w:ascii="Times New Roman" w:hAnsi="Times New Roman" w:eastAsia="方正仿宋_GBK" w:cs="方正仿宋_GBK"/>
          <w:spacing w:val="-8"/>
          <w:sz w:val="28"/>
          <w:szCs w:val="28"/>
          <w:lang w:val="en-US" w:eastAsia="zh-CN"/>
        </w:rPr>
        <w:t>180</w:t>
      </w:r>
      <w:r>
        <w:rPr>
          <w:rFonts w:hint="eastAsia" w:ascii="方正仿宋_GBK" w:hAnsi="方正仿宋_GBK" w:eastAsia="方正仿宋_GBK" w:cs="方正仿宋_GBK"/>
          <w:spacing w:val="-8"/>
          <w:sz w:val="28"/>
          <w:szCs w:val="28"/>
          <w:lang w:val="en-US" w:eastAsia="zh-CN"/>
        </w:rPr>
        <w:t>㎡为抗裂层+面层施工，无机保温砂浆系统施工</w:t>
      </w:r>
      <w:r>
        <w:rPr>
          <w:rFonts w:hint="eastAsia" w:ascii="Times New Roman" w:hAnsi="Times New Roman" w:eastAsia="方正仿宋_GBK" w:cs="方正仿宋_GBK"/>
          <w:spacing w:val="-8"/>
          <w:sz w:val="28"/>
          <w:szCs w:val="28"/>
          <w:lang w:val="en-US" w:eastAsia="zh-CN"/>
        </w:rPr>
        <w:t>12</w:t>
      </w:r>
      <w:r>
        <w:rPr>
          <w:rFonts w:hint="eastAsia" w:ascii="方正仿宋_GBK" w:hAnsi="方正仿宋_GBK" w:eastAsia="方正仿宋_GBK" w:cs="方正仿宋_GBK"/>
          <w:spacing w:val="-8"/>
          <w:sz w:val="28"/>
          <w:szCs w:val="28"/>
          <w:lang w:val="en-US" w:eastAsia="zh-CN"/>
        </w:rPr>
        <w:t>㎡。</w:t>
      </w:r>
      <w:r>
        <w:rPr>
          <w:rFonts w:hint="eastAsia" w:ascii="方正仿宋_GBK" w:hAnsi="方正仿宋_GBK" w:eastAsia="方正仿宋_GBK" w:cs="方正仿宋_GBK"/>
          <w:snapToGrid w:val="0"/>
          <w:color w:val="000000"/>
          <w:kern w:val="0"/>
          <w:sz w:val="28"/>
          <w:szCs w:val="28"/>
          <w:lang w:val="en-US" w:eastAsia="zh-CN" w:bidi="ar-SA"/>
        </w:rPr>
        <w:t>最终数量以现场验收实际工程量为准。</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工期</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自收到开工通知书之日起</w:t>
      </w:r>
      <w:r>
        <w:rPr>
          <w:rFonts w:hint="eastAsia" w:ascii="Times New Roman" w:hAnsi="Times New Roman" w:eastAsia="方正仿宋_GBK" w:cs="方正仿宋_GBK"/>
          <w:sz w:val="28"/>
          <w:szCs w:val="28"/>
          <w:u w:val="single"/>
          <w:lang w:val="en-US" w:eastAsia="zh-CN"/>
        </w:rPr>
        <w:t xml:space="preserve"> 30个</w:t>
      </w:r>
      <w:r>
        <w:rPr>
          <w:rFonts w:hint="eastAsia" w:ascii="方正仿宋_GBK" w:hAnsi="方正仿宋_GBK" w:eastAsia="方正仿宋_GBK" w:cs="方正仿宋_GBK"/>
          <w:sz w:val="28"/>
          <w:szCs w:val="28"/>
        </w:rPr>
        <w:t>日历日内完成</w:t>
      </w:r>
      <w:r>
        <w:rPr>
          <w:rFonts w:hint="eastAsia" w:ascii="方正仿宋_GBK" w:hAnsi="方正仿宋_GBK" w:eastAsia="方正仿宋_GBK" w:cs="方正仿宋_GBK"/>
          <w:sz w:val="28"/>
          <w:szCs w:val="28"/>
          <w:lang w:eastAsia="zh-CN"/>
        </w:rPr>
        <w:t>。</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质量标准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严格按照</w:t>
      </w:r>
      <w:r>
        <w:rPr>
          <w:rFonts w:hint="eastAsia" w:ascii="方正仿宋_GBK" w:hAnsi="方正仿宋_GBK" w:eastAsia="方正仿宋_GBK" w:cs="方正仿宋_GBK"/>
          <w:sz w:val="28"/>
          <w:szCs w:val="28"/>
          <w:lang w:val="en-US" w:eastAsia="zh"/>
        </w:rPr>
        <w:t>以下质量保证进行</w:t>
      </w:r>
      <w:r>
        <w:rPr>
          <w:rFonts w:hint="eastAsia" w:ascii="方正仿宋_GBK" w:hAnsi="方正仿宋_GBK" w:eastAsia="方正仿宋_GBK" w:cs="方正仿宋_GBK"/>
          <w:sz w:val="28"/>
          <w:szCs w:val="28"/>
          <w:lang w:val="en-US" w:eastAsia="zh-CN"/>
        </w:rPr>
        <w:t>施工。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3.1</w:t>
      </w:r>
      <w:r>
        <w:rPr>
          <w:rFonts w:hint="eastAsia" w:ascii="方正仿宋_GBK" w:hAnsi="方正仿宋_GBK" w:eastAsia="方正仿宋_GBK" w:cs="方正仿宋_GBK"/>
          <w:sz w:val="28"/>
          <w:szCs w:val="28"/>
          <w:lang w:val="en-US" w:eastAsia="zh-CN"/>
        </w:rPr>
        <w:t>《重庆市住房和城乡建设委员会关于印发〈重庆市危险性较大的分部分项工程安全管理实施细则（2022版）〉的通知》(渝建质安〔2022〕110号)。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3.2</w:t>
      </w:r>
      <w:r>
        <w:rPr>
          <w:rFonts w:hint="eastAsia" w:ascii="方正仿宋_GBK" w:hAnsi="方正仿宋_GBK" w:eastAsia="方正仿宋_GBK" w:cs="方正仿宋_GBK"/>
          <w:sz w:val="28"/>
          <w:szCs w:val="28"/>
          <w:lang w:val="en-US" w:eastAsia="zh-CN"/>
        </w:rPr>
        <w:t>《外墙外保温工程技术标准》JGJ144-2019。</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
        </w:rPr>
        <w:t>3</w:t>
      </w:r>
      <w:r>
        <w:rPr>
          <w:rFonts w:hint="eastAsia" w:ascii="方正仿宋_GBK" w:hAnsi="方正仿宋_GBK" w:eastAsia="方正仿宋_GBK" w:cs="方正仿宋_GBK"/>
          <w:sz w:val="28"/>
          <w:szCs w:val="28"/>
          <w:lang w:val="en-US" w:eastAsia="zh-CN"/>
        </w:rPr>
        <w:t>《建筑设计防火规范》GB50016-2014（2018年版）。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3.4</w:t>
      </w:r>
      <w:r>
        <w:rPr>
          <w:rFonts w:hint="eastAsia" w:ascii="方正仿宋_GBK" w:hAnsi="方正仿宋_GBK" w:eastAsia="方正仿宋_GBK" w:cs="方正仿宋_GBK"/>
          <w:sz w:val="28"/>
          <w:szCs w:val="28"/>
          <w:lang w:val="en-US" w:eastAsia="zh-CN"/>
        </w:rPr>
        <w:t>《公租房外墙外保温系统脱落处置工作规程》（试行）。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3.5</w:t>
      </w:r>
      <w:r>
        <w:rPr>
          <w:rFonts w:hint="eastAsia" w:ascii="方正仿宋_GBK" w:hAnsi="方正仿宋_GBK" w:eastAsia="方正仿宋_GBK" w:cs="方正仿宋_GBK"/>
          <w:sz w:val="28"/>
          <w:szCs w:val="28"/>
          <w:lang w:val="en-US" w:eastAsia="zh-CN"/>
        </w:rPr>
        <w:t>《建筑外墙外保温系统修缮标准》JGJ376-2015。</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3.6</w:t>
      </w:r>
      <w:r>
        <w:rPr>
          <w:rFonts w:hint="eastAsia" w:ascii="方正仿宋_GBK" w:hAnsi="方正仿宋_GBK" w:eastAsia="方正仿宋_GBK" w:cs="方正仿宋_GBK"/>
          <w:sz w:val="28"/>
          <w:szCs w:val="28"/>
          <w:lang w:val="en-US" w:eastAsia="zh-CN"/>
        </w:rPr>
        <w:t>渝公租房发〔2020〕28号附件-外墙外保温系统脱落应急处置规程（试行）.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3.7</w:t>
      </w:r>
      <w:r>
        <w:rPr>
          <w:rFonts w:hint="eastAsia" w:ascii="方正仿宋_GBK" w:hAnsi="方正仿宋_GBK" w:eastAsia="方正仿宋_GBK" w:cs="方正仿宋_GBK"/>
          <w:sz w:val="28"/>
          <w:szCs w:val="28"/>
          <w:lang w:val="en-US" w:eastAsia="zh-CN"/>
        </w:rPr>
        <w:t>楼梯间平面图、墙身剖面、保温（范围）示意建筑竣工图。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
        </w:rPr>
        <w:t>3.8</w:t>
      </w:r>
      <w:r>
        <w:rPr>
          <w:rFonts w:hint="eastAsia" w:ascii="方正仿宋_GBK" w:hAnsi="方正仿宋_GBK" w:eastAsia="方正仿宋_GBK" w:cs="方正仿宋_GBK"/>
          <w:sz w:val="28"/>
          <w:szCs w:val="28"/>
          <w:lang w:val="en-US" w:eastAsia="zh-CN"/>
        </w:rPr>
        <w:t>《外墙外保温工程技术规程》JGJ144-2008。</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发包人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甲方协助乙方处理施工过程中需要的用水、用电的搭接地点，其费用由乙方据实交纳；</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甲方指派</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为现场代表，负责对乙方在施工过程中的安全、防尘等文明施工进行监督和检查；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 xml:space="preserve">甲方应按合同及时支付工程款。   </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承包人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该项目实施过程中的安全由乙方全权负责。乙方必须依法制定相关安全措施，严格遵守安全操作规程，确保施工安全。乙方须保证过程中的施工、人员、材料运输等安全，若发生人身、财产等安全事故，由乙方承担一切经济和法律责任，与甲方无关，若因此给甲方造成损失的，乙方应赔偿甲方全部损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乙方应当自行解决并完善其与施工现场所有工作人员的劳动或者劳务关系，并自行为其施工现场所有工作人员购买意外伤害保险，若施工现场工作人员发生安全事故，由乙方自行解决，与甲方无关，若因此给甲方造成损失的，乙方应赔偿甲方全部损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施工前，乙方必须对施工作业人员进行书面安全技术交底；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施工水电由乙方根据现场情况自行安排，费用由乙方承担；</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乙方现场代表：       （联系方式：       ）；</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乙方紧急联系人：        （联系方式: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6</w:t>
      </w:r>
      <w:r>
        <w:rPr>
          <w:rFonts w:hint="eastAsia" w:ascii="方正仿宋_GBK" w:hAnsi="方正仿宋_GBK" w:eastAsia="方正仿宋_GBK" w:cs="方正仿宋_GBK"/>
          <w:sz w:val="28"/>
          <w:szCs w:val="28"/>
          <w:lang w:val="en-US" w:eastAsia="zh-CN"/>
        </w:rPr>
        <w:t>施工作业时应注意水、电、气及通讯等相关管网设施的安全；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乙方在进场前按国家和地方要求购买相关保险，保险费用自行支付；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 xml:space="preserve"> 乙方在施工中需服从甲方现场代表的管理并接受监督；乙方尊重并服从甲方现行的有关安全生产各项规章制度和管理方式，在履行本协议的过程中，对甲方向乙方进行的违约处罚乙方无异议；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9</w:t>
      </w:r>
      <w:r>
        <w:rPr>
          <w:rFonts w:hint="eastAsia" w:ascii="方正仿宋_GBK" w:hAnsi="方正仿宋_GBK" w:eastAsia="方正仿宋_GBK" w:cs="方正仿宋_GBK"/>
          <w:sz w:val="28"/>
          <w:szCs w:val="28"/>
          <w:lang w:val="en-US" w:eastAsia="zh-CN"/>
        </w:rPr>
        <w:t xml:space="preserve"> 乙方制定安全事故应急救援预案，若遇险情，应及时启动；及时如实向甲方和有关职能部门报告安全事故；</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10</w:t>
      </w:r>
      <w:r>
        <w:rPr>
          <w:rFonts w:hint="eastAsia" w:ascii="方正仿宋_GBK" w:hAnsi="方正仿宋_GBK" w:eastAsia="方正仿宋_GBK" w:cs="方正仿宋_GBK"/>
          <w:sz w:val="28"/>
          <w:szCs w:val="28"/>
          <w:lang w:val="en-US" w:eastAsia="zh-CN"/>
        </w:rPr>
        <w:t xml:space="preserve"> 施工现场指派保洁人员随时清扫因施工污染的路面,每日施工完毕，对施工作业区域进行清理；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 xml:space="preserve"> 乙方控制施工噪声，防止扰民，夜间施工按环保部门要求办理。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12</w:t>
      </w:r>
      <w:r>
        <w:rPr>
          <w:rFonts w:hint="eastAsia" w:ascii="方正仿宋_GBK" w:hAnsi="方正仿宋_GBK" w:eastAsia="方正仿宋_GBK" w:cs="方正仿宋_GBK"/>
          <w:sz w:val="28"/>
          <w:szCs w:val="28"/>
          <w:lang w:val="en-US" w:eastAsia="zh-CN"/>
        </w:rPr>
        <w:t xml:space="preserve"> 乙方应遵守国家和地方法律、法规、规章及其他规范性文件关于安全文明施工的相关规定。</w:t>
      </w:r>
    </w:p>
    <w:p>
      <w:pPr>
        <w:keepNext w:val="0"/>
        <w:keepLines w:val="0"/>
        <w:pageBreakBefore w:val="0"/>
        <w:wordWrap/>
        <w:overflowPunct/>
        <w:topLinePunct w:val="0"/>
        <w:bidi w:val="0"/>
        <w:spacing w:line="560" w:lineRule="exact"/>
        <w:ind w:firstLine="480"/>
        <w:rPr>
          <w:rFonts w:hint="eastAsia"/>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13</w:t>
      </w:r>
      <w:r>
        <w:rPr>
          <w:rFonts w:hint="eastAsia" w:ascii="方正仿宋_GBK" w:hAnsi="方正仿宋_GBK" w:eastAsia="方正仿宋_GBK" w:cs="方正仿宋_GBK"/>
          <w:sz w:val="28"/>
          <w:szCs w:val="28"/>
          <w:lang w:val="en-US" w:eastAsia="zh-CN"/>
        </w:rPr>
        <w:t xml:space="preserve"> 在项目竣工前，由施工单位搭建的围挡因各种原因遭到损坏，成交单位需无偿修复，费用不再增加；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14</w:t>
      </w:r>
      <w:r>
        <w:rPr>
          <w:rFonts w:hint="eastAsia" w:ascii="方正仿宋_GBK" w:hAnsi="方正仿宋_GBK" w:eastAsia="方正仿宋_GBK" w:cs="方正仿宋_GBK"/>
          <w:sz w:val="28"/>
          <w:szCs w:val="28"/>
          <w:lang w:val="en-US" w:eastAsia="zh-CN"/>
        </w:rPr>
        <w:t xml:space="preserve"> 需由乙方安排人员对现场进行监管及看护，期间不再增加任何费用。看护期间，如施工现场出现任何责任事故，将由乙方自行负责。</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竣工验收和交付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工程完工后，甲乙双方组织相关人员按本合同第三条约定的质量标准、其他约定及相关规范进行竣工验收，验收合格后</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日内乙方将场地交付给甲方。</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合同价款与结算方式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7.1合同暂定金额为：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人民币（大写）</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其中：</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（1）安全文明施工费：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人民币（大写）</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（2）合同价格形式： 清单计价。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7.2结算工程量以业主单位确认的现场实际完成量为准。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7.3工程结算采用以下结算原则：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（1）结算总价＝（分部分项工程量清单综合单价×子项工程量+措施项目费+其他项目费+安全文明施工费+规费+税金+设计变更及新增部分金额+合同约定的其它费用）*（1-投标报价下浮比例）。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（2）新增工程与已标价工程量清单中有相同或类似的子项时， 则按投标时的相同子项或类似子项综合单价执行。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新增工程与已标价工程量清单中无相同或类似的子项时，按照《建设工程工程量清单计价规范》(GB50500-2013)和《重庆市建设工程工程量清单计价规则》(CQJJGZ-2013)、2018《重庆市修缮工程计价定额》、2018《重庆市安装工程计价定额》、2018《重庆市建筑工程计价定额》、2018《重庆市建设工程费用定额》及相关配套文件计算组价。人工单价和材料价按施工期间《重庆工程造价信息》公布的市场指导价的平均值执行;《重庆工程造价信息》上没有的，经业主单位进行核价。新增工程量清单组价后按照中标价与招标限价的比例下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4）安全文明施工费：本工程安全文明施工费根据《建设工程工程量清单计价规范》（GB50500-2013）、《重庆市建设工程工程量清单计价规则》（CQJJGZ-2013）、《关于印发&lt;重庆市建设工程安全文明施工费计取及使用管理规定&gt;的通知》（渝建发〔2014〕25 号）、《重庆市住房和城乡建设委员会关于调整建设施工现场形象品质提升安全文明施工费计取的通知》（渝建管〔2020〕97 号）、《重庆市建设工程费用定额》（CQFYDE-2018）的相关规定和费用标准计算。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（5）建筑安装材料价格风险按照 《重庆市城乡建设委员会关于进一步加强建筑安装材料价格风险管控的指导意见》（渝建〔2018〕61 号）执行。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（6）项目所采用技术、工艺和产品等必须执行重庆市住房和城乡建设委员会关于发布《重庆市建设领域禁止、限制使用落后技术通告（2019 年版）（渝建发〔2019〕25 号）的规定。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措施项目费包括施工组织措施项目和施工技术措施项目两部分。按照单价计算的措施费，应按实际发生参照本项第（1）条计价原则计取；按总价（或系数）计算的措施费，应参照《重庆市建设工程费用定额》（CQFYDE-2018）的相关规定和费用标准计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（8）规费按照《重庆市建设工程费用定额》（CQFYDE-2018）的相关规定和标准计算。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（9）增值税按照《重庆市住房和城乡建设委员会关于适用增值税新税率调整建设工程计价依据的通知》（渝建〔2019〕143号）规定计算。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黑体_GBK" w:hAnsi="方正黑体_GBK" w:eastAsia="方正黑体_GBK" w:cs="方正黑体_GBK"/>
          <w:snapToGrid w:val="0"/>
          <w:color w:val="000000"/>
          <w:kern w:val="0"/>
          <w:sz w:val="28"/>
          <w:szCs w:val="28"/>
          <w:lang w:val="en-US" w:eastAsia="zh-CN" w:bidi="ar-SA"/>
        </w:rPr>
      </w:pPr>
      <w:r>
        <w:rPr>
          <w:rFonts w:hint="eastAsia" w:ascii="方正黑体_GBK" w:hAnsi="方正黑体_GBK" w:eastAsia="方正黑体_GBK" w:cs="方正黑体_GBK"/>
          <w:snapToGrid w:val="0"/>
          <w:color w:val="000000"/>
          <w:kern w:val="0"/>
          <w:sz w:val="28"/>
          <w:szCs w:val="28"/>
          <w:lang w:val="en-US" w:eastAsia="zh-CN" w:bidi="ar-SA"/>
        </w:rPr>
        <w:t>八、支付方式</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8.1项目完工验收合格后，承包人提交审计报告书、发票等相关资料，发包人向重庆市公共租赁房管理局申请资金后，内向承包人支付至审定金额的</w:t>
      </w:r>
      <w:r>
        <w:rPr>
          <w:rFonts w:hint="eastAsia" w:ascii="Times New Roman" w:hAnsi="Times New Roman" w:eastAsia="方正仿宋_GBK" w:cs="方正仿宋_GBK"/>
          <w:sz w:val="28"/>
          <w:szCs w:val="28"/>
          <w:lang w:val="en-US" w:eastAsia="zh-CN"/>
        </w:rPr>
        <w:t>97</w:t>
      </w:r>
      <w:r>
        <w:rPr>
          <w:rFonts w:hint="eastAsia" w:ascii="方正仿宋_GBK" w:hAnsi="方正仿宋_GBK" w:eastAsia="方正仿宋_GBK" w:cs="方正仿宋_GBK"/>
          <w:sz w:val="28"/>
          <w:szCs w:val="28"/>
          <w:lang w:val="en-US" w:eastAsia="zh-CN"/>
        </w:rPr>
        <w:t>%；</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最终结算审定金额的</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%作为质量保证金，待缺陷责任期满后且无质量缺陷</w:t>
      </w:r>
      <w:r>
        <w:rPr>
          <w:rFonts w:hint="eastAsia" w:ascii="Times New Roman" w:hAnsi="Times New Roman" w:eastAsia="方正仿宋_GBK" w:cs="方正仿宋_GBK"/>
          <w:sz w:val="28"/>
          <w:szCs w:val="28"/>
          <w:lang w:val="en-US" w:eastAsia="zh-CN"/>
        </w:rPr>
        <w:t>30</w:t>
      </w:r>
      <w:r>
        <w:rPr>
          <w:rFonts w:hint="eastAsia" w:ascii="方正仿宋_GBK" w:hAnsi="方正仿宋_GBK" w:eastAsia="方正仿宋_GBK" w:cs="方正仿宋_GBK"/>
          <w:sz w:val="28"/>
          <w:szCs w:val="28"/>
          <w:lang w:val="en-US" w:eastAsia="zh-CN"/>
        </w:rPr>
        <w:t>日内支付（工程款、质保金均不计息）。</w:t>
      </w:r>
    </w:p>
    <w:p>
      <w:pPr>
        <w:keepNext w:val="0"/>
        <w:keepLines w:val="0"/>
        <w:pageBreakBefore w:val="0"/>
        <w:wordWrap/>
        <w:overflowPunct/>
        <w:topLinePunct w:val="0"/>
        <w:bidi w:val="0"/>
        <w:snapToGrid w:val="0"/>
        <w:spacing w:line="560" w:lineRule="exact"/>
        <w:ind w:firstLine="560" w:firstLineChars="200"/>
        <w:rPr>
          <w:rFonts w:hint="default"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8.3</w:t>
      </w:r>
      <w:r>
        <w:rPr>
          <w:rFonts w:hint="eastAsia" w:ascii="方正仿宋_GBK" w:hAnsi="方正仿宋_GBK" w:eastAsia="方正仿宋_GBK" w:cs="方正仿宋_GBK"/>
          <w:sz w:val="28"/>
          <w:szCs w:val="28"/>
          <w:lang w:val="en-US" w:eastAsia="zh-CN"/>
        </w:rPr>
        <w:t>质量保证期为</w:t>
      </w:r>
      <w:r>
        <w:rPr>
          <w:rFonts w:hint="eastAsia" w:ascii="Times New Roman" w:hAnsi="Times New Roman" w:eastAsia="方正仿宋_GBK" w:cs="方正仿宋_GBK"/>
          <w:sz w:val="28"/>
          <w:szCs w:val="28"/>
          <w:u w:val="single"/>
          <w:lang w:val="en-US" w:eastAsia="zh-CN"/>
        </w:rPr>
        <w:t>2</w:t>
      </w:r>
      <w:r>
        <w:rPr>
          <w:rFonts w:hint="eastAsia" w:ascii="方正仿宋_GBK" w:hAnsi="方正仿宋_GBK" w:eastAsia="方正仿宋_GBK" w:cs="方正仿宋_GBK"/>
          <w:sz w:val="28"/>
          <w:szCs w:val="28"/>
          <w:lang w:val="en-US" w:eastAsia="zh-CN"/>
        </w:rPr>
        <w:t>年。</w:t>
      </w:r>
    </w:p>
    <w:p>
      <w:pPr>
        <w:keepNext w:val="0"/>
        <w:keepLines w:val="0"/>
        <w:pageBreakBefore w:val="0"/>
        <w:wordWrap/>
        <w:overflowPunct/>
        <w:topLinePunct w:val="0"/>
        <w:bidi w:val="0"/>
        <w:snapToGrid w:val="0"/>
        <w:spacing w:line="560" w:lineRule="exact"/>
        <w:ind w:firstLine="560" w:firstLineChars="200"/>
        <w:rPr>
          <w:rFonts w:hint="default"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承包人的开票金额并不视为发包人对应付款金额的认可，应付款金额应由发包人审核认定为准。</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本项目实行竣工结算审计制。成交供应商提供完整结算资料，采购人完成结算审计并出具审计报告。</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6</w:t>
      </w:r>
      <w:r>
        <w:rPr>
          <w:rFonts w:hint="eastAsia" w:ascii="方正仿宋_GBK" w:hAnsi="方正仿宋_GBK" w:eastAsia="方正仿宋_GBK" w:cs="方正仿宋_GBK"/>
          <w:sz w:val="28"/>
          <w:szCs w:val="28"/>
          <w:lang w:val="en-US" w:eastAsia="zh-CN"/>
        </w:rPr>
        <w:t>成交供应商应在采购人每次付款前向采购人提供采购人审核认定金额的正式税务发票，否则采购人有权拒绝支付。</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说明：每次付款前成交供应商须提供足额发票，均为无息支付。采购人未收到发票，有权不予支付相应款项。</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8.7</w:t>
      </w:r>
      <w:r>
        <w:rPr>
          <w:rFonts w:hint="eastAsia" w:ascii="方正仿宋_GBK" w:hAnsi="方正仿宋_GBK" w:eastAsia="方正仿宋_GBK" w:cs="方正仿宋_GBK"/>
          <w:sz w:val="28"/>
          <w:szCs w:val="28"/>
          <w:lang w:val="en-US" w:eastAsia="zh-CN"/>
        </w:rPr>
        <w:t>本工程无预付款，本项目工程内容全部完成且通过竣工验收完成、双方结算完成后</w:t>
      </w:r>
      <w:r>
        <w:rPr>
          <w:rFonts w:hint="eastAsia" w:ascii="Times New Roman" w:hAnsi="Times New Roman" w:eastAsia="方正仿宋_GBK" w:cs="方正仿宋_GBK"/>
          <w:sz w:val="28"/>
          <w:szCs w:val="28"/>
          <w:lang w:val="en-US" w:eastAsia="zh-CN"/>
        </w:rPr>
        <w:t>30</w:t>
      </w:r>
      <w:r>
        <w:rPr>
          <w:rFonts w:hint="eastAsia" w:ascii="方正仿宋_GBK" w:hAnsi="方正仿宋_GBK" w:eastAsia="方正仿宋_GBK" w:cs="方正仿宋_GBK"/>
          <w:sz w:val="28"/>
          <w:szCs w:val="28"/>
          <w:lang w:val="en-US" w:eastAsia="zh-CN"/>
        </w:rPr>
        <w:t xml:space="preserve">日内，甲方支付结算价款给乙方；甲方付款前，乙方应向甲方提供合格发票，否则甲方有权暂缓付款。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九、合同变更与转让</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9</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 xml:space="preserve"> 除本合同另有约定外，未经双方签订书面协议，任何一方不得变更本协议内容；</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9</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 xml:space="preserve"> 未经一方书面同意，另一方不得转让本合同项下权利义务。</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十、合同解除</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10</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 xml:space="preserve"> 除本合同另有约定外，任何一方无权单方解除本合同。</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10</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 xml:space="preserve"> 发包人发出开工通知后</w:t>
      </w: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日内，承包人拒不开工的，发包人有权解除本合同，并要求承包人支付本合同</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条约定的合同暂定价款</w:t>
      </w:r>
      <w:r>
        <w:rPr>
          <w:rFonts w:hint="eastAsia" w:ascii="Times New Roman" w:hAnsi="Times New Roman" w:eastAsia="方正仿宋_GBK" w:cs="方正仿宋_GBK"/>
          <w:sz w:val="28"/>
          <w:szCs w:val="28"/>
          <w:lang w:val="en-US" w:eastAsia="zh-CN"/>
        </w:rPr>
        <w:t>30</w:t>
      </w:r>
      <w:r>
        <w:rPr>
          <w:rFonts w:hint="eastAsia" w:ascii="方正仿宋_GBK" w:hAnsi="方正仿宋_GBK" w:eastAsia="方正仿宋_GBK" w:cs="方正仿宋_GBK"/>
          <w:sz w:val="28"/>
          <w:szCs w:val="28"/>
          <w:lang w:val="en-US" w:eastAsia="zh-CN"/>
        </w:rPr>
        <w:t>%的违约金。</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10</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 xml:space="preserve"> 承包人逾期完成修建围挡工程的，每逾期一天，应按</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条约定的合同暂定价格的万分之三向发包人支付违约金，逾期超过</w:t>
      </w:r>
      <w:r>
        <w:rPr>
          <w:rFonts w:hint="eastAsia" w:ascii="Times New Roman" w:hAnsi="Times New Roman" w:eastAsia="方正仿宋_GBK" w:cs="方正仿宋_GBK"/>
          <w:sz w:val="28"/>
          <w:szCs w:val="28"/>
          <w:lang w:val="en-US" w:eastAsia="zh-CN"/>
        </w:rPr>
        <w:t>30</w:t>
      </w:r>
      <w:r>
        <w:rPr>
          <w:rFonts w:hint="eastAsia" w:ascii="方正仿宋_GBK" w:hAnsi="方正仿宋_GBK" w:eastAsia="方正仿宋_GBK" w:cs="方正仿宋_GBK"/>
          <w:sz w:val="28"/>
          <w:szCs w:val="28"/>
          <w:lang w:val="en-US" w:eastAsia="zh-CN"/>
        </w:rPr>
        <w:t>日的，除仍应承担上述违约责任外，发包人有权解除合同，并要求承包人按本合同</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条约定的合同暂定价款</w:t>
      </w:r>
      <w:r>
        <w:rPr>
          <w:rFonts w:hint="eastAsia" w:ascii="Times New Roman" w:hAnsi="Times New Roman" w:eastAsia="方正仿宋_GBK" w:cs="方正仿宋_GBK"/>
          <w:sz w:val="28"/>
          <w:szCs w:val="28"/>
          <w:lang w:val="en-US" w:eastAsia="zh-CN"/>
        </w:rPr>
        <w:t>30</w:t>
      </w:r>
      <w:r>
        <w:rPr>
          <w:rFonts w:hint="eastAsia" w:ascii="方正仿宋_GBK" w:hAnsi="方正仿宋_GBK" w:eastAsia="方正仿宋_GBK" w:cs="方正仿宋_GBK"/>
          <w:sz w:val="28"/>
          <w:szCs w:val="28"/>
          <w:lang w:val="en-US" w:eastAsia="zh-CN"/>
        </w:rPr>
        <w:t xml:space="preserve">%支付违约金。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十一、违约责任</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如乙方因以下原因违约，甲方有权向乙方收取违约金，且有权在第一次向乙方支付工程款时扣除。</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如乙方未按本合同规定，发生毁损市政设施、设备、管网情况的，乙方除赔偿相应业主损失外，甲方有权向乙方每次收取</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万元的违约金，违约金不足以弥补甲方损失的，甲方有权要求乙方赔偿相应损失。</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施工现场若发生重大安全责任事故（死亡</w:t>
      </w:r>
      <w:r>
        <w:rPr>
          <w:rFonts w:hint="eastAsia" w:ascii="Times New Roman" w:hAnsi="Times New Roman" w:eastAsia="方正仿宋_GBK" w:cs="方正仿宋_GBK"/>
          <w:sz w:val="28"/>
          <w:szCs w:val="28"/>
          <w:lang w:val="en-US" w:eastAsia="zh-CN"/>
        </w:rPr>
        <w:t>1</w:t>
      </w:r>
      <w:r>
        <w:rPr>
          <w:rFonts w:hint="eastAsia" w:ascii="方正仿宋_GBK" w:hAnsi="方正仿宋_GBK" w:eastAsia="方正仿宋_GBK" w:cs="方正仿宋_GBK"/>
          <w:sz w:val="28"/>
          <w:szCs w:val="28"/>
          <w:lang w:val="en-US" w:eastAsia="zh-CN"/>
        </w:rPr>
        <w:t>人及以上或一次性受伤</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人及以上），甲方有权向乙方收取</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条约定合同暂定价格的</w:t>
      </w:r>
      <w:r>
        <w:rPr>
          <w:rFonts w:hint="eastAsia" w:ascii="Times New Roman" w:hAnsi="Times New Roman" w:eastAsia="方正仿宋_GBK" w:cs="方正仿宋_GBK"/>
          <w:sz w:val="28"/>
          <w:szCs w:val="28"/>
          <w:lang w:val="en-US" w:eastAsia="zh-CN"/>
        </w:rPr>
        <w:t>20</w:t>
      </w:r>
      <w:r>
        <w:rPr>
          <w:rFonts w:hint="eastAsia" w:ascii="方正仿宋_GBK" w:hAnsi="方正仿宋_GBK" w:eastAsia="方正仿宋_GBK" w:cs="方正仿宋_GBK"/>
          <w:sz w:val="28"/>
          <w:szCs w:val="28"/>
          <w:lang w:val="en-US" w:eastAsia="zh-CN"/>
        </w:rPr>
        <w:t>%的违约金；</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施工现场若发生火灾事故、重大中毒事故、群发性传染病，甲方有权向乙方收取</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万元以下的违约金；</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4</w:t>
      </w:r>
      <w:r>
        <w:rPr>
          <w:rFonts w:hint="eastAsia" w:ascii="方正仿宋_GBK" w:hAnsi="方正仿宋_GBK" w:eastAsia="方正仿宋_GBK" w:cs="方正仿宋_GBK"/>
          <w:sz w:val="28"/>
          <w:szCs w:val="28"/>
          <w:lang w:val="en-US" w:eastAsia="zh-CN"/>
        </w:rPr>
        <w:t>对于施工现场安全文明施工存在的问题，若乙方未按甲方书面通知时间整改到位的，甲方有权向乙方收取每次</w:t>
      </w:r>
      <w:r>
        <w:rPr>
          <w:rFonts w:hint="eastAsia" w:ascii="Times New Roman" w:hAnsi="Times New Roman" w:eastAsia="方正仿宋_GBK" w:cs="方正仿宋_GBK"/>
          <w:sz w:val="28"/>
          <w:szCs w:val="28"/>
          <w:lang w:val="en-US" w:eastAsia="zh-CN"/>
        </w:rPr>
        <w:t>5000</w:t>
      </w:r>
      <w:r>
        <w:rPr>
          <w:rFonts w:hint="eastAsia" w:ascii="方正仿宋_GBK" w:hAnsi="方正仿宋_GBK" w:eastAsia="方正仿宋_GBK" w:cs="方正仿宋_GBK"/>
          <w:sz w:val="28"/>
          <w:szCs w:val="28"/>
          <w:lang w:val="en-US" w:eastAsia="zh-CN"/>
        </w:rPr>
        <w:t>元以下的违约金；</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5</w:t>
      </w:r>
      <w:r>
        <w:rPr>
          <w:rFonts w:hint="eastAsia" w:ascii="方正仿宋_GBK" w:hAnsi="方正仿宋_GBK" w:eastAsia="方正仿宋_GBK" w:cs="方正仿宋_GBK"/>
          <w:sz w:val="28"/>
          <w:szCs w:val="28"/>
          <w:lang w:val="en-US" w:eastAsia="zh-CN"/>
        </w:rPr>
        <w:t>乙方项目经理和安全负责人未取得甲方同意不准时参加甲方通知召开的安全例会，甲方有权向乙方收取每次</w:t>
      </w:r>
      <w:r>
        <w:rPr>
          <w:rFonts w:hint="eastAsia" w:ascii="Times New Roman" w:hAnsi="Times New Roman" w:eastAsia="方正仿宋_GBK" w:cs="方正仿宋_GBK"/>
          <w:sz w:val="28"/>
          <w:szCs w:val="28"/>
          <w:lang w:val="en-US" w:eastAsia="zh-CN"/>
        </w:rPr>
        <w:t>1000</w:t>
      </w:r>
      <w:r>
        <w:rPr>
          <w:rFonts w:hint="eastAsia" w:ascii="方正仿宋_GBK" w:hAnsi="方正仿宋_GBK" w:eastAsia="方正仿宋_GBK" w:cs="方正仿宋_GBK"/>
          <w:sz w:val="28"/>
          <w:szCs w:val="28"/>
          <w:lang w:val="en-US" w:eastAsia="zh-CN"/>
        </w:rPr>
        <w:t>元以下的违约金；乙方连续三次无故不参加例会，甲方有要求乙方停工的权利，甲方不对由此可能对乙方造成的经济损失或工期延误承担责任；</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6</w:t>
      </w:r>
      <w:r>
        <w:rPr>
          <w:rFonts w:hint="eastAsia" w:ascii="方正仿宋_GBK" w:hAnsi="方正仿宋_GBK" w:eastAsia="方正仿宋_GBK" w:cs="方正仿宋_GBK"/>
          <w:sz w:val="28"/>
          <w:szCs w:val="28"/>
          <w:lang w:val="en-US" w:eastAsia="zh-CN"/>
        </w:rPr>
        <w:t>日常巡查过程中发现未采取降尘措施的，甲方有权向乙方收取每次</w:t>
      </w:r>
      <w:r>
        <w:rPr>
          <w:rFonts w:hint="eastAsia" w:ascii="Times New Roman" w:hAnsi="Times New Roman" w:eastAsia="方正仿宋_GBK" w:cs="方正仿宋_GBK"/>
          <w:sz w:val="28"/>
          <w:szCs w:val="28"/>
          <w:lang w:val="en-US" w:eastAsia="zh-CN"/>
        </w:rPr>
        <w:t>1000</w:t>
      </w:r>
      <w:r>
        <w:rPr>
          <w:rFonts w:hint="eastAsia" w:ascii="方正仿宋_GBK" w:hAnsi="方正仿宋_GBK" w:eastAsia="方正仿宋_GBK" w:cs="方正仿宋_GBK"/>
          <w:sz w:val="28"/>
          <w:szCs w:val="28"/>
          <w:lang w:val="en-US" w:eastAsia="zh-CN"/>
        </w:rPr>
        <w:t>元以下的违约金；因安全文明施工措施不到位而引起市区政府及有关主管部门督察、督办、通报的，甲方有权向乙方收取每次</w:t>
      </w:r>
      <w:r>
        <w:rPr>
          <w:rFonts w:hint="eastAsia" w:ascii="Times New Roman" w:hAnsi="Times New Roman" w:eastAsia="方正仿宋_GBK" w:cs="方正仿宋_GBK"/>
          <w:sz w:val="28"/>
          <w:szCs w:val="28"/>
          <w:lang w:val="en-US" w:eastAsia="zh-CN"/>
        </w:rPr>
        <w:t>5000</w:t>
      </w:r>
      <w:r>
        <w:rPr>
          <w:rFonts w:hint="eastAsia" w:ascii="方正仿宋_GBK" w:hAnsi="方正仿宋_GBK" w:eastAsia="方正仿宋_GBK" w:cs="方正仿宋_GBK"/>
          <w:sz w:val="28"/>
          <w:szCs w:val="28"/>
          <w:lang w:val="en-US" w:eastAsia="zh-CN"/>
        </w:rPr>
        <w:t>元以下的违约金；因安全文明施工措施不到位而引起市区政府及有关主管部门处罚的，甲方有权向乙方收取罚金</w:t>
      </w:r>
      <w:r>
        <w:rPr>
          <w:rFonts w:hint="eastAsia" w:ascii="Times New Roman" w:hAnsi="Times New Roman" w:eastAsia="方正仿宋_GBK" w:cs="方正仿宋_GBK"/>
          <w:sz w:val="28"/>
          <w:szCs w:val="28"/>
          <w:lang w:val="en-US" w:eastAsia="zh-CN"/>
        </w:rPr>
        <w:t>2</w:t>
      </w:r>
      <w:r>
        <w:rPr>
          <w:rFonts w:hint="eastAsia" w:ascii="方正仿宋_GBK" w:hAnsi="方正仿宋_GBK" w:eastAsia="方正仿宋_GBK" w:cs="方正仿宋_GBK"/>
          <w:sz w:val="28"/>
          <w:szCs w:val="28"/>
          <w:lang w:val="en-US" w:eastAsia="zh-CN"/>
        </w:rPr>
        <w:t>倍的违约金；</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7</w:t>
      </w:r>
      <w:r>
        <w:rPr>
          <w:rFonts w:hint="eastAsia" w:ascii="方正仿宋_GBK" w:hAnsi="方正仿宋_GBK" w:eastAsia="方正仿宋_GBK" w:cs="方正仿宋_GBK"/>
          <w:sz w:val="28"/>
          <w:szCs w:val="28"/>
          <w:lang w:val="en-US" w:eastAsia="zh-CN"/>
        </w:rPr>
        <w:t>因乙方原因造成工期延误，甲方有权向乙方每天收取违约金</w:t>
      </w:r>
      <w:r>
        <w:rPr>
          <w:rFonts w:hint="eastAsia" w:ascii="Times New Roman" w:hAnsi="Times New Roman" w:eastAsia="方正仿宋_GBK" w:cs="方正仿宋_GBK"/>
          <w:sz w:val="28"/>
          <w:szCs w:val="28"/>
          <w:lang w:val="en-US" w:eastAsia="zh-CN"/>
        </w:rPr>
        <w:t>5000</w:t>
      </w:r>
      <w:r>
        <w:rPr>
          <w:rFonts w:hint="eastAsia" w:ascii="方正仿宋_GBK" w:hAnsi="方正仿宋_GBK" w:eastAsia="方正仿宋_GBK" w:cs="方正仿宋_GBK"/>
          <w:sz w:val="28"/>
          <w:szCs w:val="28"/>
          <w:lang w:val="en-US" w:eastAsia="zh-CN"/>
        </w:rPr>
        <w:t>元（不可抗力因素除外）；</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11</w:t>
      </w:r>
      <w:r>
        <w:rPr>
          <w:rFonts w:hint="eastAsia" w:ascii="方正仿宋_GBK" w:hAnsi="方正仿宋_GBK" w:eastAsia="方正仿宋_GBK" w:cs="方正仿宋_GBK"/>
          <w:sz w:val="28"/>
          <w:szCs w:val="28"/>
          <w:lang w:val="en-US" w:eastAsia="zh-CN"/>
        </w:rPr>
        <w:t>.</w:t>
      </w:r>
      <w:r>
        <w:rPr>
          <w:rFonts w:hint="eastAsia" w:ascii="Times New Roman" w:hAnsi="Times New Roman" w:eastAsia="方正仿宋_GBK" w:cs="方正仿宋_GBK"/>
          <w:sz w:val="28"/>
          <w:szCs w:val="28"/>
          <w:lang w:val="en-US" w:eastAsia="zh-CN"/>
        </w:rPr>
        <w:t>8</w:t>
      </w:r>
      <w:r>
        <w:rPr>
          <w:rFonts w:hint="eastAsia" w:ascii="方正仿宋_GBK" w:hAnsi="方正仿宋_GBK" w:eastAsia="方正仿宋_GBK" w:cs="方正仿宋_GBK"/>
          <w:sz w:val="28"/>
          <w:szCs w:val="28"/>
          <w:lang w:val="en-US" w:eastAsia="zh-CN"/>
        </w:rPr>
        <w:t>乙方工人因工资原因群访、集访，甲方有权向乙方每次收取</w:t>
      </w:r>
      <w:r>
        <w:rPr>
          <w:rFonts w:hint="eastAsia" w:ascii="Times New Roman" w:hAnsi="Times New Roman" w:eastAsia="方正仿宋_GBK" w:cs="方正仿宋_GBK"/>
          <w:sz w:val="28"/>
          <w:szCs w:val="28"/>
          <w:lang w:val="en-US" w:eastAsia="zh-CN"/>
        </w:rPr>
        <w:t>5000</w:t>
      </w:r>
      <w:r>
        <w:rPr>
          <w:rFonts w:hint="eastAsia" w:ascii="方正仿宋_GBK" w:hAnsi="方正仿宋_GBK" w:eastAsia="方正仿宋_GBK" w:cs="方正仿宋_GBK"/>
          <w:sz w:val="28"/>
          <w:szCs w:val="28"/>
          <w:lang w:val="en-US" w:eastAsia="zh-CN"/>
        </w:rPr>
        <w:t>元以下的违约金。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十二、通知与送达</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双方确认，双方因本合同发出的通知、函件或者诉讼文书等的送达，均以合同首部所记载通讯地址为有效送达地址，并在寄出三日后视为有效送达，无论对方是否实际签收（拒收亦不例外）。若通讯地址变更，变更方应当在</w:t>
      </w:r>
      <w:r>
        <w:rPr>
          <w:rFonts w:hint="eastAsia" w:ascii="Times New Roman" w:hAnsi="Times New Roman" w:eastAsia="方正仿宋_GBK" w:cs="方正仿宋_GBK"/>
          <w:sz w:val="28"/>
          <w:szCs w:val="28"/>
          <w:lang w:val="en-US" w:eastAsia="zh-CN"/>
        </w:rPr>
        <w:t>3</w:t>
      </w:r>
      <w:r>
        <w:rPr>
          <w:rFonts w:hint="eastAsia" w:ascii="方正仿宋_GBK" w:hAnsi="方正仿宋_GBK" w:eastAsia="方正仿宋_GBK" w:cs="方正仿宋_GBK"/>
          <w:sz w:val="28"/>
          <w:szCs w:val="28"/>
          <w:lang w:val="en-US" w:eastAsia="zh-CN"/>
        </w:rPr>
        <w:t>日内书面通知另一方，否则另一方发送通知、函件等应以原通讯地址为准，并在相关文书按原通讯地址寄出三日后即视为送达。本条约定及于人民法院等司法机关送达法律文书。</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十三、争议解决</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本合同中未尽事宜，由双方协商解决。协商不成时任何一方均有权向甲方所在地的人民法院提出诉讼。违约方应向守约方支付因此支出全部费用（包括但不限于垫付费用、律师费、诉讼费、鉴定评估费等）。</w:t>
      </w:r>
    </w:p>
    <w:p>
      <w:pPr>
        <w:pStyle w:val="2"/>
        <w:keepNext w:val="0"/>
        <w:keepLines w:val="0"/>
        <w:pageBreakBefore w:val="0"/>
        <w:numPr>
          <w:ilvl w:val="0"/>
          <w:numId w:val="0"/>
        </w:numPr>
        <w:wordWrap/>
        <w:overflowPunct/>
        <w:topLinePunct w:val="0"/>
        <w:bidi w:val="0"/>
        <w:spacing w:line="560" w:lineRule="exact"/>
        <w:ind w:firstLine="560" w:firstLineChars="200"/>
        <w:rPr>
          <w:rFonts w:hint="eastAsia" w:ascii="方正仿宋_GBK" w:hAnsi="方正仿宋_GBK" w:eastAsia="方正仿宋_GBK" w:cs="方正仿宋_GBK"/>
          <w:sz w:val="28"/>
          <w:szCs w:val="28"/>
          <w:lang w:val="en-US" w:eastAsia="zh-CN"/>
        </w:rPr>
      </w:pPr>
      <w:r>
        <w:rPr>
          <w:rFonts w:hint="eastAsia" w:ascii="方正黑体_GBK" w:hAnsi="方正黑体_GBK" w:eastAsia="方正黑体_GBK" w:cs="方正黑体_GBK"/>
          <w:sz w:val="28"/>
          <w:szCs w:val="28"/>
          <w:lang w:val="en-US" w:eastAsia="zh-CN"/>
        </w:rPr>
        <w:t xml:space="preserve">十四、其他 </w:t>
      </w:r>
      <w:r>
        <w:rPr>
          <w:rFonts w:hint="eastAsia" w:ascii="方正仿宋_GBK" w:hAnsi="方正仿宋_GBK" w:eastAsia="方正仿宋_GBK" w:cs="方正仿宋_GBK"/>
          <w:sz w:val="28"/>
          <w:szCs w:val="28"/>
          <w:lang w:val="en-US" w:eastAsia="zh-CN"/>
        </w:rPr>
        <w:t xml:space="preserve">    </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kern w:val="2"/>
          <w:sz w:val="28"/>
          <w:szCs w:val="28"/>
          <w:lang w:val="en-US" w:eastAsia="zh-CN" w:bidi="ar-SA"/>
        </w:rPr>
      </w:pPr>
      <w:r>
        <w:rPr>
          <w:rFonts w:hint="eastAsia" w:ascii="方正仿宋_GBK" w:hAnsi="方正仿宋_GBK" w:eastAsia="方正仿宋_GBK" w:cs="方正仿宋_GBK"/>
          <w:kern w:val="2"/>
          <w:sz w:val="28"/>
          <w:szCs w:val="28"/>
          <w:lang w:val="en-US" w:eastAsia="zh-CN" w:bidi="ar-SA"/>
        </w:rPr>
        <w:t>本合同双方签字盖章后生效；本合同一式捌份，甲、乙双方各执肆份，均具有同等法律效力。</w:t>
      </w:r>
    </w:p>
    <w:p>
      <w:pPr>
        <w:pStyle w:val="2"/>
        <w:keepNext w:val="0"/>
        <w:keepLines w:val="0"/>
        <w:pageBreakBefore w:val="0"/>
        <w:wordWrap/>
        <w:overflowPunct/>
        <w:topLinePunct w:val="0"/>
        <w:bidi w:val="0"/>
        <w:spacing w:line="56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kern w:val="2"/>
          <w:sz w:val="28"/>
          <w:szCs w:val="28"/>
          <w:lang w:val="en-US" w:eastAsia="zh-CN" w:bidi="ar-SA"/>
        </w:rPr>
        <w:t xml:space="preserve">    （以下无正文）</w:t>
      </w:r>
    </w:p>
    <w:p>
      <w:pPr>
        <w:pStyle w:val="2"/>
        <w:keepNext w:val="0"/>
        <w:keepLines w:val="0"/>
        <w:pageBreakBefore w:val="0"/>
        <w:wordWrap/>
        <w:overflowPunct/>
        <w:topLinePunct w:val="0"/>
        <w:bidi w:val="0"/>
        <w:spacing w:line="560" w:lineRule="exact"/>
        <w:rPr>
          <w:rFonts w:hint="eastAsia"/>
        </w:rPr>
      </w:pP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甲方（盖章）：                         乙方（盖章）：</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法定代表人（签字）：                   法定代表人（签字）：</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经办人：                               经办人： </w:t>
      </w:r>
    </w:p>
    <w:p>
      <w:pPr>
        <w:keepNext w:val="0"/>
        <w:keepLines w:val="0"/>
        <w:pageBreakBefore w:val="0"/>
        <w:wordWrap/>
        <w:overflowPunct/>
        <w:topLinePunct w:val="0"/>
        <w:bidi w:val="0"/>
        <w:snapToGrid w:val="0"/>
        <w:spacing w:line="56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电话：                                 电话：</w:t>
      </w:r>
    </w:p>
    <w:p>
      <w:pPr>
        <w:keepNext w:val="0"/>
        <w:keepLines w:val="0"/>
        <w:pageBreakBefore w:val="0"/>
        <w:wordWrap/>
        <w:overflowPunct/>
        <w:topLinePunct w:val="0"/>
        <w:bidi w:val="0"/>
        <w:snapToGrid w:val="0"/>
        <w:spacing w:line="560" w:lineRule="exact"/>
        <w:ind w:firstLine="560" w:firstLineChars="20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签订日期：   年   月   日</w:t>
      </w:r>
    </w:p>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bCs/>
          <w:snapToGrid w:val="0"/>
          <w:color w:val="000000"/>
          <w:spacing w:val="26"/>
          <w:kern w:val="0"/>
          <w:sz w:val="44"/>
          <w:szCs w:val="44"/>
          <w:lang w:val="en-US" w:eastAsia="en-US" w:bidi="ar-SA"/>
        </w:rPr>
      </w:pP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bCs/>
          <w:snapToGrid w:val="0"/>
          <w:color w:val="000000"/>
          <w:spacing w:val="26"/>
          <w:kern w:val="0"/>
          <w:sz w:val="44"/>
          <w:szCs w:val="44"/>
          <w:lang w:val="en-US" w:eastAsia="en-US" w:bidi="ar-SA"/>
        </w:rPr>
      </w:pP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b/>
          <w:bCs/>
          <w:snapToGrid w:val="0"/>
          <w:color w:val="000000"/>
          <w:spacing w:val="26"/>
          <w:kern w:val="0"/>
          <w:sz w:val="44"/>
          <w:szCs w:val="44"/>
          <w:lang w:val="en-US" w:eastAsia="en-US" w:bidi="ar-SA"/>
        </w:rPr>
      </w:pPr>
      <w:r>
        <w:rPr>
          <w:rFonts w:hint="eastAsia" w:ascii="方正小标宋_GBK" w:hAnsi="方正小标宋_GBK" w:eastAsia="方正小标宋_GBK" w:cs="方正小标宋_GBK"/>
          <w:b/>
          <w:bCs/>
          <w:snapToGrid w:val="0"/>
          <w:color w:val="000000"/>
          <w:spacing w:val="26"/>
          <w:kern w:val="0"/>
          <w:sz w:val="44"/>
          <w:szCs w:val="44"/>
          <w:lang w:val="en-US" w:eastAsia="en-US" w:bidi="ar-SA"/>
        </w:rPr>
        <w:t>第</w:t>
      </w:r>
      <w:r>
        <w:rPr>
          <w:rFonts w:hint="eastAsia" w:ascii="方正小标宋_GBK" w:hAnsi="方正小标宋_GBK" w:eastAsia="方正小标宋_GBK" w:cs="方正小标宋_GBK"/>
          <w:b/>
          <w:bCs/>
          <w:snapToGrid w:val="0"/>
          <w:color w:val="000000"/>
          <w:spacing w:val="26"/>
          <w:kern w:val="0"/>
          <w:sz w:val="44"/>
          <w:szCs w:val="44"/>
          <w:lang w:val="en-US" w:eastAsia="zh-CN" w:bidi="ar-SA"/>
        </w:rPr>
        <w:t>四</w:t>
      </w:r>
      <w:r>
        <w:rPr>
          <w:rFonts w:hint="eastAsia" w:ascii="方正小标宋_GBK" w:hAnsi="方正小标宋_GBK" w:eastAsia="方正小标宋_GBK" w:cs="方正小标宋_GBK"/>
          <w:b/>
          <w:bCs/>
          <w:snapToGrid w:val="0"/>
          <w:color w:val="000000"/>
          <w:spacing w:val="26"/>
          <w:kern w:val="0"/>
          <w:sz w:val="44"/>
          <w:szCs w:val="44"/>
          <w:lang w:val="en-US" w:eastAsia="en-US" w:bidi="ar-SA"/>
        </w:rPr>
        <w:t>篇  响应文件格式要求</w:t>
      </w:r>
    </w:p>
    <w:p>
      <w:pPr>
        <w:keepNext w:val="0"/>
        <w:keepLines w:val="0"/>
        <w:pageBreakBefore w:val="0"/>
        <w:wordWrap/>
        <w:overflowPunct/>
        <w:topLinePunct w:val="0"/>
        <w:bidi w:val="0"/>
        <w:spacing w:line="560" w:lineRule="exact"/>
        <w:jc w:val="center"/>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lang w:val="en-US" w:eastAsia="zh-CN"/>
        </w:rPr>
        <w:t>一、</w:t>
      </w:r>
      <w:r>
        <w:rPr>
          <w:rFonts w:hint="eastAsia" w:ascii="方正黑体_GBK" w:hAnsi="方正黑体_GBK" w:eastAsia="方正黑体_GBK" w:cs="方正黑体_GBK"/>
          <w:b/>
          <w:bCs/>
          <w:sz w:val="32"/>
          <w:szCs w:val="32"/>
        </w:rPr>
        <w:t>竞争性报价函</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rPr>
      </w:pPr>
      <w:r>
        <w:rPr>
          <w:rFonts w:hint="eastAsia" w:ascii="宋体" w:hAnsi="宋体" w:eastAsia="宋体" w:cs="宋体"/>
          <w:sz w:val="24"/>
          <w:szCs w:val="24"/>
          <w:lang w:val="en-US" w:eastAsia="zh-CN"/>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b/>
          <w:bCs/>
          <w:sz w:val="32"/>
          <w:szCs w:val="32"/>
        </w:rPr>
        <w:t>竞争性报价函</w:t>
      </w:r>
    </w:p>
    <w:p>
      <w:pPr>
        <w:keepNext w:val="0"/>
        <w:keepLines w:val="0"/>
        <w:pageBreakBefore w:val="0"/>
        <w:wordWrap/>
        <w:overflowPunct/>
        <w:topLinePunct w:val="0"/>
        <w:bidi w:val="0"/>
        <w:snapToGrid w:val="0"/>
        <w:spacing w:line="560" w:lineRule="exact"/>
        <w:rPr>
          <w:rFonts w:hint="default" w:ascii="宋体" w:hAnsi="宋体" w:eastAsia="宋体" w:cs="宋体"/>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重庆市大渡口区住房和城乡建设委员会：</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w:t>
      </w:r>
      <w:r>
        <w:rPr>
          <w:rFonts w:hint="eastAsia" w:ascii="方正仿宋_GBK" w:hAnsi="方正仿宋_GBK" w:eastAsia="方正仿宋_GBK" w:cs="方正仿宋_GBK"/>
          <w:sz w:val="32"/>
          <w:szCs w:val="32"/>
          <w:lang w:val="en-US" w:eastAsia="zh-CN"/>
        </w:rPr>
        <w:t>幸福华庭A、C、D组团外墙保温系统脱落应急维修工程</w:t>
      </w:r>
      <w:r>
        <w:rPr>
          <w:rFonts w:hint="eastAsia" w:ascii="方正仿宋_GBK" w:hAnsi="方正仿宋_GBK" w:eastAsia="方正仿宋_GBK" w:cs="方正仿宋_GBK"/>
          <w:sz w:val="32"/>
          <w:szCs w:val="32"/>
        </w:rPr>
        <w:t>竞争性谈判文件，经详细研究，决定参加该项目的竞争性谈判。</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我方愿意按照竞争性谈判文件中的一切要求，提供本项目的交货及技术服务，项目初始报价（总价）为人民币大写：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元整；人民币小写</w:t>
      </w:r>
      <w:r>
        <w:rPr>
          <w:rFonts w:hint="eastAsia" w:ascii="方正仿宋_GBK" w:hAnsi="方正仿宋_GBK" w:eastAsia="方正仿宋_GBK" w:cs="方正仿宋_GBK"/>
          <w:sz w:val="32"/>
          <w:szCs w:val="32"/>
          <w:u w:val="none"/>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元。以我公司最后报价为准。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．我方现提交的响应文件为：响应文件正本一份。</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3</w:t>
      </w:r>
      <w:r>
        <w:rPr>
          <w:rFonts w:hint="eastAsia" w:ascii="方正仿宋_GBK" w:hAnsi="方正仿宋_GBK" w:eastAsia="方正仿宋_GBK" w:cs="方正仿宋_GBK"/>
          <w:sz w:val="32"/>
          <w:szCs w:val="32"/>
        </w:rPr>
        <w:t>．我方承诺：本次谈判的有效期为谈判开始时间起</w:t>
      </w:r>
      <w:r>
        <w:rPr>
          <w:rFonts w:hint="eastAsia" w:ascii="Times New Roman" w:hAnsi="Times New Roman" w:eastAsia="方正仿宋_GBK" w:cs="方正仿宋_GBK"/>
          <w:sz w:val="32"/>
          <w:szCs w:val="32"/>
        </w:rPr>
        <w:t>90</w:t>
      </w:r>
      <w:r>
        <w:rPr>
          <w:rFonts w:hint="eastAsia" w:ascii="方正仿宋_GBK" w:hAnsi="方正仿宋_GBK" w:eastAsia="方正仿宋_GBK" w:cs="方正仿宋_GBK"/>
          <w:sz w:val="32"/>
          <w:szCs w:val="32"/>
        </w:rPr>
        <w:t>天。</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4</w:t>
      </w:r>
      <w:r>
        <w:rPr>
          <w:rFonts w:hint="eastAsia" w:ascii="方正仿宋_GBK" w:hAnsi="方正仿宋_GBK" w:eastAsia="方正仿宋_GBK" w:cs="方正仿宋_GBK"/>
          <w:sz w:val="32"/>
          <w:szCs w:val="32"/>
        </w:rPr>
        <w:t>．我方愿意提供完全响应大渡口区住房和城乡建设委员会在竞争性谈判文件中所提出的要求的所有资料，并对其真实性负责；如我方无法提供竞争性谈判文件规定的全部资料，你方可以将我方视为未能完全响应竞争性谈判而作无效标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5</w:t>
      </w:r>
      <w:r>
        <w:rPr>
          <w:rFonts w:hint="eastAsia" w:ascii="方正仿宋_GBK" w:hAnsi="方正仿宋_GBK" w:eastAsia="方正仿宋_GBK" w:cs="方正仿宋_GBK"/>
          <w:sz w:val="32"/>
          <w:szCs w:val="32"/>
        </w:rPr>
        <w:t>．我方完全理解和接受贵方竞争性谈判文件的一切规定和要求及谈判评审办法。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6</w:t>
      </w:r>
      <w:r>
        <w:rPr>
          <w:rFonts w:hint="eastAsia" w:ascii="方正仿宋_GBK" w:hAnsi="方正仿宋_GBK" w:eastAsia="方正仿宋_GBK" w:cs="方正仿宋_GBK"/>
          <w:sz w:val="32"/>
          <w:szCs w:val="32"/>
        </w:rPr>
        <w:t>．在整个竞争性谈判过程中，我方若有违规行为，接受按照《中华人民共和国政府采购法》和《竞争性谈判文件》之规定给予惩罚。</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7</w:t>
      </w:r>
      <w:r>
        <w:rPr>
          <w:rFonts w:hint="eastAsia" w:ascii="方正仿宋_GBK" w:hAnsi="方正仿宋_GBK" w:eastAsia="方正仿宋_GBK" w:cs="方正仿宋_GBK"/>
          <w:sz w:val="32"/>
          <w:szCs w:val="32"/>
        </w:rPr>
        <w:t>．我方若成为成交供应商，将按照最终谈判结果签订合同，并且严格履行合同义务。本承诺函将成为合同不可分割的一部分，与合同具有同等的法律效力。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8</w:t>
      </w:r>
      <w:r>
        <w:rPr>
          <w:rFonts w:hint="eastAsia" w:ascii="方正仿宋_GBK" w:hAnsi="方正仿宋_GBK" w:eastAsia="方正仿宋_GBK" w:cs="方正仿宋_GBK"/>
          <w:sz w:val="32"/>
          <w:szCs w:val="32"/>
        </w:rPr>
        <w:t>．我方未为采购项目提供项目管理、监理、检测等服务。</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竞标人（公章）：</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联系人：             </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4160" w:firstLineChars="13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电话：             </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5760" w:firstLineChars="1800"/>
        <w:textAlignment w:val="baseline"/>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年    月   日</w:t>
      </w:r>
    </w:p>
    <w:p>
      <w:pPr>
        <w:rPr>
          <w:rFonts w:hint="eastAsia" w:ascii="方正仿宋_GBK" w:hAnsi="方正仿宋_GBK" w:eastAsia="方正仿宋_GBK" w:cs="方正仿宋_GBK"/>
          <w:sz w:val="32"/>
          <w:szCs w:val="32"/>
          <w:lang w:eastAsia="zh-CN"/>
        </w:rPr>
      </w:pPr>
    </w:p>
    <w:p>
      <w:pPr>
        <w:pStyle w:val="2"/>
        <w:rPr>
          <w:rFonts w:hint="eastAsia"/>
          <w:lang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b/>
          <w:bCs/>
          <w:sz w:val="32"/>
          <w:szCs w:val="32"/>
          <w:lang w:val="en-US" w:eastAsia="zh-CN"/>
        </w:rPr>
        <w:t>二、已标价工程量清单</w:t>
      </w:r>
    </w:p>
    <w:p>
      <w:pPr>
        <w:jc w:val="both"/>
        <w:rPr>
          <w:rFonts w:hint="eastAsia" w:ascii="方正仿宋_GBK" w:hAnsi="方正仿宋_GBK" w:eastAsia="方正仿宋_GBK" w:cs="方正仿宋_GBK"/>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按《工程量清单》逐项完整填写报价。</w:t>
      </w:r>
    </w:p>
    <w:p>
      <w:pPr>
        <w:ind w:firstLine="480" w:firstLineChars="200"/>
        <w:rPr>
          <w:rFonts w:hint="eastAsia" w:ascii="宋体" w:hAnsi="宋体" w:eastAsia="宋体" w:cs="宋体"/>
          <w:color w:val="auto"/>
          <w:sz w:val="24"/>
          <w:szCs w:val="24"/>
          <w:highlight w:val="none"/>
        </w:rPr>
      </w:pPr>
    </w:p>
    <w:p>
      <w:pPr>
        <w:rPr>
          <w:rFonts w:hint="eastAsia" w:ascii="方正仿宋_GBK" w:hAnsi="方正仿宋_GBK" w:eastAsia="方正仿宋_GBK" w:cs="方正仿宋_GBK"/>
          <w:sz w:val="32"/>
          <w:szCs w:val="32"/>
          <w:lang w:eastAsia="zh-CN"/>
        </w:rPr>
      </w:pPr>
    </w:p>
    <w:p>
      <w:pPr>
        <w:pStyle w:val="2"/>
        <w:rPr>
          <w:rFonts w:hint="eastAsia"/>
          <w:lang w:eastAsia="zh-CN"/>
        </w:rPr>
      </w:pPr>
    </w:p>
    <w:p>
      <w:pPr>
        <w:keepNext w:val="0"/>
        <w:keepLines w:val="0"/>
        <w:pageBreakBefore w:val="0"/>
        <w:wordWrap/>
        <w:overflowPunct/>
        <w:topLinePunct w:val="0"/>
        <w:bidi w:val="0"/>
        <w:snapToGrid w:val="0"/>
        <w:spacing w:line="560" w:lineRule="exact"/>
        <w:ind w:firstLine="5440" w:firstLineChars="1700"/>
        <w:rPr>
          <w:rFonts w:hint="eastAsia" w:ascii="方正仿宋_GBK" w:hAnsi="方正仿宋_GBK" w:eastAsia="方正仿宋_GBK" w:cs="方正仿宋_GBK"/>
          <w:sz w:val="32"/>
          <w:szCs w:val="32"/>
          <w:lang w:eastAsia="zh-CN"/>
        </w:rPr>
      </w:pPr>
      <w:bookmarkStart w:id="4" w:name="_GoBack"/>
      <w:bookmarkEnd w:id="4"/>
    </w:p>
    <w:p>
      <w:pPr>
        <w:keepNext w:val="0"/>
        <w:keepLines w:val="0"/>
        <w:pageBreakBefore w:val="0"/>
        <w:wordWrap/>
        <w:overflowPunct/>
        <w:topLinePunct w:val="0"/>
        <w:bidi w:val="0"/>
        <w:snapToGrid w:val="0"/>
        <w:spacing w:line="560" w:lineRule="exact"/>
        <w:ind w:firstLine="5440" w:firstLineChars="1700"/>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ascii="方正仿宋_GBK" w:hAnsi="方正仿宋_GBK" w:eastAsia="方正仿宋_GBK" w:cs="方正仿宋_GBK"/>
          <w:sz w:val="32"/>
          <w:szCs w:val="32"/>
          <w:lang w:eastAsia="zh-CN"/>
        </w:rPr>
      </w:pPr>
    </w:p>
    <w:p>
      <w:pPr>
        <w:pStyle w:val="2"/>
        <w:rPr>
          <w:rFonts w:hint="eastAsia" w:ascii="方正仿宋_GBK" w:hAnsi="方正仿宋_GBK" w:eastAsia="方正仿宋_GBK" w:cs="方正仿宋_GBK"/>
          <w:sz w:val="32"/>
          <w:szCs w:val="32"/>
          <w:lang w:eastAsia="zh-CN"/>
        </w:rPr>
      </w:pPr>
    </w:p>
    <w:p>
      <w:pPr>
        <w:rPr>
          <w:rFonts w:hint="eastAsia"/>
          <w:lang w:eastAsia="zh-CN"/>
        </w:rPr>
      </w:pPr>
    </w:p>
    <w:p>
      <w:pPr>
        <w:snapToGrid w:val="0"/>
        <w:spacing w:line="360" w:lineRule="auto"/>
        <w:rPr>
          <w:rFonts w:hint="eastAsia" w:ascii="方正仿宋_GBK" w:hAnsi="方正仿宋_GBK" w:eastAsia="方正仿宋_GBK" w:cs="方正仿宋_GBK"/>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b/>
          <w:bCs/>
          <w:sz w:val="32"/>
          <w:szCs w:val="32"/>
          <w:lang w:val="en-US" w:eastAsia="zh-CN"/>
        </w:rPr>
        <w:t>三、资格条件及其他</w:t>
      </w:r>
    </w:p>
    <w:p>
      <w:pPr>
        <w:widowControl/>
        <w:jc w:val="center"/>
        <w:rPr>
          <w:rFonts w:hint="eastAsia" w:ascii="方正小标宋_GBK" w:hAnsi="方正小标宋_GBK" w:eastAsia="方正小标宋_GBK" w:cs="方正小标宋_GBK"/>
          <w:sz w:val="44"/>
          <w:szCs w:val="44"/>
        </w:rPr>
      </w:pPr>
    </w:p>
    <w:p>
      <w:pPr>
        <w:widowControl/>
        <w:jc w:val="center"/>
        <w:rPr>
          <w:rFonts w:hint="eastAsia" w:ascii="方正仿宋_GBK" w:hAnsi="方正仿宋_GBK" w:eastAsia="方正仿宋_GBK" w:cs="方正仿宋_GBK"/>
          <w:sz w:val="44"/>
          <w:szCs w:val="44"/>
        </w:rPr>
      </w:pPr>
      <w:r>
        <w:rPr>
          <w:rFonts w:hint="eastAsia" w:ascii="方正小标宋_GBK" w:hAnsi="方正小标宋_GBK" w:eastAsia="方正小标宋_GBK" w:cs="方正小标宋_GBK"/>
          <w:sz w:val="44"/>
          <w:szCs w:val="44"/>
        </w:rPr>
        <w:t>法定代表人身份证明书（格式）</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谈判项目名称：</w:t>
      </w:r>
      <w:r>
        <w:rPr>
          <w:rFonts w:hint="eastAsia" w:ascii="方正仿宋_GBK" w:hAnsi="方正仿宋_GBK" w:eastAsia="方正仿宋_GBK" w:cs="方正仿宋_GBK"/>
          <w:sz w:val="32"/>
          <w:szCs w:val="32"/>
          <w:u w:val="single"/>
        </w:rPr>
        <w:t xml:space="preserve">                                                </w:t>
      </w: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（法定代表人姓名）在</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（供应商名称）任</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（职务名称）职务，是（供应商名称）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的法定代表人。</w:t>
      </w: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特此证明。</w:t>
      </w: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（供应商鲜章）</w:t>
      </w: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p>
    <w:p>
      <w:pPr>
        <w:keepNext w:val="0"/>
        <w:keepLines w:val="0"/>
        <w:pageBreakBefore w:val="0"/>
        <w:widowControl/>
        <w:tabs>
          <w:tab w:val="left" w:pos="6300"/>
        </w:tabs>
        <w:kinsoku w:val="0"/>
        <w:wordWrap/>
        <w:overflowPunct/>
        <w:topLinePunct w:val="0"/>
        <w:autoSpaceDE w:val="0"/>
        <w:autoSpaceDN w:val="0"/>
        <w:bidi w:val="0"/>
        <w:adjustRightInd w:val="0"/>
        <w:snapToGrid w:val="0"/>
        <w:spacing w:line="560" w:lineRule="exact"/>
        <w:ind w:firstLine="573"/>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（附：法定代表人身份证正反面复印件）</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rPr>
          <w:rFonts w:hint="eastAsia" w:ascii="方正仿宋_GBK" w:hAnsi="方正仿宋_GBK" w:eastAsia="方正仿宋_GBK" w:cs="方正仿宋_GBK"/>
          <w:sz w:val="32"/>
          <w:szCs w:val="32"/>
        </w:rPr>
      </w:pPr>
    </w:p>
    <w:p>
      <w:pPr>
        <w:tabs>
          <w:tab w:val="left" w:pos="6300"/>
        </w:tabs>
        <w:snapToGrid w:val="0"/>
        <w:spacing w:line="500" w:lineRule="exact"/>
        <w:rPr>
          <w:rFonts w:hint="eastAsia" w:ascii="方正仿宋_GBK" w:hAnsi="方正仿宋_GBK" w:eastAsia="方正仿宋_GBK" w:cs="方正仿宋_GBK"/>
          <w:sz w:val="32"/>
          <w:szCs w:val="32"/>
        </w:rPr>
      </w:pPr>
    </w:p>
    <w:p>
      <w:pPr>
        <w:tabs>
          <w:tab w:val="left" w:pos="6300"/>
        </w:tabs>
        <w:snapToGrid w:val="0"/>
        <w:spacing w:line="500" w:lineRule="exact"/>
        <w:jc w:val="center"/>
        <w:rPr>
          <w:rFonts w:hint="eastAsia" w:ascii="方正仿宋_GBK" w:hAnsi="方正仿宋_GBK" w:eastAsia="方正仿宋_GBK" w:cs="方正仿宋_GBK"/>
          <w:sz w:val="32"/>
          <w:szCs w:val="32"/>
        </w:rPr>
      </w:pPr>
      <w:r>
        <w:rPr>
          <w:rFonts w:hint="eastAsia" w:ascii="方正小标宋_GBK" w:hAnsi="方正小标宋_GBK" w:eastAsia="方正小标宋_GBK" w:cs="方正小标宋_GBK"/>
          <w:sz w:val="44"/>
          <w:szCs w:val="44"/>
        </w:rPr>
        <w:t>法定代表人授权委托书（格式）</w:t>
      </w:r>
    </w:p>
    <w:p>
      <w:pPr>
        <w:tabs>
          <w:tab w:val="left" w:pos="6300"/>
        </w:tabs>
        <w:snapToGrid w:val="0"/>
        <w:spacing w:line="5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谈判项目名称：</w:t>
      </w:r>
      <w:r>
        <w:rPr>
          <w:rFonts w:hint="eastAsia" w:ascii="方正仿宋_GBK" w:hAnsi="方正仿宋_GBK" w:eastAsia="方正仿宋_GBK" w:cs="方正仿宋_GBK"/>
          <w:sz w:val="32"/>
          <w:szCs w:val="32"/>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（供应商法定代表人名称）是</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（供应商名称）的法定代表人，特授权</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（被授权人姓名及身份证代码）代表我单位全权办理上述项目的报名、谈判、签约等具体工作，并签署全部有关文件、协议及合同。</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我单位对被授权人的签字负全部责任。</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被授权人：                  供应商法定代表人：</w:t>
      </w:r>
    </w:p>
    <w:p>
      <w:pPr>
        <w:tabs>
          <w:tab w:val="left" w:pos="6300"/>
        </w:tabs>
        <w:snapToGrid w:val="0"/>
        <w:spacing w:line="500" w:lineRule="exact"/>
        <w:ind w:firstLine="320" w:firstLineChars="1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（签字或盖章）                （签字和盖章）</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（附：被授权人身份证正反面复印件）</w:t>
      </w:r>
    </w:p>
    <w:p>
      <w:pPr>
        <w:tabs>
          <w:tab w:val="left" w:pos="6300"/>
        </w:tabs>
        <w:snapToGrid w:val="0"/>
        <w:spacing w:line="500" w:lineRule="exact"/>
        <w:ind w:firstLine="57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（供应商鲜章）</w:t>
      </w: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pPr>
        <w:jc w:val="center"/>
        <w:rPr>
          <w:rFonts w:hint="eastAsia" w:ascii="宋体" w:hAnsi="宋体" w:cs="宋体"/>
          <w:b/>
          <w:szCs w:val="28"/>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sz w:val="44"/>
          <w:szCs w:val="44"/>
        </w:rPr>
        <w:t>服务响应及履约能力承诺书</w:t>
      </w:r>
    </w:p>
    <w:p>
      <w:pPr>
        <w:pStyle w:val="2"/>
        <w:rPr>
          <w:rFonts w:hint="eastAsia"/>
        </w:rPr>
      </w:pP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谈判项目名称：</w:t>
      </w:r>
      <w:r>
        <w:rPr>
          <w:rFonts w:hint="eastAsia" w:ascii="方正仿宋_GBK" w:hAnsi="方正仿宋_GBK" w:eastAsia="方正仿宋_GBK" w:cs="方正仿宋_GBK"/>
          <w:sz w:val="32"/>
          <w:szCs w:val="32"/>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（供应商名称）郑重声明，我公司完全响应大渡口区住房和城乡建设委员会在竞争性谈判文件中所有服务要求，无差异。我公司同时承诺具备履行合同所必须的设备和专业技术能力。</w:t>
      </w:r>
    </w:p>
    <w:p>
      <w:pPr>
        <w:tabs>
          <w:tab w:val="left" w:pos="6300"/>
        </w:tabs>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pStyle w:val="3"/>
        <w:spacing w:line="360" w:lineRule="auto"/>
        <w:jc w:val="center"/>
        <w:rPr>
          <w:rFonts w:hint="eastAsia" w:ascii="方正仿宋_GBK" w:hAnsi="方正仿宋_GBK" w:eastAsia="方正仿宋_GBK" w:cs="方正仿宋_GBK"/>
          <w:b w:val="0"/>
          <w:sz w:val="32"/>
          <w:szCs w:val="32"/>
        </w:rPr>
      </w:pPr>
    </w:p>
    <w:p>
      <w:pPr>
        <w:snapToGrid w:val="0"/>
        <w:spacing w:line="400" w:lineRule="exact"/>
        <w:ind w:firstLine="640" w:firstLineChars="20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firstLine="570"/>
        <w:rPr>
          <w:rFonts w:hint="eastAsia" w:ascii="方正仿宋_GBK" w:hAnsi="方正仿宋_GBK" w:eastAsia="方正仿宋_GBK" w:cs="方正仿宋_GBK"/>
          <w:sz w:val="32"/>
          <w:szCs w:val="32"/>
        </w:rPr>
      </w:pPr>
    </w:p>
    <w:p>
      <w:pPr>
        <w:tabs>
          <w:tab w:val="left" w:pos="6300"/>
        </w:tabs>
        <w:snapToGrid w:val="0"/>
        <w:spacing w:line="500" w:lineRule="exact"/>
        <w:ind w:right="424"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（供应商鲜章）</w:t>
      </w: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   月   日</w:t>
      </w: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numPr>
          <w:ilvl w:val="0"/>
          <w:numId w:val="5"/>
        </w:numPr>
        <w:tabs>
          <w:tab w:val="left" w:pos="6300"/>
        </w:tabs>
        <w:snapToGrid w:val="0"/>
        <w:spacing w:line="500" w:lineRule="exact"/>
        <w:ind w:left="60" w:leftChars="0" w:firstLine="57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营业执照（副本）复印件或事业单位法人证书（副本）复印件或个体工商户营业执照复印件或有效的自然人身份证明复印件</w:t>
      </w:r>
    </w:p>
    <w:p>
      <w:pPr>
        <w:numPr>
          <w:ilvl w:val="0"/>
          <w:numId w:val="5"/>
        </w:numPr>
        <w:tabs>
          <w:tab w:val="left" w:pos="6300"/>
        </w:tabs>
        <w:snapToGrid w:val="0"/>
        <w:spacing w:line="500" w:lineRule="exact"/>
        <w:ind w:left="60" w:leftChars="0" w:firstLine="57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安全生产许可证复印件</w:t>
      </w:r>
    </w:p>
    <w:p>
      <w:pPr>
        <w:pStyle w:val="2"/>
        <w:numPr>
          <w:ilvl w:val="0"/>
          <w:numId w:val="0"/>
        </w:numPr>
        <w:kinsoku w:val="0"/>
        <w:autoSpaceDE w:val="0"/>
        <w:autoSpaceDN w:val="0"/>
        <w:adjustRightInd w:val="0"/>
        <w:snapToGrid w:val="0"/>
        <w:spacing w:line="240" w:lineRule="auto"/>
        <w:jc w:val="left"/>
        <w:textAlignment w:val="baseline"/>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rPr>
          <w:rFonts w:hint="eastAsia"/>
        </w:rPr>
      </w:pPr>
    </w:p>
    <w:p>
      <w:pPr>
        <w:jc w:val="center"/>
        <w:rPr>
          <w:rFonts w:hint="default"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val="en-US" w:eastAsia="zh-CN"/>
        </w:rPr>
        <w:t>报名登记表</w:t>
      </w:r>
    </w:p>
    <w:tbl>
      <w:tblPr>
        <w:tblStyle w:val="10"/>
        <w:tblW w:w="0" w:type="auto"/>
        <w:jc w:val="center"/>
        <w:tblLayout w:type="fixed"/>
        <w:tblCellMar>
          <w:top w:w="0" w:type="dxa"/>
          <w:left w:w="108" w:type="dxa"/>
          <w:bottom w:w="0" w:type="dxa"/>
          <w:right w:w="108" w:type="dxa"/>
        </w:tblCellMar>
      </w:tblPr>
      <w:tblGrid>
        <w:gridCol w:w="1870"/>
        <w:gridCol w:w="1951"/>
        <w:gridCol w:w="1244"/>
        <w:gridCol w:w="3483"/>
      </w:tblGrid>
      <w:tr>
        <w:tblPrEx>
          <w:tblCellMar>
            <w:top w:w="0" w:type="dxa"/>
            <w:left w:w="108" w:type="dxa"/>
            <w:bottom w:w="0" w:type="dxa"/>
            <w:right w:w="108" w:type="dxa"/>
          </w:tblCellMar>
        </w:tblPrEx>
        <w:trPr>
          <w:trHeight w:val="596" w:hRule="atLeast"/>
          <w:jc w:val="center"/>
        </w:trPr>
        <w:tc>
          <w:tcPr>
            <w:tcW w:w="1870" w:type="dxa"/>
            <w:tcBorders>
              <w:top w:val="doub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项目编号</w:t>
            </w:r>
          </w:p>
        </w:tc>
        <w:tc>
          <w:tcPr>
            <w:tcW w:w="6678" w:type="dxa"/>
            <w:gridSpan w:val="3"/>
            <w:tcBorders>
              <w:top w:val="double" w:color="000000" w:sz="4" w:space="0"/>
              <w:left w:val="single" w:color="000000" w:sz="4" w:space="0"/>
              <w:bottom w:val="single" w:color="000000" w:sz="4" w:space="0"/>
              <w:right w:val="double" w:color="000000" w:sz="4" w:space="0"/>
            </w:tcBorders>
            <w:noWrap w:val="0"/>
            <w:vAlign w:val="center"/>
          </w:tcPr>
          <w:p>
            <w:pPr>
              <w:snapToGrid w:val="0"/>
              <w:spacing w:line="400" w:lineRule="exact"/>
              <w:ind w:firstLine="360" w:firstLineChars="150"/>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w:t>
            </w:r>
          </w:p>
        </w:tc>
      </w:tr>
      <w:tr>
        <w:tblPrEx>
          <w:tblCellMar>
            <w:top w:w="0" w:type="dxa"/>
            <w:left w:w="108" w:type="dxa"/>
            <w:bottom w:w="0" w:type="dxa"/>
            <w:right w:w="108" w:type="dxa"/>
          </w:tblCellMar>
        </w:tblPrEx>
        <w:trPr>
          <w:trHeight w:val="601" w:hRule="atLeast"/>
          <w:jc w:val="center"/>
        </w:trPr>
        <w:tc>
          <w:tcPr>
            <w:tcW w:w="1870" w:type="dxa"/>
            <w:tcBorders>
              <w:top w:val="sing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项目名称</w:t>
            </w:r>
          </w:p>
        </w:tc>
        <w:tc>
          <w:tcPr>
            <w:tcW w:w="6678" w:type="dxa"/>
            <w:gridSpan w:val="3"/>
            <w:tcBorders>
              <w:top w:val="single" w:color="000000" w:sz="4" w:space="0"/>
              <w:left w:val="single" w:color="000000" w:sz="4" w:space="0"/>
              <w:bottom w:val="single" w:color="000000" w:sz="4" w:space="0"/>
              <w:right w:val="doub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r>
      <w:tr>
        <w:tblPrEx>
          <w:tblCellMar>
            <w:top w:w="0" w:type="dxa"/>
            <w:left w:w="108" w:type="dxa"/>
            <w:bottom w:w="0" w:type="dxa"/>
            <w:right w:w="108" w:type="dxa"/>
          </w:tblCellMar>
        </w:tblPrEx>
        <w:trPr>
          <w:trHeight w:val="845" w:hRule="atLeast"/>
          <w:jc w:val="center"/>
        </w:trPr>
        <w:tc>
          <w:tcPr>
            <w:tcW w:w="1870" w:type="dxa"/>
            <w:tcBorders>
              <w:top w:val="sing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供应商名称</w:t>
            </w:r>
          </w:p>
        </w:tc>
        <w:tc>
          <w:tcPr>
            <w:tcW w:w="6678" w:type="dxa"/>
            <w:gridSpan w:val="3"/>
            <w:tcBorders>
              <w:top w:val="single" w:color="000000" w:sz="4" w:space="0"/>
              <w:left w:val="single" w:color="000000" w:sz="4" w:space="0"/>
              <w:bottom w:val="single" w:color="000000" w:sz="4" w:space="0"/>
              <w:right w:val="double" w:color="000000" w:sz="4" w:space="0"/>
            </w:tcBorders>
            <w:noWrap w:val="0"/>
            <w:vAlign w:val="bottom"/>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（供应商公章）</w:t>
            </w:r>
          </w:p>
        </w:tc>
      </w:tr>
      <w:tr>
        <w:tblPrEx>
          <w:tblCellMar>
            <w:top w:w="0" w:type="dxa"/>
            <w:left w:w="108" w:type="dxa"/>
            <w:bottom w:w="0" w:type="dxa"/>
            <w:right w:w="108" w:type="dxa"/>
          </w:tblCellMar>
        </w:tblPrEx>
        <w:trPr>
          <w:trHeight w:val="621" w:hRule="atLeast"/>
          <w:jc w:val="center"/>
        </w:trPr>
        <w:tc>
          <w:tcPr>
            <w:tcW w:w="1870" w:type="dxa"/>
            <w:tcBorders>
              <w:top w:val="sing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联系人</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手机</w:t>
            </w:r>
          </w:p>
        </w:tc>
        <w:tc>
          <w:tcPr>
            <w:tcW w:w="3483" w:type="dxa"/>
            <w:tcBorders>
              <w:top w:val="single" w:color="000000" w:sz="4" w:space="0"/>
              <w:left w:val="single" w:color="000000" w:sz="4" w:space="0"/>
              <w:bottom w:val="single" w:color="000000" w:sz="4" w:space="0"/>
              <w:right w:val="doub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r>
      <w:tr>
        <w:tblPrEx>
          <w:tblCellMar>
            <w:top w:w="0" w:type="dxa"/>
            <w:left w:w="108" w:type="dxa"/>
            <w:bottom w:w="0" w:type="dxa"/>
            <w:right w:w="108" w:type="dxa"/>
          </w:tblCellMar>
        </w:tblPrEx>
        <w:trPr>
          <w:trHeight w:val="616" w:hRule="atLeast"/>
          <w:jc w:val="center"/>
        </w:trPr>
        <w:tc>
          <w:tcPr>
            <w:tcW w:w="1870" w:type="dxa"/>
            <w:tcBorders>
              <w:top w:val="sing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办公电话</w:t>
            </w:r>
          </w:p>
        </w:tc>
        <w:tc>
          <w:tcPr>
            <w:tcW w:w="1951"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c>
          <w:tcPr>
            <w:tcW w:w="1244"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传真</w:t>
            </w:r>
          </w:p>
        </w:tc>
        <w:tc>
          <w:tcPr>
            <w:tcW w:w="3483" w:type="dxa"/>
            <w:tcBorders>
              <w:top w:val="single" w:color="000000" w:sz="4" w:space="0"/>
              <w:left w:val="single" w:color="000000" w:sz="4" w:space="0"/>
              <w:bottom w:val="single" w:color="000000" w:sz="4" w:space="0"/>
              <w:right w:val="doub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r>
      <w:tr>
        <w:tblPrEx>
          <w:tblCellMar>
            <w:top w:w="0" w:type="dxa"/>
            <w:left w:w="108" w:type="dxa"/>
            <w:bottom w:w="0" w:type="dxa"/>
            <w:right w:w="108" w:type="dxa"/>
          </w:tblCellMar>
        </w:tblPrEx>
        <w:trPr>
          <w:trHeight w:val="565" w:hRule="atLeast"/>
          <w:jc w:val="center"/>
        </w:trPr>
        <w:tc>
          <w:tcPr>
            <w:tcW w:w="1870" w:type="dxa"/>
            <w:tcBorders>
              <w:top w:val="single" w:color="000000" w:sz="4" w:space="0"/>
              <w:left w:val="double" w:color="000000" w:sz="4" w:space="0"/>
              <w:bottom w:val="sing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E-mail</w:t>
            </w:r>
          </w:p>
        </w:tc>
        <w:tc>
          <w:tcPr>
            <w:tcW w:w="6678" w:type="dxa"/>
            <w:gridSpan w:val="3"/>
            <w:tcBorders>
              <w:top w:val="single" w:color="000000" w:sz="4" w:space="0"/>
              <w:left w:val="single" w:color="000000" w:sz="4" w:space="0"/>
              <w:bottom w:val="single" w:color="000000" w:sz="4" w:space="0"/>
              <w:right w:val="doub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r>
      <w:tr>
        <w:tblPrEx>
          <w:tblCellMar>
            <w:top w:w="0" w:type="dxa"/>
            <w:left w:w="108" w:type="dxa"/>
            <w:bottom w:w="0" w:type="dxa"/>
            <w:right w:w="108" w:type="dxa"/>
          </w:tblCellMar>
        </w:tblPrEx>
        <w:trPr>
          <w:trHeight w:val="1135" w:hRule="atLeast"/>
          <w:jc w:val="center"/>
        </w:trPr>
        <w:tc>
          <w:tcPr>
            <w:tcW w:w="1870" w:type="dxa"/>
            <w:tcBorders>
              <w:top w:val="single" w:color="000000" w:sz="4" w:space="0"/>
              <w:left w:val="double" w:color="000000" w:sz="4" w:space="0"/>
              <w:bottom w:val="double" w:color="000000" w:sz="4" w:space="0"/>
              <w:right w:val="sing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单位地址</w:t>
            </w:r>
          </w:p>
        </w:tc>
        <w:tc>
          <w:tcPr>
            <w:tcW w:w="6678" w:type="dxa"/>
            <w:gridSpan w:val="3"/>
            <w:tcBorders>
              <w:top w:val="single" w:color="000000" w:sz="4" w:space="0"/>
              <w:left w:val="single" w:color="000000" w:sz="4" w:space="0"/>
              <w:bottom w:val="double" w:color="000000" w:sz="4" w:space="0"/>
              <w:right w:val="double" w:color="000000" w:sz="4" w:space="0"/>
            </w:tcBorders>
            <w:noWrap w:val="0"/>
            <w:vAlign w:val="center"/>
          </w:tcPr>
          <w:p>
            <w:pPr>
              <w:snapToGrid w:val="0"/>
              <w:spacing w:line="400" w:lineRule="exact"/>
              <w:ind w:firstLine="360" w:firstLineChars="150"/>
              <w:rPr>
                <w:rFonts w:hint="eastAsia" w:ascii="方正仿宋_GBK" w:hAnsi="方正仿宋_GBK" w:eastAsia="方正仿宋_GBK" w:cs="方正仿宋_GBK"/>
                <w:color w:val="auto"/>
                <w:sz w:val="24"/>
                <w:szCs w:val="24"/>
                <w:highlight w:val="none"/>
              </w:rPr>
            </w:pPr>
          </w:p>
        </w:tc>
      </w:tr>
    </w:tbl>
    <w:p>
      <w:pPr>
        <w:tabs>
          <w:tab w:val="left" w:pos="6300"/>
        </w:tabs>
        <w:snapToGrid w:val="0"/>
        <w:spacing w:line="500" w:lineRule="exact"/>
        <w:ind w:right="480" w:firstLine="570"/>
        <w:jc w:val="right"/>
        <w:rPr>
          <w:rFonts w:hint="eastAsia" w:ascii="方正仿宋_GBK" w:hAnsi="方正仿宋_GBK" w:eastAsia="方正仿宋_GBK" w:cs="方正仿宋_GBK"/>
          <w:sz w:val="32"/>
          <w:szCs w:val="32"/>
        </w:rPr>
      </w:pPr>
    </w:p>
    <w:p>
      <w:pPr>
        <w:snapToGrid w:val="0"/>
        <w:spacing w:line="360" w:lineRule="auto"/>
        <w:ind w:firstLine="5440" w:firstLineChars="1700"/>
        <w:rPr>
          <w:rFonts w:hint="eastAsia" w:ascii="方正仿宋_GBK" w:hAnsi="方正仿宋_GBK" w:eastAsia="方正仿宋_GBK" w:cs="方正仿宋_GBK"/>
          <w:sz w:val="32"/>
          <w:szCs w:val="32"/>
          <w:lang w:eastAsia="zh-CN"/>
        </w:rPr>
      </w:pPr>
    </w:p>
    <w:p>
      <w:pPr>
        <w:rPr>
          <w:b/>
          <w:bCs/>
          <w:spacing w:val="18"/>
          <w:sz w:val="31"/>
          <w:szCs w:val="31"/>
        </w:rPr>
      </w:pPr>
    </w:p>
    <w:sectPr>
      <w:headerReference r:id="rId9" w:type="default"/>
      <w:footerReference r:id="rId10" w:type="default"/>
      <w:pgSz w:w="11906" w:h="16838"/>
      <w:pgMar w:top="1984" w:right="1446" w:bottom="1644" w:left="14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幼圆">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jc w:val="center"/>
      <w:rPr>
        <w:rStyle w:val="12"/>
        <w:rFonts w:hint="eastAsia" w:ascii="宋体"/>
        <w:sz w:val="21"/>
        <w:szCs w:val="21"/>
      </w:rPr>
    </w:pPr>
    <w:r>
      <w:rPr>
        <w:rFonts w:ascii="宋体"/>
        <w:sz w:val="21"/>
        <w:szCs w:val="21"/>
      </w:rPr>
      <w:fldChar w:fldCharType="begin"/>
    </w:r>
    <w:r>
      <w:rPr>
        <w:rStyle w:val="12"/>
        <w:rFonts w:ascii="宋体"/>
        <w:sz w:val="21"/>
        <w:szCs w:val="21"/>
      </w:rPr>
      <w:instrText xml:space="preserve">PAGE  </w:instrText>
    </w:r>
    <w:r>
      <w:rPr>
        <w:rFonts w:ascii="宋体"/>
        <w:sz w:val="21"/>
        <w:szCs w:val="21"/>
      </w:rPr>
      <w:fldChar w:fldCharType="separate"/>
    </w:r>
    <w:r>
      <w:rPr>
        <w:rStyle w:val="12"/>
        <w:rFonts w:ascii="宋体"/>
        <w:sz w:val="21"/>
        <w:szCs w:val="21"/>
      </w:rPr>
      <w:t>- 18 -</w:t>
    </w:r>
    <w:r>
      <w:rPr>
        <w:rFonts w:ascii="宋体"/>
        <w:sz w:val="21"/>
        <w:szCs w:val="21"/>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p>
  <w:p>
    <w:pPr>
      <w:pStyle w:val="6"/>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75"/>
      <w:rPr>
        <w:rFonts w:ascii="宋体" w:hAnsi="宋体" w:eastAsia="宋体" w:cs="宋体"/>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75"/>
      <w:rPr>
        <w:rFonts w:ascii="宋体" w:hAnsi="宋体" w:eastAsia="宋体" w:cs="宋体"/>
        <w:sz w:val="22"/>
        <w:szCs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rFonts w:hint="eastAsia" w:ascii="方正仿宋_GBK" w:eastAsia="方正仿宋_GBK"/>
        <w:sz w:val="21"/>
        <w:szCs w:val="21"/>
      </w:rPr>
    </w:pPr>
    <w:r>
      <w:rPr>
        <w:rFonts w:hint="eastAsia" w:ascii="方正仿宋_GBK" w:eastAsia="方正仿宋_GBK"/>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A66F04"/>
    <w:multiLevelType w:val="singleLevel"/>
    <w:tmpl w:val="C3A66F04"/>
    <w:lvl w:ilvl="0" w:tentative="0">
      <w:start w:val="1"/>
      <w:numFmt w:val="decimal"/>
      <w:suff w:val="nothing"/>
      <w:lvlText w:val="%1、"/>
      <w:lvlJc w:val="left"/>
      <w:pPr>
        <w:ind w:left="672" w:leftChars="0" w:firstLine="0" w:firstLineChars="0"/>
      </w:pPr>
    </w:lvl>
  </w:abstractNum>
  <w:abstractNum w:abstractNumId="1">
    <w:nsid w:val="DB55D595"/>
    <w:multiLevelType w:val="singleLevel"/>
    <w:tmpl w:val="DB55D595"/>
    <w:lvl w:ilvl="0" w:tentative="0">
      <w:start w:val="1"/>
      <w:numFmt w:val="chineseCounting"/>
      <w:suff w:val="nothing"/>
      <w:lvlText w:val="（%1）"/>
      <w:lvlJc w:val="left"/>
      <w:rPr>
        <w:rFonts w:hint="eastAsia"/>
      </w:rPr>
    </w:lvl>
  </w:abstractNum>
  <w:abstractNum w:abstractNumId="2">
    <w:nsid w:val="28AB3CFD"/>
    <w:multiLevelType w:val="singleLevel"/>
    <w:tmpl w:val="28AB3CFD"/>
    <w:lvl w:ilvl="0" w:tentative="0">
      <w:start w:val="2"/>
      <w:numFmt w:val="chineseCounting"/>
      <w:suff w:val="space"/>
      <w:lvlText w:val="第%1篇"/>
      <w:lvlJc w:val="left"/>
      <w:rPr>
        <w:rFonts w:hint="eastAsia"/>
      </w:rPr>
    </w:lvl>
  </w:abstractNum>
  <w:abstractNum w:abstractNumId="3">
    <w:nsid w:val="5218888B"/>
    <w:multiLevelType w:val="singleLevel"/>
    <w:tmpl w:val="5218888B"/>
    <w:lvl w:ilvl="0" w:tentative="0">
      <w:start w:val="1"/>
      <w:numFmt w:val="chineseCounting"/>
      <w:suff w:val="nothing"/>
      <w:lvlText w:val="%1、"/>
      <w:lvlJc w:val="left"/>
      <w:rPr>
        <w:rFonts w:hint="eastAsia"/>
      </w:rPr>
    </w:lvl>
  </w:abstractNum>
  <w:abstractNum w:abstractNumId="4">
    <w:nsid w:val="530C4914"/>
    <w:multiLevelType w:val="singleLevel"/>
    <w:tmpl w:val="530C4914"/>
    <w:lvl w:ilvl="0" w:tentative="0">
      <w:start w:val="1"/>
      <w:numFmt w:val="chineseCounting"/>
      <w:suff w:val="nothing"/>
      <w:lvlText w:val="（%1）"/>
      <w:lvlJc w:val="left"/>
      <w:pPr>
        <w:ind w:left="60"/>
      </w:pPr>
      <w:rPr>
        <w:rFonts w:hint="eastAsi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MzkxN2NlODAwZjQ4ZGUxNmQ0ZTQxZWYzN2NhNDMifQ=="/>
  </w:docVars>
  <w:rsids>
    <w:rsidRoot w:val="0B484CCB"/>
    <w:rsid w:val="0A4B1FCC"/>
    <w:rsid w:val="0B484CCB"/>
    <w:rsid w:val="0EFC1FA5"/>
    <w:rsid w:val="12A549E0"/>
    <w:rsid w:val="1E2B64A4"/>
    <w:rsid w:val="210A6AB1"/>
    <w:rsid w:val="27986164"/>
    <w:rsid w:val="28C3596E"/>
    <w:rsid w:val="2B026461"/>
    <w:rsid w:val="2B270D89"/>
    <w:rsid w:val="32336247"/>
    <w:rsid w:val="32FA7A2A"/>
    <w:rsid w:val="3E4C5EC2"/>
    <w:rsid w:val="40072E72"/>
    <w:rsid w:val="405857FB"/>
    <w:rsid w:val="445F3A72"/>
    <w:rsid w:val="44C500AC"/>
    <w:rsid w:val="47514196"/>
    <w:rsid w:val="47E7081E"/>
    <w:rsid w:val="4E003963"/>
    <w:rsid w:val="503702B0"/>
    <w:rsid w:val="599A5470"/>
    <w:rsid w:val="657E167D"/>
    <w:rsid w:val="662E01FD"/>
    <w:rsid w:val="66653FA2"/>
    <w:rsid w:val="672554DA"/>
    <w:rsid w:val="68981FA9"/>
    <w:rsid w:val="697D4353"/>
    <w:rsid w:val="6CDC469F"/>
    <w:rsid w:val="6E657B4B"/>
    <w:rsid w:val="6FBD8312"/>
    <w:rsid w:val="71295716"/>
    <w:rsid w:val="733C4DFB"/>
    <w:rsid w:val="76B5003C"/>
    <w:rsid w:val="76B61368"/>
    <w:rsid w:val="76DB0762"/>
    <w:rsid w:val="7A357DBA"/>
    <w:rsid w:val="DFFA236D"/>
    <w:rsid w:val="FFFDC9C4"/>
    <w:rsid w:val="FFFF2F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2"/>
      <w:szCs w:val="32"/>
      <w:lang w:val="en-US" w:eastAsia="en-US" w:bidi="ar-SA"/>
    </w:rPr>
  </w:style>
  <w:style w:type="paragraph" w:styleId="5">
    <w:name w:val="Body Text Indent"/>
    <w:basedOn w:val="1"/>
    <w:qFormat/>
    <w:uiPriority w:val="0"/>
    <w:pPr>
      <w:spacing w:line="360" w:lineRule="auto"/>
      <w:ind w:firstLine="640" w:firstLineChars="200"/>
    </w:pPr>
    <w:rPr>
      <w:rFonts w:ascii="宋体" w:hAnsi="宋体"/>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qFormat/>
    <w:uiPriority w:val="0"/>
    <w:pPr>
      <w:keepNext w:val="0"/>
      <w:keepLines w:val="0"/>
      <w:widowControl w:val="0"/>
      <w:suppressLineNumbers w:val="0"/>
      <w:spacing w:after="120" w:afterAutospacing="0"/>
      <w:ind w:firstLine="420" w:firstLineChars="100"/>
      <w:jc w:val="both"/>
    </w:pPr>
    <w:rPr>
      <w:rFonts w:hint="default" w:ascii="Times New Roman" w:hAnsi="Times New Roman" w:eastAsia="幼圆" w:cs="Times New Roman"/>
      <w:kern w:val="2"/>
      <w:sz w:val="21"/>
      <w:szCs w:val="21"/>
      <w:lang w:val="en-US" w:eastAsia="zh-CN" w:bidi="ar"/>
    </w:rPr>
  </w:style>
  <w:style w:type="character" w:styleId="12">
    <w:name w:val="page number"/>
    <w:qFormat/>
    <w:uiPriority w:val="0"/>
  </w:style>
  <w:style w:type="paragraph" w:customStyle="1" w:styleId="13">
    <w:name w:val="Table Text"/>
    <w:basedOn w:val="1"/>
    <w:semiHidden/>
    <w:qFormat/>
    <w:uiPriority w:val="0"/>
    <w:rPr>
      <w:rFonts w:ascii="宋体" w:hAnsi="宋体" w:eastAsia="宋体" w:cs="宋体"/>
      <w:sz w:val="28"/>
      <w:szCs w:val="28"/>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正文 A"/>
    <w:qFormat/>
    <w:uiPriority w:val="0"/>
    <w:pPr>
      <w:widowControl w:val="0"/>
      <w:jc w:val="both"/>
    </w:pPr>
    <w:rPr>
      <w:rFonts w:ascii="Times New Roman" w:hAnsi="Times New Roman" w:eastAsia="Times New Roman" w:cs="Times New Roman"/>
      <w:color w:val="000000"/>
      <w:kern w:val="2"/>
      <w:sz w:val="28"/>
      <w:szCs w:val="28"/>
      <w:u w:val="none" w:color="000000"/>
      <w:lang w:val="en-US" w:eastAsia="zh-CN" w:bidi="ar-SA"/>
    </w:rPr>
  </w:style>
  <w:style w:type="character" w:customStyle="1" w:styleId="16">
    <w:name w:val="15"/>
    <w:basedOn w:val="1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107</Words>
  <Characters>107</Characters>
  <Lines>0</Lines>
  <Paragraphs>0</Paragraphs>
  <TotalTime>13</TotalTime>
  <ScaleCrop>false</ScaleCrop>
  <LinksUpToDate>false</LinksUpToDate>
  <CharactersWithSpaces>110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2024-07-30T14:38:00Z</dcterms:created>
  <dc:creator>天使尘</dc:creator>
  <cp:lastModifiedBy>丁  怡</cp:lastModifiedBy>
  <cp:lastPrinted>2025-01-02T14:36:00Z</cp:lastPrinted>
  <dcterms:modified xsi:type="dcterms:W3CDTF">2026-07-31T02:26:11Z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D2F8F4453EDDA013E277696AE49491DA_43</vt:lpwstr>
  </property>
  <property fmtid="{D5CDD505-2E9C-101B-9397-08002B2CF9AE}" pid="4" name="KSOTemplateDocerSaveRecord">
    <vt:lpwstr>eyJoZGlkIjoiMjQ1YzlmOGViZGY1NzA0N2E0OWY1MWIyYjNlMzYyZDUiLCJ1c2VySWQiOiI0NjM0MjYwMDAifQ==</vt:lpwstr>
  </property>
</Properties>
</file>